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43EF" w14:textId="77777777" w:rsidR="00004CC4" w:rsidRDefault="00081ABF" w:rsidP="00B60DA6">
      <w:pPr>
        <w:pStyle w:val="Heading1"/>
      </w:pPr>
      <w:r>
        <w:t>Measurement Framework</w:t>
      </w:r>
    </w:p>
    <w:p w14:paraId="27021898" w14:textId="1A6DBA14" w:rsidR="005C293C" w:rsidRDefault="00D0653C" w:rsidP="00B60DA6">
      <w:pPr>
        <w:pStyle w:val="Heading2"/>
        <w:rPr>
          <w:lang w:val="en-US"/>
        </w:rPr>
      </w:pPr>
      <w:r>
        <w:rPr>
          <w:lang w:val="en-US"/>
        </w:rPr>
        <w:t>M</w:t>
      </w:r>
      <w:r w:rsidR="00081ABF">
        <w:rPr>
          <w:lang w:val="en-US"/>
        </w:rPr>
        <w:t xml:space="preserve">easuring the success of the </w:t>
      </w:r>
      <w:r w:rsidR="00081ABF" w:rsidRPr="00FE3391">
        <w:rPr>
          <w:i/>
          <w:lang w:val="en-US"/>
        </w:rPr>
        <w:t>National Return to Work Strategy 2020-2030</w:t>
      </w:r>
      <w:r w:rsidR="00081ABF">
        <w:rPr>
          <w:lang w:val="en-US"/>
        </w:rPr>
        <w:br/>
      </w:r>
    </w:p>
    <w:p w14:paraId="167640EF" w14:textId="77777777" w:rsidR="005C293C" w:rsidRPr="00081ABF" w:rsidRDefault="00081ABF" w:rsidP="00081ABF">
      <w:pPr>
        <w:pStyle w:val="Pulloutquote"/>
      </w:pPr>
      <w:r w:rsidRPr="00081ABF">
        <w:t xml:space="preserve">Also see the </w:t>
      </w:r>
      <w:r w:rsidRPr="00081ABF">
        <w:rPr>
          <w:b/>
        </w:rPr>
        <w:t>Methodology for the Measurement Framework</w:t>
      </w:r>
      <w:r w:rsidRPr="00081ABF">
        <w:t xml:space="preserve"> which provides the rationale and technical details underpinning the Measurement Framework</w:t>
      </w:r>
    </w:p>
    <w:p w14:paraId="51A5CFC3" w14:textId="77777777" w:rsidR="009D4182" w:rsidRDefault="009D4182" w:rsidP="005C293C"/>
    <w:p w14:paraId="61205BDB" w14:textId="77777777" w:rsidR="00B60DA6" w:rsidRDefault="00B60DA6">
      <w:pPr>
        <w:spacing w:line="259" w:lineRule="auto"/>
        <w:rPr>
          <w:rFonts w:ascii="Arial Black" w:eastAsia="Calibri" w:hAnsi="Arial Black" w:cs="Times New Roman"/>
          <w:b/>
          <w:caps/>
          <w:color w:val="FFFFFF" w:themeColor="background1"/>
          <w:spacing w:val="-10"/>
          <w:kern w:val="28"/>
          <w:sz w:val="48"/>
          <w:szCs w:val="48"/>
          <w:lang w:val="en-US"/>
        </w:rPr>
        <w:sectPr w:rsidR="00B60DA6" w:rsidSect="00B60DA6">
          <w:headerReference w:type="default" r:id="rId8"/>
          <w:footerReference w:type="default" r:id="rId9"/>
          <w:headerReference w:type="first" r:id="rId10"/>
          <w:pgSz w:w="11906" w:h="16838" w:code="9"/>
          <w:pgMar w:top="3969" w:right="1440" w:bottom="1440" w:left="1440" w:header="794" w:footer="272" w:gutter="0"/>
          <w:cols w:space="708"/>
          <w:vAlign w:val="center"/>
          <w:titlePg/>
          <w:docGrid w:linePitch="360"/>
        </w:sectPr>
      </w:pPr>
    </w:p>
    <w:p w14:paraId="3170CF9B" w14:textId="77777777" w:rsidR="00D06470" w:rsidRDefault="00D06470" w:rsidP="00D06470">
      <w:pPr>
        <w:pStyle w:val="Heading1"/>
        <w:rPr>
          <w:lang w:val="en-US"/>
        </w:rPr>
      </w:pPr>
      <w:r>
        <w:rPr>
          <w:lang w:val="en-US"/>
        </w:rPr>
        <w:lastRenderedPageBreak/>
        <w:t xml:space="preserve">Introduction </w:t>
      </w:r>
    </w:p>
    <w:p w14:paraId="4FD92820" w14:textId="77777777" w:rsidR="00D0653C" w:rsidRDefault="00D06470" w:rsidP="00D06470">
      <w:pPr>
        <w:rPr>
          <w:lang w:val="en-US"/>
        </w:rPr>
      </w:pPr>
      <w:r w:rsidRPr="00761391">
        <w:rPr>
          <w:lang w:val="en-US"/>
        </w:rPr>
        <w:t xml:space="preserve">The Measurement Framework (the framework) outlines how Safe Work Australia will measure the success of the </w:t>
      </w:r>
      <w:hyperlink r:id="rId11" w:history="1">
        <w:r w:rsidRPr="007B6D47">
          <w:rPr>
            <w:rStyle w:val="Hyperlink"/>
            <w:i/>
          </w:rPr>
          <w:t>National Return to Work Strategy 2020-2030</w:t>
        </w:r>
      </w:hyperlink>
      <w:r w:rsidRPr="007B6D47">
        <w:rPr>
          <w:lang w:val="en-US"/>
        </w:rPr>
        <w:t xml:space="preserve"> </w:t>
      </w:r>
      <w:r w:rsidRPr="00761391">
        <w:rPr>
          <w:lang w:val="en-US"/>
        </w:rPr>
        <w:t xml:space="preserve">(the Strategy). </w:t>
      </w:r>
    </w:p>
    <w:p w14:paraId="58E54404" w14:textId="25DDF017" w:rsidR="00D06470" w:rsidRPr="00761391" w:rsidRDefault="00D06470" w:rsidP="00D06470">
      <w:pPr>
        <w:rPr>
          <w:lang w:val="en-US"/>
        </w:rPr>
      </w:pPr>
      <w:r w:rsidRPr="00761391">
        <w:rPr>
          <w:lang w:val="en-US"/>
        </w:rPr>
        <w:t>Measuring progress towards achieving the Strategy’s strategic outcomes will</w:t>
      </w:r>
      <w:r w:rsidR="002C4864">
        <w:rPr>
          <w:lang w:val="en-US"/>
        </w:rPr>
        <w:t xml:space="preserve"> provide signposts throughout </w:t>
      </w:r>
      <w:r w:rsidR="00CA2232">
        <w:rPr>
          <w:lang w:val="en-US"/>
        </w:rPr>
        <w:t>its</w:t>
      </w:r>
      <w:r w:rsidR="00050B55">
        <w:rPr>
          <w:lang w:val="en-US"/>
        </w:rPr>
        <w:t xml:space="preserve"> </w:t>
      </w:r>
      <w:proofErr w:type="gramStart"/>
      <w:r w:rsidR="00050B55">
        <w:rPr>
          <w:lang w:val="en-US"/>
        </w:rPr>
        <w:t>10 year</w:t>
      </w:r>
      <w:proofErr w:type="gramEnd"/>
      <w:r w:rsidR="002C4864">
        <w:rPr>
          <w:lang w:val="en-US"/>
        </w:rPr>
        <w:t xml:space="preserve"> life and</w:t>
      </w:r>
      <w:r w:rsidRPr="00761391">
        <w:rPr>
          <w:lang w:val="en-US"/>
        </w:rPr>
        <w:t xml:space="preserve"> enable the efficient and effective </w:t>
      </w:r>
      <w:r w:rsidR="00D0653C">
        <w:rPr>
          <w:lang w:val="en-US"/>
        </w:rPr>
        <w:t>targeting</w:t>
      </w:r>
      <w:r w:rsidR="00D0653C" w:rsidRPr="00761391">
        <w:rPr>
          <w:lang w:val="en-US"/>
        </w:rPr>
        <w:t xml:space="preserve"> </w:t>
      </w:r>
      <w:r w:rsidRPr="00761391">
        <w:rPr>
          <w:lang w:val="en-US"/>
        </w:rPr>
        <w:t>of resources to</w:t>
      </w:r>
      <w:r w:rsidR="00CA2232">
        <w:rPr>
          <w:lang w:val="en-US"/>
        </w:rPr>
        <w:t xml:space="preserve"> both</w:t>
      </w:r>
      <w:r w:rsidRPr="00761391">
        <w:rPr>
          <w:lang w:val="en-US"/>
        </w:rPr>
        <w:t xml:space="preserve"> </w:t>
      </w:r>
      <w:r w:rsidR="00050B55">
        <w:rPr>
          <w:lang w:val="en-US"/>
        </w:rPr>
        <w:t xml:space="preserve">monitor and </w:t>
      </w:r>
      <w:r w:rsidR="00F12FEF">
        <w:rPr>
          <w:lang w:val="en-US"/>
        </w:rPr>
        <w:t xml:space="preserve">improve return to work outcomes, </w:t>
      </w:r>
      <w:r w:rsidRPr="00761391">
        <w:rPr>
          <w:lang w:val="en-US"/>
        </w:rPr>
        <w:t>including</w:t>
      </w:r>
      <w:r w:rsidR="00D0653C">
        <w:rPr>
          <w:lang w:val="en-US"/>
        </w:rPr>
        <w:t xml:space="preserve"> by</w:t>
      </w:r>
      <w:r w:rsidRPr="00761391">
        <w:rPr>
          <w:lang w:val="en-US"/>
        </w:rPr>
        <w:t xml:space="preserve"> informing </w:t>
      </w:r>
      <w:r w:rsidR="00F12FEF">
        <w:rPr>
          <w:lang w:val="en-US"/>
        </w:rPr>
        <w:t xml:space="preserve">national </w:t>
      </w:r>
      <w:r w:rsidRPr="00761391">
        <w:rPr>
          <w:lang w:val="en-US"/>
        </w:rPr>
        <w:t>action under the Strategy.</w:t>
      </w:r>
    </w:p>
    <w:p w14:paraId="6E6F38F9" w14:textId="77777777" w:rsidR="00D06470" w:rsidRDefault="00D06470" w:rsidP="00D06470">
      <w:r w:rsidRPr="00761391">
        <w:rPr>
          <w:lang w:val="en-US"/>
        </w:rPr>
        <w:t>In 2019, Safe Work Australia Members and all Australian Work Health and Safety Ministers endorsed the Strategy</w:t>
      </w:r>
      <w:r w:rsidR="00D0653C">
        <w:rPr>
          <w:lang w:val="en-US"/>
        </w:rPr>
        <w:t>,</w:t>
      </w:r>
      <w:r w:rsidRPr="00761391">
        <w:rPr>
          <w:lang w:val="en-US"/>
        </w:rPr>
        <w:t xml:space="preserve"> with a vision to minimise the impact of work-related injury and illness and enable workers to have a timely, safe and durable return to work</w:t>
      </w:r>
      <w:r w:rsidRPr="000F1328">
        <w:t xml:space="preserve">. </w:t>
      </w:r>
    </w:p>
    <w:p w14:paraId="3BE99B66" w14:textId="77777777" w:rsidR="00D06470" w:rsidRDefault="00D06470" w:rsidP="00D06470">
      <w:r>
        <w:t xml:space="preserve">Three </w:t>
      </w:r>
      <w:r w:rsidRPr="00D93FCE">
        <w:t xml:space="preserve">national </w:t>
      </w:r>
      <w:r w:rsidRPr="00D06470">
        <w:t>strategic outcomes</w:t>
      </w:r>
      <w:r>
        <w:t xml:space="preserve"> support the vision</w:t>
      </w:r>
      <w:r w:rsidRPr="00D93FCE">
        <w:t xml:space="preserve">, </w:t>
      </w:r>
      <w:r>
        <w:t>and</w:t>
      </w:r>
      <w:r w:rsidRPr="00D93FCE">
        <w:t xml:space="preserve"> outline </w:t>
      </w:r>
      <w:r>
        <w:t>the change expected from the Strategy’s success:</w:t>
      </w:r>
    </w:p>
    <w:p w14:paraId="0BFB641C" w14:textId="77777777" w:rsidR="00D06470" w:rsidRDefault="00D06470" w:rsidP="00D06470">
      <w:pPr>
        <w:pStyle w:val="Pulloutquote"/>
      </w:pPr>
      <w:r w:rsidRPr="00081ABF">
        <w:rPr>
          <w:b/>
        </w:rPr>
        <w:t>Strategic Outcome 1</w:t>
      </w:r>
      <w:r>
        <w:t>: Increase in workers staying in or returning to good work following a work-related injury or illness</w:t>
      </w:r>
    </w:p>
    <w:p w14:paraId="463C47A9" w14:textId="77777777" w:rsidR="00D06470" w:rsidRDefault="00D06470" w:rsidP="00D06470">
      <w:pPr>
        <w:pStyle w:val="Pulloutquote"/>
      </w:pPr>
      <w:r w:rsidRPr="00081ABF">
        <w:rPr>
          <w:b/>
        </w:rPr>
        <w:t>Strategic Outcome 2</w:t>
      </w:r>
      <w:r>
        <w:t>: Increase in positive return to work experiences for workers with a work-related injury or illness</w:t>
      </w:r>
    </w:p>
    <w:p w14:paraId="1195EECC" w14:textId="77777777" w:rsidR="00D06470" w:rsidRPr="000A6BB5" w:rsidRDefault="00D06470" w:rsidP="00D06470">
      <w:pPr>
        <w:pStyle w:val="Pulloutquote"/>
      </w:pPr>
      <w:r w:rsidRPr="00081ABF">
        <w:rPr>
          <w:b/>
        </w:rPr>
        <w:t>Strategic Outcome 3</w:t>
      </w:r>
      <w:r>
        <w:t xml:space="preserve">: Increase in employers preparing for, effectively responding to and managing work-related injury and illness in the workplace </w:t>
      </w:r>
      <w:r w:rsidRPr="000A6BB5">
        <w:t xml:space="preserve"> </w:t>
      </w:r>
    </w:p>
    <w:p w14:paraId="3FF6B7C4" w14:textId="77777777" w:rsidR="00D06470" w:rsidRDefault="006C2F08" w:rsidP="00D06470">
      <w:r>
        <w:br/>
      </w:r>
      <w:r w:rsidR="00D06470" w:rsidRPr="00371F1C">
        <w:t>The</w:t>
      </w:r>
      <w:r w:rsidR="00D06470">
        <w:t xml:space="preserve"> f</w:t>
      </w:r>
      <w:r w:rsidR="00D06470" w:rsidRPr="00371F1C">
        <w:t xml:space="preserve">ramework was developed in </w:t>
      </w:r>
      <w:r w:rsidR="00D06470">
        <w:t>partnership</w:t>
      </w:r>
      <w:r w:rsidR="00D06470" w:rsidRPr="00371F1C">
        <w:t xml:space="preserve"> </w:t>
      </w:r>
      <w:r w:rsidR="00D06470">
        <w:t>with governments, worker and employer representatives</w:t>
      </w:r>
      <w:r w:rsidR="00D06470" w:rsidRPr="00371F1C">
        <w:t xml:space="preserve">, </w:t>
      </w:r>
      <w:r w:rsidR="00D06470">
        <w:t>informed by</w:t>
      </w:r>
      <w:r w:rsidR="00D06470" w:rsidRPr="00371F1C">
        <w:t xml:space="preserve"> the national and global return to work evidence base</w:t>
      </w:r>
      <w:r w:rsidR="00D06470">
        <w:t xml:space="preserve">, expert advice, </w:t>
      </w:r>
      <w:r w:rsidR="00D06470" w:rsidRPr="00371F1C">
        <w:t xml:space="preserve">and insights </w:t>
      </w:r>
      <w:r w:rsidR="00D06470">
        <w:t>from</w:t>
      </w:r>
      <w:r w:rsidR="00D06470" w:rsidRPr="00371F1C">
        <w:t xml:space="preserve"> </w:t>
      </w:r>
      <w:r w:rsidR="00D06470">
        <w:t>various</w:t>
      </w:r>
      <w:r w:rsidR="00D06470" w:rsidRPr="00371F1C">
        <w:t xml:space="preserve"> stakeholders </w:t>
      </w:r>
      <w:r w:rsidR="00D06470">
        <w:t>during</w:t>
      </w:r>
      <w:r w:rsidR="00D06470" w:rsidRPr="00371F1C">
        <w:t xml:space="preserve"> t</w:t>
      </w:r>
      <w:r w:rsidR="00D06470">
        <w:t>he development of the Strategy.</w:t>
      </w:r>
    </w:p>
    <w:p w14:paraId="76F4A1C2" w14:textId="77777777" w:rsidR="00D06470" w:rsidRDefault="005D4AF0" w:rsidP="00D06470">
      <w:pPr>
        <w:pStyle w:val="Heading1"/>
        <w:tabs>
          <w:tab w:val="center" w:pos="4949"/>
        </w:tabs>
        <w:rPr>
          <w:lang w:val="en-US"/>
        </w:rPr>
      </w:pPr>
      <w:r>
        <w:rPr>
          <w:lang w:val="en-US"/>
        </w:rPr>
        <w:t>Primary data sources</w:t>
      </w:r>
    </w:p>
    <w:p w14:paraId="21EE7B3A" w14:textId="77777777" w:rsidR="00D06470" w:rsidRDefault="00D06470" w:rsidP="00D06470">
      <w:pPr>
        <w:spacing w:line="257" w:lineRule="auto"/>
        <w:contextualSpacing/>
      </w:pPr>
      <w:r w:rsidRPr="00287F67">
        <w:t>The framework utilises Safe Work Australia’s national datasets that provide insights into workers’ compe</w:t>
      </w:r>
      <w:r>
        <w:t>nsation claims and experiences.</w:t>
      </w:r>
    </w:p>
    <w:p w14:paraId="54FA1B56" w14:textId="77777777" w:rsidR="00D06470" w:rsidRDefault="00D06470" w:rsidP="00D06470">
      <w:pPr>
        <w:rPr>
          <w:rStyle w:val="IWHGBodycopyChar"/>
        </w:rPr>
      </w:pPr>
      <w:r w:rsidRPr="00287F67">
        <w:br/>
      </w:r>
      <w:r w:rsidRPr="00D06470">
        <w:rPr>
          <w:rStyle w:val="Heading3Char"/>
          <w:rFonts w:eastAsiaTheme="minorHAnsi"/>
        </w:rPr>
        <w:t>National Dataset for Compensation-based Statistics (NDS)</w:t>
      </w:r>
      <w:r w:rsidRPr="00D06470">
        <w:rPr>
          <w:rStyle w:val="Heading3Char"/>
          <w:rFonts w:eastAsiaTheme="minorHAnsi"/>
        </w:rPr>
        <w:br/>
      </w:r>
      <w:r w:rsidR="006974EC">
        <w:rPr>
          <w:rStyle w:val="IWHGBodycopyChar"/>
        </w:rPr>
        <w:br/>
      </w:r>
      <w:r w:rsidRPr="00287F67">
        <w:rPr>
          <w:rStyle w:val="IWHGBodycopyChar"/>
        </w:rPr>
        <w:t xml:space="preserve">The </w:t>
      </w:r>
      <w:hyperlink r:id="rId12" w:history="1">
        <w:r w:rsidRPr="005D4AF0">
          <w:rPr>
            <w:rStyle w:val="Hyperlink"/>
            <w:rFonts w:eastAsia="Calibri" w:cs="Arial"/>
            <w:szCs w:val="18"/>
          </w:rPr>
          <w:t>NDS</w:t>
        </w:r>
      </w:hyperlink>
      <w:r w:rsidRPr="00287F67">
        <w:rPr>
          <w:rStyle w:val="IWHGBodycopyChar"/>
        </w:rPr>
        <w:t xml:space="preserve"> includes administrative workers’ compensation claim data collected by Commonwealth, state and territory workers’ compensation </w:t>
      </w:r>
      <w:r>
        <w:rPr>
          <w:rStyle w:val="IWHGBodycopyChar"/>
        </w:rPr>
        <w:t>authorities,</w:t>
      </w:r>
      <w:r w:rsidRPr="00287F67">
        <w:rPr>
          <w:rStyle w:val="IWHGBodycopyChar"/>
        </w:rPr>
        <w:t xml:space="preserve"> enabling the production of </w:t>
      </w:r>
      <w:r w:rsidRPr="00F46D96">
        <w:rPr>
          <w:rStyle w:val="IWHGBodycopyChar"/>
        </w:rPr>
        <w:t>nationally comparable information on</w:t>
      </w:r>
      <w:r>
        <w:rPr>
          <w:rStyle w:val="IWHGBodycopyChar"/>
        </w:rPr>
        <w:t xml:space="preserve"> claims for work-</w:t>
      </w:r>
      <w:r w:rsidRPr="00F46D96">
        <w:rPr>
          <w:rStyle w:val="IWHGBodycopyChar"/>
        </w:rPr>
        <w:t xml:space="preserve">related injuries, disease </w:t>
      </w:r>
      <w:r>
        <w:rPr>
          <w:rStyle w:val="IWHGBodycopyChar"/>
        </w:rPr>
        <w:t xml:space="preserve">(illness) </w:t>
      </w:r>
      <w:r w:rsidRPr="00F46D96">
        <w:rPr>
          <w:rStyle w:val="IWHGBodycopyChar"/>
        </w:rPr>
        <w:t>and fatalities.</w:t>
      </w:r>
    </w:p>
    <w:p w14:paraId="19F7A615" w14:textId="110530F7" w:rsidR="00D06470" w:rsidRPr="00287F67" w:rsidRDefault="00D06470" w:rsidP="00D06470">
      <w:pPr>
        <w:rPr>
          <w:highlight w:val="yellow"/>
        </w:rPr>
      </w:pPr>
      <w:r w:rsidRPr="00D06470">
        <w:rPr>
          <w:rStyle w:val="Heading3Char"/>
          <w:rFonts w:eastAsiaTheme="minorHAnsi"/>
        </w:rPr>
        <w:t>National Return to Work Survey (NRTWS)</w:t>
      </w:r>
      <w:r w:rsidRPr="00D06470">
        <w:rPr>
          <w:rStyle w:val="Heading3Char"/>
          <w:rFonts w:eastAsiaTheme="minorHAnsi"/>
        </w:rPr>
        <w:br/>
      </w:r>
      <w:r w:rsidR="006974EC">
        <w:rPr>
          <w:rStyle w:val="IWHGBodycopyChar"/>
        </w:rPr>
        <w:br/>
      </w:r>
      <w:r>
        <w:rPr>
          <w:rStyle w:val="IWHGBodycopyChar"/>
        </w:rPr>
        <w:t xml:space="preserve">The </w:t>
      </w:r>
      <w:hyperlink r:id="rId13" w:history="1">
        <w:r w:rsidRPr="005D4AF0">
          <w:rPr>
            <w:rStyle w:val="Hyperlink"/>
            <w:rFonts w:eastAsia="Calibri" w:cs="Arial"/>
            <w:szCs w:val="18"/>
          </w:rPr>
          <w:t>NRTWS</w:t>
        </w:r>
      </w:hyperlink>
      <w:r w:rsidRPr="00287F67">
        <w:rPr>
          <w:rStyle w:val="IWHGBodycopyChar"/>
        </w:rPr>
        <w:t xml:space="preserve"> measures the return to work outcomes </w:t>
      </w:r>
      <w:r w:rsidR="000B51F6">
        <w:rPr>
          <w:rStyle w:val="IWHGBodycopyChar"/>
        </w:rPr>
        <w:t xml:space="preserve">and experiences </w:t>
      </w:r>
      <w:r w:rsidRPr="00287F67">
        <w:rPr>
          <w:rStyle w:val="IWHGBodycopyChar"/>
        </w:rPr>
        <w:t xml:space="preserve">of workers with a compensable work-related injury or illness to better understand their return to work journey and the factors that can influence their </w:t>
      </w:r>
      <w:r w:rsidR="000B51F6">
        <w:rPr>
          <w:rStyle w:val="IWHGBodycopyChar"/>
        </w:rPr>
        <w:t>successful return to work</w:t>
      </w:r>
      <w:r>
        <w:rPr>
          <w:rStyle w:val="IWHGBodycopyChar"/>
        </w:rPr>
        <w:t>.</w:t>
      </w:r>
    </w:p>
    <w:p w14:paraId="4CAB466D" w14:textId="77777777" w:rsidR="006974EC" w:rsidRDefault="006974EC">
      <w:pPr>
        <w:spacing w:line="259" w:lineRule="auto"/>
        <w:rPr>
          <w:rFonts w:eastAsia="Calibri" w:cstheme="majorBidi"/>
          <w:b/>
          <w:color w:val="224C52"/>
          <w:sz w:val="40"/>
          <w:szCs w:val="24"/>
        </w:rPr>
      </w:pPr>
      <w:r>
        <w:br w:type="page"/>
      </w:r>
    </w:p>
    <w:p w14:paraId="61B9926C" w14:textId="77777777" w:rsidR="00D06470" w:rsidRPr="00F373C9" w:rsidRDefault="00D06470" w:rsidP="00D06470">
      <w:pPr>
        <w:pStyle w:val="Heading1"/>
        <w:rPr>
          <w:b w:val="0"/>
        </w:rPr>
      </w:pPr>
      <w:r>
        <w:lastRenderedPageBreak/>
        <w:t>National performance m</w:t>
      </w:r>
      <w:r w:rsidRPr="00EC7D71">
        <w:t>easure</w:t>
      </w:r>
      <w:r>
        <w:t>s and objectives</w:t>
      </w:r>
    </w:p>
    <w:p w14:paraId="2C73F5CA" w14:textId="4489157F" w:rsidR="000E3C53" w:rsidRDefault="00D06470" w:rsidP="00D06470">
      <w:r w:rsidRPr="005D4AF0">
        <w:rPr>
          <w:rStyle w:val="IWHGBodycopyChar"/>
          <w:b/>
        </w:rPr>
        <w:t>Table</w:t>
      </w:r>
      <w:r w:rsidR="00C41B2A">
        <w:rPr>
          <w:rStyle w:val="IWHGBodycopyChar"/>
          <w:b/>
        </w:rPr>
        <w:t>s</w:t>
      </w:r>
      <w:r w:rsidRPr="005D4AF0">
        <w:rPr>
          <w:rStyle w:val="IWHGBodycopyChar"/>
          <w:b/>
        </w:rPr>
        <w:t xml:space="preserve"> 1</w:t>
      </w:r>
      <w:r>
        <w:rPr>
          <w:rStyle w:val="IWHGBodycopyChar"/>
        </w:rPr>
        <w:t xml:space="preserve"> </w:t>
      </w:r>
      <w:r w:rsidR="00C41B2A" w:rsidRPr="00C41B2A">
        <w:rPr>
          <w:rStyle w:val="IWHGBodycopyChar"/>
          <w:b/>
        </w:rPr>
        <w:t>and 2</w:t>
      </w:r>
      <w:r w:rsidR="00C41B2A">
        <w:rPr>
          <w:rStyle w:val="IWHGBodycopyChar"/>
        </w:rPr>
        <w:t xml:space="preserve"> </w:t>
      </w:r>
      <w:r>
        <w:rPr>
          <w:rStyle w:val="IWHGBodycopyChar"/>
        </w:rPr>
        <w:t>sets out the national</w:t>
      </w:r>
      <w:r w:rsidR="00F532CC">
        <w:rPr>
          <w:rStyle w:val="IWHGBodycopyChar"/>
        </w:rPr>
        <w:t xml:space="preserve"> </w:t>
      </w:r>
      <w:r w:rsidRPr="001E498C">
        <w:rPr>
          <w:rStyle w:val="IWHGBodycopyChar"/>
        </w:rPr>
        <w:t>measures selected to monitor performance</w:t>
      </w:r>
      <w:r>
        <w:rPr>
          <w:rStyle w:val="IWHGBodycopyChar"/>
        </w:rPr>
        <w:t xml:space="preserve"> against the three strategic outcomes in the Strateg</w:t>
      </w:r>
      <w:r w:rsidR="000E3C53">
        <w:rPr>
          <w:rStyle w:val="IWHGBodycopyChar"/>
        </w:rPr>
        <w:t xml:space="preserve">y. </w:t>
      </w:r>
      <w:r>
        <w:rPr>
          <w:rStyle w:val="IWHGBodycopyChar"/>
        </w:rPr>
        <w:t xml:space="preserve">Collectively, the suite of measures </w:t>
      </w:r>
      <w:proofErr w:type="gramStart"/>
      <w:r>
        <w:rPr>
          <w:rStyle w:val="IWHGBodycopyChar"/>
        </w:rPr>
        <w:t>provide</w:t>
      </w:r>
      <w:proofErr w:type="gramEnd"/>
      <w:r>
        <w:rPr>
          <w:rStyle w:val="IWHGBodycopyChar"/>
        </w:rPr>
        <w:t xml:space="preserve"> a broad view of progress toward achieving the Strategy’s vision.</w:t>
      </w:r>
      <w:r w:rsidR="000E3C53" w:rsidRPr="000E3C53">
        <w:rPr>
          <w:rStyle w:val="IWHGBodycopyChar"/>
        </w:rPr>
        <w:t xml:space="preserve"> </w:t>
      </w:r>
      <w:r w:rsidR="000E3C53">
        <w:t>The title given to each measure (</w:t>
      </w:r>
      <w:r w:rsidR="000E3C53" w:rsidRPr="0093586D">
        <w:t>e.g. ‘</w:t>
      </w:r>
      <w:r w:rsidR="000E3C53">
        <w:t>t</w:t>
      </w:r>
      <w:r w:rsidR="000E3C53" w:rsidRPr="0093586D">
        <w:t>imely return to work’</w:t>
      </w:r>
      <w:r w:rsidR="000E3C53">
        <w:t>)</w:t>
      </w:r>
      <w:r w:rsidR="000E3C53" w:rsidRPr="0093586D">
        <w:t xml:space="preserve"> </w:t>
      </w:r>
      <w:r w:rsidR="000E3C53">
        <w:t>has been guided by the vision and strategic outcomes</w:t>
      </w:r>
      <w:r w:rsidR="000E3C53" w:rsidRPr="0093586D">
        <w:t>.</w:t>
      </w:r>
      <w:r w:rsidR="000E3C53">
        <w:t xml:space="preserve"> These titles are general descriptors and </w:t>
      </w:r>
      <w:r w:rsidR="000E3C53" w:rsidRPr="0093586D">
        <w:t>are not intended to be value judgement</w:t>
      </w:r>
      <w:r w:rsidR="000E3C53">
        <w:t>s.</w:t>
      </w:r>
    </w:p>
    <w:p w14:paraId="6DEE0BE2" w14:textId="102311F1" w:rsidR="00D06470" w:rsidRDefault="00D06470" w:rsidP="00D06470">
      <w:pPr>
        <w:rPr>
          <w:rStyle w:val="IWHGBodycopyChar"/>
        </w:rPr>
      </w:pPr>
      <w:r>
        <w:rPr>
          <w:rStyle w:val="IWHGBodycopyChar"/>
        </w:rPr>
        <w:t>The measures</w:t>
      </w:r>
      <w:r w:rsidRPr="001E498C">
        <w:rPr>
          <w:rStyle w:val="IWHGBodycopyChar"/>
        </w:rPr>
        <w:t xml:space="preserve"> </w:t>
      </w:r>
      <w:r>
        <w:rPr>
          <w:rStyle w:val="IWHGBodycopyChar"/>
        </w:rPr>
        <w:t>include lagging</w:t>
      </w:r>
      <w:r w:rsidRPr="001E498C">
        <w:rPr>
          <w:rStyle w:val="IWHGBodycopyChar"/>
        </w:rPr>
        <w:t xml:space="preserve"> indicators (recovery of work function and retu</w:t>
      </w:r>
      <w:r>
        <w:rPr>
          <w:rStyle w:val="IWHGBodycopyChar"/>
        </w:rPr>
        <w:t>rn to work outcomes) and leading</w:t>
      </w:r>
      <w:r w:rsidRPr="001E498C">
        <w:rPr>
          <w:rStyle w:val="IWHGBodycopyChar"/>
        </w:rPr>
        <w:t xml:space="preserve"> indicators (factors that influence whether recovery and retu</w:t>
      </w:r>
      <w:r>
        <w:rPr>
          <w:rStyle w:val="IWHGBodycopyChar"/>
        </w:rPr>
        <w:t>rn to work</w:t>
      </w:r>
      <w:r w:rsidRPr="001E498C">
        <w:rPr>
          <w:rStyle w:val="IWHGBodycopyChar"/>
        </w:rPr>
        <w:t xml:space="preserve"> outcomes are achieved). The measures </w:t>
      </w:r>
      <w:r>
        <w:rPr>
          <w:rStyle w:val="IWHGBodycopyChar"/>
        </w:rPr>
        <w:t xml:space="preserve">also </w:t>
      </w:r>
      <w:r w:rsidRPr="001E498C">
        <w:rPr>
          <w:rStyle w:val="IWHGBodycopyChar"/>
        </w:rPr>
        <w:t xml:space="preserve">span the domains of the </w:t>
      </w:r>
      <w:r>
        <w:rPr>
          <w:rStyle w:val="IWHGBodycopyChar"/>
        </w:rPr>
        <w:t xml:space="preserve">four </w:t>
      </w:r>
      <w:r w:rsidRPr="001E498C">
        <w:rPr>
          <w:rStyle w:val="IWHGBodycopyChar"/>
        </w:rPr>
        <w:t>key stakeholders in the return to work process – the worker, employer, healthcare</w:t>
      </w:r>
      <w:r w:rsidR="00F12FEF">
        <w:rPr>
          <w:rStyle w:val="IWHGBodycopyChar"/>
        </w:rPr>
        <w:t xml:space="preserve"> </w:t>
      </w:r>
      <w:r w:rsidRPr="001E498C">
        <w:rPr>
          <w:rStyle w:val="IWHGBodycopyChar"/>
        </w:rPr>
        <w:t>and insurer</w:t>
      </w:r>
      <w:r>
        <w:rPr>
          <w:rStyle w:val="IWHGBodycopyChar"/>
        </w:rPr>
        <w:t xml:space="preserve">. </w:t>
      </w:r>
    </w:p>
    <w:p w14:paraId="604AC0FB" w14:textId="214318F8" w:rsidR="00D06470" w:rsidRDefault="00D06470" w:rsidP="00D06470">
      <w:pPr>
        <w:rPr>
          <w:rStyle w:val="IWHGBodycopyChar"/>
        </w:rPr>
      </w:pPr>
      <w:r w:rsidRPr="00103D5B">
        <w:rPr>
          <w:rStyle w:val="IWHGBodycopyChar"/>
        </w:rPr>
        <w:t xml:space="preserve">The national performance objectives are national targets for improvement and indicate the </w:t>
      </w:r>
      <w:r w:rsidR="00E81FE1">
        <w:t>direction of a positive change in performance and the scope for that change to occur</w:t>
      </w:r>
      <w:r w:rsidRPr="00103D5B">
        <w:rPr>
          <w:rStyle w:val="IWHGBodycopyChar"/>
        </w:rPr>
        <w:t xml:space="preserve">. Further information on the national performance measures and objectives is available in the </w:t>
      </w:r>
      <w:r w:rsidRPr="00A001E0">
        <w:rPr>
          <w:rStyle w:val="IWHGBodycopyChar"/>
          <w:b/>
        </w:rPr>
        <w:t>Methodology for the Measurement Framework</w:t>
      </w:r>
      <w:r w:rsidRPr="00103D5B">
        <w:rPr>
          <w:rStyle w:val="IWHGBodycopyChar"/>
        </w:rPr>
        <w:t>.</w:t>
      </w:r>
    </w:p>
    <w:p w14:paraId="2EDA3BF8" w14:textId="77777777" w:rsidR="00D06470" w:rsidRPr="00CF6AE8" w:rsidRDefault="00D06470" w:rsidP="00D06470">
      <w:pPr>
        <w:pStyle w:val="Heading1"/>
        <w:rPr>
          <w:b w:val="0"/>
        </w:rPr>
      </w:pPr>
      <w:r w:rsidRPr="00CF6AE8">
        <w:t>Reporting</w:t>
      </w:r>
    </w:p>
    <w:p w14:paraId="053B6A52" w14:textId="3A01BB7F" w:rsidR="00D06470" w:rsidRDefault="00D06470" w:rsidP="00D06470">
      <w:r w:rsidRPr="00CF6AE8">
        <w:t xml:space="preserve">Safe Work Australia will </w:t>
      </w:r>
      <w:r>
        <w:t>monitor</w:t>
      </w:r>
      <w:r w:rsidRPr="00CF6AE8">
        <w:t xml:space="preserve"> </w:t>
      </w:r>
      <w:r>
        <w:t xml:space="preserve">the performance measures and report on national progress </w:t>
      </w:r>
      <w:r w:rsidRPr="00CF6AE8">
        <w:t xml:space="preserve">at </w:t>
      </w:r>
      <w:r>
        <w:t xml:space="preserve">the end of </w:t>
      </w:r>
      <w:r w:rsidRPr="00CF6AE8">
        <w:t>years one</w:t>
      </w:r>
      <w:r>
        <w:t xml:space="preserve"> (acting as the baseline for future improvement)</w:t>
      </w:r>
      <w:r w:rsidRPr="00CF6AE8">
        <w:t>, three and five</w:t>
      </w:r>
      <w:r w:rsidR="00F12FEF">
        <w:t xml:space="preserve"> of the Strategy</w:t>
      </w:r>
      <w:r w:rsidRPr="00CF6AE8">
        <w:t xml:space="preserve">, </w:t>
      </w:r>
      <w:r>
        <w:t>culminating in the mid-term review</w:t>
      </w:r>
      <w:r w:rsidRPr="00CF6AE8">
        <w:t xml:space="preserve">. </w:t>
      </w:r>
      <w:r w:rsidR="000933B3">
        <w:t>Any r</w:t>
      </w:r>
      <w:r w:rsidR="007F0CCA">
        <w:t>eporting will include explanatory notes on measures and metrics</w:t>
      </w:r>
      <w:r w:rsidR="000933B3">
        <w:t xml:space="preserve"> to ensure they </w:t>
      </w:r>
      <w:r w:rsidR="00CE7A5B">
        <w:t>can be</w:t>
      </w:r>
      <w:r w:rsidR="000933B3">
        <w:t xml:space="preserve"> clearly understood and </w:t>
      </w:r>
      <w:r w:rsidR="00CE7A5B">
        <w:t>acknowledge</w:t>
      </w:r>
      <w:r w:rsidR="000933B3">
        <w:t xml:space="preserve"> any limitations.</w:t>
      </w:r>
    </w:p>
    <w:p w14:paraId="536A7B5E" w14:textId="77777777" w:rsidR="00D06470" w:rsidRDefault="00D06470" w:rsidP="00D06470">
      <w:pPr>
        <w:pStyle w:val="Heading1"/>
        <w:rPr>
          <w:b w:val="0"/>
        </w:rPr>
      </w:pPr>
      <w:r w:rsidRPr="007C7771">
        <w:t>Reviewing the Measurement Framework</w:t>
      </w:r>
    </w:p>
    <w:p w14:paraId="370BAC1A" w14:textId="3E8AB0E6" w:rsidR="00D06470" w:rsidRDefault="00D06470" w:rsidP="00D06470">
      <w:r>
        <w:t>The framework recognises the current challenges and future opportunities to measure return to work. Work under the Strategy and across governments and the sector to develop more holistic measures will provide richer insights into workers’ recovery and return to work</w:t>
      </w:r>
      <w:r w:rsidR="007F0CCA">
        <w:t xml:space="preserve"> in the future</w:t>
      </w:r>
      <w:r>
        <w:t>. The framework will be reviewed periodically to consider and incorporate improvements and developments in return to work data and measures as appropriate.</w:t>
      </w:r>
    </w:p>
    <w:p w14:paraId="2110DB29" w14:textId="77777777" w:rsidR="00E81FE1" w:rsidRDefault="00E81FE1">
      <w:pPr>
        <w:spacing w:line="259" w:lineRule="auto"/>
        <w:sectPr w:rsidR="00E81FE1" w:rsidSect="00806073">
          <w:headerReference w:type="first" r:id="rId14"/>
          <w:footerReference w:type="first" r:id="rId15"/>
          <w:pgSz w:w="11906" w:h="16838"/>
          <w:pgMar w:top="2127" w:right="1440" w:bottom="1135" w:left="1440" w:header="794" w:footer="273" w:gutter="0"/>
          <w:pgNumType w:start="1"/>
          <w:cols w:space="708"/>
          <w:titlePg/>
          <w:docGrid w:linePitch="360"/>
        </w:sectPr>
      </w:pPr>
    </w:p>
    <w:p w14:paraId="48C7BE92" w14:textId="5A3276CB" w:rsidR="006561D5" w:rsidRPr="006561D5" w:rsidRDefault="00C41B2A" w:rsidP="009614B2">
      <w:pPr>
        <w:keepNext/>
        <w:keepLines/>
        <w:spacing w:before="120" w:after="120" w:line="240" w:lineRule="auto"/>
        <w:ind w:left="-567"/>
        <w:outlineLvl w:val="2"/>
        <w:rPr>
          <w:rFonts w:ascii="Arial Bold" w:eastAsia="Times New Roman" w:hAnsi="Arial Bold" w:cs="Times New Roman"/>
          <w:b/>
          <w:bCs/>
          <w:color w:val="539FAB"/>
          <w:sz w:val="16"/>
          <w:highlight w:val="yellow"/>
        </w:rPr>
      </w:pPr>
      <w:r>
        <w:rPr>
          <w:rFonts w:ascii="Arial Bold" w:eastAsia="Times New Roman" w:hAnsi="Arial Bold" w:cs="Times New Roman"/>
          <w:b/>
          <w:bCs/>
          <w:color w:val="539FAB"/>
          <w:sz w:val="24"/>
        </w:rPr>
        <w:lastRenderedPageBreak/>
        <w:t>Table 1</w:t>
      </w:r>
      <w:r w:rsidR="006561D5" w:rsidRPr="006561D5">
        <w:rPr>
          <w:rFonts w:ascii="Arial Bold" w:eastAsia="Times New Roman" w:hAnsi="Arial Bold" w:cs="Times New Roman"/>
          <w:b/>
          <w:bCs/>
          <w:color w:val="539FAB"/>
          <w:sz w:val="24"/>
        </w:rPr>
        <w:t xml:space="preserve">. National performance measures and objectives: lagging indicators (recovery and return to work outcomes) </w:t>
      </w:r>
    </w:p>
    <w:tbl>
      <w:tblPr>
        <w:tblStyle w:val="TableGrid1"/>
        <w:tblW w:w="15026" w:type="dxa"/>
        <w:tblInd w:w="-572" w:type="dxa"/>
        <w:tblLayout w:type="fixed"/>
        <w:tblLook w:val="04A0" w:firstRow="1" w:lastRow="0" w:firstColumn="1" w:lastColumn="0" w:noHBand="0" w:noVBand="1"/>
      </w:tblPr>
      <w:tblGrid>
        <w:gridCol w:w="2268"/>
        <w:gridCol w:w="1162"/>
        <w:gridCol w:w="1162"/>
        <w:gridCol w:w="1163"/>
        <w:gridCol w:w="1162"/>
        <w:gridCol w:w="1163"/>
        <w:gridCol w:w="4394"/>
        <w:gridCol w:w="1276"/>
        <w:gridCol w:w="1276"/>
      </w:tblGrid>
      <w:tr w:rsidR="00A001E0" w:rsidRPr="00772F21" w14:paraId="0B954B4D" w14:textId="77777777" w:rsidTr="005B4E7C">
        <w:trPr>
          <w:cantSplit/>
          <w:trHeight w:val="392"/>
        </w:trPr>
        <w:tc>
          <w:tcPr>
            <w:tcW w:w="2268" w:type="dxa"/>
            <w:vMerge w:val="restart"/>
            <w:shd w:val="clear" w:color="auto" w:fill="3D7881"/>
            <w:vAlign w:val="center"/>
          </w:tcPr>
          <w:p w14:paraId="281CD229"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Measure</w:t>
            </w:r>
          </w:p>
        </w:tc>
        <w:tc>
          <w:tcPr>
            <w:tcW w:w="1162" w:type="dxa"/>
            <w:vMerge w:val="restart"/>
            <w:shd w:val="clear" w:color="auto" w:fill="3D7881"/>
            <w:vAlign w:val="center"/>
          </w:tcPr>
          <w:p w14:paraId="74B73EE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Data source</w:t>
            </w:r>
          </w:p>
        </w:tc>
        <w:tc>
          <w:tcPr>
            <w:tcW w:w="1162" w:type="dxa"/>
            <w:vMerge w:val="restart"/>
            <w:shd w:val="clear" w:color="auto" w:fill="3D7881"/>
            <w:vAlign w:val="center"/>
          </w:tcPr>
          <w:p w14:paraId="34F596E9"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Domain</w:t>
            </w:r>
          </w:p>
        </w:tc>
        <w:tc>
          <w:tcPr>
            <w:tcW w:w="1163" w:type="dxa"/>
            <w:vMerge w:val="restart"/>
            <w:shd w:val="clear" w:color="auto" w:fill="3D7881"/>
            <w:vAlign w:val="center"/>
          </w:tcPr>
          <w:p w14:paraId="4CAB44E1" w14:textId="3C09A04C" w:rsidR="006561D5" w:rsidRPr="00772F21" w:rsidRDefault="000129A1" w:rsidP="000129A1">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Pr>
                <w:rFonts w:eastAsia="Calibri" w:cs="Arial"/>
                <w:b/>
                <w:bCs/>
                <w:color w:val="FFFFFF" w:themeColor="background1"/>
                <w:sz w:val="18"/>
                <w:szCs w:val="18"/>
              </w:rPr>
              <w:t xml:space="preserve">Strategic Outcome </w:t>
            </w:r>
            <w:r w:rsidR="006561D5" w:rsidRPr="00772F21">
              <w:rPr>
                <w:rFonts w:eastAsia="Calibri" w:cs="Arial"/>
                <w:b/>
                <w:bCs/>
                <w:color w:val="FFFFFF" w:themeColor="background1"/>
                <w:sz w:val="18"/>
                <w:szCs w:val="18"/>
              </w:rPr>
              <w:t>1</w:t>
            </w:r>
          </w:p>
        </w:tc>
        <w:tc>
          <w:tcPr>
            <w:tcW w:w="1162" w:type="dxa"/>
            <w:vMerge w:val="restart"/>
            <w:shd w:val="clear" w:color="auto" w:fill="3D7881"/>
            <w:vAlign w:val="center"/>
          </w:tcPr>
          <w:p w14:paraId="617E5C94" w14:textId="60EE87B6" w:rsidR="006561D5" w:rsidRPr="00772F21" w:rsidRDefault="006561D5" w:rsidP="000129A1">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S</w:t>
            </w:r>
            <w:r w:rsidR="000129A1">
              <w:rPr>
                <w:rFonts w:eastAsia="Calibri" w:cs="Arial"/>
                <w:b/>
                <w:bCs/>
                <w:color w:val="FFFFFF" w:themeColor="background1"/>
                <w:sz w:val="18"/>
                <w:szCs w:val="18"/>
              </w:rPr>
              <w:t xml:space="preserve">trategic Outcome </w:t>
            </w:r>
            <w:r w:rsidRPr="00772F21">
              <w:rPr>
                <w:rFonts w:eastAsia="Calibri" w:cs="Arial"/>
                <w:b/>
                <w:bCs/>
                <w:color w:val="FFFFFF" w:themeColor="background1"/>
                <w:sz w:val="18"/>
                <w:szCs w:val="18"/>
              </w:rPr>
              <w:t>2</w:t>
            </w:r>
          </w:p>
        </w:tc>
        <w:tc>
          <w:tcPr>
            <w:tcW w:w="1163" w:type="dxa"/>
            <w:vMerge w:val="restart"/>
            <w:shd w:val="clear" w:color="auto" w:fill="3D7881"/>
            <w:vAlign w:val="center"/>
          </w:tcPr>
          <w:p w14:paraId="47B288BC" w14:textId="38C2CA2F"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S</w:t>
            </w:r>
            <w:r w:rsidR="000129A1">
              <w:rPr>
                <w:rFonts w:eastAsia="Calibri" w:cs="Arial"/>
                <w:b/>
                <w:bCs/>
                <w:color w:val="FFFFFF" w:themeColor="background1"/>
                <w:sz w:val="18"/>
                <w:szCs w:val="18"/>
              </w:rPr>
              <w:t>trategic Outcome</w:t>
            </w:r>
            <w:r w:rsidRPr="00772F21">
              <w:rPr>
                <w:rFonts w:eastAsia="Calibri" w:cs="Arial"/>
                <w:b/>
                <w:bCs/>
                <w:color w:val="FFFFFF" w:themeColor="background1"/>
                <w:sz w:val="18"/>
                <w:szCs w:val="18"/>
              </w:rPr>
              <w:t xml:space="preserve"> 3</w:t>
            </w:r>
          </w:p>
        </w:tc>
        <w:tc>
          <w:tcPr>
            <w:tcW w:w="4394" w:type="dxa"/>
            <w:vMerge w:val="restart"/>
            <w:shd w:val="clear" w:color="auto" w:fill="3D7881"/>
            <w:vAlign w:val="center"/>
          </w:tcPr>
          <w:p w14:paraId="27346E83" w14:textId="567D09D6"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Metric</w:t>
            </w:r>
            <w:r w:rsidR="00544022">
              <w:rPr>
                <w:rFonts w:eastAsia="Calibri" w:cs="Arial"/>
                <w:b/>
                <w:bCs/>
                <w:color w:val="FFFFFF" w:themeColor="background1"/>
                <w:sz w:val="18"/>
                <w:szCs w:val="18"/>
              </w:rPr>
              <w:t xml:space="preserve"> </w:t>
            </w:r>
            <w:r w:rsidR="00027E14">
              <w:rPr>
                <w:rFonts w:eastAsia="Calibri" w:cs="Arial"/>
                <w:b/>
                <w:bCs/>
                <w:color w:val="FFFFFF" w:themeColor="background1"/>
                <w:sz w:val="18"/>
                <w:szCs w:val="18"/>
              </w:rPr>
              <w:br/>
            </w:r>
            <w:r w:rsidR="00544022" w:rsidRPr="00613460">
              <w:rPr>
                <w:rFonts w:eastAsia="Calibri" w:cs="Arial"/>
                <w:b/>
                <w:bCs/>
                <w:color w:val="FFFFFF" w:themeColor="background1"/>
                <w:sz w:val="12"/>
                <w:szCs w:val="12"/>
              </w:rPr>
              <w:t>(</w:t>
            </w:r>
            <w:r w:rsidR="00C954E2" w:rsidRPr="00613460">
              <w:rPr>
                <w:rFonts w:eastAsia="Calibri" w:cs="Arial"/>
                <w:b/>
                <w:bCs/>
                <w:color w:val="FFFFFF" w:themeColor="background1"/>
                <w:sz w:val="12"/>
                <w:szCs w:val="12"/>
              </w:rPr>
              <w:t>data item selected to identify and indicate change against corresponding measure)</w:t>
            </w:r>
          </w:p>
        </w:tc>
        <w:tc>
          <w:tcPr>
            <w:tcW w:w="2552" w:type="dxa"/>
            <w:gridSpan w:val="2"/>
            <w:shd w:val="clear" w:color="auto" w:fill="3D7881"/>
            <w:vAlign w:val="center"/>
          </w:tcPr>
          <w:p w14:paraId="55CBEECE" w14:textId="3FB014F7" w:rsidR="006561D5" w:rsidRPr="00772F21" w:rsidRDefault="006561D5" w:rsidP="00E81FE1">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Pr>
                <w:rFonts w:eastAsia="Calibri" w:cs="Arial"/>
                <w:b/>
                <w:bCs/>
                <w:color w:val="FFFFFF" w:themeColor="background1"/>
                <w:sz w:val="18"/>
                <w:szCs w:val="18"/>
              </w:rPr>
              <w:t>Performance objective</w:t>
            </w:r>
          </w:p>
        </w:tc>
      </w:tr>
      <w:tr w:rsidR="00A001E0" w:rsidRPr="00772F21" w14:paraId="29885FFC" w14:textId="77777777" w:rsidTr="005B4E7C">
        <w:trPr>
          <w:cantSplit/>
          <w:trHeight w:val="554"/>
        </w:trPr>
        <w:tc>
          <w:tcPr>
            <w:tcW w:w="2268" w:type="dxa"/>
            <w:vMerge/>
            <w:shd w:val="clear" w:color="auto" w:fill="3D7881"/>
            <w:vAlign w:val="center"/>
          </w:tcPr>
          <w:p w14:paraId="789C251E"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2" w:type="dxa"/>
            <w:vMerge/>
            <w:shd w:val="clear" w:color="auto" w:fill="3D7881"/>
            <w:vAlign w:val="center"/>
          </w:tcPr>
          <w:p w14:paraId="1948F6B2"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2" w:type="dxa"/>
            <w:vMerge/>
            <w:shd w:val="clear" w:color="auto" w:fill="3D7881"/>
            <w:vAlign w:val="center"/>
          </w:tcPr>
          <w:p w14:paraId="1F2CDBD0"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3" w:type="dxa"/>
            <w:vMerge/>
            <w:shd w:val="clear" w:color="auto" w:fill="3D7881"/>
            <w:vAlign w:val="center"/>
          </w:tcPr>
          <w:p w14:paraId="16F9898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2" w:type="dxa"/>
            <w:vMerge/>
            <w:shd w:val="clear" w:color="auto" w:fill="3D7881"/>
            <w:vAlign w:val="center"/>
          </w:tcPr>
          <w:p w14:paraId="7E1E37D7"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3" w:type="dxa"/>
            <w:vMerge/>
            <w:shd w:val="clear" w:color="auto" w:fill="3D7881"/>
            <w:vAlign w:val="center"/>
          </w:tcPr>
          <w:p w14:paraId="68512299"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4394" w:type="dxa"/>
            <w:vMerge/>
            <w:shd w:val="clear" w:color="auto" w:fill="3D7881"/>
            <w:vAlign w:val="center"/>
          </w:tcPr>
          <w:p w14:paraId="0BA92C37"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276" w:type="dxa"/>
            <w:shd w:val="clear" w:color="auto" w:fill="3D7881"/>
            <w:vAlign w:val="center"/>
          </w:tcPr>
          <w:p w14:paraId="7411EB48" w14:textId="6BB498C9" w:rsidR="006561D5" w:rsidRPr="00E81FE1" w:rsidRDefault="006561D5" w:rsidP="00E81FE1">
            <w:pPr>
              <w:suppressAutoHyphens/>
              <w:autoSpaceDE w:val="0"/>
              <w:autoSpaceDN w:val="0"/>
              <w:adjustRightInd w:val="0"/>
              <w:spacing w:line="240" w:lineRule="auto"/>
              <w:ind w:right="113"/>
              <w:textAlignment w:val="center"/>
              <w:rPr>
                <w:rFonts w:eastAsia="Calibri" w:cs="Arial"/>
                <w:b/>
                <w:bCs/>
                <w:color w:val="FFFFFF" w:themeColor="background1"/>
                <w:sz w:val="16"/>
                <w:szCs w:val="16"/>
              </w:rPr>
            </w:pPr>
            <w:r w:rsidRPr="00E81FE1">
              <w:rPr>
                <w:rFonts w:eastAsia="Calibri" w:cs="Arial"/>
                <w:b/>
                <w:bCs/>
                <w:color w:val="FFFFFF" w:themeColor="background1"/>
                <w:sz w:val="16"/>
                <w:szCs w:val="16"/>
              </w:rPr>
              <w:t>Direction of change</w:t>
            </w:r>
          </w:p>
        </w:tc>
        <w:tc>
          <w:tcPr>
            <w:tcW w:w="1276" w:type="dxa"/>
            <w:shd w:val="clear" w:color="auto" w:fill="3D7881"/>
            <w:vAlign w:val="center"/>
          </w:tcPr>
          <w:p w14:paraId="6E7C16EC" w14:textId="5CF145BF" w:rsidR="006561D5" w:rsidRPr="00E81FE1" w:rsidRDefault="006561D5" w:rsidP="00E81FE1">
            <w:pPr>
              <w:suppressAutoHyphens/>
              <w:autoSpaceDE w:val="0"/>
              <w:autoSpaceDN w:val="0"/>
              <w:adjustRightInd w:val="0"/>
              <w:spacing w:line="240" w:lineRule="auto"/>
              <w:ind w:right="113"/>
              <w:textAlignment w:val="center"/>
              <w:rPr>
                <w:rFonts w:eastAsia="Calibri" w:cs="Arial"/>
                <w:b/>
                <w:bCs/>
                <w:color w:val="FFFFFF" w:themeColor="background1"/>
                <w:sz w:val="16"/>
                <w:szCs w:val="16"/>
              </w:rPr>
            </w:pPr>
            <w:r w:rsidRPr="00E81FE1">
              <w:rPr>
                <w:rFonts w:eastAsia="Calibri" w:cs="Arial"/>
                <w:b/>
                <w:bCs/>
                <w:color w:val="FFFFFF" w:themeColor="background1"/>
                <w:sz w:val="16"/>
                <w:szCs w:val="16"/>
              </w:rPr>
              <w:t>Scope for change</w:t>
            </w:r>
          </w:p>
        </w:tc>
      </w:tr>
      <w:tr w:rsidR="00A001E0" w:rsidRPr="00772F21" w14:paraId="13146A36" w14:textId="77777777" w:rsidTr="005B4E7C">
        <w:trPr>
          <w:trHeight w:val="895"/>
        </w:trPr>
        <w:tc>
          <w:tcPr>
            <w:tcW w:w="2268" w:type="dxa"/>
            <w:vAlign w:val="center"/>
          </w:tcPr>
          <w:p w14:paraId="630B43C3"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Timely return to work*</w:t>
            </w:r>
          </w:p>
        </w:tc>
        <w:tc>
          <w:tcPr>
            <w:tcW w:w="1162" w:type="dxa"/>
            <w:vAlign w:val="center"/>
          </w:tcPr>
          <w:p w14:paraId="42337751"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NDS</w:t>
            </w:r>
          </w:p>
        </w:tc>
        <w:tc>
          <w:tcPr>
            <w:tcW w:w="1162" w:type="dxa"/>
            <w:vAlign w:val="center"/>
          </w:tcPr>
          <w:p w14:paraId="4B75325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Multiple</w:t>
            </w:r>
          </w:p>
        </w:tc>
        <w:tc>
          <w:tcPr>
            <w:tcW w:w="1163" w:type="dxa"/>
            <w:vAlign w:val="center"/>
          </w:tcPr>
          <w:p w14:paraId="6A194497"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2" w:type="dxa"/>
            <w:vAlign w:val="center"/>
          </w:tcPr>
          <w:p w14:paraId="666940E6"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3" w:type="dxa"/>
            <w:vAlign w:val="center"/>
          </w:tcPr>
          <w:p w14:paraId="6EEBB4E8"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63882410" w14:textId="17559C99"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Rate of accepted claims with time loss at 1</w:t>
            </w:r>
            <w:r>
              <w:rPr>
                <w:rFonts w:eastAsia="Calibri" w:cs="Arial"/>
                <w:bCs/>
                <w:sz w:val="16"/>
                <w:szCs w:val="16"/>
              </w:rPr>
              <w:t>3 weeks, 26 weeks and 52 weeks</w:t>
            </w:r>
            <w:r w:rsidR="007F0CCA">
              <w:rPr>
                <w:rFonts w:eastAsia="Calibri" w:cs="Arial"/>
                <w:bCs/>
                <w:sz w:val="16"/>
                <w:szCs w:val="16"/>
              </w:rPr>
              <w:t xml:space="preserve"> (frequency rate)</w:t>
            </w:r>
          </w:p>
        </w:tc>
        <w:tc>
          <w:tcPr>
            <w:tcW w:w="1276" w:type="dxa"/>
            <w:shd w:val="clear" w:color="auto" w:fill="FFFFFF" w:themeFill="background1"/>
            <w:vAlign w:val="center"/>
          </w:tcPr>
          <w:p w14:paraId="78DC5659"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Decrease</w:t>
            </w:r>
          </w:p>
        </w:tc>
        <w:tc>
          <w:tcPr>
            <w:tcW w:w="1276" w:type="dxa"/>
            <w:shd w:val="clear" w:color="auto" w:fill="FFFFFF" w:themeFill="background1"/>
            <w:vAlign w:val="center"/>
          </w:tcPr>
          <w:p w14:paraId="37E97AAF"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Small</w:t>
            </w:r>
          </w:p>
        </w:tc>
      </w:tr>
      <w:tr w:rsidR="00A001E0" w:rsidRPr="00772F21" w14:paraId="7C56E558" w14:textId="77777777" w:rsidTr="005B4E7C">
        <w:trPr>
          <w:trHeight w:val="895"/>
        </w:trPr>
        <w:tc>
          <w:tcPr>
            <w:tcW w:w="2268" w:type="dxa"/>
            <w:vAlign w:val="center"/>
          </w:tcPr>
          <w:p w14:paraId="2D67E81B"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Safe return to work*</w:t>
            </w:r>
          </w:p>
        </w:tc>
        <w:tc>
          <w:tcPr>
            <w:tcW w:w="1162" w:type="dxa"/>
            <w:vAlign w:val="center"/>
          </w:tcPr>
          <w:p w14:paraId="064013A7"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633E97D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Multiple</w:t>
            </w:r>
          </w:p>
        </w:tc>
        <w:tc>
          <w:tcPr>
            <w:tcW w:w="1163" w:type="dxa"/>
            <w:vAlign w:val="center"/>
          </w:tcPr>
          <w:p w14:paraId="73546A26"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2" w:type="dxa"/>
            <w:vAlign w:val="center"/>
          </w:tcPr>
          <w:p w14:paraId="0879197C"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3" w:type="dxa"/>
            <w:vAlign w:val="center"/>
          </w:tcPr>
          <w:p w14:paraId="28D37042"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52864F05" w14:textId="5A0A750A"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Percentage of workers who had returned to work and required additional time off</w:t>
            </w:r>
            <w:r w:rsidR="00867B62">
              <w:rPr>
                <w:rFonts w:eastAsia="Calibri" w:cs="Arial"/>
                <w:bCs/>
                <w:sz w:val="16"/>
                <w:szCs w:val="16"/>
              </w:rPr>
              <w:t xml:space="preserve"> </w:t>
            </w:r>
          </w:p>
        </w:tc>
        <w:tc>
          <w:tcPr>
            <w:tcW w:w="1276" w:type="dxa"/>
            <w:shd w:val="clear" w:color="auto" w:fill="FFFFFF" w:themeFill="background1"/>
            <w:vAlign w:val="center"/>
          </w:tcPr>
          <w:p w14:paraId="059251C1"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Decrease</w:t>
            </w:r>
          </w:p>
        </w:tc>
        <w:tc>
          <w:tcPr>
            <w:tcW w:w="1276" w:type="dxa"/>
            <w:shd w:val="clear" w:color="auto" w:fill="FFFFFF" w:themeFill="background1"/>
            <w:vAlign w:val="center"/>
          </w:tcPr>
          <w:p w14:paraId="595711E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Moderate</w:t>
            </w:r>
          </w:p>
        </w:tc>
      </w:tr>
      <w:tr w:rsidR="00A001E0" w:rsidRPr="00772F21" w14:paraId="50C2FFAC" w14:textId="77777777" w:rsidTr="005B4E7C">
        <w:trPr>
          <w:trHeight w:val="895"/>
        </w:trPr>
        <w:tc>
          <w:tcPr>
            <w:tcW w:w="2268" w:type="dxa"/>
            <w:vAlign w:val="center"/>
          </w:tcPr>
          <w:p w14:paraId="7555B0F1"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Durable return to work*</w:t>
            </w:r>
          </w:p>
        </w:tc>
        <w:tc>
          <w:tcPr>
            <w:tcW w:w="1162" w:type="dxa"/>
            <w:vAlign w:val="center"/>
          </w:tcPr>
          <w:p w14:paraId="7372122C"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7A300F4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Multiple</w:t>
            </w:r>
          </w:p>
        </w:tc>
        <w:tc>
          <w:tcPr>
            <w:tcW w:w="1163" w:type="dxa"/>
            <w:vAlign w:val="center"/>
          </w:tcPr>
          <w:p w14:paraId="20C7FDC7"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2" w:type="dxa"/>
            <w:vAlign w:val="center"/>
          </w:tcPr>
          <w:p w14:paraId="335F7810"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3" w:type="dxa"/>
            <w:vAlign w:val="center"/>
          </w:tcPr>
          <w:p w14:paraId="708DBD33"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08A040FF"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Percentage of workers with time loss claims back at work for at least 3 months</w:t>
            </w:r>
          </w:p>
        </w:tc>
        <w:tc>
          <w:tcPr>
            <w:tcW w:w="1276" w:type="dxa"/>
            <w:shd w:val="clear" w:color="auto" w:fill="FFFFFF" w:themeFill="background1"/>
            <w:vAlign w:val="center"/>
          </w:tcPr>
          <w:p w14:paraId="06EA26AB"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Increase</w:t>
            </w:r>
          </w:p>
        </w:tc>
        <w:tc>
          <w:tcPr>
            <w:tcW w:w="1276" w:type="dxa"/>
            <w:shd w:val="clear" w:color="auto" w:fill="FFFFFF" w:themeFill="background1"/>
            <w:vAlign w:val="center"/>
          </w:tcPr>
          <w:p w14:paraId="5FDA322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Small</w:t>
            </w:r>
          </w:p>
        </w:tc>
      </w:tr>
      <w:tr w:rsidR="00A001E0" w:rsidRPr="00772F21" w14:paraId="64A9C85C" w14:textId="77777777" w:rsidTr="005B4E7C">
        <w:trPr>
          <w:trHeight w:val="895"/>
        </w:trPr>
        <w:tc>
          <w:tcPr>
            <w:tcW w:w="2268" w:type="dxa"/>
            <w:vAlign w:val="center"/>
          </w:tcPr>
          <w:p w14:paraId="55ABA866"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General health (recovery)</w:t>
            </w:r>
          </w:p>
        </w:tc>
        <w:tc>
          <w:tcPr>
            <w:tcW w:w="1162" w:type="dxa"/>
            <w:vAlign w:val="center"/>
          </w:tcPr>
          <w:p w14:paraId="3568382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7A3F2DF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Multiple</w:t>
            </w:r>
          </w:p>
        </w:tc>
        <w:tc>
          <w:tcPr>
            <w:tcW w:w="1163" w:type="dxa"/>
            <w:vAlign w:val="center"/>
          </w:tcPr>
          <w:p w14:paraId="64D38252"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2" w:type="dxa"/>
            <w:vAlign w:val="center"/>
          </w:tcPr>
          <w:p w14:paraId="213B6E1D"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3" w:type="dxa"/>
            <w:vAlign w:val="center"/>
          </w:tcPr>
          <w:p w14:paraId="7FFC1EB4"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0632ED3C"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 xml:space="preserve">Percentage of </w:t>
            </w:r>
            <w:r>
              <w:rPr>
                <w:rFonts w:eastAsia="Calibri" w:cs="Arial"/>
                <w:bCs/>
                <w:sz w:val="16"/>
                <w:szCs w:val="16"/>
              </w:rPr>
              <w:t xml:space="preserve">all </w:t>
            </w:r>
            <w:r w:rsidRPr="00772F21">
              <w:rPr>
                <w:rFonts w:eastAsia="Calibri" w:cs="Arial"/>
                <w:bCs/>
                <w:sz w:val="16"/>
                <w:szCs w:val="16"/>
              </w:rPr>
              <w:t>workers with good to excellent self-rated health</w:t>
            </w:r>
          </w:p>
        </w:tc>
        <w:tc>
          <w:tcPr>
            <w:tcW w:w="1276" w:type="dxa"/>
            <w:shd w:val="clear" w:color="auto" w:fill="FFFFFF" w:themeFill="background1"/>
            <w:vAlign w:val="center"/>
          </w:tcPr>
          <w:p w14:paraId="6AC3C46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Increase</w:t>
            </w:r>
          </w:p>
        </w:tc>
        <w:tc>
          <w:tcPr>
            <w:tcW w:w="1276" w:type="dxa"/>
            <w:shd w:val="clear" w:color="auto" w:fill="FFFFFF" w:themeFill="background1"/>
            <w:vAlign w:val="center"/>
          </w:tcPr>
          <w:p w14:paraId="73537B30"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Moderate</w:t>
            </w:r>
          </w:p>
        </w:tc>
      </w:tr>
      <w:tr w:rsidR="00A001E0" w:rsidRPr="00772F21" w14:paraId="35C5F578" w14:textId="77777777" w:rsidTr="005B4E7C">
        <w:trPr>
          <w:trHeight w:val="895"/>
        </w:trPr>
        <w:tc>
          <w:tcPr>
            <w:tcW w:w="2268" w:type="dxa"/>
            <w:vAlign w:val="center"/>
          </w:tcPr>
          <w:p w14:paraId="074FDCF0" w14:textId="77777777" w:rsidR="006561D5" w:rsidRPr="00CE7C22" w:rsidRDefault="006561D5" w:rsidP="00125330">
            <w:pPr>
              <w:rPr>
                <w:rFonts w:eastAsia="Calibri" w:cs="Arial"/>
                <w:b/>
                <w:sz w:val="16"/>
                <w:szCs w:val="16"/>
              </w:rPr>
            </w:pPr>
            <w:r w:rsidRPr="00CE7C22">
              <w:rPr>
                <w:rFonts w:eastAsia="Calibri" w:cs="Arial"/>
                <w:b/>
                <w:sz w:val="16"/>
                <w:szCs w:val="16"/>
              </w:rPr>
              <w:t>Work role functioning (recovery)</w:t>
            </w:r>
          </w:p>
        </w:tc>
        <w:tc>
          <w:tcPr>
            <w:tcW w:w="1162" w:type="dxa"/>
            <w:vAlign w:val="center"/>
          </w:tcPr>
          <w:p w14:paraId="1DDBA700"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0EA26D3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Multiple</w:t>
            </w:r>
          </w:p>
        </w:tc>
        <w:tc>
          <w:tcPr>
            <w:tcW w:w="1163" w:type="dxa"/>
            <w:vAlign w:val="center"/>
          </w:tcPr>
          <w:p w14:paraId="08458685"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2" w:type="dxa"/>
            <w:vAlign w:val="center"/>
          </w:tcPr>
          <w:p w14:paraId="6E46491F"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3" w:type="dxa"/>
            <w:vAlign w:val="center"/>
          </w:tcPr>
          <w:p w14:paraId="19701BEE"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7CEC4210"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 xml:space="preserve">Average Work Role Functioning Questionnaire score in workers who had returned to work </w:t>
            </w:r>
          </w:p>
        </w:tc>
        <w:tc>
          <w:tcPr>
            <w:tcW w:w="1276" w:type="dxa"/>
            <w:shd w:val="clear" w:color="auto" w:fill="FFFFFF" w:themeFill="background1"/>
            <w:vAlign w:val="center"/>
          </w:tcPr>
          <w:p w14:paraId="0EAF6065"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Increase</w:t>
            </w:r>
          </w:p>
        </w:tc>
        <w:tc>
          <w:tcPr>
            <w:tcW w:w="1276" w:type="dxa"/>
            <w:shd w:val="clear" w:color="auto" w:fill="FFFFFF" w:themeFill="background1"/>
            <w:vAlign w:val="center"/>
          </w:tcPr>
          <w:p w14:paraId="7911AA7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Moderate</w:t>
            </w:r>
          </w:p>
        </w:tc>
      </w:tr>
      <w:tr w:rsidR="00A001E0" w:rsidRPr="00772F21" w14:paraId="2B981A94" w14:textId="77777777" w:rsidTr="005B4E7C">
        <w:trPr>
          <w:trHeight w:val="895"/>
        </w:trPr>
        <w:tc>
          <w:tcPr>
            <w:tcW w:w="2268" w:type="dxa"/>
            <w:vAlign w:val="center"/>
          </w:tcPr>
          <w:p w14:paraId="30CD428D" w14:textId="77777777" w:rsidR="006561D5" w:rsidRPr="00CE7C22" w:rsidRDefault="006561D5" w:rsidP="00125330">
            <w:pPr>
              <w:rPr>
                <w:rFonts w:eastAsia="Calibri" w:cs="Arial"/>
                <w:b/>
                <w:sz w:val="16"/>
                <w:szCs w:val="16"/>
              </w:rPr>
            </w:pPr>
            <w:r w:rsidRPr="00CE7C22">
              <w:rPr>
                <w:rFonts w:cs="Arial"/>
                <w:b/>
                <w:sz w:val="16"/>
                <w:szCs w:val="16"/>
              </w:rPr>
              <w:t>Stay at work**</w:t>
            </w:r>
          </w:p>
        </w:tc>
        <w:tc>
          <w:tcPr>
            <w:tcW w:w="1162" w:type="dxa"/>
            <w:vAlign w:val="center"/>
          </w:tcPr>
          <w:p w14:paraId="4D7EEB05"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NDS</w:t>
            </w:r>
          </w:p>
        </w:tc>
        <w:tc>
          <w:tcPr>
            <w:tcW w:w="1162" w:type="dxa"/>
            <w:vAlign w:val="center"/>
          </w:tcPr>
          <w:p w14:paraId="190B09D1"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Multiple</w:t>
            </w:r>
          </w:p>
        </w:tc>
        <w:tc>
          <w:tcPr>
            <w:tcW w:w="1163" w:type="dxa"/>
            <w:vAlign w:val="center"/>
          </w:tcPr>
          <w:p w14:paraId="57845916"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2" w:type="dxa"/>
            <w:vAlign w:val="center"/>
          </w:tcPr>
          <w:p w14:paraId="0B5A89BF"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3" w:type="dxa"/>
            <w:vAlign w:val="center"/>
          </w:tcPr>
          <w:p w14:paraId="2B631551"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13358F5B"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Rate of accepted claims th</w:t>
            </w:r>
            <w:r>
              <w:rPr>
                <w:rFonts w:eastAsia="Calibri" w:cs="Arial"/>
                <w:bCs/>
                <w:sz w:val="16"/>
                <w:szCs w:val="16"/>
              </w:rPr>
              <w:t>at do not involve time loss</w:t>
            </w:r>
          </w:p>
        </w:tc>
        <w:tc>
          <w:tcPr>
            <w:tcW w:w="1276" w:type="dxa"/>
            <w:shd w:val="clear" w:color="auto" w:fill="FFFFFF" w:themeFill="background1"/>
            <w:vAlign w:val="center"/>
          </w:tcPr>
          <w:p w14:paraId="08C9621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Increase</w:t>
            </w:r>
          </w:p>
        </w:tc>
        <w:tc>
          <w:tcPr>
            <w:tcW w:w="1276" w:type="dxa"/>
            <w:shd w:val="clear" w:color="auto" w:fill="FFFFFF" w:themeFill="background1"/>
            <w:vAlign w:val="center"/>
          </w:tcPr>
          <w:p w14:paraId="30C5B406"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8D1A17">
              <w:rPr>
                <w:rFonts w:cs="Arial"/>
                <w:bCs/>
                <w:sz w:val="16"/>
                <w:szCs w:val="16"/>
              </w:rPr>
              <w:t xml:space="preserve">Moderate </w:t>
            </w:r>
          </w:p>
        </w:tc>
      </w:tr>
    </w:tbl>
    <w:p w14:paraId="7AD35507" w14:textId="1125949F" w:rsidR="00A001E0" w:rsidRPr="005D4AF0" w:rsidRDefault="00C82726" w:rsidP="005B4E7C">
      <w:pPr>
        <w:spacing w:after="0" w:line="240" w:lineRule="auto"/>
        <w:ind w:left="-567" w:right="-897"/>
        <w:rPr>
          <w:rFonts w:cs="Arial"/>
          <w:sz w:val="16"/>
          <w:szCs w:val="16"/>
        </w:rPr>
      </w:pPr>
      <w:r>
        <w:rPr>
          <w:rFonts w:eastAsia="Calibri" w:cs="Arial"/>
          <w:b/>
          <w:bCs/>
          <w:sz w:val="16"/>
          <w:szCs w:val="18"/>
        </w:rPr>
        <w:br/>
      </w:r>
      <w:r w:rsidR="00A001E0" w:rsidRPr="00A001E0">
        <w:rPr>
          <w:rFonts w:eastAsia="Calibri" w:cs="Arial"/>
          <w:b/>
          <w:bCs/>
          <w:sz w:val="16"/>
          <w:szCs w:val="18"/>
        </w:rPr>
        <w:t>Footnote</w:t>
      </w:r>
      <w:r w:rsidR="00A001E0">
        <w:rPr>
          <w:rFonts w:eastAsia="Calibri" w:cs="Arial"/>
          <w:bCs/>
          <w:sz w:val="16"/>
          <w:szCs w:val="18"/>
        </w:rPr>
        <w:t xml:space="preserve">: </w:t>
      </w:r>
      <w:r w:rsidR="00A001E0" w:rsidRPr="005D4AF0">
        <w:rPr>
          <w:rFonts w:eastAsia="Calibri" w:cs="Arial"/>
          <w:bCs/>
          <w:sz w:val="16"/>
          <w:szCs w:val="18"/>
        </w:rPr>
        <w:t>At the time of publishing, there is an absence of reliable national data for some listed meas</w:t>
      </w:r>
      <w:r w:rsidR="00A001E0">
        <w:rPr>
          <w:rFonts w:eastAsia="Calibri" w:cs="Arial"/>
          <w:bCs/>
          <w:sz w:val="16"/>
          <w:szCs w:val="18"/>
        </w:rPr>
        <w:t xml:space="preserve">ures. Future data development </w:t>
      </w:r>
      <w:r w:rsidR="00A001E0" w:rsidRPr="005D4AF0">
        <w:rPr>
          <w:rFonts w:eastAsia="Calibri" w:cs="Arial"/>
          <w:bCs/>
          <w:sz w:val="16"/>
          <w:szCs w:val="18"/>
        </w:rPr>
        <w:t xml:space="preserve">may result in </w:t>
      </w:r>
      <w:r w:rsidR="00A001E0">
        <w:rPr>
          <w:rFonts w:eastAsia="Calibri" w:cs="Arial"/>
          <w:bCs/>
          <w:sz w:val="16"/>
          <w:szCs w:val="18"/>
        </w:rPr>
        <w:t>t</w:t>
      </w:r>
      <w:r w:rsidR="00A001E0" w:rsidRPr="005D4AF0">
        <w:rPr>
          <w:rFonts w:eastAsia="Calibri" w:cs="Arial"/>
          <w:bCs/>
          <w:sz w:val="16"/>
          <w:szCs w:val="18"/>
        </w:rPr>
        <w:t xml:space="preserve">he inclusion of </w:t>
      </w:r>
      <w:r w:rsidR="00A001E0">
        <w:rPr>
          <w:rFonts w:eastAsia="Calibri" w:cs="Arial"/>
          <w:bCs/>
          <w:sz w:val="16"/>
          <w:szCs w:val="18"/>
        </w:rPr>
        <w:t>alternative</w:t>
      </w:r>
      <w:r w:rsidR="00A001E0" w:rsidRPr="005D4AF0">
        <w:rPr>
          <w:rFonts w:eastAsia="Calibri" w:cs="Arial"/>
          <w:bCs/>
          <w:sz w:val="16"/>
          <w:szCs w:val="18"/>
        </w:rPr>
        <w:t xml:space="preserve"> measures and/or metrics in the framework </w:t>
      </w:r>
      <w:r w:rsidR="00A001E0">
        <w:rPr>
          <w:rFonts w:eastAsia="Calibri" w:cs="Arial"/>
          <w:bCs/>
          <w:sz w:val="16"/>
          <w:szCs w:val="18"/>
        </w:rPr>
        <w:t>as</w:t>
      </w:r>
      <w:r w:rsidR="00A001E0" w:rsidRPr="005D4AF0">
        <w:rPr>
          <w:rFonts w:eastAsia="Calibri" w:cs="Arial"/>
          <w:bCs/>
          <w:sz w:val="16"/>
          <w:szCs w:val="18"/>
        </w:rPr>
        <w:t xml:space="preserve"> noted below:</w:t>
      </w:r>
    </w:p>
    <w:p w14:paraId="1871DA44" w14:textId="77777777" w:rsidR="00A001E0" w:rsidRPr="005D4AF0" w:rsidRDefault="00A001E0" w:rsidP="005B4E7C">
      <w:pPr>
        <w:spacing w:after="0" w:line="240" w:lineRule="auto"/>
        <w:ind w:left="-567" w:right="-897"/>
        <w:rPr>
          <w:rFonts w:cs="Arial"/>
          <w:sz w:val="16"/>
          <w:szCs w:val="16"/>
        </w:rPr>
      </w:pPr>
      <w:r w:rsidRPr="005D4AF0">
        <w:rPr>
          <w:rFonts w:cs="Arial"/>
          <w:b/>
          <w:sz w:val="16"/>
          <w:szCs w:val="16"/>
        </w:rPr>
        <w:t>*</w:t>
      </w:r>
      <w:r w:rsidRPr="005D4AF0">
        <w:rPr>
          <w:rFonts w:cs="Arial"/>
          <w:sz w:val="16"/>
          <w:szCs w:val="16"/>
        </w:rPr>
        <w:t xml:space="preserve"> These measures reflect the Strategy’s vision and combined provide a general indication of ‘good work’ in </w:t>
      </w:r>
      <w:r>
        <w:rPr>
          <w:rFonts w:cs="Arial"/>
          <w:sz w:val="16"/>
          <w:szCs w:val="16"/>
        </w:rPr>
        <w:t>Strategic Outcome 1</w:t>
      </w:r>
      <w:r w:rsidRPr="005D4AF0">
        <w:rPr>
          <w:rFonts w:cs="Arial"/>
          <w:sz w:val="16"/>
          <w:szCs w:val="16"/>
        </w:rPr>
        <w:t xml:space="preserve">. </w:t>
      </w:r>
    </w:p>
    <w:p w14:paraId="62CF2BC2" w14:textId="77777777" w:rsidR="00A001E0" w:rsidRDefault="00A001E0" w:rsidP="005B4E7C">
      <w:pPr>
        <w:spacing w:after="0" w:line="240" w:lineRule="auto"/>
        <w:ind w:left="-567" w:right="-897"/>
        <w:rPr>
          <w:rFonts w:cs="Arial"/>
          <w:sz w:val="16"/>
          <w:szCs w:val="16"/>
        </w:rPr>
      </w:pPr>
      <w:r w:rsidRPr="005D4AF0">
        <w:rPr>
          <w:rFonts w:cs="Arial"/>
          <w:b/>
          <w:sz w:val="16"/>
          <w:szCs w:val="16"/>
        </w:rPr>
        <w:t>**</w:t>
      </w:r>
      <w:r w:rsidRPr="005D4AF0">
        <w:rPr>
          <w:rFonts w:cs="Arial"/>
          <w:sz w:val="16"/>
          <w:szCs w:val="16"/>
        </w:rPr>
        <w:t xml:space="preserve"> ‘Stay at work’ data is not routinely and consi</w:t>
      </w:r>
      <w:r>
        <w:rPr>
          <w:rFonts w:cs="Arial"/>
          <w:sz w:val="16"/>
          <w:szCs w:val="16"/>
        </w:rPr>
        <w:t>stently collected at this time.</w:t>
      </w:r>
    </w:p>
    <w:p w14:paraId="7B4D84E8" w14:textId="77777777" w:rsidR="006561D5" w:rsidRDefault="006561D5">
      <w:pPr>
        <w:spacing w:line="259" w:lineRule="auto"/>
      </w:pPr>
      <w:r>
        <w:br w:type="page"/>
      </w:r>
    </w:p>
    <w:p w14:paraId="217A8889" w14:textId="07C997D7" w:rsidR="006561D5" w:rsidRDefault="00C41B2A" w:rsidP="005B4E7C">
      <w:pPr>
        <w:keepNext/>
        <w:keepLines/>
        <w:spacing w:before="120" w:after="120" w:line="240" w:lineRule="auto"/>
        <w:ind w:left="-567"/>
        <w:outlineLvl w:val="2"/>
        <w:rPr>
          <w:rFonts w:ascii="Arial Bold" w:eastAsia="Calibri" w:hAnsi="Arial Bold" w:cs="Times New Roman"/>
          <w:b/>
          <w:bCs/>
          <w:color w:val="539FAB"/>
          <w:sz w:val="24"/>
        </w:rPr>
      </w:pPr>
      <w:r>
        <w:rPr>
          <w:rFonts w:ascii="Arial Bold" w:eastAsia="Times New Roman" w:hAnsi="Arial Bold" w:cs="Times New Roman"/>
          <w:b/>
          <w:bCs/>
          <w:color w:val="539FAB"/>
          <w:sz w:val="24"/>
        </w:rPr>
        <w:lastRenderedPageBreak/>
        <w:t>Table 2</w:t>
      </w:r>
      <w:r w:rsidR="006561D5" w:rsidRPr="006561D5">
        <w:rPr>
          <w:rFonts w:ascii="Arial Bold" w:eastAsia="Times New Roman" w:hAnsi="Arial Bold" w:cs="Times New Roman"/>
          <w:b/>
          <w:bCs/>
          <w:color w:val="539FAB"/>
          <w:sz w:val="24"/>
        </w:rPr>
        <w:t>. National p</w:t>
      </w:r>
      <w:r w:rsidR="006561D5" w:rsidRPr="006561D5">
        <w:rPr>
          <w:rFonts w:ascii="Arial Bold" w:eastAsia="Calibri" w:hAnsi="Arial Bold" w:cs="Times New Roman"/>
          <w:b/>
          <w:bCs/>
          <w:color w:val="539FAB"/>
          <w:sz w:val="24"/>
        </w:rPr>
        <w:t>erformance measures and objectives: leading indicators</w:t>
      </w:r>
      <w:r w:rsidR="006561D5" w:rsidRPr="006561D5">
        <w:rPr>
          <w:rFonts w:ascii="Arial Bold" w:eastAsia="Times New Roman" w:hAnsi="Arial Bold" w:cs="Times New Roman"/>
          <w:b/>
          <w:bCs/>
          <w:color w:val="539FAB"/>
          <w:sz w:val="24"/>
        </w:rPr>
        <w:t xml:space="preserve"> </w:t>
      </w:r>
      <w:r w:rsidR="006561D5" w:rsidRPr="006561D5">
        <w:rPr>
          <w:rFonts w:ascii="Arial Bold" w:eastAsia="Calibri" w:hAnsi="Arial Bold" w:cs="Times New Roman"/>
          <w:b/>
          <w:bCs/>
          <w:color w:val="539FAB"/>
          <w:sz w:val="24"/>
        </w:rPr>
        <w:t>(factors influencing recovery and return to work outcomes)</w:t>
      </w:r>
    </w:p>
    <w:tbl>
      <w:tblPr>
        <w:tblStyle w:val="TableGrid1"/>
        <w:tblW w:w="15026" w:type="dxa"/>
        <w:tblInd w:w="-572" w:type="dxa"/>
        <w:tblLayout w:type="fixed"/>
        <w:tblLook w:val="04A0" w:firstRow="1" w:lastRow="0" w:firstColumn="1" w:lastColumn="0" w:noHBand="0" w:noVBand="1"/>
      </w:tblPr>
      <w:tblGrid>
        <w:gridCol w:w="2268"/>
        <w:gridCol w:w="1162"/>
        <w:gridCol w:w="1162"/>
        <w:gridCol w:w="1163"/>
        <w:gridCol w:w="1162"/>
        <w:gridCol w:w="1163"/>
        <w:gridCol w:w="4394"/>
        <w:gridCol w:w="1276"/>
        <w:gridCol w:w="1276"/>
      </w:tblGrid>
      <w:tr w:rsidR="006561D5" w:rsidRPr="00772F21" w14:paraId="34DA3E9F" w14:textId="77777777" w:rsidTr="005B4E7C">
        <w:trPr>
          <w:cantSplit/>
          <w:trHeight w:val="392"/>
        </w:trPr>
        <w:tc>
          <w:tcPr>
            <w:tcW w:w="2268" w:type="dxa"/>
            <w:vMerge w:val="restart"/>
            <w:shd w:val="clear" w:color="auto" w:fill="3D7881"/>
            <w:vAlign w:val="center"/>
          </w:tcPr>
          <w:p w14:paraId="46C9E8FD"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Measure</w:t>
            </w:r>
          </w:p>
        </w:tc>
        <w:tc>
          <w:tcPr>
            <w:tcW w:w="1162" w:type="dxa"/>
            <w:vMerge w:val="restart"/>
            <w:shd w:val="clear" w:color="auto" w:fill="3D7881"/>
            <w:vAlign w:val="center"/>
          </w:tcPr>
          <w:p w14:paraId="4AFC102B"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Data source</w:t>
            </w:r>
          </w:p>
        </w:tc>
        <w:tc>
          <w:tcPr>
            <w:tcW w:w="1162" w:type="dxa"/>
            <w:vMerge w:val="restart"/>
            <w:shd w:val="clear" w:color="auto" w:fill="3D7881"/>
            <w:vAlign w:val="center"/>
          </w:tcPr>
          <w:p w14:paraId="43052ECB"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Domain</w:t>
            </w:r>
          </w:p>
        </w:tc>
        <w:tc>
          <w:tcPr>
            <w:tcW w:w="1163" w:type="dxa"/>
            <w:vMerge w:val="restart"/>
            <w:shd w:val="clear" w:color="auto" w:fill="3D7881"/>
            <w:vAlign w:val="center"/>
          </w:tcPr>
          <w:p w14:paraId="38E0EE2C" w14:textId="55408A0A" w:rsidR="006561D5" w:rsidRPr="00772F21" w:rsidRDefault="006561D5" w:rsidP="009614B2">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S</w:t>
            </w:r>
            <w:r w:rsidR="009614B2">
              <w:rPr>
                <w:rFonts w:eastAsia="Calibri" w:cs="Arial"/>
                <w:b/>
                <w:bCs/>
                <w:color w:val="FFFFFF" w:themeColor="background1"/>
                <w:sz w:val="18"/>
                <w:szCs w:val="18"/>
              </w:rPr>
              <w:t>trategic Outcome</w:t>
            </w:r>
            <w:r w:rsidRPr="00772F21">
              <w:rPr>
                <w:rFonts w:eastAsia="Calibri" w:cs="Arial"/>
                <w:b/>
                <w:bCs/>
                <w:color w:val="FFFFFF" w:themeColor="background1"/>
                <w:sz w:val="18"/>
                <w:szCs w:val="18"/>
              </w:rPr>
              <w:t xml:space="preserve"> 1</w:t>
            </w:r>
          </w:p>
        </w:tc>
        <w:tc>
          <w:tcPr>
            <w:tcW w:w="1162" w:type="dxa"/>
            <w:vMerge w:val="restart"/>
            <w:shd w:val="clear" w:color="auto" w:fill="3D7881"/>
            <w:vAlign w:val="center"/>
          </w:tcPr>
          <w:p w14:paraId="281DF251" w14:textId="27FC7315" w:rsidR="006561D5" w:rsidRPr="00772F21" w:rsidRDefault="009614B2"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S</w:t>
            </w:r>
            <w:r>
              <w:rPr>
                <w:rFonts w:eastAsia="Calibri" w:cs="Arial"/>
                <w:b/>
                <w:bCs/>
                <w:color w:val="FFFFFF" w:themeColor="background1"/>
                <w:sz w:val="18"/>
                <w:szCs w:val="18"/>
              </w:rPr>
              <w:t>trategic Outcome</w:t>
            </w:r>
            <w:r w:rsidRPr="00772F21">
              <w:rPr>
                <w:rFonts w:eastAsia="Calibri" w:cs="Arial"/>
                <w:b/>
                <w:bCs/>
                <w:color w:val="FFFFFF" w:themeColor="background1"/>
                <w:sz w:val="18"/>
                <w:szCs w:val="18"/>
              </w:rPr>
              <w:t xml:space="preserve"> </w:t>
            </w:r>
            <w:r w:rsidR="006561D5" w:rsidRPr="00772F21">
              <w:rPr>
                <w:rFonts w:eastAsia="Calibri" w:cs="Arial"/>
                <w:b/>
                <w:bCs/>
                <w:color w:val="FFFFFF" w:themeColor="background1"/>
                <w:sz w:val="18"/>
                <w:szCs w:val="18"/>
              </w:rPr>
              <w:t>2</w:t>
            </w:r>
          </w:p>
        </w:tc>
        <w:tc>
          <w:tcPr>
            <w:tcW w:w="1163" w:type="dxa"/>
            <w:vMerge w:val="restart"/>
            <w:shd w:val="clear" w:color="auto" w:fill="3D7881"/>
            <w:vAlign w:val="center"/>
          </w:tcPr>
          <w:p w14:paraId="1FE5C939" w14:textId="1AD7B11E" w:rsidR="006561D5" w:rsidRPr="00772F21" w:rsidRDefault="009614B2"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S</w:t>
            </w:r>
            <w:r>
              <w:rPr>
                <w:rFonts w:eastAsia="Calibri" w:cs="Arial"/>
                <w:b/>
                <w:bCs/>
                <w:color w:val="FFFFFF" w:themeColor="background1"/>
                <w:sz w:val="18"/>
                <w:szCs w:val="18"/>
              </w:rPr>
              <w:t>trategic Outcome</w:t>
            </w:r>
            <w:r w:rsidRPr="00772F21">
              <w:rPr>
                <w:rFonts w:eastAsia="Calibri" w:cs="Arial"/>
                <w:b/>
                <w:bCs/>
                <w:color w:val="FFFFFF" w:themeColor="background1"/>
                <w:sz w:val="18"/>
                <w:szCs w:val="18"/>
              </w:rPr>
              <w:t xml:space="preserve"> </w:t>
            </w:r>
            <w:r w:rsidR="006561D5" w:rsidRPr="00772F21">
              <w:rPr>
                <w:rFonts w:eastAsia="Calibri" w:cs="Arial"/>
                <w:b/>
                <w:bCs/>
                <w:color w:val="FFFFFF" w:themeColor="background1"/>
                <w:sz w:val="18"/>
                <w:szCs w:val="18"/>
              </w:rPr>
              <w:t>3</w:t>
            </w:r>
          </w:p>
        </w:tc>
        <w:tc>
          <w:tcPr>
            <w:tcW w:w="4394" w:type="dxa"/>
            <w:vMerge w:val="restart"/>
            <w:shd w:val="clear" w:color="auto" w:fill="3D7881"/>
            <w:vAlign w:val="center"/>
          </w:tcPr>
          <w:p w14:paraId="3C6A23B6" w14:textId="77777777" w:rsidR="006561D5"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sidRPr="00772F21">
              <w:rPr>
                <w:rFonts w:eastAsia="Calibri" w:cs="Arial"/>
                <w:b/>
                <w:bCs/>
                <w:color w:val="FFFFFF" w:themeColor="background1"/>
                <w:sz w:val="18"/>
                <w:szCs w:val="18"/>
              </w:rPr>
              <w:t>Metric</w:t>
            </w:r>
          </w:p>
          <w:p w14:paraId="4D65413C" w14:textId="4EE8D502" w:rsidR="00027E14" w:rsidRPr="00613460" w:rsidRDefault="00027E14" w:rsidP="00D352BA">
            <w:pPr>
              <w:suppressAutoHyphens/>
              <w:autoSpaceDE w:val="0"/>
              <w:autoSpaceDN w:val="0"/>
              <w:adjustRightInd w:val="0"/>
              <w:spacing w:line="240" w:lineRule="auto"/>
              <w:ind w:right="113"/>
              <w:textAlignment w:val="center"/>
              <w:rPr>
                <w:rFonts w:eastAsia="Calibri" w:cs="Arial"/>
                <w:b/>
                <w:bCs/>
                <w:color w:val="FFFFFF" w:themeColor="background1"/>
                <w:sz w:val="12"/>
                <w:szCs w:val="12"/>
              </w:rPr>
            </w:pPr>
            <w:r w:rsidRPr="00613460">
              <w:rPr>
                <w:rFonts w:eastAsia="Calibri" w:cs="Arial"/>
                <w:b/>
                <w:bCs/>
                <w:color w:val="FFFFFF" w:themeColor="background1"/>
                <w:sz w:val="12"/>
                <w:szCs w:val="12"/>
              </w:rPr>
              <w:t>(data item selected to identify and indicate change against corresponding measure)</w:t>
            </w:r>
          </w:p>
        </w:tc>
        <w:tc>
          <w:tcPr>
            <w:tcW w:w="2552" w:type="dxa"/>
            <w:gridSpan w:val="2"/>
            <w:shd w:val="clear" w:color="auto" w:fill="3D7881"/>
            <w:vAlign w:val="center"/>
          </w:tcPr>
          <w:p w14:paraId="4084771C"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r>
              <w:rPr>
                <w:rFonts w:eastAsia="Calibri" w:cs="Arial"/>
                <w:b/>
                <w:bCs/>
                <w:color w:val="FFFFFF" w:themeColor="background1"/>
                <w:sz w:val="18"/>
                <w:szCs w:val="18"/>
              </w:rPr>
              <w:t>Performance objective</w:t>
            </w:r>
          </w:p>
        </w:tc>
      </w:tr>
      <w:tr w:rsidR="006561D5" w:rsidRPr="00772F21" w14:paraId="672FA394" w14:textId="77777777" w:rsidTr="005B4E7C">
        <w:trPr>
          <w:cantSplit/>
          <w:trHeight w:val="554"/>
        </w:trPr>
        <w:tc>
          <w:tcPr>
            <w:tcW w:w="2268" w:type="dxa"/>
            <w:vMerge/>
            <w:shd w:val="clear" w:color="auto" w:fill="3D7881"/>
            <w:vAlign w:val="center"/>
          </w:tcPr>
          <w:p w14:paraId="33A11E3F"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2" w:type="dxa"/>
            <w:vMerge/>
            <w:shd w:val="clear" w:color="auto" w:fill="3D7881"/>
            <w:vAlign w:val="center"/>
          </w:tcPr>
          <w:p w14:paraId="4712317A"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2" w:type="dxa"/>
            <w:vMerge/>
            <w:shd w:val="clear" w:color="auto" w:fill="3D7881"/>
            <w:vAlign w:val="center"/>
          </w:tcPr>
          <w:p w14:paraId="2000DFF3"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3" w:type="dxa"/>
            <w:vMerge/>
            <w:shd w:val="clear" w:color="auto" w:fill="3D7881"/>
            <w:vAlign w:val="center"/>
          </w:tcPr>
          <w:p w14:paraId="5C9C43D1"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2" w:type="dxa"/>
            <w:vMerge/>
            <w:shd w:val="clear" w:color="auto" w:fill="3D7881"/>
            <w:vAlign w:val="center"/>
          </w:tcPr>
          <w:p w14:paraId="71E2A142"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163" w:type="dxa"/>
            <w:vMerge/>
            <w:shd w:val="clear" w:color="auto" w:fill="3D7881"/>
            <w:vAlign w:val="center"/>
          </w:tcPr>
          <w:p w14:paraId="1E51563E"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4394" w:type="dxa"/>
            <w:vMerge/>
            <w:shd w:val="clear" w:color="auto" w:fill="3D7881"/>
            <w:vAlign w:val="center"/>
          </w:tcPr>
          <w:p w14:paraId="31664657" w14:textId="77777777" w:rsidR="006561D5" w:rsidRPr="00772F2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8"/>
                <w:szCs w:val="18"/>
              </w:rPr>
            </w:pPr>
          </w:p>
        </w:tc>
        <w:tc>
          <w:tcPr>
            <w:tcW w:w="1276" w:type="dxa"/>
            <w:shd w:val="clear" w:color="auto" w:fill="3D7881"/>
            <w:vAlign w:val="center"/>
          </w:tcPr>
          <w:p w14:paraId="3BA54BD3" w14:textId="77777777" w:rsidR="006561D5" w:rsidRPr="00E81FE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6"/>
                <w:szCs w:val="16"/>
              </w:rPr>
            </w:pPr>
            <w:r w:rsidRPr="00E81FE1">
              <w:rPr>
                <w:rFonts w:eastAsia="Calibri" w:cs="Arial"/>
                <w:b/>
                <w:bCs/>
                <w:color w:val="FFFFFF" w:themeColor="background1"/>
                <w:sz w:val="16"/>
                <w:szCs w:val="16"/>
              </w:rPr>
              <w:t>Direction of change</w:t>
            </w:r>
          </w:p>
        </w:tc>
        <w:tc>
          <w:tcPr>
            <w:tcW w:w="1276" w:type="dxa"/>
            <w:shd w:val="clear" w:color="auto" w:fill="3D7881"/>
            <w:vAlign w:val="center"/>
          </w:tcPr>
          <w:p w14:paraId="4F5ABDC9" w14:textId="77777777" w:rsidR="006561D5" w:rsidRPr="00E81FE1" w:rsidRDefault="006561D5" w:rsidP="00D352BA">
            <w:pPr>
              <w:suppressAutoHyphens/>
              <w:autoSpaceDE w:val="0"/>
              <w:autoSpaceDN w:val="0"/>
              <w:adjustRightInd w:val="0"/>
              <w:spacing w:line="240" w:lineRule="auto"/>
              <w:ind w:right="113"/>
              <w:textAlignment w:val="center"/>
              <w:rPr>
                <w:rFonts w:eastAsia="Calibri" w:cs="Arial"/>
                <w:b/>
                <w:bCs/>
                <w:color w:val="FFFFFF" w:themeColor="background1"/>
                <w:sz w:val="16"/>
                <w:szCs w:val="16"/>
              </w:rPr>
            </w:pPr>
            <w:r w:rsidRPr="00E81FE1">
              <w:rPr>
                <w:rFonts w:eastAsia="Calibri" w:cs="Arial"/>
                <w:b/>
                <w:bCs/>
                <w:color w:val="FFFFFF" w:themeColor="background1"/>
                <w:sz w:val="16"/>
                <w:szCs w:val="16"/>
              </w:rPr>
              <w:t>Scope for change</w:t>
            </w:r>
          </w:p>
        </w:tc>
      </w:tr>
      <w:tr w:rsidR="006561D5" w:rsidRPr="00772F21" w14:paraId="40E282BC" w14:textId="77777777" w:rsidTr="009B2552">
        <w:trPr>
          <w:cantSplit/>
          <w:trHeight w:val="688"/>
        </w:trPr>
        <w:tc>
          <w:tcPr>
            <w:tcW w:w="2268" w:type="dxa"/>
            <w:vAlign w:val="center"/>
          </w:tcPr>
          <w:p w14:paraId="25FDB94A"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Insurer decision time</w:t>
            </w:r>
          </w:p>
        </w:tc>
        <w:tc>
          <w:tcPr>
            <w:tcW w:w="1162" w:type="dxa"/>
            <w:vAlign w:val="center"/>
          </w:tcPr>
          <w:p w14:paraId="11BA0B6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NDS</w:t>
            </w:r>
          </w:p>
        </w:tc>
        <w:tc>
          <w:tcPr>
            <w:tcW w:w="1162" w:type="dxa"/>
            <w:vAlign w:val="center"/>
          </w:tcPr>
          <w:p w14:paraId="29550946"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Insurer</w:t>
            </w:r>
          </w:p>
        </w:tc>
        <w:tc>
          <w:tcPr>
            <w:tcW w:w="1163" w:type="dxa"/>
            <w:vAlign w:val="center"/>
          </w:tcPr>
          <w:p w14:paraId="3E519081"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5A21890B"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53933F37"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52ED011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 xml:space="preserve">Mean time in days between claim receipt by insurer and insurer decision to accept claim </w:t>
            </w:r>
          </w:p>
        </w:tc>
        <w:tc>
          <w:tcPr>
            <w:tcW w:w="1276" w:type="dxa"/>
            <w:shd w:val="clear" w:color="auto" w:fill="FFFFFF" w:themeFill="background1"/>
            <w:vAlign w:val="center"/>
          </w:tcPr>
          <w:p w14:paraId="6950911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Decrease</w:t>
            </w:r>
          </w:p>
        </w:tc>
        <w:tc>
          <w:tcPr>
            <w:tcW w:w="1276" w:type="dxa"/>
            <w:shd w:val="clear" w:color="auto" w:fill="FFFFFF" w:themeFill="background1"/>
            <w:vAlign w:val="center"/>
          </w:tcPr>
          <w:p w14:paraId="52DB4492"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Moderate</w:t>
            </w:r>
          </w:p>
        </w:tc>
      </w:tr>
      <w:tr w:rsidR="006561D5" w:rsidRPr="00772F21" w14:paraId="2FB52CEE" w14:textId="77777777" w:rsidTr="009B2552">
        <w:trPr>
          <w:cantSplit/>
          <w:trHeight w:val="688"/>
        </w:trPr>
        <w:tc>
          <w:tcPr>
            <w:tcW w:w="2268" w:type="dxa"/>
            <w:vAlign w:val="center"/>
          </w:tcPr>
          <w:p w14:paraId="393C558F"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Perceived fairness</w:t>
            </w:r>
          </w:p>
        </w:tc>
        <w:tc>
          <w:tcPr>
            <w:tcW w:w="1162" w:type="dxa"/>
            <w:vAlign w:val="center"/>
          </w:tcPr>
          <w:p w14:paraId="5AAB33B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74EC4C2C"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Insurer</w:t>
            </w:r>
          </w:p>
        </w:tc>
        <w:tc>
          <w:tcPr>
            <w:tcW w:w="1163" w:type="dxa"/>
            <w:vAlign w:val="center"/>
          </w:tcPr>
          <w:p w14:paraId="28331984"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4B669539"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3977955B"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3BA9A23E"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Average score on the perceived justice of the compensation process scale for all workers</w:t>
            </w:r>
          </w:p>
        </w:tc>
        <w:tc>
          <w:tcPr>
            <w:tcW w:w="1276" w:type="dxa"/>
            <w:shd w:val="clear" w:color="auto" w:fill="FFFFFF" w:themeFill="background1"/>
            <w:vAlign w:val="center"/>
          </w:tcPr>
          <w:p w14:paraId="75C20AB9"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3022521F"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Moderate</w:t>
            </w:r>
          </w:p>
        </w:tc>
      </w:tr>
      <w:tr w:rsidR="006561D5" w:rsidRPr="00772F21" w14:paraId="4F3042D1" w14:textId="77777777" w:rsidTr="009B2552">
        <w:trPr>
          <w:cantSplit/>
          <w:trHeight w:val="688"/>
        </w:trPr>
        <w:tc>
          <w:tcPr>
            <w:tcW w:w="2268" w:type="dxa"/>
            <w:vAlign w:val="center"/>
          </w:tcPr>
          <w:p w14:paraId="371D9D66"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Pr>
                <w:rFonts w:eastAsia="Calibri" w:cs="Arial"/>
                <w:b/>
                <w:bCs/>
                <w:sz w:val="16"/>
                <w:szCs w:val="16"/>
              </w:rPr>
              <w:t>Work-focus</w:t>
            </w:r>
            <w:r w:rsidRPr="00CE7C22">
              <w:rPr>
                <w:rFonts w:eastAsia="Calibri" w:cs="Arial"/>
                <w:b/>
                <w:bCs/>
                <w:sz w:val="16"/>
                <w:szCs w:val="16"/>
              </w:rPr>
              <w:t>ed healthcare</w:t>
            </w:r>
          </w:p>
        </w:tc>
        <w:tc>
          <w:tcPr>
            <w:tcW w:w="1162" w:type="dxa"/>
            <w:vAlign w:val="center"/>
          </w:tcPr>
          <w:p w14:paraId="062C2CDF"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67C2202E"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Healthcare</w:t>
            </w:r>
          </w:p>
        </w:tc>
        <w:tc>
          <w:tcPr>
            <w:tcW w:w="1163" w:type="dxa"/>
            <w:vAlign w:val="center"/>
          </w:tcPr>
          <w:p w14:paraId="1D597541"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0BF411B6"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2D583774"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2C5429CB"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Average score on work-focussed healthcare questions for all workers</w:t>
            </w:r>
          </w:p>
        </w:tc>
        <w:tc>
          <w:tcPr>
            <w:tcW w:w="1276" w:type="dxa"/>
            <w:shd w:val="clear" w:color="auto" w:fill="FFFFFF" w:themeFill="background1"/>
            <w:vAlign w:val="center"/>
          </w:tcPr>
          <w:p w14:paraId="33D4239E"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6C673A30"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Small to Moderate</w:t>
            </w:r>
          </w:p>
        </w:tc>
      </w:tr>
      <w:tr w:rsidR="006561D5" w:rsidRPr="00772F21" w14:paraId="64C24790" w14:textId="77777777" w:rsidTr="009B2552">
        <w:trPr>
          <w:cantSplit/>
          <w:trHeight w:val="688"/>
        </w:trPr>
        <w:tc>
          <w:tcPr>
            <w:tcW w:w="2268" w:type="dxa"/>
            <w:vAlign w:val="center"/>
          </w:tcPr>
          <w:p w14:paraId="12FF2FD8"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Healthcare stress</w:t>
            </w:r>
          </w:p>
        </w:tc>
        <w:tc>
          <w:tcPr>
            <w:tcW w:w="1162" w:type="dxa"/>
            <w:vAlign w:val="center"/>
          </w:tcPr>
          <w:p w14:paraId="62DB3B92"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0F89428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Healthcare</w:t>
            </w:r>
          </w:p>
        </w:tc>
        <w:tc>
          <w:tcPr>
            <w:tcW w:w="1163" w:type="dxa"/>
            <w:vAlign w:val="center"/>
          </w:tcPr>
          <w:p w14:paraId="1FCA23DD"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28CEA190"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1A18E7B5"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487DCEC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Percentage of all workers reporting that they had stressful interactions with a healthcare provider</w:t>
            </w:r>
          </w:p>
        </w:tc>
        <w:tc>
          <w:tcPr>
            <w:tcW w:w="1276" w:type="dxa"/>
            <w:shd w:val="clear" w:color="auto" w:fill="FFFFFF" w:themeFill="background1"/>
            <w:vAlign w:val="center"/>
          </w:tcPr>
          <w:p w14:paraId="1D72F287"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Decrease</w:t>
            </w:r>
          </w:p>
        </w:tc>
        <w:tc>
          <w:tcPr>
            <w:tcW w:w="1276" w:type="dxa"/>
            <w:shd w:val="clear" w:color="auto" w:fill="FFFFFF" w:themeFill="background1"/>
            <w:vAlign w:val="center"/>
          </w:tcPr>
          <w:p w14:paraId="5DCEE20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Moderate</w:t>
            </w:r>
          </w:p>
        </w:tc>
      </w:tr>
      <w:tr w:rsidR="006561D5" w:rsidRPr="00772F21" w14:paraId="2710F612" w14:textId="77777777" w:rsidTr="009B2552">
        <w:trPr>
          <w:cantSplit/>
          <w:trHeight w:val="688"/>
        </w:trPr>
        <w:tc>
          <w:tcPr>
            <w:tcW w:w="2268" w:type="dxa"/>
            <w:vAlign w:val="center"/>
          </w:tcPr>
          <w:p w14:paraId="18DA27F4" w14:textId="3B286A25"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Employer response</w:t>
            </w:r>
            <w:r w:rsidR="00C82726">
              <w:rPr>
                <w:rFonts w:eastAsia="Calibri" w:cs="Arial"/>
                <w:b/>
                <w:bCs/>
                <w:sz w:val="16"/>
                <w:szCs w:val="16"/>
              </w:rPr>
              <w:t>*</w:t>
            </w:r>
          </w:p>
        </w:tc>
        <w:tc>
          <w:tcPr>
            <w:tcW w:w="1162" w:type="dxa"/>
            <w:vAlign w:val="center"/>
          </w:tcPr>
          <w:p w14:paraId="043B6E25"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76FD4540" w14:textId="4FDC5192" w:rsidR="006561D5" w:rsidRPr="00772F21" w:rsidRDefault="00C82726" w:rsidP="00125330">
            <w:pPr>
              <w:suppressAutoHyphens/>
              <w:autoSpaceDE w:val="0"/>
              <w:autoSpaceDN w:val="0"/>
              <w:adjustRightInd w:val="0"/>
              <w:spacing w:line="240" w:lineRule="auto"/>
              <w:ind w:right="113"/>
              <w:textAlignment w:val="center"/>
              <w:rPr>
                <w:rFonts w:eastAsia="Calibri" w:cs="Arial"/>
                <w:bCs/>
                <w:sz w:val="16"/>
                <w:szCs w:val="16"/>
              </w:rPr>
            </w:pPr>
            <w:r>
              <w:rPr>
                <w:rFonts w:eastAsia="Calibri" w:cs="Arial"/>
                <w:bCs/>
                <w:sz w:val="16"/>
                <w:szCs w:val="16"/>
              </w:rPr>
              <w:t>Employer</w:t>
            </w:r>
            <w:r w:rsidR="006561D5" w:rsidRPr="00772F21">
              <w:rPr>
                <w:rFonts w:eastAsia="Calibri" w:cs="Arial"/>
                <w:bCs/>
                <w:sz w:val="16"/>
                <w:szCs w:val="16"/>
              </w:rPr>
              <w:t>*</w:t>
            </w:r>
          </w:p>
        </w:tc>
        <w:tc>
          <w:tcPr>
            <w:tcW w:w="1163" w:type="dxa"/>
            <w:vAlign w:val="center"/>
          </w:tcPr>
          <w:p w14:paraId="6D5690D9"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2CFFC48D"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6B242877"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4394" w:type="dxa"/>
            <w:vAlign w:val="center"/>
          </w:tcPr>
          <w:p w14:paraId="653155D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Percentage of all workers agreeing that their employer supported them following their injury (score based on 6 questions about the employer’s attitudes and behaviours)</w:t>
            </w:r>
          </w:p>
        </w:tc>
        <w:tc>
          <w:tcPr>
            <w:tcW w:w="1276" w:type="dxa"/>
            <w:shd w:val="clear" w:color="auto" w:fill="FFFFFF" w:themeFill="background1"/>
            <w:vAlign w:val="center"/>
          </w:tcPr>
          <w:p w14:paraId="30B7EA36"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1AA0D4D0"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Large</w:t>
            </w:r>
          </w:p>
        </w:tc>
      </w:tr>
      <w:tr w:rsidR="006561D5" w:rsidRPr="00772F21" w14:paraId="6A7E4A3A" w14:textId="77777777" w:rsidTr="009B2552">
        <w:trPr>
          <w:cantSplit/>
          <w:trHeight w:val="688"/>
        </w:trPr>
        <w:tc>
          <w:tcPr>
            <w:tcW w:w="2268" w:type="dxa"/>
            <w:vAlign w:val="center"/>
          </w:tcPr>
          <w:p w14:paraId="7A0841F3" w14:textId="48B582AD"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Employer contact</w:t>
            </w:r>
            <w:r w:rsidR="009614B2">
              <w:rPr>
                <w:rFonts w:eastAsia="Calibri" w:cs="Arial"/>
                <w:b/>
                <w:bCs/>
                <w:sz w:val="16"/>
                <w:szCs w:val="16"/>
              </w:rPr>
              <w:t>*</w:t>
            </w:r>
          </w:p>
        </w:tc>
        <w:tc>
          <w:tcPr>
            <w:tcW w:w="1162" w:type="dxa"/>
            <w:vAlign w:val="center"/>
          </w:tcPr>
          <w:p w14:paraId="29D70E4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3A4C5FBD" w14:textId="4C2C6EB5" w:rsidR="006561D5" w:rsidRPr="00772F21" w:rsidRDefault="00C82726" w:rsidP="00125330">
            <w:pPr>
              <w:suppressAutoHyphens/>
              <w:autoSpaceDE w:val="0"/>
              <w:autoSpaceDN w:val="0"/>
              <w:adjustRightInd w:val="0"/>
              <w:spacing w:line="240" w:lineRule="auto"/>
              <w:ind w:right="113"/>
              <w:textAlignment w:val="center"/>
              <w:rPr>
                <w:rFonts w:eastAsia="Calibri" w:cs="Arial"/>
                <w:bCs/>
                <w:sz w:val="16"/>
                <w:szCs w:val="16"/>
              </w:rPr>
            </w:pPr>
            <w:r>
              <w:rPr>
                <w:rFonts w:eastAsia="Calibri" w:cs="Arial"/>
                <w:bCs/>
                <w:sz w:val="16"/>
                <w:szCs w:val="16"/>
              </w:rPr>
              <w:t>Employer</w:t>
            </w:r>
            <w:r w:rsidR="006561D5" w:rsidRPr="00772F21">
              <w:rPr>
                <w:rFonts w:eastAsia="Calibri" w:cs="Arial"/>
                <w:bCs/>
                <w:sz w:val="16"/>
                <w:szCs w:val="16"/>
              </w:rPr>
              <w:t>*</w:t>
            </w:r>
          </w:p>
        </w:tc>
        <w:tc>
          <w:tcPr>
            <w:tcW w:w="1163" w:type="dxa"/>
            <w:vAlign w:val="center"/>
          </w:tcPr>
          <w:p w14:paraId="1F019F3E"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1C46CF3D"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63891619"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4394" w:type="dxa"/>
            <w:vAlign w:val="center"/>
          </w:tcPr>
          <w:p w14:paraId="1D21AD1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Percentage of all workers reporting contact from their employer since their injury</w:t>
            </w:r>
          </w:p>
        </w:tc>
        <w:tc>
          <w:tcPr>
            <w:tcW w:w="1276" w:type="dxa"/>
            <w:shd w:val="clear" w:color="auto" w:fill="FFFFFF" w:themeFill="background1"/>
            <w:vAlign w:val="center"/>
          </w:tcPr>
          <w:p w14:paraId="2FFA8721"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391EB7CF"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Large</w:t>
            </w:r>
          </w:p>
        </w:tc>
      </w:tr>
      <w:tr w:rsidR="006561D5" w:rsidRPr="00772F21" w14:paraId="6B240EB9" w14:textId="77777777" w:rsidTr="009B2552">
        <w:trPr>
          <w:cantSplit/>
          <w:trHeight w:val="688"/>
        </w:trPr>
        <w:tc>
          <w:tcPr>
            <w:tcW w:w="2268" w:type="dxa"/>
            <w:vAlign w:val="center"/>
          </w:tcPr>
          <w:p w14:paraId="36EF59CC" w14:textId="3C94A106"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Return to work planning</w:t>
            </w:r>
            <w:r w:rsidR="009614B2">
              <w:rPr>
                <w:rFonts w:eastAsia="Calibri" w:cs="Arial"/>
                <w:b/>
                <w:bCs/>
                <w:sz w:val="16"/>
                <w:szCs w:val="16"/>
              </w:rPr>
              <w:t>*</w:t>
            </w:r>
          </w:p>
        </w:tc>
        <w:tc>
          <w:tcPr>
            <w:tcW w:w="1162" w:type="dxa"/>
            <w:vAlign w:val="center"/>
          </w:tcPr>
          <w:p w14:paraId="1754B304"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27645401" w14:textId="389A54D5" w:rsidR="006561D5" w:rsidRPr="00772F21" w:rsidRDefault="00C82726" w:rsidP="00125330">
            <w:pPr>
              <w:suppressAutoHyphens/>
              <w:autoSpaceDE w:val="0"/>
              <w:autoSpaceDN w:val="0"/>
              <w:adjustRightInd w:val="0"/>
              <w:spacing w:line="240" w:lineRule="auto"/>
              <w:ind w:right="113"/>
              <w:textAlignment w:val="center"/>
              <w:rPr>
                <w:rFonts w:eastAsia="Calibri" w:cs="Arial"/>
                <w:bCs/>
                <w:sz w:val="16"/>
                <w:szCs w:val="16"/>
              </w:rPr>
            </w:pPr>
            <w:r>
              <w:rPr>
                <w:rFonts w:eastAsia="Calibri" w:cs="Arial"/>
                <w:bCs/>
                <w:sz w:val="16"/>
                <w:szCs w:val="16"/>
              </w:rPr>
              <w:t>Employer</w:t>
            </w:r>
            <w:r w:rsidR="006561D5" w:rsidRPr="00772F21">
              <w:rPr>
                <w:rFonts w:eastAsia="Calibri" w:cs="Arial"/>
                <w:bCs/>
                <w:sz w:val="16"/>
                <w:szCs w:val="16"/>
              </w:rPr>
              <w:t>*</w:t>
            </w:r>
          </w:p>
        </w:tc>
        <w:tc>
          <w:tcPr>
            <w:tcW w:w="1163" w:type="dxa"/>
            <w:vAlign w:val="center"/>
          </w:tcPr>
          <w:p w14:paraId="4EF78301"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086992A3"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552B1F73"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4394" w:type="dxa"/>
            <w:vAlign w:val="center"/>
          </w:tcPr>
          <w:p w14:paraId="72626D5E" w14:textId="5E38DA8C"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 xml:space="preserve">Percentage of </w:t>
            </w:r>
            <w:r w:rsidR="00B65E23">
              <w:rPr>
                <w:rFonts w:eastAsia="Calibri" w:cs="Arial"/>
                <w:bCs/>
                <w:sz w:val="16"/>
                <w:szCs w:val="16"/>
              </w:rPr>
              <w:t xml:space="preserve">all </w:t>
            </w:r>
            <w:r w:rsidRPr="00772F21">
              <w:rPr>
                <w:rFonts w:eastAsia="Calibri" w:cs="Arial"/>
                <w:bCs/>
                <w:sz w:val="16"/>
                <w:szCs w:val="16"/>
              </w:rPr>
              <w:t xml:space="preserve">workers </w:t>
            </w:r>
            <w:bookmarkStart w:id="0" w:name="_GoBack"/>
            <w:bookmarkEnd w:id="0"/>
            <w:r w:rsidRPr="00772F21">
              <w:rPr>
                <w:rFonts w:eastAsia="Calibri" w:cs="Arial"/>
                <w:bCs/>
                <w:sz w:val="16"/>
                <w:szCs w:val="16"/>
              </w:rPr>
              <w:t>reporting that they had a return to work plan</w:t>
            </w:r>
          </w:p>
        </w:tc>
        <w:tc>
          <w:tcPr>
            <w:tcW w:w="1276" w:type="dxa"/>
            <w:shd w:val="clear" w:color="auto" w:fill="FFFFFF" w:themeFill="background1"/>
            <w:vAlign w:val="center"/>
          </w:tcPr>
          <w:p w14:paraId="450AB33F"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468B5AB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Large</w:t>
            </w:r>
          </w:p>
        </w:tc>
      </w:tr>
      <w:tr w:rsidR="006561D5" w:rsidRPr="00772F21" w14:paraId="45859D6E" w14:textId="77777777" w:rsidTr="009B2552">
        <w:trPr>
          <w:cantSplit/>
          <w:trHeight w:val="688"/>
        </w:trPr>
        <w:tc>
          <w:tcPr>
            <w:tcW w:w="2268" w:type="dxa"/>
            <w:vAlign w:val="center"/>
          </w:tcPr>
          <w:p w14:paraId="2ED2BCA4" w14:textId="123AAEEB"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Workplace accommodations</w:t>
            </w:r>
            <w:r w:rsidR="009614B2">
              <w:rPr>
                <w:rFonts w:eastAsia="Calibri" w:cs="Arial"/>
                <w:b/>
                <w:bCs/>
                <w:sz w:val="16"/>
                <w:szCs w:val="16"/>
              </w:rPr>
              <w:t>*</w:t>
            </w:r>
          </w:p>
        </w:tc>
        <w:tc>
          <w:tcPr>
            <w:tcW w:w="1162" w:type="dxa"/>
            <w:vAlign w:val="center"/>
          </w:tcPr>
          <w:p w14:paraId="659BB1B3"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20FCFCDE" w14:textId="47DD6A76" w:rsidR="006561D5" w:rsidRPr="00772F21" w:rsidRDefault="00C82726" w:rsidP="00125330">
            <w:pPr>
              <w:suppressAutoHyphens/>
              <w:autoSpaceDE w:val="0"/>
              <w:autoSpaceDN w:val="0"/>
              <w:adjustRightInd w:val="0"/>
              <w:spacing w:line="240" w:lineRule="auto"/>
              <w:ind w:right="113"/>
              <w:textAlignment w:val="center"/>
              <w:rPr>
                <w:rFonts w:eastAsia="Calibri" w:cs="Arial"/>
                <w:bCs/>
                <w:sz w:val="16"/>
                <w:szCs w:val="16"/>
              </w:rPr>
            </w:pPr>
            <w:r>
              <w:rPr>
                <w:rFonts w:eastAsia="Calibri" w:cs="Arial"/>
                <w:bCs/>
                <w:sz w:val="16"/>
                <w:szCs w:val="16"/>
              </w:rPr>
              <w:t>Employer</w:t>
            </w:r>
            <w:r w:rsidR="006561D5" w:rsidRPr="00772F21">
              <w:rPr>
                <w:rFonts w:eastAsia="Calibri" w:cs="Arial"/>
                <w:bCs/>
                <w:sz w:val="16"/>
                <w:szCs w:val="16"/>
              </w:rPr>
              <w:t>*</w:t>
            </w:r>
          </w:p>
        </w:tc>
        <w:tc>
          <w:tcPr>
            <w:tcW w:w="1163" w:type="dxa"/>
            <w:vAlign w:val="center"/>
          </w:tcPr>
          <w:p w14:paraId="247D8626"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7E902DCD"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7C3A150B"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4394" w:type="dxa"/>
            <w:vAlign w:val="center"/>
          </w:tcPr>
          <w:p w14:paraId="5B4645B3"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Percentage of workers who had returned to work reporting that they returned with modified hours or modified duties</w:t>
            </w:r>
          </w:p>
        </w:tc>
        <w:tc>
          <w:tcPr>
            <w:tcW w:w="1276" w:type="dxa"/>
            <w:shd w:val="clear" w:color="auto" w:fill="FFFFFF" w:themeFill="background1"/>
            <w:vAlign w:val="center"/>
          </w:tcPr>
          <w:p w14:paraId="31ECC3DD"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6322B4F9"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Moderate to Large</w:t>
            </w:r>
          </w:p>
        </w:tc>
      </w:tr>
      <w:tr w:rsidR="006561D5" w:rsidRPr="00772F21" w14:paraId="1734B295" w14:textId="77777777" w:rsidTr="009B2552">
        <w:trPr>
          <w:cantSplit/>
          <w:trHeight w:val="688"/>
        </w:trPr>
        <w:tc>
          <w:tcPr>
            <w:tcW w:w="2268" w:type="dxa"/>
            <w:vAlign w:val="center"/>
          </w:tcPr>
          <w:p w14:paraId="3002F076" w14:textId="77777777" w:rsidR="006561D5" w:rsidRPr="00CE7C22" w:rsidRDefault="006561D5" w:rsidP="00125330">
            <w:pPr>
              <w:suppressAutoHyphens/>
              <w:autoSpaceDE w:val="0"/>
              <w:autoSpaceDN w:val="0"/>
              <w:adjustRightInd w:val="0"/>
              <w:spacing w:line="240" w:lineRule="auto"/>
              <w:ind w:right="113"/>
              <w:textAlignment w:val="center"/>
              <w:rPr>
                <w:rFonts w:eastAsia="Calibri" w:cs="Arial"/>
                <w:b/>
                <w:bCs/>
                <w:sz w:val="16"/>
                <w:szCs w:val="16"/>
              </w:rPr>
            </w:pPr>
            <w:r w:rsidRPr="00CE7C22">
              <w:rPr>
                <w:rFonts w:eastAsia="Calibri" w:cs="Arial"/>
                <w:b/>
                <w:bCs/>
                <w:sz w:val="16"/>
                <w:szCs w:val="16"/>
              </w:rPr>
              <w:t>Return to work self-efficacy</w:t>
            </w:r>
          </w:p>
        </w:tc>
        <w:tc>
          <w:tcPr>
            <w:tcW w:w="1162" w:type="dxa"/>
            <w:vAlign w:val="center"/>
          </w:tcPr>
          <w:p w14:paraId="7BCFAC0A"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NRTWS</w:t>
            </w:r>
          </w:p>
        </w:tc>
        <w:tc>
          <w:tcPr>
            <w:tcW w:w="1162" w:type="dxa"/>
            <w:vAlign w:val="center"/>
          </w:tcPr>
          <w:p w14:paraId="6907FF4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Worker</w:t>
            </w:r>
          </w:p>
        </w:tc>
        <w:tc>
          <w:tcPr>
            <w:tcW w:w="1163" w:type="dxa"/>
            <w:vAlign w:val="center"/>
          </w:tcPr>
          <w:p w14:paraId="72D94C8A"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1162" w:type="dxa"/>
            <w:vAlign w:val="center"/>
          </w:tcPr>
          <w:p w14:paraId="155A2CBE"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r w:rsidRPr="00772F21">
              <w:rPr>
                <w:rFonts w:eastAsia="Calibri" w:cs="Arial"/>
                <w:bCs/>
                <w:sz w:val="16"/>
                <w:szCs w:val="16"/>
              </w:rPr>
              <w:sym w:font="Wingdings" w:char="F0FC"/>
            </w:r>
          </w:p>
        </w:tc>
        <w:tc>
          <w:tcPr>
            <w:tcW w:w="1163" w:type="dxa"/>
            <w:vAlign w:val="center"/>
          </w:tcPr>
          <w:p w14:paraId="3F732A00" w14:textId="77777777" w:rsidR="006561D5" w:rsidRPr="00772F21" w:rsidRDefault="006561D5" w:rsidP="00125330">
            <w:pPr>
              <w:suppressAutoHyphens/>
              <w:autoSpaceDE w:val="0"/>
              <w:autoSpaceDN w:val="0"/>
              <w:adjustRightInd w:val="0"/>
              <w:spacing w:line="240" w:lineRule="auto"/>
              <w:ind w:right="113"/>
              <w:jc w:val="center"/>
              <w:textAlignment w:val="center"/>
              <w:rPr>
                <w:rFonts w:eastAsia="Calibri" w:cs="Arial"/>
                <w:bCs/>
                <w:sz w:val="16"/>
                <w:szCs w:val="16"/>
              </w:rPr>
            </w:pPr>
          </w:p>
        </w:tc>
        <w:tc>
          <w:tcPr>
            <w:tcW w:w="4394" w:type="dxa"/>
            <w:vAlign w:val="center"/>
          </w:tcPr>
          <w:p w14:paraId="401F0596"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Average score of all workers on the return to work self-efficacy scale</w:t>
            </w:r>
          </w:p>
        </w:tc>
        <w:tc>
          <w:tcPr>
            <w:tcW w:w="1276" w:type="dxa"/>
            <w:shd w:val="clear" w:color="auto" w:fill="FFFFFF" w:themeFill="background1"/>
            <w:vAlign w:val="center"/>
          </w:tcPr>
          <w:p w14:paraId="01261F31"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Increase</w:t>
            </w:r>
          </w:p>
        </w:tc>
        <w:tc>
          <w:tcPr>
            <w:tcW w:w="1276" w:type="dxa"/>
            <w:shd w:val="clear" w:color="auto" w:fill="FFFFFF" w:themeFill="background1"/>
            <w:vAlign w:val="center"/>
          </w:tcPr>
          <w:p w14:paraId="2E874A28" w14:textId="77777777" w:rsidR="006561D5" w:rsidRPr="00772F21" w:rsidRDefault="006561D5" w:rsidP="00125330">
            <w:pPr>
              <w:suppressAutoHyphens/>
              <w:autoSpaceDE w:val="0"/>
              <w:autoSpaceDN w:val="0"/>
              <w:adjustRightInd w:val="0"/>
              <w:spacing w:line="240" w:lineRule="auto"/>
              <w:ind w:right="113"/>
              <w:textAlignment w:val="center"/>
              <w:rPr>
                <w:rFonts w:eastAsia="Calibri" w:cs="Arial"/>
                <w:bCs/>
                <w:sz w:val="16"/>
                <w:szCs w:val="16"/>
              </w:rPr>
            </w:pPr>
            <w:r w:rsidRPr="00B67E71">
              <w:rPr>
                <w:rFonts w:cs="Arial"/>
                <w:bCs/>
                <w:sz w:val="16"/>
                <w:szCs w:val="16"/>
              </w:rPr>
              <w:t>Small to Moderate</w:t>
            </w:r>
          </w:p>
        </w:tc>
      </w:tr>
    </w:tbl>
    <w:p w14:paraId="5E240B89" w14:textId="6ECFEE28" w:rsidR="009614B2" w:rsidRPr="009614B2" w:rsidRDefault="00E81FE1" w:rsidP="00C82726">
      <w:pPr>
        <w:spacing w:after="0" w:line="240" w:lineRule="auto"/>
        <w:ind w:left="-567" w:right="-897"/>
        <w:rPr>
          <w:rFonts w:cs="Arial"/>
          <w:sz w:val="16"/>
          <w:szCs w:val="16"/>
        </w:rPr>
      </w:pPr>
      <w:r w:rsidRPr="005D4AF0">
        <w:rPr>
          <w:rFonts w:cs="Arial"/>
          <w:b/>
          <w:sz w:val="16"/>
          <w:szCs w:val="16"/>
        </w:rPr>
        <w:br/>
      </w:r>
      <w:r w:rsidR="009614B2" w:rsidRPr="009614B2">
        <w:rPr>
          <w:rFonts w:eastAsia="Calibri" w:cs="Arial"/>
          <w:b/>
          <w:bCs/>
          <w:sz w:val="16"/>
          <w:szCs w:val="18"/>
        </w:rPr>
        <w:t>Footnote</w:t>
      </w:r>
      <w:r w:rsidR="009614B2" w:rsidRPr="009614B2">
        <w:rPr>
          <w:rFonts w:eastAsia="Calibri" w:cs="Arial"/>
          <w:bCs/>
          <w:sz w:val="16"/>
          <w:szCs w:val="18"/>
        </w:rPr>
        <w:t xml:space="preserve">: Future data developmental work may result in the inclusion of additional measures and/or alternative metrics in the framework as noted below: </w:t>
      </w:r>
    </w:p>
    <w:p w14:paraId="22331D2F" w14:textId="15457996" w:rsidR="00E81FE1" w:rsidRPr="00E81FE1" w:rsidRDefault="009614B2" w:rsidP="009B2552">
      <w:pPr>
        <w:keepNext/>
        <w:keepLines/>
        <w:tabs>
          <w:tab w:val="left" w:pos="6691"/>
        </w:tabs>
        <w:spacing w:after="0" w:line="257" w:lineRule="auto"/>
        <w:ind w:left="-567"/>
        <w:outlineLvl w:val="0"/>
        <w:rPr>
          <w:rFonts w:eastAsia="Calibri" w:cs="Arial"/>
          <w:bCs/>
          <w:sz w:val="16"/>
          <w:szCs w:val="18"/>
        </w:rPr>
      </w:pPr>
      <w:r w:rsidRPr="009614B2">
        <w:rPr>
          <w:rFonts w:eastAsia="Calibri" w:cs="Arial"/>
          <w:bCs/>
          <w:sz w:val="16"/>
          <w:szCs w:val="18"/>
        </w:rPr>
        <w:t>* Selected measures related to employers are based on the worker’s perspective of their employer’s act</w:t>
      </w:r>
      <w:r>
        <w:rPr>
          <w:rFonts w:eastAsia="Calibri" w:cs="Arial"/>
          <w:bCs/>
          <w:sz w:val="16"/>
          <w:szCs w:val="18"/>
        </w:rPr>
        <w:t>ions, captured through the NRT</w:t>
      </w:r>
      <w:r w:rsidR="00425F08">
        <w:rPr>
          <w:rFonts w:eastAsia="Calibri" w:cs="Arial"/>
          <w:bCs/>
          <w:sz w:val="16"/>
          <w:szCs w:val="18"/>
        </w:rPr>
        <w:t>WS.</w:t>
      </w:r>
    </w:p>
    <w:sectPr w:rsidR="00E81FE1" w:rsidRPr="00E81FE1" w:rsidSect="009B2552">
      <w:headerReference w:type="default" r:id="rId16"/>
      <w:footerReference w:type="default" r:id="rId17"/>
      <w:footerReference w:type="first" r:id="rId18"/>
      <w:pgSz w:w="16838" w:h="11906" w:orient="landscape"/>
      <w:pgMar w:top="2127" w:right="2127" w:bottom="1134" w:left="1135" w:header="79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C5B2E" w14:textId="77777777" w:rsidR="007E605E" w:rsidRDefault="007E605E" w:rsidP="005C293C">
      <w:pPr>
        <w:spacing w:after="0" w:line="240" w:lineRule="auto"/>
      </w:pPr>
      <w:r>
        <w:separator/>
      </w:r>
    </w:p>
  </w:endnote>
  <w:endnote w:type="continuationSeparator" w:id="0">
    <w:p w14:paraId="00B97959" w14:textId="77777777" w:rsidR="007E605E" w:rsidRDefault="007E605E" w:rsidP="005C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ACA3" w14:textId="46DDED02" w:rsidR="00806073" w:rsidRDefault="00806073">
    <w:pPr>
      <w:pStyle w:val="Footer"/>
      <w:jc w:val="right"/>
    </w:pPr>
  </w:p>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8" w:type="dxa"/>
        <w:right w:w="1418" w:type="dxa"/>
      </w:tblCellMar>
      <w:tblLook w:val="04A0" w:firstRow="1" w:lastRow="0" w:firstColumn="1" w:lastColumn="0" w:noHBand="0" w:noVBand="1"/>
    </w:tblPr>
    <w:tblGrid>
      <w:gridCol w:w="10940"/>
      <w:gridCol w:w="5887"/>
    </w:tblGrid>
    <w:tr w:rsidR="00CC75B8" w:rsidRPr="002A7856" w14:paraId="1BCE5F24" w14:textId="77777777" w:rsidTr="000B5625">
      <w:trPr>
        <w:trHeight w:val="401"/>
      </w:trPr>
      <w:tc>
        <w:tcPr>
          <w:tcW w:w="10940" w:type="dxa"/>
          <w:shd w:val="clear" w:color="auto" w:fill="D9D9D9" w:themeFill="background1" w:themeFillShade="D9"/>
          <w:vAlign w:val="center"/>
        </w:tcPr>
        <w:p w14:paraId="03A91BAF" w14:textId="6003A204" w:rsidR="00CC75B8" w:rsidRPr="00E30C14" w:rsidRDefault="00CC75B8" w:rsidP="000B5625">
          <w:pPr>
            <w:pStyle w:val="Footer"/>
            <w:ind w:right="-4108"/>
            <w:rPr>
              <w:szCs w:val="20"/>
            </w:rPr>
          </w:pPr>
          <w:r w:rsidRPr="00E30C14">
            <w:rPr>
              <w:b/>
              <w:szCs w:val="20"/>
            </w:rPr>
            <w:t xml:space="preserve">Measurement Framework                              </w:t>
          </w:r>
          <w:r w:rsidRPr="00E30C14">
            <w:rPr>
              <w:szCs w:val="20"/>
            </w:rPr>
            <w:t xml:space="preserve"> </w:t>
          </w:r>
          <w:sdt>
            <w:sdtPr>
              <w:rPr>
                <w:szCs w:val="20"/>
              </w:rPr>
              <w:id w:val="637227755"/>
              <w:docPartObj>
                <w:docPartGallery w:val="Page Numbers (Bottom of Page)"/>
                <w:docPartUnique/>
              </w:docPartObj>
            </w:sdtPr>
            <w:sdtEndPr/>
            <w:sdtContent>
              <w:sdt>
                <w:sdtPr>
                  <w:rPr>
                    <w:szCs w:val="20"/>
                  </w:rPr>
                  <w:id w:val="-2055070370"/>
                  <w:docPartObj>
                    <w:docPartGallery w:val="Page Numbers (Top of Page)"/>
                    <w:docPartUnique/>
                  </w:docPartObj>
                </w:sdtPr>
                <w:sdtEndPr/>
                <w:sdtContent>
                  <w:r w:rsidRPr="00E30C14">
                    <w:rPr>
                      <w:szCs w:val="20"/>
                    </w:rPr>
                    <w:t xml:space="preserve">                                                                           </w:t>
                  </w:r>
                  <w:r w:rsidRPr="00E30C14">
                    <w:rPr>
                      <w:b/>
                      <w:szCs w:val="20"/>
                    </w:rPr>
                    <w:t xml:space="preserve">Page </w:t>
                  </w:r>
                  <w:r w:rsidRPr="00E30C14">
                    <w:rPr>
                      <w:b/>
                      <w:bCs/>
                      <w:szCs w:val="20"/>
                    </w:rPr>
                    <w:fldChar w:fldCharType="begin"/>
                  </w:r>
                  <w:r w:rsidRPr="00E30C14">
                    <w:rPr>
                      <w:b/>
                      <w:bCs/>
                      <w:szCs w:val="20"/>
                    </w:rPr>
                    <w:instrText xml:space="preserve"> PAGE </w:instrText>
                  </w:r>
                  <w:r w:rsidRPr="00E30C14">
                    <w:rPr>
                      <w:b/>
                      <w:bCs/>
                      <w:szCs w:val="20"/>
                    </w:rPr>
                    <w:fldChar w:fldCharType="separate"/>
                  </w:r>
                  <w:r w:rsidRPr="00E30C14">
                    <w:rPr>
                      <w:b/>
                      <w:bCs/>
                      <w:szCs w:val="20"/>
                    </w:rPr>
                    <w:t>2</w:t>
                  </w:r>
                  <w:r w:rsidRPr="00E30C14">
                    <w:rPr>
                      <w:b/>
                      <w:bCs/>
                      <w:szCs w:val="20"/>
                    </w:rPr>
                    <w:fldChar w:fldCharType="end"/>
                  </w:r>
                  <w:r w:rsidRPr="00E30C14">
                    <w:rPr>
                      <w:b/>
                      <w:szCs w:val="20"/>
                    </w:rPr>
                    <w:t xml:space="preserve"> of 4</w:t>
                  </w:r>
                </w:sdtContent>
              </w:sdt>
            </w:sdtContent>
          </w:sdt>
        </w:p>
      </w:tc>
      <w:tc>
        <w:tcPr>
          <w:tcW w:w="5887" w:type="dxa"/>
          <w:shd w:val="clear" w:color="auto" w:fill="D9D9D9" w:themeFill="background1" w:themeFillShade="D9"/>
          <w:vAlign w:val="center"/>
        </w:tcPr>
        <w:p w14:paraId="0997B383" w14:textId="6066E3BF" w:rsidR="00CC75B8" w:rsidRPr="002A7856" w:rsidRDefault="00CC75B8" w:rsidP="000B5625">
          <w:pPr>
            <w:ind w:right="-1702"/>
            <w:rPr>
              <w:b/>
            </w:rPr>
          </w:pPr>
        </w:p>
      </w:tc>
    </w:tr>
  </w:tbl>
  <w:p w14:paraId="5FE83725" w14:textId="77777777" w:rsidR="009D4182" w:rsidRDefault="009D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C6A0" w14:textId="388AB6E2" w:rsidR="00806073" w:rsidRDefault="00806073">
    <w:pPr>
      <w:pStyle w:val="Footer"/>
      <w:jc w:val="right"/>
    </w:pPr>
  </w:p>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8" w:type="dxa"/>
        <w:right w:w="1418" w:type="dxa"/>
      </w:tblCellMar>
      <w:tblLook w:val="04A0" w:firstRow="1" w:lastRow="0" w:firstColumn="1" w:lastColumn="0" w:noHBand="0" w:noVBand="1"/>
    </w:tblPr>
    <w:tblGrid>
      <w:gridCol w:w="13916"/>
      <w:gridCol w:w="2911"/>
    </w:tblGrid>
    <w:tr w:rsidR="00CC75B8" w:rsidRPr="002A7856" w14:paraId="4DA8C0F7" w14:textId="77777777" w:rsidTr="000B5625">
      <w:trPr>
        <w:trHeight w:val="432"/>
      </w:trPr>
      <w:tc>
        <w:tcPr>
          <w:tcW w:w="13916" w:type="dxa"/>
          <w:shd w:val="clear" w:color="auto" w:fill="D9D9D9" w:themeFill="background1" w:themeFillShade="D9"/>
          <w:vAlign w:val="center"/>
        </w:tcPr>
        <w:p w14:paraId="7153FEB0" w14:textId="230551CF" w:rsidR="00CC75B8" w:rsidRPr="00E30C14" w:rsidRDefault="00CC75B8" w:rsidP="000B5625">
          <w:pPr>
            <w:pStyle w:val="Footer"/>
            <w:ind w:right="-4108"/>
            <w:rPr>
              <w:szCs w:val="20"/>
            </w:rPr>
          </w:pPr>
          <w:r w:rsidRPr="00E30C14">
            <w:rPr>
              <w:b/>
              <w:szCs w:val="20"/>
            </w:rPr>
            <w:t xml:space="preserve">Measurement Framework  </w:t>
          </w:r>
          <w:sdt>
            <w:sdtPr>
              <w:rPr>
                <w:szCs w:val="20"/>
              </w:rPr>
              <w:id w:val="1302038753"/>
              <w:docPartObj>
                <w:docPartGallery w:val="Page Numbers (Bottom of Page)"/>
                <w:docPartUnique/>
              </w:docPartObj>
            </w:sdtPr>
            <w:sdtEndPr/>
            <w:sdtContent>
              <w:sdt>
                <w:sdtPr>
                  <w:rPr>
                    <w:szCs w:val="20"/>
                  </w:rPr>
                  <w:id w:val="1924832936"/>
                  <w:docPartObj>
                    <w:docPartGallery w:val="Page Numbers (Top of Page)"/>
                    <w:docPartUnique/>
                  </w:docPartObj>
                </w:sdtPr>
                <w:sdtEndPr/>
                <w:sdtContent>
                  <w:r w:rsidRPr="00E30C14">
                    <w:rPr>
                      <w:szCs w:val="20"/>
                    </w:rPr>
                    <w:t xml:space="preserve">             </w:t>
                  </w:r>
                  <w:r w:rsidR="00110C0F" w:rsidRPr="00E30C14">
                    <w:rPr>
                      <w:szCs w:val="20"/>
                    </w:rPr>
                    <w:t xml:space="preserve">                                                                                              </w:t>
                  </w:r>
                  <w:r w:rsidRPr="00E30C14">
                    <w:rPr>
                      <w:b/>
                      <w:szCs w:val="20"/>
                    </w:rPr>
                    <w:t xml:space="preserve">Page </w:t>
                  </w:r>
                  <w:r w:rsidRPr="00E30C14">
                    <w:rPr>
                      <w:b/>
                      <w:bCs/>
                      <w:szCs w:val="20"/>
                    </w:rPr>
                    <w:fldChar w:fldCharType="begin"/>
                  </w:r>
                  <w:r w:rsidRPr="00E30C14">
                    <w:rPr>
                      <w:b/>
                      <w:bCs/>
                      <w:szCs w:val="20"/>
                    </w:rPr>
                    <w:instrText xml:space="preserve"> PAGE </w:instrText>
                  </w:r>
                  <w:r w:rsidRPr="00E30C14">
                    <w:rPr>
                      <w:b/>
                      <w:bCs/>
                      <w:szCs w:val="20"/>
                    </w:rPr>
                    <w:fldChar w:fldCharType="separate"/>
                  </w:r>
                  <w:r w:rsidRPr="00E30C14">
                    <w:rPr>
                      <w:b/>
                      <w:bCs/>
                      <w:szCs w:val="20"/>
                    </w:rPr>
                    <w:t>2</w:t>
                  </w:r>
                  <w:r w:rsidRPr="00E30C14">
                    <w:rPr>
                      <w:b/>
                      <w:bCs/>
                      <w:szCs w:val="20"/>
                    </w:rPr>
                    <w:fldChar w:fldCharType="end"/>
                  </w:r>
                  <w:r w:rsidRPr="00E30C14">
                    <w:rPr>
                      <w:b/>
                      <w:szCs w:val="20"/>
                    </w:rPr>
                    <w:t xml:space="preserve"> of 4</w:t>
                  </w:r>
                </w:sdtContent>
              </w:sdt>
            </w:sdtContent>
          </w:sdt>
        </w:p>
      </w:tc>
      <w:tc>
        <w:tcPr>
          <w:tcW w:w="2911" w:type="dxa"/>
          <w:shd w:val="clear" w:color="auto" w:fill="D9D9D9" w:themeFill="background1" w:themeFillShade="D9"/>
          <w:vAlign w:val="center"/>
        </w:tcPr>
        <w:p w14:paraId="3E5E95E1" w14:textId="201DBDE9" w:rsidR="00CC75B8" w:rsidRPr="002A7856" w:rsidRDefault="00CC75B8" w:rsidP="00CC75B8">
          <w:pPr>
            <w:ind w:left="3970" w:right="-1702"/>
            <w:rPr>
              <w:b/>
            </w:rPr>
          </w:pPr>
        </w:p>
      </w:tc>
    </w:tr>
  </w:tbl>
  <w:p w14:paraId="2EA47742" w14:textId="77777777" w:rsidR="00B60DA6" w:rsidRDefault="00B60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3"/>
      <w:tblW w:w="17318"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9072"/>
    </w:tblGrid>
    <w:tr w:rsidR="009614B2" w:rsidRPr="002A7856" w14:paraId="7DD3B7C3" w14:textId="77777777" w:rsidTr="004A2F5A">
      <w:trPr>
        <w:trHeight w:val="401"/>
      </w:trPr>
      <w:tc>
        <w:tcPr>
          <w:tcW w:w="8246" w:type="dxa"/>
          <w:shd w:val="clear" w:color="auto" w:fill="D9D9D9" w:themeFill="background1" w:themeFillShade="D9"/>
          <w:vAlign w:val="center"/>
        </w:tcPr>
        <w:p w14:paraId="47E95F70" w14:textId="0167AA18" w:rsidR="009614B2" w:rsidRPr="002A7856" w:rsidRDefault="009614B2" w:rsidP="009D4182">
          <w:pPr>
            <w:ind w:right="-1701"/>
            <w:rPr>
              <w:b/>
            </w:rPr>
          </w:pPr>
          <w:bookmarkStart w:id="1" w:name="_Hlk40278881"/>
          <w:r>
            <w:rPr>
              <w:b/>
            </w:rPr>
            <w:t>Measurement Framework</w:t>
          </w:r>
        </w:p>
      </w:tc>
      <w:tc>
        <w:tcPr>
          <w:tcW w:w="9072" w:type="dxa"/>
          <w:shd w:val="clear" w:color="auto" w:fill="D9D9D9" w:themeFill="background1" w:themeFillShade="D9"/>
          <w:vAlign w:val="center"/>
        </w:tcPr>
        <w:sdt>
          <w:sdtPr>
            <w:rPr>
              <w:b/>
            </w:rPr>
            <w:id w:val="1340502758"/>
            <w:docPartObj>
              <w:docPartGallery w:val="Page Numbers (Bottom of Page)"/>
              <w:docPartUnique/>
            </w:docPartObj>
          </w:sdtPr>
          <w:sdtEndPr/>
          <w:sdtContent>
            <w:sdt>
              <w:sdtPr>
                <w:rPr>
                  <w:b/>
                </w:rPr>
                <w:id w:val="704608304"/>
                <w:docPartObj>
                  <w:docPartGallery w:val="Page Numbers (Top of Page)"/>
                  <w:docPartUnique/>
                </w:docPartObj>
              </w:sdtPr>
              <w:sdtEndPr/>
              <w:sdtContent>
                <w:p w14:paraId="5EFF28F9" w14:textId="0896C4A2" w:rsidR="009614B2" w:rsidRPr="002A7856" w:rsidRDefault="009614B2" w:rsidP="00CE78E4">
                  <w:pPr>
                    <w:ind w:left="4537" w:right="-1702"/>
                    <w:rPr>
                      <w:b/>
                    </w:rPr>
                  </w:pPr>
                  <w:r w:rsidRPr="004A2F5A">
                    <w:rPr>
                      <w:b/>
                      <w:szCs w:val="20"/>
                    </w:rPr>
                    <w:t xml:space="preserve">Page </w:t>
                  </w:r>
                  <w:r w:rsidRPr="000B5625">
                    <w:rPr>
                      <w:b/>
                      <w:bCs/>
                      <w:szCs w:val="20"/>
                    </w:rPr>
                    <w:fldChar w:fldCharType="begin"/>
                  </w:r>
                  <w:r w:rsidRPr="000B5625">
                    <w:rPr>
                      <w:b/>
                      <w:bCs/>
                      <w:szCs w:val="20"/>
                    </w:rPr>
                    <w:instrText xml:space="preserve"> PAGE </w:instrText>
                  </w:r>
                  <w:r w:rsidRPr="000B5625">
                    <w:rPr>
                      <w:b/>
                      <w:bCs/>
                      <w:szCs w:val="20"/>
                    </w:rPr>
                    <w:fldChar w:fldCharType="separate"/>
                  </w:r>
                  <w:r w:rsidR="0069799D" w:rsidRPr="000B5625">
                    <w:rPr>
                      <w:b/>
                      <w:bCs/>
                      <w:noProof/>
                      <w:szCs w:val="20"/>
                    </w:rPr>
                    <w:t>5</w:t>
                  </w:r>
                  <w:r w:rsidRPr="000B5625">
                    <w:rPr>
                      <w:b/>
                      <w:bCs/>
                      <w:szCs w:val="20"/>
                    </w:rPr>
                    <w:fldChar w:fldCharType="end"/>
                  </w:r>
                  <w:r w:rsidRPr="004A2F5A">
                    <w:rPr>
                      <w:b/>
                      <w:szCs w:val="20"/>
                    </w:rPr>
                    <w:t xml:space="preserve"> of </w:t>
                  </w:r>
                  <w:r w:rsidR="00027E14">
                    <w:rPr>
                      <w:b/>
                      <w:bCs/>
                      <w:szCs w:val="20"/>
                    </w:rPr>
                    <w:t>4</w:t>
                  </w:r>
                </w:p>
              </w:sdtContent>
            </w:sdt>
          </w:sdtContent>
        </w:sdt>
      </w:tc>
    </w:tr>
    <w:bookmarkEnd w:id="1"/>
  </w:tbl>
  <w:p w14:paraId="3E3DB5D7" w14:textId="77777777" w:rsidR="009614B2" w:rsidRDefault="009614B2" w:rsidP="00540C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123D" w14:textId="0BEF4DFE" w:rsidR="004A2F5A" w:rsidRDefault="004A2F5A">
    <w:pPr>
      <w:pStyle w:val="Footer"/>
      <w:jc w:val="right"/>
    </w:pPr>
  </w:p>
  <w:tbl>
    <w:tblPr>
      <w:tblStyle w:val="TableGrid"/>
      <w:tblW w:w="21004"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8" w:type="dxa"/>
        <w:right w:w="1418" w:type="dxa"/>
      </w:tblCellMar>
      <w:tblLook w:val="04A0" w:firstRow="1" w:lastRow="0" w:firstColumn="1" w:lastColumn="0" w:noHBand="0" w:noVBand="1"/>
    </w:tblPr>
    <w:tblGrid>
      <w:gridCol w:w="17177"/>
      <w:gridCol w:w="3827"/>
    </w:tblGrid>
    <w:tr w:rsidR="004A2F5A" w:rsidRPr="002A7856" w14:paraId="0C78A598" w14:textId="77777777" w:rsidTr="00027E14">
      <w:trPr>
        <w:trHeight w:val="432"/>
      </w:trPr>
      <w:tc>
        <w:tcPr>
          <w:tcW w:w="17177" w:type="dxa"/>
          <w:shd w:val="clear" w:color="auto" w:fill="D9D9D9" w:themeFill="background1" w:themeFillShade="D9"/>
          <w:vAlign w:val="center"/>
        </w:tcPr>
        <w:p w14:paraId="176D654C" w14:textId="707B6058" w:rsidR="004A2F5A" w:rsidRPr="00E30C14" w:rsidRDefault="004A2F5A" w:rsidP="00027E14">
          <w:pPr>
            <w:pStyle w:val="Footer"/>
            <w:tabs>
              <w:tab w:val="clear" w:pos="9026"/>
              <w:tab w:val="right" w:pos="10094"/>
            </w:tabs>
            <w:ind w:right="280"/>
            <w:rPr>
              <w:szCs w:val="20"/>
            </w:rPr>
          </w:pPr>
          <w:r w:rsidRPr="00E30C14">
            <w:rPr>
              <w:b/>
              <w:szCs w:val="20"/>
            </w:rPr>
            <w:t xml:space="preserve">Measurement Framework  </w:t>
          </w:r>
          <w:sdt>
            <w:sdtPr>
              <w:rPr>
                <w:szCs w:val="20"/>
              </w:rPr>
              <w:id w:val="-378709635"/>
              <w:docPartObj>
                <w:docPartGallery w:val="Page Numbers (Bottom of Page)"/>
                <w:docPartUnique/>
              </w:docPartObj>
            </w:sdtPr>
            <w:sdtEndPr/>
            <w:sdtContent>
              <w:sdt>
                <w:sdtPr>
                  <w:rPr>
                    <w:szCs w:val="20"/>
                  </w:rPr>
                  <w:id w:val="1630280639"/>
                  <w:docPartObj>
                    <w:docPartGallery w:val="Page Numbers (Top of Page)"/>
                    <w:docPartUnique/>
                  </w:docPartObj>
                </w:sdtPr>
                <w:sdtEndPr/>
                <w:sdtContent>
                  <w:r w:rsidRPr="00E30C14">
                    <w:rPr>
                      <w:szCs w:val="20"/>
                    </w:rPr>
                    <w:t xml:space="preserve">                                                                                                                                                                                          </w:t>
                  </w:r>
                  <w:r w:rsidRPr="00E30C14">
                    <w:rPr>
                      <w:b/>
                      <w:szCs w:val="20"/>
                    </w:rPr>
                    <w:t xml:space="preserve">Page </w:t>
                  </w:r>
                  <w:r w:rsidRPr="00E30C14">
                    <w:rPr>
                      <w:b/>
                      <w:bCs/>
                      <w:szCs w:val="20"/>
                    </w:rPr>
                    <w:fldChar w:fldCharType="begin"/>
                  </w:r>
                  <w:r w:rsidRPr="00E30C14">
                    <w:rPr>
                      <w:b/>
                      <w:bCs/>
                      <w:szCs w:val="20"/>
                    </w:rPr>
                    <w:instrText xml:space="preserve"> PAGE </w:instrText>
                  </w:r>
                  <w:r w:rsidRPr="00E30C14">
                    <w:rPr>
                      <w:b/>
                      <w:bCs/>
                      <w:szCs w:val="20"/>
                    </w:rPr>
                    <w:fldChar w:fldCharType="separate"/>
                  </w:r>
                  <w:r w:rsidRPr="00E30C14">
                    <w:rPr>
                      <w:b/>
                      <w:bCs/>
                      <w:szCs w:val="20"/>
                    </w:rPr>
                    <w:t>2</w:t>
                  </w:r>
                  <w:r w:rsidRPr="00E30C14">
                    <w:rPr>
                      <w:b/>
                      <w:bCs/>
                      <w:szCs w:val="20"/>
                    </w:rPr>
                    <w:fldChar w:fldCharType="end"/>
                  </w:r>
                  <w:r w:rsidRPr="00E30C14">
                    <w:rPr>
                      <w:b/>
                      <w:szCs w:val="20"/>
                    </w:rPr>
                    <w:t xml:space="preserve"> of 4</w:t>
                  </w:r>
                </w:sdtContent>
              </w:sdt>
            </w:sdtContent>
          </w:sdt>
        </w:p>
      </w:tc>
      <w:tc>
        <w:tcPr>
          <w:tcW w:w="3827" w:type="dxa"/>
          <w:shd w:val="clear" w:color="auto" w:fill="D9D9D9" w:themeFill="background1" w:themeFillShade="D9"/>
          <w:vAlign w:val="center"/>
        </w:tcPr>
        <w:p w14:paraId="5AD3DAAB" w14:textId="77777777" w:rsidR="004A2F5A" w:rsidRPr="002A7856" w:rsidRDefault="004A2F5A" w:rsidP="00CC75B8">
          <w:pPr>
            <w:ind w:left="3970" w:right="-1702"/>
            <w:rPr>
              <w:b/>
            </w:rPr>
          </w:pPr>
        </w:p>
      </w:tc>
    </w:tr>
  </w:tbl>
  <w:p w14:paraId="0B757909" w14:textId="77777777" w:rsidR="004A2F5A" w:rsidRDefault="004A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754E3" w14:textId="77777777" w:rsidR="007E605E" w:rsidRDefault="007E605E" w:rsidP="005C293C">
      <w:pPr>
        <w:spacing w:after="0" w:line="240" w:lineRule="auto"/>
      </w:pPr>
      <w:r>
        <w:separator/>
      </w:r>
    </w:p>
  </w:footnote>
  <w:footnote w:type="continuationSeparator" w:id="0">
    <w:p w14:paraId="44D1996C" w14:textId="77777777" w:rsidR="007E605E" w:rsidRDefault="007E605E" w:rsidP="005C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0C4F" w14:textId="77777777" w:rsidR="00A001E0" w:rsidRPr="00E81FE1" w:rsidRDefault="00A001E0" w:rsidP="00A001E0">
    <w:pPr>
      <w:tabs>
        <w:tab w:val="left" w:pos="11302"/>
      </w:tabs>
      <w:spacing w:after="0" w:line="240" w:lineRule="auto"/>
    </w:pPr>
    <w:r w:rsidRPr="00E81FE1">
      <w:rPr>
        <w:noProof/>
        <w:lang w:eastAsia="en-AU"/>
      </w:rPr>
      <w:drawing>
        <wp:anchor distT="0" distB="0" distL="114300" distR="114300" simplePos="0" relativeHeight="251667456" behindDoc="1" locked="0" layoutInCell="1" allowOverlap="1" wp14:anchorId="5D25FC47" wp14:editId="154C17DF">
          <wp:simplePos x="0" y="0"/>
          <wp:positionH relativeFrom="margin">
            <wp:posOffset>7432158</wp:posOffset>
          </wp:positionH>
          <wp:positionV relativeFrom="paragraph">
            <wp:posOffset>-213286</wp:posOffset>
          </wp:positionV>
          <wp:extent cx="1966461" cy="6804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WA_logo_inlin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66461" cy="680484"/>
                  </a:xfrm>
                  <a:prstGeom prst="rect">
                    <a:avLst/>
                  </a:prstGeom>
                </pic:spPr>
              </pic:pic>
            </a:graphicData>
          </a:graphic>
          <wp14:sizeRelH relativeFrom="page">
            <wp14:pctWidth>0</wp14:pctWidth>
          </wp14:sizeRelH>
          <wp14:sizeRelV relativeFrom="page">
            <wp14:pctHeight>0</wp14:pctHeight>
          </wp14:sizeRelV>
        </wp:anchor>
      </w:drawing>
    </w:r>
    <w:r w:rsidRPr="00E81FE1">
      <w:rPr>
        <w:noProof/>
        <w:lang w:eastAsia="en-AU"/>
      </w:rPr>
      <w:drawing>
        <wp:anchor distT="0" distB="0" distL="114300" distR="114300" simplePos="0" relativeHeight="251666432" behindDoc="1" locked="0" layoutInCell="1" allowOverlap="1" wp14:anchorId="233C84F4" wp14:editId="63C54E4B">
          <wp:simplePos x="0" y="0"/>
          <wp:positionH relativeFrom="page">
            <wp:posOffset>10634</wp:posOffset>
          </wp:positionH>
          <wp:positionV relativeFrom="paragraph">
            <wp:posOffset>-449580</wp:posOffset>
          </wp:positionV>
          <wp:extent cx="5380074" cy="1296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rotWithShape="1">
                  <a:blip r:embed="rId2" cstate="print">
                    <a:extLst>
                      <a:ext uri="{28A0092B-C50C-407E-A947-70E740481C1C}">
                        <a14:useLocalDpi xmlns:a14="http://schemas.microsoft.com/office/drawing/2010/main" val="0"/>
                      </a:ext>
                    </a:extLst>
                  </a:blip>
                  <a:srcRect r="28760"/>
                  <a:stretch/>
                </pic:blipFill>
                <pic:spPr bwMode="auto">
                  <a:xfrm>
                    <a:off x="0" y="0"/>
                    <a:ext cx="5381037" cy="1296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1FE1">
      <w:tab/>
    </w:r>
  </w:p>
  <w:p w14:paraId="340F3310" w14:textId="2DC26D78" w:rsidR="009D4182" w:rsidRPr="00A001E0" w:rsidRDefault="009D4182" w:rsidP="00A00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F528" w14:textId="77777777" w:rsidR="00B60DA6" w:rsidRDefault="009D4182">
    <w:pPr>
      <w:pStyle w:val="Header"/>
    </w:pPr>
    <w:r>
      <w:rPr>
        <w:noProof/>
        <w:lang w:eastAsia="en-AU"/>
      </w:rPr>
      <w:drawing>
        <wp:anchor distT="0" distB="0" distL="114300" distR="114300" simplePos="0" relativeHeight="251660288" behindDoc="1" locked="0" layoutInCell="1" allowOverlap="1" wp14:anchorId="3FF277C9" wp14:editId="53EA314F">
          <wp:simplePos x="0" y="0"/>
          <wp:positionH relativeFrom="page">
            <wp:align>right</wp:align>
          </wp:positionH>
          <wp:positionV relativeFrom="page">
            <wp:align>top</wp:align>
          </wp:positionV>
          <wp:extent cx="7550475" cy="2437699"/>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TWS-work-plan-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475" cy="24376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144E" w14:textId="77777777" w:rsidR="00E81FE1" w:rsidRPr="00E81FE1" w:rsidRDefault="00E81FE1" w:rsidP="00E81FE1">
    <w:pPr>
      <w:tabs>
        <w:tab w:val="left" w:pos="11302"/>
      </w:tabs>
      <w:spacing w:after="0" w:line="240" w:lineRule="auto"/>
    </w:pPr>
    <w:r w:rsidRPr="00E81FE1">
      <w:rPr>
        <w:noProof/>
        <w:lang w:eastAsia="en-AU"/>
      </w:rPr>
      <w:drawing>
        <wp:anchor distT="0" distB="0" distL="114300" distR="114300" simplePos="0" relativeHeight="251664384" behindDoc="1" locked="0" layoutInCell="1" allowOverlap="1" wp14:anchorId="3F9AC2C9" wp14:editId="2F2F79AE">
          <wp:simplePos x="0" y="0"/>
          <wp:positionH relativeFrom="margin">
            <wp:posOffset>7432158</wp:posOffset>
          </wp:positionH>
          <wp:positionV relativeFrom="paragraph">
            <wp:posOffset>-213286</wp:posOffset>
          </wp:positionV>
          <wp:extent cx="1966461" cy="68048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WA_logo_inlin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66461" cy="680484"/>
                  </a:xfrm>
                  <a:prstGeom prst="rect">
                    <a:avLst/>
                  </a:prstGeom>
                </pic:spPr>
              </pic:pic>
            </a:graphicData>
          </a:graphic>
          <wp14:sizeRelH relativeFrom="page">
            <wp14:pctWidth>0</wp14:pctWidth>
          </wp14:sizeRelH>
          <wp14:sizeRelV relativeFrom="page">
            <wp14:pctHeight>0</wp14:pctHeight>
          </wp14:sizeRelV>
        </wp:anchor>
      </w:drawing>
    </w:r>
    <w:r w:rsidRPr="00E81FE1">
      <w:rPr>
        <w:noProof/>
        <w:lang w:eastAsia="en-AU"/>
      </w:rPr>
      <w:drawing>
        <wp:anchor distT="0" distB="0" distL="114300" distR="114300" simplePos="0" relativeHeight="251663360" behindDoc="1" locked="0" layoutInCell="1" allowOverlap="1" wp14:anchorId="4B5BC7D3" wp14:editId="1B0DCBA9">
          <wp:simplePos x="0" y="0"/>
          <wp:positionH relativeFrom="page">
            <wp:posOffset>10634</wp:posOffset>
          </wp:positionH>
          <wp:positionV relativeFrom="paragraph">
            <wp:posOffset>-449580</wp:posOffset>
          </wp:positionV>
          <wp:extent cx="5380074" cy="12960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rotWithShape="1">
                  <a:blip r:embed="rId2" cstate="print">
                    <a:extLst>
                      <a:ext uri="{28A0092B-C50C-407E-A947-70E740481C1C}">
                        <a14:useLocalDpi xmlns:a14="http://schemas.microsoft.com/office/drawing/2010/main" val="0"/>
                      </a:ext>
                    </a:extLst>
                  </a:blip>
                  <a:srcRect r="28760"/>
                  <a:stretch/>
                </pic:blipFill>
                <pic:spPr bwMode="auto">
                  <a:xfrm>
                    <a:off x="0" y="0"/>
                    <a:ext cx="5381037" cy="1296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1FE1">
      <w:tab/>
    </w:r>
  </w:p>
  <w:p w14:paraId="0BD909A3" w14:textId="2481502D" w:rsidR="00B60DA6" w:rsidRDefault="00B60D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57E6" w14:textId="77777777" w:rsidR="009614B2" w:rsidRDefault="009614B2" w:rsidP="00CE78E4">
    <w:pPr>
      <w:pStyle w:val="Header"/>
      <w:tabs>
        <w:tab w:val="clear" w:pos="4513"/>
        <w:tab w:val="clear" w:pos="9026"/>
        <w:tab w:val="left" w:pos="11302"/>
      </w:tabs>
    </w:pPr>
    <w:r>
      <w:rPr>
        <w:noProof/>
        <w:lang w:eastAsia="en-AU"/>
      </w:rPr>
      <w:drawing>
        <wp:anchor distT="0" distB="0" distL="114300" distR="114300" simplePos="0" relativeHeight="251670528" behindDoc="1" locked="0" layoutInCell="1" allowOverlap="1" wp14:anchorId="2404D5C2" wp14:editId="68894692">
          <wp:simplePos x="0" y="0"/>
          <wp:positionH relativeFrom="margin">
            <wp:posOffset>7432158</wp:posOffset>
          </wp:positionH>
          <wp:positionV relativeFrom="paragraph">
            <wp:posOffset>-213286</wp:posOffset>
          </wp:positionV>
          <wp:extent cx="1966461" cy="680484"/>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WA_logo_inlin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66461" cy="680484"/>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9504" behindDoc="1" locked="0" layoutInCell="1" allowOverlap="1" wp14:anchorId="756539BC" wp14:editId="4764D450">
          <wp:simplePos x="0" y="0"/>
          <wp:positionH relativeFrom="page">
            <wp:posOffset>10634</wp:posOffset>
          </wp:positionH>
          <wp:positionV relativeFrom="paragraph">
            <wp:posOffset>-449580</wp:posOffset>
          </wp:positionV>
          <wp:extent cx="5380074" cy="129603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rotWithShape="1">
                  <a:blip r:embed="rId2" cstate="print">
                    <a:extLst>
                      <a:ext uri="{28A0092B-C50C-407E-A947-70E740481C1C}">
                        <a14:useLocalDpi xmlns:a14="http://schemas.microsoft.com/office/drawing/2010/main" val="0"/>
                      </a:ext>
                    </a:extLst>
                  </a:blip>
                  <a:srcRect r="28760"/>
                  <a:stretch/>
                </pic:blipFill>
                <pic:spPr bwMode="auto">
                  <a:xfrm>
                    <a:off x="0" y="0"/>
                    <a:ext cx="5381037" cy="1296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80C5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D85EDC"/>
    <w:multiLevelType w:val="hybridMultilevel"/>
    <w:tmpl w:val="FF7CD900"/>
    <w:lvl w:ilvl="0" w:tplc="5D1A2442">
      <w:start w:val="1"/>
      <w:numFmt w:val="bullet"/>
      <w:pStyle w:val="ListParagraph"/>
      <w:lvlText w:val=""/>
      <w:lvlJc w:val="left"/>
      <w:pPr>
        <w:ind w:left="1440" w:hanging="360"/>
      </w:pPr>
      <w:rPr>
        <w:rFonts w:ascii="Wingdings 3" w:hAnsi="Wingdings 3"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72B3A50"/>
    <w:multiLevelType w:val="hybridMultilevel"/>
    <w:tmpl w:val="9E18A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4662E9"/>
    <w:multiLevelType w:val="hybridMultilevel"/>
    <w:tmpl w:val="2C0C1994"/>
    <w:lvl w:ilvl="0" w:tplc="8A64CA7A">
      <w:start w:val="1"/>
      <w:numFmt w:val="decimal"/>
      <w:pStyle w:val="NumberedHeading1"/>
      <w:lvlText w:val="%1."/>
      <w:lvlJc w:val="left"/>
      <w:pPr>
        <w:ind w:left="360" w:hanging="360"/>
      </w:pPr>
      <w:rPr>
        <w:rFonts w:ascii="Arial Bold" w:hAnsi="Arial Bold" w:hint="default"/>
        <w:b/>
        <w:i w:val="0"/>
        <w:color w:val="224C52"/>
        <w:sz w:val="40"/>
        <w:szCs w:val="4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ECD56B4"/>
    <w:multiLevelType w:val="hybridMultilevel"/>
    <w:tmpl w:val="A2F4EB62"/>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3"/>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3C"/>
    <w:rsid w:val="00004CC4"/>
    <w:rsid w:val="000129A1"/>
    <w:rsid w:val="00027E14"/>
    <w:rsid w:val="00033A09"/>
    <w:rsid w:val="00050B55"/>
    <w:rsid w:val="00076E4A"/>
    <w:rsid w:val="00081ABF"/>
    <w:rsid w:val="0008568A"/>
    <w:rsid w:val="000933B3"/>
    <w:rsid w:val="000B51F6"/>
    <w:rsid w:val="000B5625"/>
    <w:rsid w:val="000C049B"/>
    <w:rsid w:val="000E3C53"/>
    <w:rsid w:val="00110C0F"/>
    <w:rsid w:val="00125EB0"/>
    <w:rsid w:val="00166AA6"/>
    <w:rsid w:val="00194579"/>
    <w:rsid w:val="0024473A"/>
    <w:rsid w:val="002937A5"/>
    <w:rsid w:val="002C4864"/>
    <w:rsid w:val="00337099"/>
    <w:rsid w:val="003A5DC0"/>
    <w:rsid w:val="00425F08"/>
    <w:rsid w:val="004370FD"/>
    <w:rsid w:val="00470DF6"/>
    <w:rsid w:val="004A2F5A"/>
    <w:rsid w:val="00504278"/>
    <w:rsid w:val="00520AE4"/>
    <w:rsid w:val="00544022"/>
    <w:rsid w:val="00587A10"/>
    <w:rsid w:val="005B4E7C"/>
    <w:rsid w:val="005C293C"/>
    <w:rsid w:val="005D4AF0"/>
    <w:rsid w:val="00613460"/>
    <w:rsid w:val="006264A6"/>
    <w:rsid w:val="006561D5"/>
    <w:rsid w:val="006974EC"/>
    <w:rsid w:val="0069799D"/>
    <w:rsid w:val="006A5DFC"/>
    <w:rsid w:val="006B540A"/>
    <w:rsid w:val="006C2F08"/>
    <w:rsid w:val="00772AE8"/>
    <w:rsid w:val="00772F21"/>
    <w:rsid w:val="007E318A"/>
    <w:rsid w:val="007E605E"/>
    <w:rsid w:val="007F0CCA"/>
    <w:rsid w:val="00806073"/>
    <w:rsid w:val="008456E2"/>
    <w:rsid w:val="00862850"/>
    <w:rsid w:val="00867B62"/>
    <w:rsid w:val="008779A4"/>
    <w:rsid w:val="008828AD"/>
    <w:rsid w:val="00887CEC"/>
    <w:rsid w:val="008C5F2B"/>
    <w:rsid w:val="009614B2"/>
    <w:rsid w:val="009B2552"/>
    <w:rsid w:val="009D4182"/>
    <w:rsid w:val="009F22F9"/>
    <w:rsid w:val="00A001E0"/>
    <w:rsid w:val="00A20428"/>
    <w:rsid w:val="00A21F04"/>
    <w:rsid w:val="00AA3414"/>
    <w:rsid w:val="00AE5464"/>
    <w:rsid w:val="00AF4D13"/>
    <w:rsid w:val="00B60DA6"/>
    <w:rsid w:val="00B65E23"/>
    <w:rsid w:val="00BC3BB1"/>
    <w:rsid w:val="00BF709C"/>
    <w:rsid w:val="00C34E70"/>
    <w:rsid w:val="00C361CE"/>
    <w:rsid w:val="00C41B2A"/>
    <w:rsid w:val="00C71D3D"/>
    <w:rsid w:val="00C758FE"/>
    <w:rsid w:val="00C82726"/>
    <w:rsid w:val="00C954E2"/>
    <w:rsid w:val="00CA2232"/>
    <w:rsid w:val="00CC75B8"/>
    <w:rsid w:val="00CD4615"/>
    <w:rsid w:val="00CE7A5B"/>
    <w:rsid w:val="00CE7C22"/>
    <w:rsid w:val="00CF594B"/>
    <w:rsid w:val="00D055E3"/>
    <w:rsid w:val="00D06470"/>
    <w:rsid w:val="00D0653C"/>
    <w:rsid w:val="00D206E7"/>
    <w:rsid w:val="00D47F58"/>
    <w:rsid w:val="00D64264"/>
    <w:rsid w:val="00DA1A2A"/>
    <w:rsid w:val="00DB0291"/>
    <w:rsid w:val="00DF0F0E"/>
    <w:rsid w:val="00E24383"/>
    <w:rsid w:val="00E30C14"/>
    <w:rsid w:val="00E34D49"/>
    <w:rsid w:val="00E34D61"/>
    <w:rsid w:val="00E4350E"/>
    <w:rsid w:val="00E72572"/>
    <w:rsid w:val="00E81FE1"/>
    <w:rsid w:val="00E82A43"/>
    <w:rsid w:val="00EB1B3C"/>
    <w:rsid w:val="00F12FEF"/>
    <w:rsid w:val="00F17515"/>
    <w:rsid w:val="00F212DB"/>
    <w:rsid w:val="00F532CC"/>
    <w:rsid w:val="00F5398F"/>
    <w:rsid w:val="00F611DF"/>
    <w:rsid w:val="00FC5249"/>
    <w:rsid w:val="00FE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98EEA"/>
  <w15:chartTrackingRefBased/>
  <w15:docId w15:val="{765902CA-A4EC-4AA1-9DD0-1D900535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93C"/>
    <w:pPr>
      <w:spacing w:line="256" w:lineRule="auto"/>
    </w:pPr>
    <w:rPr>
      <w:rFonts w:ascii="Arial" w:hAnsi="Arial"/>
      <w:sz w:val="20"/>
    </w:rPr>
  </w:style>
  <w:style w:type="paragraph" w:styleId="Heading1">
    <w:name w:val="heading 1"/>
    <w:basedOn w:val="Normal"/>
    <w:next w:val="Normal"/>
    <w:link w:val="Heading1Char"/>
    <w:uiPriority w:val="9"/>
    <w:qFormat/>
    <w:rsid w:val="005C293C"/>
    <w:pPr>
      <w:keepNext/>
      <w:keepLines/>
      <w:spacing w:before="480" w:after="240" w:line="240" w:lineRule="auto"/>
      <w:outlineLvl w:val="0"/>
    </w:pPr>
    <w:rPr>
      <w:rFonts w:eastAsia="Calibri" w:cstheme="majorBidi"/>
      <w:b/>
      <w:color w:val="224C52"/>
      <w:sz w:val="40"/>
      <w:szCs w:val="24"/>
    </w:rPr>
  </w:style>
  <w:style w:type="paragraph" w:styleId="Heading2">
    <w:name w:val="heading 2"/>
    <w:basedOn w:val="Normal"/>
    <w:next w:val="Normal"/>
    <w:link w:val="Heading2Char"/>
    <w:uiPriority w:val="9"/>
    <w:unhideWhenUsed/>
    <w:qFormat/>
    <w:rsid w:val="005C293C"/>
    <w:pPr>
      <w:keepNext/>
      <w:keepLines/>
      <w:spacing w:before="240" w:after="120" w:line="240" w:lineRule="auto"/>
      <w:outlineLvl w:val="1"/>
    </w:pPr>
    <w:rPr>
      <w:rFonts w:eastAsia="Calibri" w:cs="Times New Roman"/>
      <w:b/>
      <w:color w:val="3D7881"/>
      <w:sz w:val="32"/>
      <w:szCs w:val="24"/>
    </w:rPr>
  </w:style>
  <w:style w:type="paragraph" w:styleId="Heading3">
    <w:name w:val="heading 3"/>
    <w:basedOn w:val="Normal"/>
    <w:next w:val="Normal"/>
    <w:link w:val="Heading3Char"/>
    <w:uiPriority w:val="9"/>
    <w:unhideWhenUsed/>
    <w:qFormat/>
    <w:rsid w:val="005C293C"/>
    <w:pPr>
      <w:keepNext/>
      <w:keepLines/>
      <w:spacing w:before="120" w:after="120" w:line="240" w:lineRule="auto"/>
      <w:outlineLvl w:val="2"/>
    </w:pPr>
    <w:rPr>
      <w:rFonts w:ascii="Arial Bold" w:eastAsia="Times New Roman" w:hAnsi="Arial Bold" w:cs="Times New Roman"/>
      <w:b/>
      <w:bCs/>
      <w:color w:val="539FAB"/>
      <w:sz w:val="24"/>
    </w:rPr>
  </w:style>
  <w:style w:type="paragraph" w:styleId="Heading4">
    <w:name w:val="heading 4"/>
    <w:basedOn w:val="Normal"/>
    <w:next w:val="Normal"/>
    <w:link w:val="Heading4Char"/>
    <w:uiPriority w:val="9"/>
    <w:semiHidden/>
    <w:unhideWhenUsed/>
    <w:qFormat/>
    <w:rsid w:val="005C293C"/>
    <w:pPr>
      <w:keepNext/>
      <w:keepLines/>
      <w:spacing w:before="120" w:after="120" w:line="240" w:lineRule="auto"/>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semiHidden/>
    <w:unhideWhenUsed/>
    <w:qFormat/>
    <w:rsid w:val="005C293C"/>
    <w:pPr>
      <w:keepNext/>
      <w:keepLines/>
      <w:spacing w:before="40" w:after="120" w:line="257" w:lineRule="auto"/>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
    <w:name w:val="Boxed"/>
    <w:basedOn w:val="Normal"/>
    <w:link w:val="BoxedChar"/>
    <w:qFormat/>
    <w:rsid w:val="005C293C"/>
    <w:pPr>
      <w:pBdr>
        <w:top w:val="single" w:sz="4" w:space="10" w:color="A6A6A6" w:themeColor="background1" w:themeShade="A6"/>
        <w:left w:val="single" w:sz="4" w:space="4" w:color="A6A6A6" w:themeColor="background1" w:themeShade="A6"/>
        <w:bottom w:val="single" w:sz="4" w:space="10" w:color="A6A6A6" w:themeColor="background1" w:themeShade="A6"/>
        <w:right w:val="single" w:sz="4" w:space="4" w:color="A6A6A6" w:themeColor="background1" w:themeShade="A6"/>
      </w:pBdr>
      <w:spacing w:after="240" w:line="240" w:lineRule="auto"/>
    </w:pPr>
    <w:rPr>
      <w:b/>
      <w:sz w:val="22"/>
      <w:szCs w:val="24"/>
    </w:rPr>
  </w:style>
  <w:style w:type="character" w:customStyle="1" w:styleId="BoxedChar">
    <w:name w:val="Boxed Char"/>
    <w:basedOn w:val="DefaultParagraphFont"/>
    <w:link w:val="Boxed"/>
    <w:rsid w:val="005C293C"/>
    <w:rPr>
      <w:rFonts w:ascii="Arial" w:hAnsi="Arial"/>
      <w:b/>
      <w:szCs w:val="24"/>
    </w:rPr>
  </w:style>
  <w:style w:type="paragraph" w:customStyle="1" w:styleId="NumberedHeading1">
    <w:name w:val="Numbered Heading 1"/>
    <w:basedOn w:val="Heading1"/>
    <w:link w:val="NumberedHeading1Char"/>
    <w:qFormat/>
    <w:rsid w:val="00520AE4"/>
    <w:pPr>
      <w:numPr>
        <w:numId w:val="1"/>
      </w:numPr>
    </w:pPr>
    <w:rPr>
      <w:rFonts w:cs="Times New Roman"/>
    </w:rPr>
  </w:style>
  <w:style w:type="character" w:customStyle="1" w:styleId="NumberedHeading1Char">
    <w:name w:val="Numbered Heading 1 Char"/>
    <w:basedOn w:val="Heading1Char"/>
    <w:link w:val="NumberedHeading1"/>
    <w:rsid w:val="00520AE4"/>
    <w:rPr>
      <w:rFonts w:ascii="Arial" w:eastAsia="Calibri" w:hAnsi="Arial" w:cs="Times New Roman"/>
      <w:b/>
      <w:color w:val="224C52"/>
      <w:sz w:val="40"/>
      <w:szCs w:val="24"/>
    </w:rPr>
  </w:style>
  <w:style w:type="character" w:customStyle="1" w:styleId="Heading1Char">
    <w:name w:val="Heading 1 Char"/>
    <w:basedOn w:val="DefaultParagraphFont"/>
    <w:link w:val="Heading1"/>
    <w:uiPriority w:val="9"/>
    <w:rsid w:val="005C293C"/>
    <w:rPr>
      <w:rFonts w:ascii="Arial" w:eastAsia="Calibri" w:hAnsi="Arial" w:cstheme="majorBidi"/>
      <w:b/>
      <w:color w:val="224C52"/>
      <w:sz w:val="40"/>
      <w:szCs w:val="24"/>
    </w:rPr>
  </w:style>
  <w:style w:type="paragraph" w:customStyle="1" w:styleId="SWADisclaimerheading">
    <w:name w:val="SWA Disclaimer heading"/>
    <w:basedOn w:val="Normal"/>
    <w:link w:val="SWADisclaimerheadingChar"/>
    <w:qFormat/>
    <w:rsid w:val="005C293C"/>
    <w:pPr>
      <w:spacing w:before="120" w:after="120" w:line="276" w:lineRule="auto"/>
    </w:pPr>
    <w:rPr>
      <w:rFonts w:eastAsiaTheme="majorEastAsia" w:cstheme="majorBidi"/>
      <w:b/>
      <w:color w:val="224C52"/>
      <w:spacing w:val="-3"/>
      <w:sz w:val="14"/>
      <w:szCs w:val="14"/>
    </w:rPr>
  </w:style>
  <w:style w:type="character" w:customStyle="1" w:styleId="SWADisclaimerheadingChar">
    <w:name w:val="SWA Disclaimer heading Char"/>
    <w:basedOn w:val="DefaultParagraphFont"/>
    <w:link w:val="SWADisclaimerheading"/>
    <w:rsid w:val="005C293C"/>
    <w:rPr>
      <w:rFonts w:ascii="Arial" w:eastAsiaTheme="majorEastAsia" w:hAnsi="Arial" w:cstheme="majorBidi"/>
      <w:b/>
      <w:color w:val="224C52"/>
      <w:spacing w:val="-3"/>
      <w:sz w:val="14"/>
      <w:szCs w:val="14"/>
    </w:rPr>
  </w:style>
  <w:style w:type="paragraph" w:customStyle="1" w:styleId="Pulloutquote">
    <w:name w:val="Pull out quote"/>
    <w:basedOn w:val="Boxed"/>
    <w:link w:val="PulloutquoteChar"/>
    <w:qFormat/>
    <w:rsid w:val="00D06470"/>
    <w:pPr>
      <w:pBdr>
        <w:top w:val="none" w:sz="0" w:space="0" w:color="auto"/>
        <w:left w:val="single" w:sz="24" w:space="10" w:color="61C2D3"/>
        <w:bottom w:val="none" w:sz="0" w:space="0" w:color="auto"/>
        <w:right w:val="none" w:sz="0" w:space="0" w:color="auto"/>
      </w:pBdr>
      <w:ind w:left="720"/>
    </w:pPr>
    <w:rPr>
      <w:b w:val="0"/>
      <w:sz w:val="20"/>
    </w:rPr>
  </w:style>
  <w:style w:type="character" w:customStyle="1" w:styleId="PulloutquoteChar">
    <w:name w:val="Pull out quote Char"/>
    <w:basedOn w:val="BoxedChar"/>
    <w:link w:val="Pulloutquote"/>
    <w:rsid w:val="00D06470"/>
    <w:rPr>
      <w:rFonts w:ascii="Arial" w:hAnsi="Arial"/>
      <w:b w:val="0"/>
      <w:sz w:val="20"/>
      <w:szCs w:val="24"/>
    </w:rPr>
  </w:style>
  <w:style w:type="character" w:customStyle="1" w:styleId="Heading2Char">
    <w:name w:val="Heading 2 Char"/>
    <w:basedOn w:val="DefaultParagraphFont"/>
    <w:link w:val="Heading2"/>
    <w:uiPriority w:val="9"/>
    <w:rsid w:val="005C293C"/>
    <w:rPr>
      <w:rFonts w:ascii="Arial" w:eastAsia="Calibri" w:hAnsi="Arial" w:cs="Times New Roman"/>
      <w:b/>
      <w:color w:val="3D7881"/>
      <w:sz w:val="32"/>
      <w:szCs w:val="24"/>
    </w:rPr>
  </w:style>
  <w:style w:type="character" w:customStyle="1" w:styleId="Heading3Char">
    <w:name w:val="Heading 3 Char"/>
    <w:basedOn w:val="DefaultParagraphFont"/>
    <w:link w:val="Heading3"/>
    <w:uiPriority w:val="9"/>
    <w:rsid w:val="005C293C"/>
    <w:rPr>
      <w:rFonts w:ascii="Arial Bold" w:eastAsia="Times New Roman" w:hAnsi="Arial Bold" w:cs="Times New Roman"/>
      <w:b/>
      <w:bCs/>
      <w:color w:val="539FAB"/>
      <w:sz w:val="24"/>
    </w:rPr>
  </w:style>
  <w:style w:type="character" w:customStyle="1" w:styleId="Heading4Char">
    <w:name w:val="Heading 4 Char"/>
    <w:basedOn w:val="DefaultParagraphFont"/>
    <w:link w:val="Heading4"/>
    <w:uiPriority w:val="9"/>
    <w:semiHidden/>
    <w:rsid w:val="005C293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C293C"/>
    <w:rPr>
      <w:rFonts w:asciiTheme="majorHAnsi" w:eastAsiaTheme="majorEastAsia" w:hAnsiTheme="majorHAnsi" w:cstheme="majorBidi"/>
      <w:color w:val="2E74B5" w:themeColor="accent1" w:themeShade="BF"/>
      <w:sz w:val="28"/>
    </w:rPr>
  </w:style>
  <w:style w:type="paragraph" w:styleId="Caption">
    <w:name w:val="caption"/>
    <w:basedOn w:val="Normal"/>
    <w:next w:val="Normal"/>
    <w:uiPriority w:val="35"/>
    <w:semiHidden/>
    <w:unhideWhenUsed/>
    <w:qFormat/>
    <w:rsid w:val="005C293C"/>
    <w:pPr>
      <w:spacing w:after="200" w:line="240" w:lineRule="auto"/>
    </w:pPr>
    <w:rPr>
      <w:i/>
      <w:iCs/>
      <w:color w:val="44546A" w:themeColor="text2"/>
      <w:sz w:val="18"/>
      <w:szCs w:val="18"/>
    </w:rPr>
  </w:style>
  <w:style w:type="paragraph" w:styleId="ListBullet">
    <w:name w:val="List Bullet"/>
    <w:basedOn w:val="Normal"/>
    <w:qFormat/>
    <w:rsid w:val="005C293C"/>
    <w:pPr>
      <w:numPr>
        <w:numId w:val="6"/>
      </w:numPr>
      <w:spacing w:after="120" w:line="240" w:lineRule="auto"/>
    </w:pPr>
    <w:rPr>
      <w:rFonts w:eastAsia="Times New Roman" w:cs="Times New Roman"/>
      <w:sz w:val="22"/>
      <w:szCs w:val="24"/>
    </w:rPr>
  </w:style>
  <w:style w:type="paragraph" w:styleId="Title">
    <w:name w:val="Title"/>
    <w:basedOn w:val="Normal"/>
    <w:next w:val="Normal"/>
    <w:link w:val="TitleChar"/>
    <w:uiPriority w:val="10"/>
    <w:qFormat/>
    <w:rsid w:val="00D06470"/>
    <w:pPr>
      <w:pBdr>
        <w:top w:val="single" w:sz="18" w:space="6" w:color="61C2D2"/>
        <w:left w:val="single" w:sz="18" w:space="6" w:color="61C2D2"/>
        <w:bottom w:val="single" w:sz="18" w:space="6" w:color="61C2D2"/>
        <w:right w:val="single" w:sz="18" w:space="6" w:color="61C2D2"/>
      </w:pBdr>
      <w:shd w:val="clear" w:color="auto" w:fill="61C2D2"/>
      <w:spacing w:after="0" w:line="240" w:lineRule="auto"/>
      <w:contextualSpacing/>
    </w:pPr>
    <w:rPr>
      <w:rFonts w:ascii="Arial Black" w:eastAsia="Calibri" w:hAnsi="Arial Black" w:cs="Times New Roman"/>
      <w:b/>
      <w:caps/>
      <w:color w:val="FFFFFF" w:themeColor="background1"/>
      <w:spacing w:val="-10"/>
      <w:kern w:val="28"/>
      <w:sz w:val="40"/>
      <w:szCs w:val="48"/>
      <w:lang w:val="en-US"/>
    </w:rPr>
  </w:style>
  <w:style w:type="character" w:customStyle="1" w:styleId="TitleChar">
    <w:name w:val="Title Char"/>
    <w:basedOn w:val="DefaultParagraphFont"/>
    <w:link w:val="Title"/>
    <w:uiPriority w:val="10"/>
    <w:rsid w:val="00D06470"/>
    <w:rPr>
      <w:rFonts w:ascii="Arial Black" w:eastAsia="Calibri" w:hAnsi="Arial Black" w:cs="Times New Roman"/>
      <w:b/>
      <w:caps/>
      <w:color w:val="FFFFFF" w:themeColor="background1"/>
      <w:spacing w:val="-10"/>
      <w:kern w:val="28"/>
      <w:sz w:val="40"/>
      <w:szCs w:val="48"/>
      <w:shd w:val="clear" w:color="auto" w:fill="61C2D2"/>
      <w:lang w:val="en-US"/>
    </w:rPr>
  </w:style>
  <w:style w:type="paragraph" w:styleId="Subtitle">
    <w:name w:val="Subtitle"/>
    <w:basedOn w:val="Normal"/>
    <w:next w:val="Normal"/>
    <w:link w:val="SubtitleChar"/>
    <w:uiPriority w:val="11"/>
    <w:qFormat/>
    <w:rsid w:val="005C293C"/>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C293C"/>
    <w:rPr>
      <w:rFonts w:eastAsiaTheme="minorEastAsia"/>
      <w:color w:val="5A5A5A" w:themeColor="text1" w:themeTint="A5"/>
      <w:spacing w:val="15"/>
    </w:rPr>
  </w:style>
  <w:style w:type="character" w:styleId="Emphasis">
    <w:name w:val="Emphasis"/>
    <w:basedOn w:val="DefaultParagraphFont"/>
    <w:uiPriority w:val="20"/>
    <w:qFormat/>
    <w:rsid w:val="005C293C"/>
    <w:rPr>
      <w:i/>
      <w:iCs/>
    </w:rPr>
  </w:style>
  <w:style w:type="paragraph" w:styleId="ListParagraph">
    <w:name w:val="List Paragraph"/>
    <w:aliases w:val="Bullet,SWA List Paragraph,Indent"/>
    <w:basedOn w:val="Normal"/>
    <w:link w:val="ListParagraphChar"/>
    <w:uiPriority w:val="34"/>
    <w:qFormat/>
    <w:rsid w:val="005C293C"/>
    <w:pPr>
      <w:numPr>
        <w:numId w:val="4"/>
      </w:numPr>
      <w:spacing w:after="120" w:line="257" w:lineRule="auto"/>
      <w:ind w:left="709" w:hanging="357"/>
    </w:pPr>
  </w:style>
  <w:style w:type="character" w:customStyle="1" w:styleId="ListParagraphChar">
    <w:name w:val="List Paragraph Char"/>
    <w:aliases w:val="Bullet Char,SWA List Paragraph Char,Indent Char"/>
    <w:basedOn w:val="DefaultParagraphFont"/>
    <w:link w:val="ListParagraph"/>
    <w:uiPriority w:val="34"/>
    <w:rsid w:val="005C293C"/>
    <w:rPr>
      <w:rFonts w:ascii="Arial" w:hAnsi="Arial"/>
      <w:sz w:val="20"/>
    </w:rPr>
  </w:style>
  <w:style w:type="paragraph" w:styleId="IntenseQuote">
    <w:name w:val="Intense Quote"/>
    <w:basedOn w:val="Normal"/>
    <w:next w:val="Normal"/>
    <w:link w:val="IntenseQuoteChar"/>
    <w:uiPriority w:val="30"/>
    <w:qFormat/>
    <w:rsid w:val="005C293C"/>
    <w:pPr>
      <w:pBdr>
        <w:top w:val="single" w:sz="4" w:space="10" w:color="C10A27"/>
        <w:bottom w:val="single" w:sz="4" w:space="10" w:color="C10A27"/>
      </w:pBdr>
      <w:spacing w:before="360" w:after="360"/>
      <w:ind w:left="864" w:right="864"/>
      <w:jc w:val="center"/>
    </w:pPr>
    <w:rPr>
      <w:i/>
      <w:iCs/>
      <w:color w:val="000000" w:themeColor="text1"/>
      <w:sz w:val="22"/>
    </w:rPr>
  </w:style>
  <w:style w:type="character" w:customStyle="1" w:styleId="IntenseQuoteChar">
    <w:name w:val="Intense Quote Char"/>
    <w:basedOn w:val="DefaultParagraphFont"/>
    <w:link w:val="IntenseQuote"/>
    <w:uiPriority w:val="30"/>
    <w:rsid w:val="005C293C"/>
    <w:rPr>
      <w:rFonts w:ascii="Arial" w:hAnsi="Arial"/>
      <w:i/>
      <w:iCs/>
      <w:color w:val="000000" w:themeColor="text1"/>
    </w:rPr>
  </w:style>
  <w:style w:type="character" w:styleId="SubtleEmphasis">
    <w:name w:val="Subtle Emphasis"/>
    <w:basedOn w:val="DefaultParagraphFont"/>
    <w:uiPriority w:val="19"/>
    <w:qFormat/>
    <w:rsid w:val="005C293C"/>
    <w:rPr>
      <w:i/>
      <w:iCs/>
      <w:color w:val="404040" w:themeColor="text1" w:themeTint="BF"/>
    </w:rPr>
  </w:style>
  <w:style w:type="character" w:styleId="BookTitle">
    <w:name w:val="Book Title"/>
    <w:basedOn w:val="DefaultParagraphFont"/>
    <w:uiPriority w:val="33"/>
    <w:qFormat/>
    <w:rsid w:val="005C293C"/>
    <w:rPr>
      <w:b/>
      <w:bCs/>
      <w:i/>
      <w:iCs/>
      <w:spacing w:val="5"/>
    </w:rPr>
  </w:style>
  <w:style w:type="paragraph" w:styleId="TOCHeading">
    <w:name w:val="TOC Heading"/>
    <w:basedOn w:val="Heading1"/>
    <w:next w:val="Normal"/>
    <w:uiPriority w:val="39"/>
    <w:semiHidden/>
    <w:unhideWhenUsed/>
    <w:qFormat/>
    <w:rsid w:val="005C293C"/>
    <w:pPr>
      <w:spacing w:before="0" w:after="0"/>
      <w:outlineLvl w:val="9"/>
    </w:pPr>
    <w:rPr>
      <w:rFonts w:cs="Times New Roman"/>
      <w:b w:val="0"/>
      <w:color w:val="FFFFFF" w:themeColor="background1"/>
      <w:sz w:val="24"/>
      <w:lang w:val="en-US"/>
    </w:rPr>
  </w:style>
  <w:style w:type="paragraph" w:styleId="Header">
    <w:name w:val="header"/>
    <w:basedOn w:val="Normal"/>
    <w:link w:val="HeaderChar"/>
    <w:uiPriority w:val="99"/>
    <w:unhideWhenUsed/>
    <w:rsid w:val="005C2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3C"/>
    <w:rPr>
      <w:rFonts w:ascii="Arial" w:hAnsi="Arial"/>
      <w:sz w:val="20"/>
    </w:rPr>
  </w:style>
  <w:style w:type="paragraph" w:styleId="Footer">
    <w:name w:val="footer"/>
    <w:basedOn w:val="Normal"/>
    <w:link w:val="FooterChar"/>
    <w:uiPriority w:val="99"/>
    <w:unhideWhenUsed/>
    <w:rsid w:val="005C2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3C"/>
    <w:rPr>
      <w:rFonts w:ascii="Arial" w:hAnsi="Arial"/>
      <w:sz w:val="20"/>
    </w:rPr>
  </w:style>
  <w:style w:type="table" w:styleId="TableGrid">
    <w:name w:val="Table Grid"/>
    <w:basedOn w:val="TableNormal"/>
    <w:uiPriority w:val="59"/>
    <w:rsid w:val="005C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470"/>
    <w:rPr>
      <w:color w:val="0563C1" w:themeColor="hyperlink"/>
      <w:u w:val="single"/>
    </w:rPr>
  </w:style>
  <w:style w:type="paragraph" w:customStyle="1" w:styleId="IWHGBodycopy">
    <w:name w:val="IWHG Body copy"/>
    <w:basedOn w:val="Normal"/>
    <w:link w:val="IWHGBodycopyChar"/>
    <w:autoRedefine/>
    <w:qFormat/>
    <w:rsid w:val="00D06470"/>
    <w:pPr>
      <w:suppressAutoHyphens/>
      <w:autoSpaceDE w:val="0"/>
      <w:autoSpaceDN w:val="0"/>
      <w:adjustRightInd w:val="0"/>
      <w:spacing w:after="0" w:line="240" w:lineRule="auto"/>
      <w:ind w:right="113"/>
      <w:textAlignment w:val="center"/>
    </w:pPr>
    <w:rPr>
      <w:rFonts w:eastAsia="Calibri" w:cs="Arial"/>
      <w:bCs/>
      <w:szCs w:val="18"/>
    </w:rPr>
  </w:style>
  <w:style w:type="character" w:customStyle="1" w:styleId="IWHGBodycopyChar">
    <w:name w:val="IWHG Body copy Char"/>
    <w:basedOn w:val="DefaultParagraphFont"/>
    <w:link w:val="IWHGBodycopy"/>
    <w:rsid w:val="00D06470"/>
    <w:rPr>
      <w:rFonts w:ascii="Arial" w:eastAsia="Calibri" w:hAnsi="Arial" w:cs="Arial"/>
      <w:bCs/>
      <w:sz w:val="20"/>
      <w:szCs w:val="18"/>
    </w:rPr>
  </w:style>
  <w:style w:type="table" w:customStyle="1" w:styleId="TableGrid1">
    <w:name w:val="Table Grid1"/>
    <w:basedOn w:val="TableNormal"/>
    <w:next w:val="TableGrid"/>
    <w:uiPriority w:val="39"/>
    <w:rsid w:val="005D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13"/>
    <w:rPr>
      <w:rFonts w:ascii="Segoe UI" w:hAnsi="Segoe UI" w:cs="Segoe UI"/>
      <w:sz w:val="18"/>
      <w:szCs w:val="18"/>
    </w:rPr>
  </w:style>
  <w:style w:type="character" w:styleId="FollowedHyperlink">
    <w:name w:val="FollowedHyperlink"/>
    <w:basedOn w:val="DefaultParagraphFont"/>
    <w:uiPriority w:val="99"/>
    <w:semiHidden/>
    <w:unhideWhenUsed/>
    <w:rsid w:val="00F12FEF"/>
    <w:rPr>
      <w:color w:val="954F72" w:themeColor="followedHyperlink"/>
      <w:u w:val="single"/>
    </w:rPr>
  </w:style>
  <w:style w:type="character" w:styleId="CommentReference">
    <w:name w:val="annotation reference"/>
    <w:basedOn w:val="DefaultParagraphFont"/>
    <w:uiPriority w:val="99"/>
    <w:semiHidden/>
    <w:unhideWhenUsed/>
    <w:rsid w:val="00D0653C"/>
    <w:rPr>
      <w:sz w:val="16"/>
      <w:szCs w:val="16"/>
    </w:rPr>
  </w:style>
  <w:style w:type="paragraph" w:styleId="CommentText">
    <w:name w:val="annotation text"/>
    <w:basedOn w:val="Normal"/>
    <w:link w:val="CommentTextChar"/>
    <w:uiPriority w:val="99"/>
    <w:semiHidden/>
    <w:unhideWhenUsed/>
    <w:rsid w:val="00D0653C"/>
    <w:pPr>
      <w:spacing w:line="240" w:lineRule="auto"/>
    </w:pPr>
    <w:rPr>
      <w:szCs w:val="20"/>
    </w:rPr>
  </w:style>
  <w:style w:type="character" w:customStyle="1" w:styleId="CommentTextChar">
    <w:name w:val="Comment Text Char"/>
    <w:basedOn w:val="DefaultParagraphFont"/>
    <w:link w:val="CommentText"/>
    <w:uiPriority w:val="99"/>
    <w:semiHidden/>
    <w:rsid w:val="00D065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653C"/>
    <w:rPr>
      <w:b/>
      <w:bCs/>
    </w:rPr>
  </w:style>
  <w:style w:type="character" w:customStyle="1" w:styleId="CommentSubjectChar">
    <w:name w:val="Comment Subject Char"/>
    <w:basedOn w:val="CommentTextChar"/>
    <w:link w:val="CommentSubject"/>
    <w:uiPriority w:val="99"/>
    <w:semiHidden/>
    <w:rsid w:val="00D0653C"/>
    <w:rPr>
      <w:rFonts w:ascii="Arial" w:hAnsi="Arial"/>
      <w:b/>
      <w:bCs/>
      <w:sz w:val="20"/>
      <w:szCs w:val="20"/>
    </w:rPr>
  </w:style>
  <w:style w:type="table" w:customStyle="1" w:styleId="TableGrid2">
    <w:name w:val="Table Grid2"/>
    <w:basedOn w:val="TableNormal"/>
    <w:next w:val="TableGrid"/>
    <w:uiPriority w:val="59"/>
    <w:rsid w:val="00E8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feworkaustralia.gov.au/collection/national-return-work-survey-2018"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workaustralia.gov.au/doc/national-dataset-compensation-based-statistics-3rd-edition-revision-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national-return-work-strategy-2020-20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9F79-DB28-4A0A-9419-1C655DDF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7274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RICHARDSON,Anna</cp:lastModifiedBy>
  <cp:revision>2</cp:revision>
  <dcterms:created xsi:type="dcterms:W3CDTF">2020-06-10T03:21:00Z</dcterms:created>
  <dcterms:modified xsi:type="dcterms:W3CDTF">2020-06-10T03:21:00Z</dcterms:modified>
</cp:coreProperties>
</file>