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15130" w14:textId="03E0325F" w:rsidR="001D7C48" w:rsidRPr="00086AB2" w:rsidRDefault="00D93660" w:rsidP="002A170E">
      <w:pPr>
        <w:pStyle w:val="SWACoverintroparagraph"/>
        <w:ind w:left="-238"/>
        <w:sectPr w:rsidR="001D7C48" w:rsidRPr="00086AB2" w:rsidSect="00D93660">
          <w:footerReference w:type="default" r:id="rId8"/>
          <w:headerReference w:type="first" r:id="rId9"/>
          <w:footerReference w:type="first" r:id="rId10"/>
          <w:type w:val="continuous"/>
          <w:pgSz w:w="11906" w:h="16838" w:code="9"/>
          <w:pgMar w:top="993" w:right="244" w:bottom="249" w:left="238" w:header="0" w:footer="0" w:gutter="0"/>
          <w:cols w:space="242"/>
          <w:titlePg/>
          <w:docGrid w:linePitch="360"/>
        </w:sectPr>
      </w:pPr>
      <w:r>
        <w:rPr>
          <w:noProof/>
        </w:rPr>
        <w:drawing>
          <wp:anchor distT="0" distB="0" distL="114300" distR="114300" simplePos="0" relativeHeight="251658240" behindDoc="0" locked="0" layoutInCell="1" allowOverlap="1" wp14:anchorId="137683D7" wp14:editId="41412840">
            <wp:simplePos x="0" y="0"/>
            <wp:positionH relativeFrom="page">
              <wp:posOffset>-8255</wp:posOffset>
            </wp:positionH>
            <wp:positionV relativeFrom="paragraph">
              <wp:posOffset>-611876</wp:posOffset>
            </wp:positionV>
            <wp:extent cx="7548113" cy="1067664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8113" cy="10676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AB6B2" w14:textId="77777777" w:rsidR="004F2B63" w:rsidRPr="001D7C48" w:rsidRDefault="004F2B63" w:rsidP="004F2B63">
      <w:pPr>
        <w:pStyle w:val="SWADisclaimerheading"/>
      </w:pPr>
      <w:bookmarkStart w:id="0" w:name="_Hlk54961234"/>
      <w:r w:rsidRPr="001D7C48">
        <w:lastRenderedPageBreak/>
        <w:t>Disclaimer</w:t>
      </w:r>
    </w:p>
    <w:p w14:paraId="3F7F9645" w14:textId="77777777" w:rsidR="004F2B63" w:rsidRDefault="004F2B63" w:rsidP="004F2B63">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CB4AA1D" w14:textId="77777777" w:rsidR="004F2B63" w:rsidRDefault="004F2B63" w:rsidP="004F2B63">
      <w:pPr>
        <w:pStyle w:val="SWADisclaimerbodytext"/>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2A8A4944" w14:textId="77777777" w:rsidR="007F03B6" w:rsidRPr="00077D9A" w:rsidRDefault="00A93A35" w:rsidP="008C746B">
      <w:pPr>
        <w:autoSpaceDE w:val="0"/>
        <w:autoSpaceDN w:val="0"/>
        <w:rPr>
          <w:b/>
          <w:bCs/>
          <w:color w:val="000000"/>
          <w:sz w:val="14"/>
          <w:szCs w:val="14"/>
          <w:lang w:eastAsia="ko-KR"/>
        </w:rPr>
      </w:pPr>
      <w:r w:rsidRPr="00077D9A">
        <w:rPr>
          <w:b/>
          <w:bCs/>
          <w:color w:val="000000"/>
          <w:sz w:val="14"/>
          <w:szCs w:val="14"/>
          <w:lang w:eastAsia="ko-KR"/>
        </w:rPr>
        <w:t>ISSN 2209-9158</w:t>
      </w:r>
    </w:p>
    <w:p w14:paraId="20DD15BE" w14:textId="77777777" w:rsidR="004F2B63" w:rsidRPr="008530EB" w:rsidRDefault="004F2B63" w:rsidP="004F2B63">
      <w:pPr>
        <w:pStyle w:val="SWADisclaimerheading"/>
      </w:pPr>
      <w:r>
        <w:t>Creative Commons</w:t>
      </w:r>
    </w:p>
    <w:p w14:paraId="5C97D97C" w14:textId="77777777" w:rsidR="004F2B63" w:rsidRPr="00A034C4" w:rsidRDefault="004F2B63" w:rsidP="004F2B63">
      <w:pPr>
        <w:pStyle w:val="SWADisclaimerheading"/>
        <w:rPr>
          <w:rFonts w:eastAsia="Times New Roman" w:cs="Times New Roman"/>
          <w:b w:val="0"/>
          <w:color w:val="auto"/>
          <w:spacing w:val="0"/>
          <w:lang w:eastAsia="en-AU"/>
        </w:rPr>
      </w:pPr>
      <w:proofErr w:type="gramStart"/>
      <w:r w:rsidRPr="003770DC">
        <w:rPr>
          <w:rFonts w:eastAsia="Times New Roman" w:cs="Times New Roman"/>
          <w:b w:val="0"/>
          <w:color w:val="auto"/>
          <w:spacing w:val="0"/>
          <w:lang w:eastAsia="en-AU"/>
        </w:rPr>
        <w:t>With the exception of</w:t>
      </w:r>
      <w:proofErr w:type="gramEnd"/>
      <w:r w:rsidRPr="003770DC">
        <w:rPr>
          <w:rFonts w:eastAsia="Times New Roman" w:cs="Times New Roman"/>
          <w:b w:val="0"/>
          <w:color w:val="auto"/>
          <w:spacing w:val="0"/>
          <w:lang w:eastAsia="en-AU"/>
        </w:rPr>
        <w:t xml:space="preserve">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w:t>
      </w:r>
      <w:proofErr w:type="gramStart"/>
      <w:r w:rsidRPr="003770DC">
        <w:rPr>
          <w:rFonts w:eastAsia="Times New Roman" w:cs="Times New Roman"/>
          <w:b w:val="0"/>
          <w:color w:val="auto"/>
          <w:spacing w:val="0"/>
          <w:lang w:eastAsia="en-AU"/>
        </w:rPr>
        <w:t>In essence, you</w:t>
      </w:r>
      <w:proofErr w:type="gramEnd"/>
      <w:r w:rsidRPr="003770DC">
        <w:rPr>
          <w:rFonts w:eastAsia="Times New Roman" w:cs="Times New Roman"/>
          <w:b w:val="0"/>
          <w:color w:val="auto"/>
          <w:spacing w:val="0"/>
          <w:lang w:eastAsia="en-AU"/>
        </w:rPr>
        <w:t xml:space="preserve"> are free to copy, communicate and adapt the work, even commercially, as long as you attribute the work to Safe Work Australia and abide by the other licence terms.</w:t>
      </w:r>
    </w:p>
    <w:p w14:paraId="487F647B" w14:textId="77777777" w:rsidR="004F2B63" w:rsidRPr="00A034C4" w:rsidRDefault="004F2B63" w:rsidP="004F2B63">
      <w:pPr>
        <w:pStyle w:val="SWADisclaimerheading"/>
        <w:rPr>
          <w:color w:val="145B85"/>
        </w:rPr>
      </w:pPr>
      <w:r>
        <w:t>Contact information</w:t>
      </w:r>
    </w:p>
    <w:p w14:paraId="5A3E94E1" w14:textId="6BD82233" w:rsidR="004F2B63" w:rsidRPr="00D60313" w:rsidRDefault="004F2B63" w:rsidP="004F2B63">
      <w:pPr>
        <w:pStyle w:val="SWADisclaimerheading"/>
        <w:sectPr w:rsidR="004F2B63" w:rsidRPr="00D60313" w:rsidSect="004F2B63">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2"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3" w:history="1">
        <w:r w:rsidRPr="00A034C4">
          <w:rPr>
            <w:rStyle w:val="Hyperlink"/>
            <w:rFonts w:eastAsia="Times New Roman" w:cs="Times New Roman"/>
            <w:b w:val="0"/>
            <w:spacing w:val="0"/>
            <w:lang w:eastAsia="en-AU"/>
          </w:rPr>
          <w:t>www.swa.gov.au</w:t>
        </w:r>
      </w:hyperlink>
    </w:p>
    <w:bookmarkEnd w:id="0" w:displacedByCustomXml="next"/>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13244DF7" w14:textId="77777777" w:rsidR="00D60313" w:rsidRPr="00086AB2" w:rsidRDefault="00D60313" w:rsidP="00B51041">
          <w:pPr>
            <w:pStyle w:val="TOCHeading"/>
          </w:pPr>
          <w:r w:rsidRPr="00086AB2">
            <w:t>Contents</w:t>
          </w:r>
        </w:p>
        <w:p w14:paraId="2F5803B6" w14:textId="1F82A5FA" w:rsidR="001547F2" w:rsidRDefault="00C00338">
          <w:pPr>
            <w:pStyle w:val="TOC1"/>
            <w:rPr>
              <w:rFonts w:asciiTheme="minorHAnsi" w:eastAsiaTheme="minorEastAsia" w:hAnsiTheme="minorHAnsi" w:cstheme="minorBidi"/>
              <w:sz w:val="22"/>
              <w:szCs w:val="22"/>
            </w:rPr>
          </w:pPr>
          <w:r w:rsidRPr="00086AB2">
            <w:fldChar w:fldCharType="begin"/>
          </w:r>
          <w:r w:rsidRPr="00086AB2">
            <w:instrText xml:space="preserve"> TOC \h \z \t "Title,1,SWA Section numbering heading,1,SWA Section title,1,SWA Section num 2,2" </w:instrText>
          </w:r>
          <w:r w:rsidRPr="00086AB2">
            <w:fldChar w:fldCharType="separate"/>
          </w:r>
          <w:hyperlink w:anchor="_Toc55294224" w:history="1">
            <w:r w:rsidR="001547F2" w:rsidRPr="005C5772">
              <w:rPr>
                <w:rStyle w:val="Hyperlink"/>
              </w:rPr>
              <w:t>Foreword</w:t>
            </w:r>
            <w:r w:rsidR="001547F2">
              <w:rPr>
                <w:webHidden/>
              </w:rPr>
              <w:tab/>
            </w:r>
            <w:r w:rsidR="001547F2">
              <w:rPr>
                <w:webHidden/>
              </w:rPr>
              <w:fldChar w:fldCharType="begin"/>
            </w:r>
            <w:r w:rsidR="001547F2">
              <w:rPr>
                <w:webHidden/>
              </w:rPr>
              <w:instrText xml:space="preserve"> PAGEREF _Toc55294224 \h </w:instrText>
            </w:r>
            <w:r w:rsidR="001547F2">
              <w:rPr>
                <w:webHidden/>
              </w:rPr>
            </w:r>
            <w:r w:rsidR="001547F2">
              <w:rPr>
                <w:webHidden/>
              </w:rPr>
              <w:fldChar w:fldCharType="separate"/>
            </w:r>
            <w:r w:rsidR="00E326E7">
              <w:rPr>
                <w:webHidden/>
              </w:rPr>
              <w:t>6</w:t>
            </w:r>
            <w:r w:rsidR="001547F2">
              <w:rPr>
                <w:webHidden/>
              </w:rPr>
              <w:fldChar w:fldCharType="end"/>
            </w:r>
          </w:hyperlink>
        </w:p>
        <w:p w14:paraId="5E9334EE" w14:textId="3EC612B4" w:rsidR="001547F2" w:rsidRDefault="00772B12">
          <w:pPr>
            <w:pStyle w:val="TOC1"/>
            <w:rPr>
              <w:rFonts w:asciiTheme="minorHAnsi" w:eastAsiaTheme="minorEastAsia" w:hAnsiTheme="minorHAnsi" w:cstheme="minorBidi"/>
              <w:sz w:val="22"/>
              <w:szCs w:val="22"/>
            </w:rPr>
          </w:pPr>
          <w:hyperlink w:anchor="_Toc55294225" w:history="1">
            <w:r w:rsidR="001547F2" w:rsidRPr="005C5772">
              <w:rPr>
                <w:rStyle w:val="Hyperlink"/>
                <w:caps/>
              </w:rPr>
              <w:t>1.</w:t>
            </w:r>
            <w:r w:rsidR="001547F2">
              <w:rPr>
                <w:rFonts w:asciiTheme="minorHAnsi" w:eastAsiaTheme="minorEastAsia" w:hAnsiTheme="minorHAnsi" w:cstheme="minorBidi"/>
                <w:sz w:val="22"/>
                <w:szCs w:val="22"/>
              </w:rPr>
              <w:tab/>
            </w:r>
            <w:r w:rsidR="001547F2" w:rsidRPr="005C5772">
              <w:rPr>
                <w:rStyle w:val="Hyperlink"/>
              </w:rPr>
              <w:t>Serious claims</w:t>
            </w:r>
            <w:r w:rsidR="001547F2">
              <w:rPr>
                <w:webHidden/>
              </w:rPr>
              <w:tab/>
            </w:r>
            <w:r w:rsidR="001547F2">
              <w:rPr>
                <w:webHidden/>
              </w:rPr>
              <w:fldChar w:fldCharType="begin"/>
            </w:r>
            <w:r w:rsidR="001547F2">
              <w:rPr>
                <w:webHidden/>
              </w:rPr>
              <w:instrText xml:space="preserve"> PAGEREF _Toc55294225 \h </w:instrText>
            </w:r>
            <w:r w:rsidR="001547F2">
              <w:rPr>
                <w:webHidden/>
              </w:rPr>
            </w:r>
            <w:r w:rsidR="001547F2">
              <w:rPr>
                <w:webHidden/>
              </w:rPr>
              <w:fldChar w:fldCharType="separate"/>
            </w:r>
            <w:r w:rsidR="00E326E7">
              <w:rPr>
                <w:webHidden/>
              </w:rPr>
              <w:t>10</w:t>
            </w:r>
            <w:r w:rsidR="001547F2">
              <w:rPr>
                <w:webHidden/>
              </w:rPr>
              <w:fldChar w:fldCharType="end"/>
            </w:r>
          </w:hyperlink>
        </w:p>
        <w:p w14:paraId="50628A2B" w14:textId="52A80962" w:rsidR="001547F2" w:rsidRDefault="00772B12">
          <w:pPr>
            <w:pStyle w:val="TOC2"/>
            <w:rPr>
              <w:rFonts w:asciiTheme="minorHAnsi" w:eastAsiaTheme="minorEastAsia" w:hAnsiTheme="minorHAnsi" w:cstheme="minorBidi"/>
              <w:noProof/>
              <w:sz w:val="22"/>
              <w:szCs w:val="22"/>
            </w:rPr>
          </w:pPr>
          <w:hyperlink w:anchor="_Toc55294226" w:history="1">
            <w:r w:rsidR="001547F2" w:rsidRPr="005C5772">
              <w:rPr>
                <w:rStyle w:val="Hyperlink"/>
                <w:noProof/>
              </w:rPr>
              <w:t>1.1</w:t>
            </w:r>
            <w:r w:rsidR="001547F2">
              <w:rPr>
                <w:rFonts w:asciiTheme="minorHAnsi" w:eastAsiaTheme="minorEastAsia" w:hAnsiTheme="minorHAnsi" w:cstheme="minorBidi"/>
                <w:noProof/>
                <w:sz w:val="22"/>
                <w:szCs w:val="22"/>
              </w:rPr>
              <w:tab/>
            </w:r>
            <w:r w:rsidR="001547F2" w:rsidRPr="005C5772">
              <w:rPr>
                <w:rStyle w:val="Hyperlink"/>
                <w:noProof/>
              </w:rPr>
              <w:t xml:space="preserve">Incidence rate </w:t>
            </w:r>
            <w:r w:rsidR="001547F2">
              <w:rPr>
                <w:noProof/>
                <w:webHidden/>
              </w:rPr>
              <w:tab/>
            </w:r>
            <w:r w:rsidR="001547F2">
              <w:rPr>
                <w:noProof/>
                <w:webHidden/>
              </w:rPr>
              <w:fldChar w:fldCharType="begin"/>
            </w:r>
            <w:r w:rsidR="001547F2">
              <w:rPr>
                <w:noProof/>
                <w:webHidden/>
              </w:rPr>
              <w:instrText xml:space="preserve"> PAGEREF _Toc55294226 \h </w:instrText>
            </w:r>
            <w:r w:rsidR="001547F2">
              <w:rPr>
                <w:noProof/>
                <w:webHidden/>
              </w:rPr>
            </w:r>
            <w:r w:rsidR="001547F2">
              <w:rPr>
                <w:noProof/>
                <w:webHidden/>
              </w:rPr>
              <w:fldChar w:fldCharType="separate"/>
            </w:r>
            <w:r w:rsidR="00E326E7">
              <w:rPr>
                <w:noProof/>
                <w:webHidden/>
              </w:rPr>
              <w:t>10</w:t>
            </w:r>
            <w:r w:rsidR="001547F2">
              <w:rPr>
                <w:noProof/>
                <w:webHidden/>
              </w:rPr>
              <w:fldChar w:fldCharType="end"/>
            </w:r>
          </w:hyperlink>
        </w:p>
        <w:p w14:paraId="6F5B6930" w14:textId="37E5C141" w:rsidR="001547F2" w:rsidRDefault="00772B12">
          <w:pPr>
            <w:pStyle w:val="TOC2"/>
            <w:rPr>
              <w:rFonts w:asciiTheme="minorHAnsi" w:eastAsiaTheme="minorEastAsia" w:hAnsiTheme="minorHAnsi" w:cstheme="minorBidi"/>
              <w:noProof/>
              <w:sz w:val="22"/>
              <w:szCs w:val="22"/>
            </w:rPr>
          </w:pPr>
          <w:hyperlink w:anchor="_Toc55294227" w:history="1">
            <w:r w:rsidR="001547F2" w:rsidRPr="005C5772">
              <w:rPr>
                <w:rStyle w:val="Hyperlink"/>
                <w:noProof/>
              </w:rPr>
              <w:t>1.2</w:t>
            </w:r>
            <w:r w:rsidR="001547F2">
              <w:rPr>
                <w:rFonts w:asciiTheme="minorHAnsi" w:eastAsiaTheme="minorEastAsia" w:hAnsiTheme="minorHAnsi" w:cstheme="minorBidi"/>
                <w:noProof/>
                <w:sz w:val="22"/>
                <w:szCs w:val="22"/>
              </w:rPr>
              <w:tab/>
            </w:r>
            <w:r w:rsidR="001547F2" w:rsidRPr="005C5772">
              <w:rPr>
                <w:rStyle w:val="Hyperlink"/>
                <w:noProof/>
              </w:rPr>
              <w:t>Frequency rate</w:t>
            </w:r>
            <w:r w:rsidR="001547F2">
              <w:rPr>
                <w:noProof/>
                <w:webHidden/>
              </w:rPr>
              <w:tab/>
            </w:r>
            <w:r w:rsidR="001547F2">
              <w:rPr>
                <w:noProof/>
                <w:webHidden/>
              </w:rPr>
              <w:fldChar w:fldCharType="begin"/>
            </w:r>
            <w:r w:rsidR="001547F2">
              <w:rPr>
                <w:noProof/>
                <w:webHidden/>
              </w:rPr>
              <w:instrText xml:space="preserve"> PAGEREF _Toc55294227 \h </w:instrText>
            </w:r>
            <w:r w:rsidR="001547F2">
              <w:rPr>
                <w:noProof/>
                <w:webHidden/>
              </w:rPr>
            </w:r>
            <w:r w:rsidR="001547F2">
              <w:rPr>
                <w:noProof/>
                <w:webHidden/>
              </w:rPr>
              <w:fldChar w:fldCharType="separate"/>
            </w:r>
            <w:r w:rsidR="00E326E7">
              <w:rPr>
                <w:noProof/>
                <w:webHidden/>
              </w:rPr>
              <w:t>11</w:t>
            </w:r>
            <w:r w:rsidR="001547F2">
              <w:rPr>
                <w:noProof/>
                <w:webHidden/>
              </w:rPr>
              <w:fldChar w:fldCharType="end"/>
            </w:r>
          </w:hyperlink>
        </w:p>
        <w:p w14:paraId="20DF40EA" w14:textId="4F848D77" w:rsidR="001547F2" w:rsidRDefault="00772B12">
          <w:pPr>
            <w:pStyle w:val="TOC2"/>
            <w:rPr>
              <w:rFonts w:asciiTheme="minorHAnsi" w:eastAsiaTheme="minorEastAsia" w:hAnsiTheme="minorHAnsi" w:cstheme="minorBidi"/>
              <w:noProof/>
              <w:sz w:val="22"/>
              <w:szCs w:val="22"/>
            </w:rPr>
          </w:pPr>
          <w:hyperlink w:anchor="_Toc55294228" w:history="1">
            <w:r w:rsidR="001547F2" w:rsidRPr="005C5772">
              <w:rPr>
                <w:rStyle w:val="Hyperlink"/>
                <w:noProof/>
              </w:rPr>
              <w:t>1.3</w:t>
            </w:r>
            <w:r w:rsidR="007D1A23" w:rsidRPr="007D1A23">
              <w:rPr>
                <w:rStyle w:val="Hyperlink"/>
                <w:noProof/>
              </w:rPr>
              <w:tab/>
            </w:r>
            <w:r w:rsidR="001547F2" w:rsidRPr="005C5772">
              <w:rPr>
                <w:rStyle w:val="Hyperlink"/>
                <w:noProof/>
              </w:rPr>
              <w:t>Long term incidence and frequency rates</w:t>
            </w:r>
            <w:r w:rsidR="001547F2">
              <w:rPr>
                <w:noProof/>
                <w:webHidden/>
              </w:rPr>
              <w:tab/>
            </w:r>
            <w:r w:rsidR="001547F2">
              <w:rPr>
                <w:noProof/>
                <w:webHidden/>
              </w:rPr>
              <w:fldChar w:fldCharType="begin"/>
            </w:r>
            <w:r w:rsidR="001547F2">
              <w:rPr>
                <w:noProof/>
                <w:webHidden/>
              </w:rPr>
              <w:instrText xml:space="preserve"> PAGEREF _Toc55294228 \h </w:instrText>
            </w:r>
            <w:r w:rsidR="001547F2">
              <w:rPr>
                <w:noProof/>
                <w:webHidden/>
              </w:rPr>
            </w:r>
            <w:r w:rsidR="001547F2">
              <w:rPr>
                <w:noProof/>
                <w:webHidden/>
              </w:rPr>
              <w:fldChar w:fldCharType="separate"/>
            </w:r>
            <w:r w:rsidR="00E326E7">
              <w:rPr>
                <w:noProof/>
                <w:webHidden/>
              </w:rPr>
              <w:t>12</w:t>
            </w:r>
            <w:r w:rsidR="001547F2">
              <w:rPr>
                <w:noProof/>
                <w:webHidden/>
              </w:rPr>
              <w:fldChar w:fldCharType="end"/>
            </w:r>
          </w:hyperlink>
        </w:p>
        <w:p w14:paraId="2FCA08D5" w14:textId="039F7217" w:rsidR="001547F2" w:rsidRDefault="00772B12">
          <w:pPr>
            <w:pStyle w:val="TOC2"/>
            <w:rPr>
              <w:rFonts w:asciiTheme="minorHAnsi" w:eastAsiaTheme="minorEastAsia" w:hAnsiTheme="minorHAnsi" w:cstheme="minorBidi"/>
              <w:noProof/>
              <w:sz w:val="22"/>
              <w:szCs w:val="22"/>
            </w:rPr>
          </w:pPr>
          <w:hyperlink w:anchor="_Toc55294229" w:history="1">
            <w:r w:rsidR="001547F2" w:rsidRPr="005C5772">
              <w:rPr>
                <w:rStyle w:val="Hyperlink"/>
                <w:noProof/>
              </w:rPr>
              <w:t>1.4</w:t>
            </w:r>
            <w:r w:rsidR="007D1A23" w:rsidRPr="007D1A23">
              <w:rPr>
                <w:rStyle w:val="Hyperlink"/>
                <w:noProof/>
              </w:rPr>
              <w:tab/>
            </w:r>
            <w:r w:rsidR="001547F2" w:rsidRPr="005C5772">
              <w:rPr>
                <w:rStyle w:val="Hyperlink"/>
                <w:noProof/>
              </w:rPr>
              <w:t xml:space="preserve">Self-insured serious claims </w:t>
            </w:r>
            <w:r w:rsidR="001547F2">
              <w:rPr>
                <w:noProof/>
                <w:webHidden/>
              </w:rPr>
              <w:tab/>
            </w:r>
            <w:r w:rsidR="001547F2">
              <w:rPr>
                <w:noProof/>
                <w:webHidden/>
              </w:rPr>
              <w:fldChar w:fldCharType="begin"/>
            </w:r>
            <w:r w:rsidR="001547F2">
              <w:rPr>
                <w:noProof/>
                <w:webHidden/>
              </w:rPr>
              <w:instrText xml:space="preserve"> PAGEREF _Toc55294229 \h </w:instrText>
            </w:r>
            <w:r w:rsidR="001547F2">
              <w:rPr>
                <w:noProof/>
                <w:webHidden/>
              </w:rPr>
            </w:r>
            <w:r w:rsidR="001547F2">
              <w:rPr>
                <w:noProof/>
                <w:webHidden/>
              </w:rPr>
              <w:fldChar w:fldCharType="separate"/>
            </w:r>
            <w:r w:rsidR="00E326E7">
              <w:rPr>
                <w:noProof/>
                <w:webHidden/>
              </w:rPr>
              <w:t>13</w:t>
            </w:r>
            <w:r w:rsidR="001547F2">
              <w:rPr>
                <w:noProof/>
                <w:webHidden/>
              </w:rPr>
              <w:fldChar w:fldCharType="end"/>
            </w:r>
          </w:hyperlink>
        </w:p>
        <w:p w14:paraId="74C19337" w14:textId="748C1CE8" w:rsidR="001547F2" w:rsidRDefault="00772B12">
          <w:pPr>
            <w:pStyle w:val="TOC1"/>
            <w:rPr>
              <w:rFonts w:asciiTheme="minorHAnsi" w:eastAsiaTheme="minorEastAsia" w:hAnsiTheme="minorHAnsi" w:cstheme="minorBidi"/>
              <w:sz w:val="22"/>
              <w:szCs w:val="22"/>
            </w:rPr>
          </w:pPr>
          <w:hyperlink w:anchor="_Toc55294230" w:history="1">
            <w:r w:rsidR="001547F2" w:rsidRPr="005C5772">
              <w:rPr>
                <w:rStyle w:val="Hyperlink"/>
              </w:rPr>
              <w:t>2.</w:t>
            </w:r>
            <w:r w:rsidR="001547F2">
              <w:rPr>
                <w:rFonts w:asciiTheme="minorHAnsi" w:eastAsiaTheme="minorEastAsia" w:hAnsiTheme="minorHAnsi" w:cstheme="minorBidi"/>
                <w:sz w:val="22"/>
                <w:szCs w:val="22"/>
              </w:rPr>
              <w:tab/>
            </w:r>
            <w:r w:rsidR="001547F2" w:rsidRPr="005C5772">
              <w:rPr>
                <w:rStyle w:val="Hyperlink"/>
              </w:rPr>
              <w:t>Duration of absence</w:t>
            </w:r>
            <w:r w:rsidR="001547F2">
              <w:rPr>
                <w:webHidden/>
              </w:rPr>
              <w:tab/>
            </w:r>
            <w:r w:rsidR="001547F2">
              <w:rPr>
                <w:webHidden/>
              </w:rPr>
              <w:fldChar w:fldCharType="begin"/>
            </w:r>
            <w:r w:rsidR="001547F2">
              <w:rPr>
                <w:webHidden/>
              </w:rPr>
              <w:instrText xml:space="preserve"> PAGEREF _Toc55294230 \h </w:instrText>
            </w:r>
            <w:r w:rsidR="001547F2">
              <w:rPr>
                <w:webHidden/>
              </w:rPr>
            </w:r>
            <w:r w:rsidR="001547F2">
              <w:rPr>
                <w:webHidden/>
              </w:rPr>
              <w:fldChar w:fldCharType="separate"/>
            </w:r>
            <w:r w:rsidR="00E326E7">
              <w:rPr>
                <w:webHidden/>
              </w:rPr>
              <w:t>15</w:t>
            </w:r>
            <w:r w:rsidR="001547F2">
              <w:rPr>
                <w:webHidden/>
              </w:rPr>
              <w:fldChar w:fldCharType="end"/>
            </w:r>
          </w:hyperlink>
        </w:p>
        <w:p w14:paraId="41399BE4" w14:textId="69C3D0D8" w:rsidR="001547F2" w:rsidRDefault="00772B12">
          <w:pPr>
            <w:pStyle w:val="TOC1"/>
            <w:rPr>
              <w:rFonts w:asciiTheme="minorHAnsi" w:eastAsiaTheme="minorEastAsia" w:hAnsiTheme="minorHAnsi" w:cstheme="minorBidi"/>
              <w:sz w:val="22"/>
              <w:szCs w:val="22"/>
            </w:rPr>
          </w:pPr>
          <w:hyperlink w:anchor="_Toc55294231" w:history="1">
            <w:r w:rsidR="001547F2" w:rsidRPr="005C5772">
              <w:rPr>
                <w:rStyle w:val="Hyperlink"/>
              </w:rPr>
              <w:t>3.</w:t>
            </w:r>
            <w:r w:rsidR="001547F2">
              <w:rPr>
                <w:rFonts w:asciiTheme="minorHAnsi" w:eastAsiaTheme="minorEastAsia" w:hAnsiTheme="minorHAnsi" w:cstheme="minorBidi"/>
                <w:sz w:val="22"/>
                <w:szCs w:val="22"/>
              </w:rPr>
              <w:tab/>
            </w:r>
            <w:r w:rsidR="001547F2" w:rsidRPr="005C5772">
              <w:rPr>
                <w:rStyle w:val="Hyperlink"/>
              </w:rPr>
              <w:t>Work-related fatalities</w:t>
            </w:r>
            <w:r w:rsidR="001547F2">
              <w:rPr>
                <w:webHidden/>
              </w:rPr>
              <w:tab/>
            </w:r>
            <w:r w:rsidR="001547F2">
              <w:rPr>
                <w:webHidden/>
              </w:rPr>
              <w:fldChar w:fldCharType="begin"/>
            </w:r>
            <w:r w:rsidR="001547F2">
              <w:rPr>
                <w:webHidden/>
              </w:rPr>
              <w:instrText xml:space="preserve"> PAGEREF _Toc55294231 \h </w:instrText>
            </w:r>
            <w:r w:rsidR="001547F2">
              <w:rPr>
                <w:webHidden/>
              </w:rPr>
            </w:r>
            <w:r w:rsidR="001547F2">
              <w:rPr>
                <w:webHidden/>
              </w:rPr>
              <w:fldChar w:fldCharType="separate"/>
            </w:r>
            <w:r w:rsidR="00E326E7">
              <w:rPr>
                <w:webHidden/>
              </w:rPr>
              <w:t>16</w:t>
            </w:r>
            <w:r w:rsidR="001547F2">
              <w:rPr>
                <w:webHidden/>
              </w:rPr>
              <w:fldChar w:fldCharType="end"/>
            </w:r>
          </w:hyperlink>
        </w:p>
        <w:p w14:paraId="5A1E5DDB" w14:textId="7D74A13D" w:rsidR="001547F2" w:rsidRDefault="00772B12">
          <w:pPr>
            <w:pStyle w:val="TOC2"/>
            <w:rPr>
              <w:rFonts w:asciiTheme="minorHAnsi" w:eastAsiaTheme="minorEastAsia" w:hAnsiTheme="minorHAnsi" w:cstheme="minorBidi"/>
              <w:noProof/>
              <w:sz w:val="22"/>
              <w:szCs w:val="22"/>
            </w:rPr>
          </w:pPr>
          <w:hyperlink w:anchor="_Toc55294232" w:history="1">
            <w:r w:rsidR="001547F2" w:rsidRPr="005C5772">
              <w:rPr>
                <w:rStyle w:val="Hyperlink"/>
                <w:noProof/>
              </w:rPr>
              <w:t>3.1</w:t>
            </w:r>
            <w:r w:rsidR="001547F2">
              <w:rPr>
                <w:rFonts w:asciiTheme="minorHAnsi" w:eastAsiaTheme="minorEastAsia" w:hAnsiTheme="minorHAnsi" w:cstheme="minorBidi"/>
                <w:noProof/>
                <w:sz w:val="22"/>
                <w:szCs w:val="22"/>
              </w:rPr>
              <w:tab/>
            </w:r>
            <w:r w:rsidR="001547F2" w:rsidRPr="005C5772">
              <w:rPr>
                <w:rStyle w:val="Hyperlink"/>
                <w:noProof/>
              </w:rPr>
              <w:t>Work-related traumatic injury fatalities</w:t>
            </w:r>
            <w:r w:rsidR="001547F2">
              <w:rPr>
                <w:noProof/>
                <w:webHidden/>
              </w:rPr>
              <w:tab/>
            </w:r>
            <w:r w:rsidR="001547F2">
              <w:rPr>
                <w:noProof/>
                <w:webHidden/>
              </w:rPr>
              <w:fldChar w:fldCharType="begin"/>
            </w:r>
            <w:r w:rsidR="001547F2">
              <w:rPr>
                <w:noProof/>
                <w:webHidden/>
              </w:rPr>
              <w:instrText xml:space="preserve"> PAGEREF _Toc55294232 \h </w:instrText>
            </w:r>
            <w:r w:rsidR="001547F2">
              <w:rPr>
                <w:noProof/>
                <w:webHidden/>
              </w:rPr>
            </w:r>
            <w:r w:rsidR="001547F2">
              <w:rPr>
                <w:noProof/>
                <w:webHidden/>
              </w:rPr>
              <w:fldChar w:fldCharType="separate"/>
            </w:r>
            <w:r w:rsidR="00E326E7">
              <w:rPr>
                <w:noProof/>
                <w:webHidden/>
              </w:rPr>
              <w:t>16</w:t>
            </w:r>
            <w:r w:rsidR="001547F2">
              <w:rPr>
                <w:noProof/>
                <w:webHidden/>
              </w:rPr>
              <w:fldChar w:fldCharType="end"/>
            </w:r>
          </w:hyperlink>
        </w:p>
        <w:p w14:paraId="5A038734" w14:textId="72978504" w:rsidR="001547F2" w:rsidRDefault="00772B12">
          <w:pPr>
            <w:pStyle w:val="TOC2"/>
            <w:rPr>
              <w:rFonts w:asciiTheme="minorHAnsi" w:eastAsiaTheme="minorEastAsia" w:hAnsiTheme="minorHAnsi" w:cstheme="minorBidi"/>
              <w:noProof/>
              <w:sz w:val="22"/>
              <w:szCs w:val="22"/>
            </w:rPr>
          </w:pPr>
          <w:hyperlink w:anchor="_Toc55294234" w:history="1">
            <w:r w:rsidR="001547F2" w:rsidRPr="005C5772">
              <w:rPr>
                <w:rStyle w:val="Hyperlink"/>
                <w:noProof/>
              </w:rPr>
              <w:t>3.2</w:t>
            </w:r>
            <w:r w:rsidR="001547F2">
              <w:rPr>
                <w:rFonts w:asciiTheme="minorHAnsi" w:eastAsiaTheme="minorEastAsia" w:hAnsiTheme="minorHAnsi" w:cstheme="minorBidi"/>
                <w:noProof/>
                <w:sz w:val="22"/>
                <w:szCs w:val="22"/>
              </w:rPr>
              <w:tab/>
            </w:r>
            <w:r w:rsidR="001547F2" w:rsidRPr="005C5772">
              <w:rPr>
                <w:rStyle w:val="Hyperlink"/>
                <w:noProof/>
              </w:rPr>
              <w:t>Work-related disease fatalities</w:t>
            </w:r>
            <w:r w:rsidR="001547F2">
              <w:rPr>
                <w:noProof/>
                <w:webHidden/>
              </w:rPr>
              <w:tab/>
            </w:r>
            <w:r w:rsidR="001547F2">
              <w:rPr>
                <w:noProof/>
                <w:webHidden/>
              </w:rPr>
              <w:fldChar w:fldCharType="begin"/>
            </w:r>
            <w:r w:rsidR="001547F2">
              <w:rPr>
                <w:noProof/>
                <w:webHidden/>
              </w:rPr>
              <w:instrText xml:space="preserve"> PAGEREF _Toc55294234 \h </w:instrText>
            </w:r>
            <w:r w:rsidR="001547F2">
              <w:rPr>
                <w:noProof/>
                <w:webHidden/>
              </w:rPr>
            </w:r>
            <w:r w:rsidR="001547F2">
              <w:rPr>
                <w:noProof/>
                <w:webHidden/>
              </w:rPr>
              <w:fldChar w:fldCharType="separate"/>
            </w:r>
            <w:r w:rsidR="00E326E7">
              <w:rPr>
                <w:noProof/>
                <w:webHidden/>
              </w:rPr>
              <w:t>17</w:t>
            </w:r>
            <w:r w:rsidR="001547F2">
              <w:rPr>
                <w:noProof/>
                <w:webHidden/>
              </w:rPr>
              <w:fldChar w:fldCharType="end"/>
            </w:r>
          </w:hyperlink>
        </w:p>
        <w:p w14:paraId="5466BE44" w14:textId="00B0B1ED" w:rsidR="001547F2" w:rsidRDefault="00772B12">
          <w:pPr>
            <w:pStyle w:val="TOC1"/>
            <w:rPr>
              <w:rFonts w:asciiTheme="minorHAnsi" w:eastAsiaTheme="minorEastAsia" w:hAnsiTheme="minorHAnsi" w:cstheme="minorBidi"/>
              <w:sz w:val="22"/>
              <w:szCs w:val="22"/>
            </w:rPr>
          </w:pPr>
          <w:hyperlink w:anchor="_Toc55294235" w:history="1">
            <w:r w:rsidR="001547F2" w:rsidRPr="005C5772">
              <w:rPr>
                <w:rStyle w:val="Hyperlink"/>
              </w:rPr>
              <w:t>4.</w:t>
            </w:r>
            <w:r w:rsidR="001547F2">
              <w:rPr>
                <w:rFonts w:asciiTheme="minorHAnsi" w:eastAsiaTheme="minorEastAsia" w:hAnsiTheme="minorHAnsi" w:cstheme="minorBidi"/>
                <w:sz w:val="22"/>
                <w:szCs w:val="22"/>
              </w:rPr>
              <w:tab/>
            </w:r>
            <w:r w:rsidR="001547F2" w:rsidRPr="005C5772">
              <w:rPr>
                <w:rStyle w:val="Hyperlink"/>
              </w:rPr>
              <w:t>Claims by size of business (in the private sector)</w:t>
            </w:r>
            <w:r w:rsidR="001547F2">
              <w:rPr>
                <w:webHidden/>
              </w:rPr>
              <w:tab/>
            </w:r>
            <w:r w:rsidR="001547F2">
              <w:rPr>
                <w:webHidden/>
              </w:rPr>
              <w:fldChar w:fldCharType="begin"/>
            </w:r>
            <w:r w:rsidR="001547F2">
              <w:rPr>
                <w:webHidden/>
              </w:rPr>
              <w:instrText xml:space="preserve"> PAGEREF _Toc55294235 \h </w:instrText>
            </w:r>
            <w:r w:rsidR="001547F2">
              <w:rPr>
                <w:webHidden/>
              </w:rPr>
            </w:r>
            <w:r w:rsidR="001547F2">
              <w:rPr>
                <w:webHidden/>
              </w:rPr>
              <w:fldChar w:fldCharType="separate"/>
            </w:r>
            <w:r w:rsidR="00E326E7">
              <w:rPr>
                <w:webHidden/>
              </w:rPr>
              <w:t>19</w:t>
            </w:r>
            <w:r w:rsidR="001547F2">
              <w:rPr>
                <w:webHidden/>
              </w:rPr>
              <w:fldChar w:fldCharType="end"/>
            </w:r>
          </w:hyperlink>
        </w:p>
        <w:p w14:paraId="049E1185" w14:textId="302A6DB9" w:rsidR="001547F2" w:rsidRDefault="00772B12">
          <w:pPr>
            <w:pStyle w:val="TOC1"/>
            <w:rPr>
              <w:rFonts w:asciiTheme="minorHAnsi" w:eastAsiaTheme="minorEastAsia" w:hAnsiTheme="minorHAnsi" w:cstheme="minorBidi"/>
              <w:sz w:val="22"/>
              <w:szCs w:val="22"/>
            </w:rPr>
          </w:pPr>
          <w:hyperlink w:anchor="_Toc55294236" w:history="1">
            <w:r w:rsidR="001547F2" w:rsidRPr="005C5772">
              <w:rPr>
                <w:rStyle w:val="Hyperlink"/>
              </w:rPr>
              <w:t>5.</w:t>
            </w:r>
            <w:r w:rsidR="001547F2">
              <w:rPr>
                <w:rFonts w:asciiTheme="minorHAnsi" w:eastAsiaTheme="minorEastAsia" w:hAnsiTheme="minorHAnsi" w:cstheme="minorBidi"/>
                <w:sz w:val="22"/>
                <w:szCs w:val="22"/>
              </w:rPr>
              <w:tab/>
            </w:r>
            <w:r w:rsidR="001547F2" w:rsidRPr="005C5772">
              <w:rPr>
                <w:rStyle w:val="Hyperlink"/>
              </w:rPr>
              <w:t>Claims by mechanism of incident</w:t>
            </w:r>
            <w:r w:rsidR="001547F2">
              <w:rPr>
                <w:webHidden/>
              </w:rPr>
              <w:tab/>
            </w:r>
            <w:r w:rsidR="001547F2">
              <w:rPr>
                <w:webHidden/>
              </w:rPr>
              <w:fldChar w:fldCharType="begin"/>
            </w:r>
            <w:r w:rsidR="001547F2">
              <w:rPr>
                <w:webHidden/>
              </w:rPr>
              <w:instrText xml:space="preserve"> PAGEREF _Toc55294236 \h </w:instrText>
            </w:r>
            <w:r w:rsidR="001547F2">
              <w:rPr>
                <w:webHidden/>
              </w:rPr>
            </w:r>
            <w:r w:rsidR="001547F2">
              <w:rPr>
                <w:webHidden/>
              </w:rPr>
              <w:fldChar w:fldCharType="separate"/>
            </w:r>
            <w:r w:rsidR="00E326E7">
              <w:rPr>
                <w:webHidden/>
              </w:rPr>
              <w:t>20</w:t>
            </w:r>
            <w:r w:rsidR="001547F2">
              <w:rPr>
                <w:webHidden/>
              </w:rPr>
              <w:fldChar w:fldCharType="end"/>
            </w:r>
          </w:hyperlink>
        </w:p>
        <w:p w14:paraId="3F12D47D" w14:textId="7465559A" w:rsidR="001547F2" w:rsidRDefault="00772B12">
          <w:pPr>
            <w:pStyle w:val="TOC2"/>
            <w:rPr>
              <w:rFonts w:asciiTheme="minorHAnsi" w:eastAsiaTheme="minorEastAsia" w:hAnsiTheme="minorHAnsi" w:cstheme="minorBidi"/>
              <w:noProof/>
              <w:sz w:val="22"/>
              <w:szCs w:val="22"/>
            </w:rPr>
          </w:pPr>
          <w:hyperlink w:anchor="_Toc55294237" w:history="1">
            <w:r w:rsidR="001547F2" w:rsidRPr="005C5772">
              <w:rPr>
                <w:rStyle w:val="Hyperlink"/>
                <w:noProof/>
              </w:rPr>
              <w:t>5.1</w:t>
            </w:r>
            <w:r w:rsidR="001547F2">
              <w:rPr>
                <w:rFonts w:asciiTheme="minorHAnsi" w:eastAsiaTheme="minorEastAsia" w:hAnsiTheme="minorHAnsi" w:cstheme="minorBidi"/>
                <w:noProof/>
                <w:sz w:val="22"/>
                <w:szCs w:val="22"/>
              </w:rPr>
              <w:tab/>
            </w:r>
            <w:r w:rsidR="001547F2" w:rsidRPr="005C5772">
              <w:rPr>
                <w:rStyle w:val="Hyperlink"/>
                <w:noProof/>
              </w:rPr>
              <w:t>Claims by mechanism of incident and jurisdiction</w:t>
            </w:r>
            <w:r w:rsidR="001547F2">
              <w:rPr>
                <w:noProof/>
                <w:webHidden/>
              </w:rPr>
              <w:tab/>
            </w:r>
            <w:r w:rsidR="001547F2">
              <w:rPr>
                <w:noProof/>
                <w:webHidden/>
              </w:rPr>
              <w:fldChar w:fldCharType="begin"/>
            </w:r>
            <w:r w:rsidR="001547F2">
              <w:rPr>
                <w:noProof/>
                <w:webHidden/>
              </w:rPr>
              <w:instrText xml:space="preserve"> PAGEREF _Toc55294237 \h </w:instrText>
            </w:r>
            <w:r w:rsidR="001547F2">
              <w:rPr>
                <w:noProof/>
                <w:webHidden/>
              </w:rPr>
            </w:r>
            <w:r w:rsidR="001547F2">
              <w:rPr>
                <w:noProof/>
                <w:webHidden/>
              </w:rPr>
              <w:fldChar w:fldCharType="separate"/>
            </w:r>
            <w:r w:rsidR="00E326E7">
              <w:rPr>
                <w:noProof/>
                <w:webHidden/>
              </w:rPr>
              <w:t>21</w:t>
            </w:r>
            <w:r w:rsidR="001547F2">
              <w:rPr>
                <w:noProof/>
                <w:webHidden/>
              </w:rPr>
              <w:fldChar w:fldCharType="end"/>
            </w:r>
          </w:hyperlink>
        </w:p>
        <w:p w14:paraId="506E8997" w14:textId="710EDD9F" w:rsidR="001547F2" w:rsidRDefault="00772B12">
          <w:pPr>
            <w:pStyle w:val="TOC1"/>
            <w:rPr>
              <w:rFonts w:asciiTheme="minorHAnsi" w:eastAsiaTheme="minorEastAsia" w:hAnsiTheme="minorHAnsi" w:cstheme="minorBidi"/>
              <w:sz w:val="22"/>
              <w:szCs w:val="22"/>
            </w:rPr>
          </w:pPr>
          <w:hyperlink w:anchor="_Toc55294238" w:history="1">
            <w:r w:rsidR="001547F2" w:rsidRPr="005C5772">
              <w:rPr>
                <w:rStyle w:val="Hyperlink"/>
              </w:rPr>
              <w:t>6.</w:t>
            </w:r>
            <w:r w:rsidR="001547F2">
              <w:rPr>
                <w:rFonts w:asciiTheme="minorHAnsi" w:eastAsiaTheme="minorEastAsia" w:hAnsiTheme="minorHAnsi" w:cstheme="minorBidi"/>
                <w:sz w:val="22"/>
                <w:szCs w:val="22"/>
              </w:rPr>
              <w:tab/>
            </w:r>
            <w:r w:rsidR="001547F2" w:rsidRPr="005C5772">
              <w:rPr>
                <w:rStyle w:val="Hyperlink"/>
              </w:rPr>
              <w:t>Claims by industry</w:t>
            </w:r>
            <w:r w:rsidR="001547F2">
              <w:rPr>
                <w:webHidden/>
              </w:rPr>
              <w:tab/>
            </w:r>
            <w:r w:rsidR="001547F2">
              <w:rPr>
                <w:webHidden/>
              </w:rPr>
              <w:fldChar w:fldCharType="begin"/>
            </w:r>
            <w:r w:rsidR="001547F2">
              <w:rPr>
                <w:webHidden/>
              </w:rPr>
              <w:instrText xml:space="preserve"> PAGEREF _Toc55294238 \h </w:instrText>
            </w:r>
            <w:r w:rsidR="001547F2">
              <w:rPr>
                <w:webHidden/>
              </w:rPr>
            </w:r>
            <w:r w:rsidR="001547F2">
              <w:rPr>
                <w:webHidden/>
              </w:rPr>
              <w:fldChar w:fldCharType="separate"/>
            </w:r>
            <w:r w:rsidR="00E326E7">
              <w:rPr>
                <w:webHidden/>
              </w:rPr>
              <w:t>26</w:t>
            </w:r>
            <w:r w:rsidR="001547F2">
              <w:rPr>
                <w:webHidden/>
              </w:rPr>
              <w:fldChar w:fldCharType="end"/>
            </w:r>
          </w:hyperlink>
        </w:p>
        <w:p w14:paraId="3BA138F4" w14:textId="0BAE300A" w:rsidR="001547F2" w:rsidRDefault="00772B12">
          <w:pPr>
            <w:pStyle w:val="TOC2"/>
            <w:rPr>
              <w:rFonts w:asciiTheme="minorHAnsi" w:eastAsiaTheme="minorEastAsia" w:hAnsiTheme="minorHAnsi" w:cstheme="minorBidi"/>
              <w:noProof/>
              <w:sz w:val="22"/>
              <w:szCs w:val="22"/>
            </w:rPr>
          </w:pPr>
          <w:hyperlink w:anchor="_Toc55294239" w:history="1">
            <w:r w:rsidR="001547F2" w:rsidRPr="005C5772">
              <w:rPr>
                <w:rStyle w:val="Hyperlink"/>
                <w:noProof/>
              </w:rPr>
              <w:t>6.1</w:t>
            </w:r>
            <w:r w:rsidR="001547F2">
              <w:rPr>
                <w:rFonts w:asciiTheme="minorHAnsi" w:eastAsiaTheme="minorEastAsia" w:hAnsiTheme="minorHAnsi" w:cstheme="minorBidi"/>
                <w:noProof/>
                <w:sz w:val="22"/>
                <w:szCs w:val="22"/>
              </w:rPr>
              <w:tab/>
            </w:r>
            <w:r w:rsidR="001547F2" w:rsidRPr="005C5772">
              <w:rPr>
                <w:rStyle w:val="Hyperlink"/>
                <w:noProof/>
              </w:rPr>
              <w:t>Claims by industry and jurisdiction</w:t>
            </w:r>
            <w:r w:rsidR="001547F2">
              <w:rPr>
                <w:noProof/>
                <w:webHidden/>
              </w:rPr>
              <w:tab/>
            </w:r>
            <w:r w:rsidR="001547F2">
              <w:rPr>
                <w:noProof/>
                <w:webHidden/>
              </w:rPr>
              <w:fldChar w:fldCharType="begin"/>
            </w:r>
            <w:r w:rsidR="001547F2">
              <w:rPr>
                <w:noProof/>
                <w:webHidden/>
              </w:rPr>
              <w:instrText xml:space="preserve"> PAGEREF _Toc55294239 \h </w:instrText>
            </w:r>
            <w:r w:rsidR="001547F2">
              <w:rPr>
                <w:noProof/>
                <w:webHidden/>
              </w:rPr>
            </w:r>
            <w:r w:rsidR="001547F2">
              <w:rPr>
                <w:noProof/>
                <w:webHidden/>
              </w:rPr>
              <w:fldChar w:fldCharType="separate"/>
            </w:r>
            <w:r w:rsidR="00E326E7">
              <w:rPr>
                <w:noProof/>
                <w:webHidden/>
              </w:rPr>
              <w:t>28</w:t>
            </w:r>
            <w:r w:rsidR="001547F2">
              <w:rPr>
                <w:noProof/>
                <w:webHidden/>
              </w:rPr>
              <w:fldChar w:fldCharType="end"/>
            </w:r>
          </w:hyperlink>
        </w:p>
        <w:p w14:paraId="3312ACFA" w14:textId="1F166552" w:rsidR="001547F2" w:rsidRDefault="00772B12">
          <w:pPr>
            <w:pStyle w:val="TOC1"/>
            <w:rPr>
              <w:rFonts w:asciiTheme="minorHAnsi" w:eastAsiaTheme="minorEastAsia" w:hAnsiTheme="minorHAnsi" w:cstheme="minorBidi"/>
              <w:sz w:val="22"/>
              <w:szCs w:val="22"/>
            </w:rPr>
          </w:pPr>
          <w:hyperlink w:anchor="_Toc55294240" w:history="1">
            <w:r w:rsidR="001547F2" w:rsidRPr="005C5772">
              <w:rPr>
                <w:rStyle w:val="Hyperlink"/>
              </w:rPr>
              <w:t xml:space="preserve">Appendix 1 </w:t>
            </w:r>
            <w:r w:rsidR="007D1A23" w:rsidRPr="007D1A23">
              <w:rPr>
                <w:rStyle w:val="Hyperlink"/>
              </w:rPr>
              <w:t>–</w:t>
            </w:r>
            <w:r w:rsidR="001547F2" w:rsidRPr="005C5772">
              <w:rPr>
                <w:rStyle w:val="Hyperlink"/>
              </w:rPr>
              <w:t xml:space="preserve"> Explanatory notes</w:t>
            </w:r>
            <w:r w:rsidR="001547F2">
              <w:rPr>
                <w:webHidden/>
              </w:rPr>
              <w:tab/>
            </w:r>
            <w:r w:rsidR="001547F2">
              <w:rPr>
                <w:webHidden/>
              </w:rPr>
              <w:fldChar w:fldCharType="begin"/>
            </w:r>
            <w:r w:rsidR="001547F2">
              <w:rPr>
                <w:webHidden/>
              </w:rPr>
              <w:instrText xml:space="preserve"> PAGEREF _Toc55294240 \h </w:instrText>
            </w:r>
            <w:r w:rsidR="001547F2">
              <w:rPr>
                <w:webHidden/>
              </w:rPr>
            </w:r>
            <w:r w:rsidR="001547F2">
              <w:rPr>
                <w:webHidden/>
              </w:rPr>
              <w:fldChar w:fldCharType="separate"/>
            </w:r>
            <w:r w:rsidR="00E326E7">
              <w:rPr>
                <w:webHidden/>
              </w:rPr>
              <w:t>41</w:t>
            </w:r>
            <w:r w:rsidR="001547F2">
              <w:rPr>
                <w:webHidden/>
              </w:rPr>
              <w:fldChar w:fldCharType="end"/>
            </w:r>
          </w:hyperlink>
        </w:p>
        <w:p w14:paraId="6E82BF78" w14:textId="78D5EAB8" w:rsidR="001547F2" w:rsidRDefault="00772B12">
          <w:pPr>
            <w:pStyle w:val="TOC1"/>
            <w:rPr>
              <w:rFonts w:asciiTheme="minorHAnsi" w:eastAsiaTheme="minorEastAsia" w:hAnsiTheme="minorHAnsi" w:cstheme="minorBidi"/>
              <w:sz w:val="22"/>
              <w:szCs w:val="22"/>
            </w:rPr>
          </w:pPr>
          <w:hyperlink w:anchor="_Toc55294241" w:history="1">
            <w:r w:rsidR="001547F2" w:rsidRPr="005C5772">
              <w:rPr>
                <w:rStyle w:val="Hyperlink"/>
              </w:rPr>
              <w:t xml:space="preserve">Appendix 2 </w:t>
            </w:r>
            <w:r w:rsidR="007D1A23" w:rsidRPr="007D1A23">
              <w:rPr>
                <w:rStyle w:val="Hyperlink"/>
              </w:rPr>
              <w:t>–</w:t>
            </w:r>
            <w:r w:rsidR="001547F2" w:rsidRPr="005C5772">
              <w:rPr>
                <w:rStyle w:val="Hyperlink"/>
              </w:rPr>
              <w:t xml:space="preserve"> Jurisdictional contact information</w:t>
            </w:r>
            <w:r w:rsidR="001547F2">
              <w:rPr>
                <w:webHidden/>
              </w:rPr>
              <w:tab/>
            </w:r>
            <w:r w:rsidR="001547F2">
              <w:rPr>
                <w:webHidden/>
              </w:rPr>
              <w:fldChar w:fldCharType="begin"/>
            </w:r>
            <w:r w:rsidR="001547F2">
              <w:rPr>
                <w:webHidden/>
              </w:rPr>
              <w:instrText xml:space="preserve"> PAGEREF _Toc55294241 \h </w:instrText>
            </w:r>
            <w:r w:rsidR="001547F2">
              <w:rPr>
                <w:webHidden/>
              </w:rPr>
            </w:r>
            <w:r w:rsidR="001547F2">
              <w:rPr>
                <w:webHidden/>
              </w:rPr>
              <w:fldChar w:fldCharType="separate"/>
            </w:r>
            <w:r w:rsidR="00E326E7">
              <w:rPr>
                <w:webHidden/>
              </w:rPr>
              <w:t>45</w:t>
            </w:r>
            <w:r w:rsidR="001547F2">
              <w:rPr>
                <w:webHidden/>
              </w:rPr>
              <w:fldChar w:fldCharType="end"/>
            </w:r>
          </w:hyperlink>
        </w:p>
        <w:p w14:paraId="75132FEE" w14:textId="08A345F6" w:rsidR="00D60313" w:rsidRPr="00086AB2" w:rsidRDefault="00C00338" w:rsidP="007653A6">
          <w:pPr>
            <w:spacing w:before="200" w:after="100"/>
          </w:pPr>
          <w:r w:rsidRPr="00086AB2">
            <w:rPr>
              <w:noProof/>
            </w:rPr>
            <w:fldChar w:fldCharType="end"/>
          </w:r>
        </w:p>
      </w:sdtContent>
    </w:sdt>
    <w:p w14:paraId="4D8F9588" w14:textId="77777777" w:rsidR="00E1127D" w:rsidRDefault="00E1127D">
      <w:pPr>
        <w:spacing w:after="200" w:line="276" w:lineRule="auto"/>
        <w:jc w:val="left"/>
      </w:pPr>
      <w:r>
        <w:br w:type="page"/>
      </w:r>
    </w:p>
    <w:p w14:paraId="6C7464F3" w14:textId="77777777" w:rsidR="00E1127D" w:rsidRDefault="00E1127D" w:rsidP="00E1127D">
      <w:pPr>
        <w:pStyle w:val="TOCHeading"/>
        <w:spacing w:before="0"/>
      </w:pPr>
    </w:p>
    <w:p w14:paraId="449EBFA7" w14:textId="36516AA1" w:rsidR="00E1127D" w:rsidRPr="00086AB2" w:rsidRDefault="00E1127D" w:rsidP="00E1127D">
      <w:pPr>
        <w:pStyle w:val="TOCHeading"/>
        <w:spacing w:before="200" w:afterLines="100" w:after="240"/>
      </w:pPr>
      <w:bookmarkStart w:id="1" w:name="_Hlk61336959"/>
      <w:bookmarkStart w:id="2" w:name="_Hlk61336870"/>
      <w:r>
        <w:t>Indicators</w:t>
      </w:r>
    </w:p>
    <w:bookmarkStart w:id="3" w:name="_Hlk56772298"/>
    <w:bookmarkStart w:id="4" w:name="_Hlk56775089"/>
    <w:p w14:paraId="045CB6AC" w14:textId="5B8AA78A" w:rsidR="003F15A8" w:rsidRPr="003F15A8" w:rsidRDefault="00E1127D" w:rsidP="003F15A8">
      <w:pPr>
        <w:pStyle w:val="TOC1"/>
        <w:jc w:val="left"/>
        <w:rPr>
          <w:rStyle w:val="Hyperlink"/>
          <w:color w:val="auto"/>
          <w:u w:val="none"/>
        </w:rPr>
      </w:pPr>
      <w:r w:rsidRPr="003F15A8">
        <w:rPr>
          <w:rStyle w:val="Hyperlink"/>
          <w:color w:val="auto"/>
          <w:u w:val="none"/>
        </w:rPr>
        <w:fldChar w:fldCharType="begin"/>
      </w:r>
      <w:r w:rsidRPr="003F15A8">
        <w:rPr>
          <w:rStyle w:val="Hyperlink"/>
          <w:color w:val="auto"/>
          <w:u w:val="none"/>
        </w:rPr>
        <w:instrText xml:space="preserve"> TOC \h \z \c "Indicator" </w:instrText>
      </w:r>
      <w:r w:rsidRPr="003F15A8">
        <w:rPr>
          <w:rStyle w:val="Hyperlink"/>
          <w:color w:val="auto"/>
          <w:u w:val="none"/>
        </w:rPr>
        <w:fldChar w:fldCharType="end"/>
      </w:r>
      <w:bookmarkEnd w:id="3"/>
      <w:r w:rsidR="003F15A8" w:rsidRPr="003F15A8">
        <w:rPr>
          <w:rStyle w:val="Hyperlink"/>
          <w:color w:val="auto"/>
          <w:u w:val="none"/>
        </w:rPr>
        <w:t>Indicator 1 – Incidence rates of serious injury and disease claims by</w:t>
      </w:r>
      <w:r w:rsidR="003F15A8">
        <w:rPr>
          <w:rStyle w:val="Hyperlink"/>
          <w:color w:val="auto"/>
          <w:u w:val="none"/>
        </w:rPr>
        <w:t xml:space="preserve"> j</w:t>
      </w:r>
      <w:r w:rsidR="003F15A8" w:rsidRPr="003F15A8">
        <w:rPr>
          <w:rStyle w:val="Hyperlink"/>
          <w:color w:val="auto"/>
          <w:u w:val="none"/>
        </w:rPr>
        <w:t>urisdiction</w:t>
      </w:r>
      <w:r w:rsidR="007D1A23" w:rsidRPr="003F15A8">
        <w:rPr>
          <w:rStyle w:val="Hyperlink"/>
          <w:color w:val="auto"/>
          <w:u w:val="none"/>
        </w:rPr>
        <w:tab/>
      </w:r>
      <w:r w:rsidR="003F15A8" w:rsidRPr="003F15A8">
        <w:rPr>
          <w:rStyle w:val="Hyperlink"/>
          <w:color w:val="auto"/>
          <w:u w:val="none"/>
        </w:rPr>
        <w:t>1</w:t>
      </w:r>
      <w:r w:rsidR="00FE04A3">
        <w:rPr>
          <w:rStyle w:val="Hyperlink"/>
          <w:color w:val="auto"/>
          <w:u w:val="none"/>
        </w:rPr>
        <w:t>1</w:t>
      </w:r>
    </w:p>
    <w:p w14:paraId="73D8A48C" w14:textId="48137ACD" w:rsidR="003F15A8" w:rsidRPr="003F15A8" w:rsidRDefault="003F15A8" w:rsidP="003F15A8">
      <w:pPr>
        <w:pStyle w:val="TOC1"/>
        <w:jc w:val="left"/>
        <w:rPr>
          <w:rStyle w:val="Hyperlink"/>
          <w:color w:val="auto"/>
          <w:u w:val="none"/>
        </w:rPr>
      </w:pPr>
      <w:r w:rsidRPr="003F15A8">
        <w:rPr>
          <w:rStyle w:val="Hyperlink"/>
          <w:color w:val="auto"/>
          <w:u w:val="none"/>
        </w:rPr>
        <w:t>Indicator 2 – Frequency rates of serious injury claims by jurisdiction</w:t>
      </w:r>
      <w:r w:rsidR="007D1A23" w:rsidRPr="003F15A8">
        <w:rPr>
          <w:rStyle w:val="Hyperlink"/>
          <w:color w:val="auto"/>
          <w:u w:val="none"/>
        </w:rPr>
        <w:tab/>
      </w:r>
      <w:r w:rsidRPr="003F15A8">
        <w:rPr>
          <w:rStyle w:val="Hyperlink"/>
          <w:color w:val="auto"/>
          <w:u w:val="none"/>
        </w:rPr>
        <w:t>1</w:t>
      </w:r>
      <w:r w:rsidR="00FE04A3">
        <w:rPr>
          <w:rStyle w:val="Hyperlink"/>
          <w:color w:val="auto"/>
          <w:u w:val="none"/>
        </w:rPr>
        <w:t>1</w:t>
      </w:r>
    </w:p>
    <w:p w14:paraId="592D7450" w14:textId="243AD66E" w:rsidR="003F15A8" w:rsidRPr="003F15A8" w:rsidRDefault="003F15A8" w:rsidP="003F15A8">
      <w:pPr>
        <w:pStyle w:val="TOC1"/>
        <w:jc w:val="left"/>
        <w:rPr>
          <w:rStyle w:val="Hyperlink"/>
          <w:color w:val="auto"/>
          <w:u w:val="none"/>
        </w:rPr>
      </w:pPr>
      <w:r w:rsidRPr="003F15A8">
        <w:rPr>
          <w:rStyle w:val="Hyperlink"/>
          <w:color w:val="auto"/>
          <w:u w:val="none"/>
        </w:rPr>
        <w:t>Indicator 3 – Incidence rates of long term (12 weeks or more compensation) injury and disease claims by jurisdiction</w:t>
      </w:r>
      <w:r w:rsidR="007D1A23" w:rsidRPr="003F15A8">
        <w:rPr>
          <w:rStyle w:val="Hyperlink"/>
          <w:color w:val="auto"/>
          <w:u w:val="none"/>
        </w:rPr>
        <w:tab/>
      </w:r>
      <w:r w:rsidRPr="003F15A8">
        <w:rPr>
          <w:rStyle w:val="Hyperlink"/>
          <w:color w:val="auto"/>
          <w:u w:val="none"/>
        </w:rPr>
        <w:t>1</w:t>
      </w:r>
      <w:r w:rsidR="00FE04A3">
        <w:rPr>
          <w:rStyle w:val="Hyperlink"/>
          <w:color w:val="auto"/>
          <w:u w:val="none"/>
        </w:rPr>
        <w:t>2</w:t>
      </w:r>
    </w:p>
    <w:p w14:paraId="3FD3F8CE" w14:textId="20BC206C" w:rsidR="003F15A8" w:rsidRPr="003F15A8" w:rsidRDefault="003F15A8" w:rsidP="003F15A8">
      <w:pPr>
        <w:pStyle w:val="TOC1"/>
        <w:jc w:val="left"/>
        <w:rPr>
          <w:rStyle w:val="Hyperlink"/>
          <w:color w:val="auto"/>
          <w:u w:val="none"/>
        </w:rPr>
      </w:pPr>
      <w:r w:rsidRPr="003F15A8">
        <w:rPr>
          <w:rStyle w:val="Hyperlink"/>
          <w:color w:val="auto"/>
          <w:u w:val="none"/>
        </w:rPr>
        <w:t>Indicator 4 – Frequency rates of long term (12 weeks or more compensation) injury and disease claims by jurisdiction</w:t>
      </w:r>
      <w:r w:rsidR="007D1A23" w:rsidRPr="003F15A8">
        <w:rPr>
          <w:rStyle w:val="Hyperlink"/>
          <w:color w:val="auto"/>
          <w:u w:val="none"/>
        </w:rPr>
        <w:tab/>
      </w:r>
      <w:r w:rsidRPr="003F15A8">
        <w:rPr>
          <w:rStyle w:val="Hyperlink"/>
          <w:color w:val="auto"/>
          <w:u w:val="none"/>
        </w:rPr>
        <w:t>1</w:t>
      </w:r>
      <w:r w:rsidR="00FE04A3">
        <w:rPr>
          <w:rStyle w:val="Hyperlink"/>
          <w:color w:val="auto"/>
          <w:u w:val="none"/>
        </w:rPr>
        <w:t>3</w:t>
      </w:r>
    </w:p>
    <w:p w14:paraId="41FCC536" w14:textId="0762D2C8" w:rsidR="003F15A8" w:rsidRPr="003F15A8" w:rsidRDefault="003F15A8" w:rsidP="003F15A8">
      <w:pPr>
        <w:pStyle w:val="TOC1"/>
        <w:jc w:val="left"/>
        <w:rPr>
          <w:rStyle w:val="Hyperlink"/>
          <w:color w:val="auto"/>
          <w:u w:val="none"/>
        </w:rPr>
      </w:pPr>
      <w:r w:rsidRPr="003F15A8">
        <w:rPr>
          <w:rStyle w:val="Hyperlink"/>
          <w:color w:val="auto"/>
          <w:u w:val="none"/>
        </w:rPr>
        <w:t>Indicator 5a – Self-insured claims: number of serious claims by jurisdiction</w:t>
      </w:r>
      <w:r w:rsidR="007D1A23" w:rsidRPr="003F15A8">
        <w:rPr>
          <w:rStyle w:val="Hyperlink"/>
          <w:color w:val="auto"/>
          <w:u w:val="none"/>
        </w:rPr>
        <w:tab/>
      </w:r>
      <w:r w:rsidRPr="003F15A8">
        <w:rPr>
          <w:rStyle w:val="Hyperlink"/>
          <w:color w:val="auto"/>
          <w:u w:val="none"/>
        </w:rPr>
        <w:t>1</w:t>
      </w:r>
      <w:r w:rsidR="00FE04A3">
        <w:rPr>
          <w:rStyle w:val="Hyperlink"/>
          <w:color w:val="auto"/>
          <w:u w:val="none"/>
        </w:rPr>
        <w:t>3</w:t>
      </w:r>
    </w:p>
    <w:p w14:paraId="1926824F" w14:textId="57401508" w:rsidR="003F15A8" w:rsidRPr="003F15A8" w:rsidRDefault="003F15A8" w:rsidP="003F15A8">
      <w:pPr>
        <w:pStyle w:val="TOC1"/>
        <w:jc w:val="left"/>
        <w:rPr>
          <w:rStyle w:val="Hyperlink"/>
          <w:color w:val="auto"/>
          <w:u w:val="none"/>
        </w:rPr>
      </w:pPr>
      <w:r w:rsidRPr="003F15A8">
        <w:rPr>
          <w:rStyle w:val="Hyperlink"/>
          <w:color w:val="auto"/>
          <w:u w:val="none"/>
        </w:rPr>
        <w:t>Indicator 5b – Self-insured claims: proportion of serious claims by jurisdiction</w:t>
      </w:r>
      <w:r w:rsidR="007D1A23" w:rsidRPr="003F15A8">
        <w:rPr>
          <w:rStyle w:val="Hyperlink"/>
          <w:color w:val="auto"/>
          <w:u w:val="none"/>
        </w:rPr>
        <w:tab/>
      </w:r>
      <w:r w:rsidRPr="003F15A8">
        <w:rPr>
          <w:rStyle w:val="Hyperlink"/>
          <w:color w:val="auto"/>
          <w:u w:val="none"/>
        </w:rPr>
        <w:t>1</w:t>
      </w:r>
      <w:r w:rsidR="00FE04A3">
        <w:rPr>
          <w:rStyle w:val="Hyperlink"/>
          <w:color w:val="auto"/>
          <w:u w:val="none"/>
        </w:rPr>
        <w:t>4</w:t>
      </w:r>
    </w:p>
    <w:p w14:paraId="7561D46E" w14:textId="3D8A4426" w:rsidR="003F15A8" w:rsidRPr="003F15A8" w:rsidRDefault="003F15A8" w:rsidP="003F15A8">
      <w:pPr>
        <w:pStyle w:val="TOC1"/>
        <w:jc w:val="left"/>
        <w:rPr>
          <w:rStyle w:val="Hyperlink"/>
          <w:color w:val="auto"/>
          <w:u w:val="none"/>
        </w:rPr>
      </w:pPr>
      <w:r w:rsidRPr="003F15A8">
        <w:rPr>
          <w:rStyle w:val="Hyperlink"/>
          <w:color w:val="auto"/>
          <w:u w:val="none"/>
        </w:rPr>
        <w:t>Indicator 6 – Serious claims: Percentage involving selected periods of compensation, 2017–18</w:t>
      </w:r>
      <w:r w:rsidR="007D1A23" w:rsidRPr="003F15A8">
        <w:rPr>
          <w:rStyle w:val="Hyperlink"/>
          <w:color w:val="auto"/>
          <w:u w:val="none"/>
        </w:rPr>
        <w:tab/>
      </w:r>
      <w:r w:rsidRPr="003F15A8">
        <w:rPr>
          <w:rStyle w:val="Hyperlink"/>
          <w:color w:val="auto"/>
          <w:u w:val="none"/>
        </w:rPr>
        <w:t>1</w:t>
      </w:r>
      <w:r w:rsidR="00FE04A3">
        <w:rPr>
          <w:rStyle w:val="Hyperlink"/>
          <w:color w:val="auto"/>
          <w:u w:val="none"/>
        </w:rPr>
        <w:t>5</w:t>
      </w:r>
    </w:p>
    <w:p w14:paraId="451F87F5" w14:textId="516E9D89" w:rsidR="003F15A8" w:rsidRPr="003F15A8" w:rsidRDefault="003F15A8" w:rsidP="003F15A8">
      <w:pPr>
        <w:pStyle w:val="TOC1"/>
        <w:jc w:val="left"/>
        <w:rPr>
          <w:rStyle w:val="Hyperlink"/>
          <w:color w:val="auto"/>
          <w:u w:val="none"/>
        </w:rPr>
      </w:pPr>
      <w:r w:rsidRPr="003F15A8">
        <w:rPr>
          <w:rStyle w:val="Hyperlink"/>
          <w:color w:val="auto"/>
          <w:u w:val="none"/>
        </w:rPr>
        <w:t>Indicator 7a – Traumatic injury worker fatalities: number of incidents not on a public road, by state of death</w:t>
      </w:r>
      <w:r w:rsidR="007D1A23" w:rsidRPr="003F15A8">
        <w:rPr>
          <w:rStyle w:val="Hyperlink"/>
          <w:color w:val="auto"/>
          <w:u w:val="none"/>
        </w:rPr>
        <w:tab/>
      </w:r>
      <w:r w:rsidRPr="003F15A8">
        <w:rPr>
          <w:rStyle w:val="Hyperlink"/>
          <w:color w:val="auto"/>
          <w:u w:val="none"/>
        </w:rPr>
        <w:t>1</w:t>
      </w:r>
      <w:r w:rsidR="00FE04A3">
        <w:rPr>
          <w:rStyle w:val="Hyperlink"/>
          <w:color w:val="auto"/>
          <w:u w:val="none"/>
        </w:rPr>
        <w:t>6</w:t>
      </w:r>
    </w:p>
    <w:p w14:paraId="65AF8F8D" w14:textId="534AC1A9" w:rsidR="003F15A8" w:rsidRPr="003F15A8" w:rsidRDefault="003F15A8" w:rsidP="003F15A8">
      <w:pPr>
        <w:pStyle w:val="TOC1"/>
        <w:jc w:val="left"/>
        <w:rPr>
          <w:rStyle w:val="Hyperlink"/>
          <w:color w:val="auto"/>
          <w:u w:val="none"/>
        </w:rPr>
      </w:pPr>
      <w:r w:rsidRPr="003F15A8">
        <w:rPr>
          <w:rStyle w:val="Hyperlink"/>
          <w:color w:val="auto"/>
          <w:u w:val="none"/>
        </w:rPr>
        <w:t>Indicator 7b – Traumatic injury fatalities: incidence rate per 100,000 workers for incidents not on a public road, by state of death</w:t>
      </w:r>
      <w:r w:rsidRPr="003F15A8">
        <w:rPr>
          <w:rStyle w:val="Hyperlink"/>
          <w:color w:val="auto"/>
          <w:u w:val="none"/>
        </w:rPr>
        <w:tab/>
        <w:t>1</w:t>
      </w:r>
      <w:r w:rsidR="004C7164">
        <w:rPr>
          <w:rStyle w:val="Hyperlink"/>
          <w:color w:val="auto"/>
          <w:u w:val="none"/>
        </w:rPr>
        <w:t>7</w:t>
      </w:r>
    </w:p>
    <w:p w14:paraId="1B23145A" w14:textId="381E4DFA" w:rsidR="003F15A8" w:rsidRPr="003F15A8" w:rsidRDefault="003F15A8" w:rsidP="003F15A8">
      <w:pPr>
        <w:pStyle w:val="TOC1"/>
        <w:jc w:val="left"/>
        <w:rPr>
          <w:rStyle w:val="Hyperlink"/>
          <w:color w:val="auto"/>
          <w:u w:val="none"/>
        </w:rPr>
      </w:pPr>
      <w:r w:rsidRPr="003F15A8">
        <w:rPr>
          <w:rStyle w:val="Hyperlink"/>
          <w:color w:val="auto"/>
          <w:u w:val="none"/>
        </w:rPr>
        <w:t>Indicator 8 – Compensated fatalities involving occupational diseases by jurisdiction</w:t>
      </w:r>
      <w:r w:rsidRPr="003F15A8">
        <w:rPr>
          <w:rStyle w:val="Hyperlink"/>
          <w:color w:val="auto"/>
          <w:u w:val="none"/>
        </w:rPr>
        <w:tab/>
        <w:t>1</w:t>
      </w:r>
      <w:r w:rsidR="004C7164">
        <w:rPr>
          <w:rStyle w:val="Hyperlink"/>
          <w:color w:val="auto"/>
          <w:u w:val="none"/>
        </w:rPr>
        <w:t>8</w:t>
      </w:r>
    </w:p>
    <w:p w14:paraId="2BD08B66" w14:textId="5674E41E" w:rsidR="003F15A8" w:rsidRPr="003F15A8" w:rsidRDefault="003F15A8" w:rsidP="003F15A8">
      <w:pPr>
        <w:pStyle w:val="TOC1"/>
        <w:jc w:val="left"/>
        <w:rPr>
          <w:rStyle w:val="Hyperlink"/>
          <w:color w:val="auto"/>
          <w:u w:val="none"/>
        </w:rPr>
      </w:pPr>
      <w:r w:rsidRPr="003F15A8">
        <w:rPr>
          <w:rStyle w:val="Hyperlink"/>
          <w:color w:val="auto"/>
          <w:u w:val="none"/>
        </w:rPr>
        <w:t>Indicator 9 – Size of business: incidence rates (claims per 1,000 employees) of serious claims by jurisdiction (private sector only)</w:t>
      </w:r>
      <w:r w:rsidRPr="003F15A8">
        <w:rPr>
          <w:rStyle w:val="Hyperlink"/>
          <w:color w:val="auto"/>
          <w:u w:val="none"/>
        </w:rPr>
        <w:tab/>
        <w:t>1</w:t>
      </w:r>
      <w:r w:rsidR="004C7164">
        <w:rPr>
          <w:rStyle w:val="Hyperlink"/>
          <w:color w:val="auto"/>
          <w:u w:val="none"/>
        </w:rPr>
        <w:t>9</w:t>
      </w:r>
    </w:p>
    <w:p w14:paraId="7A80A590" w14:textId="1F4C71BC" w:rsidR="003F15A8" w:rsidRPr="003F15A8" w:rsidRDefault="003F15A8" w:rsidP="003F15A8">
      <w:pPr>
        <w:pStyle w:val="TOC1"/>
        <w:jc w:val="left"/>
        <w:rPr>
          <w:rStyle w:val="Hyperlink"/>
          <w:color w:val="auto"/>
          <w:u w:val="none"/>
        </w:rPr>
      </w:pPr>
      <w:r w:rsidRPr="003F15A8">
        <w:rPr>
          <w:rStyle w:val="Hyperlink"/>
          <w:color w:val="auto"/>
          <w:u w:val="none"/>
        </w:rPr>
        <w:t>Indicator 10 – Proportion of serious claims by mechanism of incident</w:t>
      </w:r>
      <w:r w:rsidRPr="003F15A8">
        <w:rPr>
          <w:rStyle w:val="Hyperlink"/>
          <w:color w:val="auto"/>
          <w:u w:val="none"/>
        </w:rPr>
        <w:tab/>
      </w:r>
      <w:r w:rsidR="004C7164">
        <w:rPr>
          <w:rStyle w:val="Hyperlink"/>
          <w:color w:val="auto"/>
          <w:u w:val="none"/>
        </w:rPr>
        <w:t>20</w:t>
      </w:r>
    </w:p>
    <w:p w14:paraId="345C7987" w14:textId="1B9E8343" w:rsidR="003F15A8" w:rsidRPr="003F15A8" w:rsidRDefault="003F15A8" w:rsidP="00001159">
      <w:pPr>
        <w:pStyle w:val="TOC1"/>
        <w:ind w:left="284"/>
        <w:jc w:val="left"/>
        <w:rPr>
          <w:rStyle w:val="Hyperlink"/>
          <w:color w:val="auto"/>
          <w:u w:val="none"/>
        </w:rPr>
      </w:pPr>
      <w:r w:rsidRPr="003F15A8">
        <w:rPr>
          <w:rStyle w:val="Hyperlink"/>
          <w:color w:val="auto"/>
          <w:u w:val="none"/>
        </w:rPr>
        <w:t>Indicator 10a –</w:t>
      </w:r>
      <w:r w:rsidR="007D1A23">
        <w:rPr>
          <w:rStyle w:val="Hyperlink"/>
          <w:color w:val="auto"/>
          <w:u w:val="none"/>
        </w:rPr>
        <w:t xml:space="preserve"> </w:t>
      </w:r>
      <w:r w:rsidRPr="003F15A8">
        <w:rPr>
          <w:rStyle w:val="Hyperlink"/>
          <w:color w:val="auto"/>
          <w:u w:val="none"/>
        </w:rPr>
        <w:t>Body stressing by jurisdiction</w:t>
      </w:r>
      <w:r w:rsidRPr="003F15A8">
        <w:rPr>
          <w:rStyle w:val="Hyperlink"/>
          <w:color w:val="auto"/>
          <w:u w:val="none"/>
        </w:rPr>
        <w:tab/>
        <w:t>2</w:t>
      </w:r>
      <w:r w:rsidR="004C7164">
        <w:rPr>
          <w:rStyle w:val="Hyperlink"/>
          <w:color w:val="auto"/>
          <w:u w:val="none"/>
        </w:rPr>
        <w:t>1</w:t>
      </w:r>
    </w:p>
    <w:p w14:paraId="5AAEFF64" w14:textId="2B1E69CC" w:rsidR="003F15A8" w:rsidRPr="003F15A8" w:rsidRDefault="003F15A8" w:rsidP="00001159">
      <w:pPr>
        <w:pStyle w:val="TOC1"/>
        <w:ind w:left="284"/>
        <w:jc w:val="left"/>
        <w:rPr>
          <w:rStyle w:val="Hyperlink"/>
          <w:color w:val="auto"/>
          <w:u w:val="none"/>
        </w:rPr>
      </w:pPr>
      <w:r w:rsidRPr="003F15A8">
        <w:rPr>
          <w:rStyle w:val="Hyperlink"/>
          <w:color w:val="auto"/>
          <w:u w:val="none"/>
        </w:rPr>
        <w:t>Indicator 10b –</w:t>
      </w:r>
      <w:r w:rsidR="007D1A23">
        <w:rPr>
          <w:rStyle w:val="Hyperlink"/>
          <w:color w:val="auto"/>
          <w:u w:val="none"/>
        </w:rPr>
        <w:t xml:space="preserve"> </w:t>
      </w:r>
      <w:r w:rsidRPr="003F15A8">
        <w:rPr>
          <w:rStyle w:val="Hyperlink"/>
          <w:color w:val="auto"/>
          <w:u w:val="none"/>
        </w:rPr>
        <w:t>Falls, trips and slips of a person by jurisdiction</w:t>
      </w:r>
      <w:r>
        <w:rPr>
          <w:rStyle w:val="Hyperlink"/>
          <w:color w:val="auto"/>
          <w:u w:val="none"/>
        </w:rPr>
        <w:t>.</w:t>
      </w:r>
      <w:r w:rsidRPr="003F15A8">
        <w:rPr>
          <w:rStyle w:val="Hyperlink"/>
          <w:color w:val="auto"/>
          <w:u w:val="none"/>
        </w:rPr>
        <w:tab/>
        <w:t>2</w:t>
      </w:r>
      <w:r w:rsidR="004C7164">
        <w:rPr>
          <w:rStyle w:val="Hyperlink"/>
          <w:color w:val="auto"/>
          <w:u w:val="none"/>
        </w:rPr>
        <w:t>2</w:t>
      </w:r>
    </w:p>
    <w:p w14:paraId="068886E2" w14:textId="2FC2E475" w:rsidR="003F15A8" w:rsidRPr="003F15A8" w:rsidRDefault="003F15A8" w:rsidP="00001159">
      <w:pPr>
        <w:pStyle w:val="TOC1"/>
        <w:ind w:left="284"/>
        <w:jc w:val="left"/>
        <w:rPr>
          <w:rStyle w:val="Hyperlink"/>
          <w:color w:val="auto"/>
          <w:u w:val="none"/>
        </w:rPr>
      </w:pPr>
      <w:r w:rsidRPr="003F15A8">
        <w:rPr>
          <w:rStyle w:val="Hyperlink"/>
          <w:color w:val="auto"/>
          <w:u w:val="none"/>
        </w:rPr>
        <w:t>Indicator 10c –</w:t>
      </w:r>
      <w:r w:rsidR="007D1A23">
        <w:rPr>
          <w:rStyle w:val="Hyperlink"/>
          <w:color w:val="auto"/>
          <w:u w:val="none"/>
        </w:rPr>
        <w:t xml:space="preserve"> </w:t>
      </w:r>
      <w:r w:rsidRPr="003F15A8">
        <w:rPr>
          <w:rStyle w:val="Hyperlink"/>
          <w:color w:val="auto"/>
          <w:u w:val="none"/>
        </w:rPr>
        <w:t>Being hit by moving objects by jurisdiction</w:t>
      </w:r>
      <w:r w:rsidR="007D1A23" w:rsidRPr="003F15A8">
        <w:rPr>
          <w:rStyle w:val="Hyperlink"/>
          <w:color w:val="auto"/>
          <w:u w:val="none"/>
        </w:rPr>
        <w:tab/>
      </w:r>
      <w:r w:rsidR="00001159">
        <w:rPr>
          <w:rStyle w:val="Hyperlink"/>
          <w:color w:val="auto"/>
          <w:u w:val="none"/>
        </w:rPr>
        <w:t>2</w:t>
      </w:r>
      <w:r w:rsidR="004C7164">
        <w:rPr>
          <w:rStyle w:val="Hyperlink"/>
          <w:color w:val="auto"/>
          <w:u w:val="none"/>
        </w:rPr>
        <w:t>2</w:t>
      </w:r>
    </w:p>
    <w:p w14:paraId="3EAB40A0" w14:textId="62C333A5" w:rsidR="003F15A8" w:rsidRPr="003F15A8" w:rsidRDefault="003F15A8" w:rsidP="00001159">
      <w:pPr>
        <w:pStyle w:val="TOC1"/>
        <w:ind w:left="284"/>
        <w:jc w:val="left"/>
        <w:rPr>
          <w:rStyle w:val="Hyperlink"/>
          <w:color w:val="auto"/>
          <w:u w:val="none"/>
        </w:rPr>
      </w:pPr>
      <w:r w:rsidRPr="003F15A8">
        <w:rPr>
          <w:rStyle w:val="Hyperlink"/>
          <w:color w:val="auto"/>
          <w:u w:val="none"/>
        </w:rPr>
        <w:t>Indicator 10d –</w:t>
      </w:r>
      <w:r w:rsidR="007D1A23">
        <w:rPr>
          <w:rStyle w:val="Hyperlink"/>
          <w:color w:val="auto"/>
          <w:u w:val="none"/>
        </w:rPr>
        <w:t xml:space="preserve"> </w:t>
      </w:r>
      <w:r w:rsidRPr="003F15A8">
        <w:rPr>
          <w:rStyle w:val="Hyperlink"/>
          <w:color w:val="auto"/>
          <w:u w:val="none"/>
        </w:rPr>
        <w:t>Hitting objects with a part of the body by jurisdiction</w:t>
      </w:r>
      <w:r w:rsidRPr="003F15A8">
        <w:rPr>
          <w:rStyle w:val="Hyperlink"/>
          <w:color w:val="auto"/>
          <w:u w:val="none"/>
        </w:rPr>
        <w:tab/>
        <w:t>2</w:t>
      </w:r>
      <w:r w:rsidR="004C7164">
        <w:rPr>
          <w:rStyle w:val="Hyperlink"/>
          <w:color w:val="auto"/>
          <w:u w:val="none"/>
        </w:rPr>
        <w:t>3</w:t>
      </w:r>
    </w:p>
    <w:p w14:paraId="4ADB20A0" w14:textId="75A1244B" w:rsidR="003F15A8" w:rsidRPr="003F15A8" w:rsidRDefault="003F15A8" w:rsidP="00001159">
      <w:pPr>
        <w:pStyle w:val="TOC1"/>
        <w:ind w:left="284"/>
        <w:jc w:val="left"/>
        <w:rPr>
          <w:rStyle w:val="Hyperlink"/>
          <w:color w:val="auto"/>
          <w:u w:val="none"/>
        </w:rPr>
      </w:pPr>
      <w:r w:rsidRPr="003F15A8">
        <w:rPr>
          <w:rStyle w:val="Hyperlink"/>
          <w:color w:val="auto"/>
          <w:u w:val="none"/>
        </w:rPr>
        <w:t>Indicator 10e –</w:t>
      </w:r>
      <w:r w:rsidR="007D1A23">
        <w:rPr>
          <w:rStyle w:val="Hyperlink"/>
          <w:color w:val="auto"/>
          <w:u w:val="none"/>
        </w:rPr>
        <w:t xml:space="preserve"> </w:t>
      </w:r>
      <w:r w:rsidRPr="003F15A8">
        <w:rPr>
          <w:rStyle w:val="Hyperlink"/>
          <w:color w:val="auto"/>
          <w:u w:val="none"/>
        </w:rPr>
        <w:t>Mental stress by jurisdiction</w:t>
      </w:r>
      <w:r w:rsidRPr="003F15A8">
        <w:rPr>
          <w:rStyle w:val="Hyperlink"/>
          <w:color w:val="auto"/>
          <w:u w:val="none"/>
        </w:rPr>
        <w:tab/>
        <w:t>2</w:t>
      </w:r>
      <w:r w:rsidR="004C7164">
        <w:rPr>
          <w:rStyle w:val="Hyperlink"/>
          <w:color w:val="auto"/>
          <w:u w:val="none"/>
        </w:rPr>
        <w:t>3</w:t>
      </w:r>
    </w:p>
    <w:p w14:paraId="537F868C" w14:textId="41FA4BE7" w:rsidR="003F15A8" w:rsidRPr="003F15A8" w:rsidRDefault="003F15A8" w:rsidP="00001159">
      <w:pPr>
        <w:pStyle w:val="TOC1"/>
        <w:ind w:left="284"/>
        <w:jc w:val="left"/>
        <w:rPr>
          <w:rStyle w:val="Hyperlink"/>
          <w:color w:val="auto"/>
          <w:u w:val="none"/>
        </w:rPr>
      </w:pPr>
      <w:r w:rsidRPr="003F15A8">
        <w:rPr>
          <w:rStyle w:val="Hyperlink"/>
          <w:color w:val="auto"/>
          <w:u w:val="none"/>
        </w:rPr>
        <w:t>Indicator 10f –</w:t>
      </w:r>
      <w:r w:rsidR="007D1A23">
        <w:rPr>
          <w:rStyle w:val="Hyperlink"/>
          <w:color w:val="auto"/>
          <w:u w:val="none"/>
        </w:rPr>
        <w:t xml:space="preserve"> </w:t>
      </w:r>
      <w:r w:rsidRPr="003F15A8">
        <w:rPr>
          <w:rStyle w:val="Hyperlink"/>
          <w:color w:val="auto"/>
          <w:u w:val="none"/>
        </w:rPr>
        <w:t>Other mechanisms by jurisdiction</w:t>
      </w:r>
      <w:r w:rsidRPr="003F15A8">
        <w:rPr>
          <w:rStyle w:val="Hyperlink"/>
          <w:color w:val="auto"/>
          <w:u w:val="none"/>
        </w:rPr>
        <w:tab/>
        <w:t>2</w:t>
      </w:r>
      <w:r w:rsidR="004C7164">
        <w:rPr>
          <w:rStyle w:val="Hyperlink"/>
          <w:color w:val="auto"/>
          <w:u w:val="none"/>
        </w:rPr>
        <w:t>4</w:t>
      </w:r>
    </w:p>
    <w:p w14:paraId="5E597C54" w14:textId="3A3EC418" w:rsidR="003F15A8" w:rsidRPr="003F15A8" w:rsidRDefault="003F15A8" w:rsidP="00001159">
      <w:pPr>
        <w:pStyle w:val="TOC1"/>
        <w:ind w:left="284"/>
        <w:jc w:val="left"/>
        <w:rPr>
          <w:rStyle w:val="Hyperlink"/>
          <w:color w:val="auto"/>
          <w:u w:val="none"/>
        </w:rPr>
      </w:pPr>
      <w:r w:rsidRPr="003F15A8">
        <w:rPr>
          <w:rStyle w:val="Hyperlink"/>
          <w:color w:val="auto"/>
          <w:u w:val="none"/>
        </w:rPr>
        <w:t>Indicator 10g –</w:t>
      </w:r>
      <w:r w:rsidR="007D1A23">
        <w:rPr>
          <w:rStyle w:val="Hyperlink"/>
          <w:color w:val="auto"/>
          <w:u w:val="none"/>
        </w:rPr>
        <w:t xml:space="preserve"> </w:t>
      </w:r>
      <w:r w:rsidRPr="003F15A8">
        <w:rPr>
          <w:rStyle w:val="Hyperlink"/>
          <w:color w:val="auto"/>
          <w:u w:val="none"/>
        </w:rPr>
        <w:t>Vehicle incidents by jurisdiction</w:t>
      </w:r>
      <w:r w:rsidRPr="003F15A8">
        <w:rPr>
          <w:rStyle w:val="Hyperlink"/>
          <w:color w:val="auto"/>
          <w:u w:val="none"/>
        </w:rPr>
        <w:tab/>
        <w:t>2</w:t>
      </w:r>
      <w:r w:rsidR="004C7164">
        <w:rPr>
          <w:rStyle w:val="Hyperlink"/>
          <w:color w:val="auto"/>
          <w:u w:val="none"/>
        </w:rPr>
        <w:t>5</w:t>
      </w:r>
    </w:p>
    <w:p w14:paraId="576A26A9" w14:textId="14F5AB22" w:rsidR="004C7164" w:rsidRDefault="004C7164" w:rsidP="004C7164">
      <w:pPr>
        <w:pStyle w:val="TOC1"/>
        <w:ind w:left="284"/>
        <w:jc w:val="left"/>
        <w:rPr>
          <w:rStyle w:val="Hyperlink"/>
          <w:color w:val="auto"/>
          <w:u w:val="none"/>
        </w:rPr>
      </w:pPr>
      <w:r w:rsidRPr="004C7164">
        <w:rPr>
          <w:rStyle w:val="Hyperlink"/>
          <w:color w:val="auto"/>
          <w:u w:val="none"/>
        </w:rPr>
        <w:t>Indicator 10h –</w:t>
      </w:r>
      <w:r w:rsidR="007D1A23">
        <w:rPr>
          <w:rStyle w:val="Hyperlink"/>
          <w:color w:val="auto"/>
          <w:u w:val="none"/>
        </w:rPr>
        <w:t xml:space="preserve"> </w:t>
      </w:r>
      <w:r w:rsidRPr="004C7164">
        <w:rPr>
          <w:rStyle w:val="Hyperlink"/>
          <w:color w:val="auto"/>
          <w:u w:val="none"/>
        </w:rPr>
        <w:t>Heat, electricity and other environmental factors by jurisdiction</w:t>
      </w:r>
      <w:r w:rsidRPr="004C7164">
        <w:rPr>
          <w:rStyle w:val="Hyperlink"/>
          <w:color w:val="auto"/>
          <w:u w:val="none"/>
        </w:rPr>
        <w:tab/>
        <w:t>25</w:t>
      </w:r>
    </w:p>
    <w:p w14:paraId="2A0389B2" w14:textId="66A808E5" w:rsidR="003F15A8" w:rsidRPr="003F15A8" w:rsidRDefault="003F15A8" w:rsidP="003F15A8">
      <w:pPr>
        <w:pStyle w:val="TOC1"/>
        <w:jc w:val="left"/>
        <w:rPr>
          <w:rStyle w:val="Hyperlink"/>
          <w:color w:val="auto"/>
          <w:u w:val="none"/>
        </w:rPr>
      </w:pPr>
      <w:r w:rsidRPr="003F15A8">
        <w:rPr>
          <w:rStyle w:val="Hyperlink"/>
          <w:color w:val="auto"/>
          <w:u w:val="none"/>
        </w:rPr>
        <w:t>Indicator 11 – Incidence rates of serious* claims by industry</w:t>
      </w:r>
      <w:r w:rsidRPr="003F15A8">
        <w:rPr>
          <w:rStyle w:val="Hyperlink"/>
          <w:color w:val="auto"/>
          <w:u w:val="none"/>
        </w:rPr>
        <w:tab/>
        <w:t>2</w:t>
      </w:r>
      <w:r w:rsidR="004C7164">
        <w:rPr>
          <w:rStyle w:val="Hyperlink"/>
          <w:color w:val="auto"/>
          <w:u w:val="none"/>
        </w:rPr>
        <w:t>7</w:t>
      </w:r>
    </w:p>
    <w:p w14:paraId="64C629B5" w14:textId="7D24217A" w:rsidR="003F15A8" w:rsidRPr="003F15A8" w:rsidRDefault="003F15A8" w:rsidP="00001159">
      <w:pPr>
        <w:pStyle w:val="TOC1"/>
        <w:ind w:left="284"/>
        <w:jc w:val="left"/>
        <w:rPr>
          <w:rStyle w:val="Hyperlink"/>
          <w:color w:val="auto"/>
          <w:u w:val="none"/>
        </w:rPr>
      </w:pPr>
      <w:r w:rsidRPr="003F15A8">
        <w:rPr>
          <w:rStyle w:val="Hyperlink"/>
          <w:color w:val="auto"/>
          <w:u w:val="none"/>
        </w:rPr>
        <w:t>Indicator 11a –</w:t>
      </w:r>
      <w:r w:rsidR="007D1A23">
        <w:rPr>
          <w:rStyle w:val="Hyperlink"/>
          <w:color w:val="auto"/>
          <w:u w:val="none"/>
        </w:rPr>
        <w:t xml:space="preserve"> </w:t>
      </w:r>
      <w:r w:rsidRPr="003F15A8">
        <w:rPr>
          <w:rStyle w:val="Hyperlink"/>
          <w:color w:val="auto"/>
          <w:u w:val="none"/>
        </w:rPr>
        <w:t>Agriculture, forestry and fishing by jurisdiction</w:t>
      </w:r>
      <w:r w:rsidR="007D1A23" w:rsidRPr="003F15A8">
        <w:rPr>
          <w:rStyle w:val="Hyperlink"/>
          <w:color w:val="auto"/>
          <w:u w:val="none"/>
        </w:rPr>
        <w:tab/>
      </w:r>
      <w:r w:rsidRPr="003F15A8">
        <w:rPr>
          <w:rStyle w:val="Hyperlink"/>
          <w:color w:val="auto"/>
          <w:u w:val="none"/>
        </w:rPr>
        <w:t>2</w:t>
      </w:r>
      <w:r w:rsidR="004C7164">
        <w:rPr>
          <w:rStyle w:val="Hyperlink"/>
          <w:color w:val="auto"/>
          <w:u w:val="none"/>
        </w:rPr>
        <w:t>8</w:t>
      </w:r>
    </w:p>
    <w:p w14:paraId="6F768578" w14:textId="6E2550C2" w:rsidR="003F15A8" w:rsidRPr="003F15A8" w:rsidRDefault="003F15A8" w:rsidP="00001159">
      <w:pPr>
        <w:pStyle w:val="TOC1"/>
        <w:ind w:left="284"/>
        <w:jc w:val="left"/>
        <w:rPr>
          <w:rStyle w:val="Hyperlink"/>
          <w:color w:val="auto"/>
          <w:u w:val="none"/>
        </w:rPr>
      </w:pPr>
      <w:r w:rsidRPr="003F15A8">
        <w:rPr>
          <w:rStyle w:val="Hyperlink"/>
          <w:color w:val="auto"/>
          <w:u w:val="none"/>
        </w:rPr>
        <w:t>Indicator 11b –</w:t>
      </w:r>
      <w:r w:rsidR="007D1A23">
        <w:rPr>
          <w:rStyle w:val="Hyperlink"/>
          <w:color w:val="auto"/>
          <w:u w:val="none"/>
        </w:rPr>
        <w:t xml:space="preserve"> </w:t>
      </w:r>
      <w:r w:rsidRPr="003F15A8">
        <w:rPr>
          <w:rStyle w:val="Hyperlink"/>
          <w:color w:val="auto"/>
          <w:u w:val="none"/>
        </w:rPr>
        <w:t>Mining by jurisdiction</w:t>
      </w:r>
      <w:r w:rsidRPr="003F15A8">
        <w:rPr>
          <w:rStyle w:val="Hyperlink"/>
          <w:color w:val="auto"/>
          <w:u w:val="none"/>
        </w:rPr>
        <w:tab/>
        <w:t>2</w:t>
      </w:r>
      <w:r w:rsidR="004C7164">
        <w:rPr>
          <w:rStyle w:val="Hyperlink"/>
          <w:color w:val="auto"/>
          <w:u w:val="none"/>
        </w:rPr>
        <w:t>9</w:t>
      </w:r>
    </w:p>
    <w:p w14:paraId="30EB31AC" w14:textId="28982408" w:rsidR="003F15A8" w:rsidRPr="003F15A8" w:rsidRDefault="003F15A8" w:rsidP="00001159">
      <w:pPr>
        <w:pStyle w:val="TOC1"/>
        <w:ind w:left="284"/>
        <w:jc w:val="left"/>
        <w:rPr>
          <w:rStyle w:val="Hyperlink"/>
          <w:color w:val="auto"/>
          <w:u w:val="none"/>
        </w:rPr>
      </w:pPr>
      <w:r w:rsidRPr="003F15A8">
        <w:rPr>
          <w:rStyle w:val="Hyperlink"/>
          <w:color w:val="auto"/>
          <w:u w:val="none"/>
        </w:rPr>
        <w:t>Indicator 11c –</w:t>
      </w:r>
      <w:r w:rsidR="007D1A23">
        <w:rPr>
          <w:rStyle w:val="Hyperlink"/>
          <w:color w:val="auto"/>
          <w:u w:val="none"/>
        </w:rPr>
        <w:t xml:space="preserve"> </w:t>
      </w:r>
      <w:r w:rsidRPr="003F15A8">
        <w:rPr>
          <w:rStyle w:val="Hyperlink"/>
          <w:color w:val="auto"/>
          <w:u w:val="none"/>
        </w:rPr>
        <w:t>Manufacturing by jurisdiction</w:t>
      </w:r>
      <w:r w:rsidRPr="003F15A8">
        <w:rPr>
          <w:rStyle w:val="Hyperlink"/>
          <w:color w:val="auto"/>
          <w:u w:val="none"/>
        </w:rPr>
        <w:tab/>
        <w:t>2</w:t>
      </w:r>
      <w:r w:rsidR="004C7164">
        <w:rPr>
          <w:rStyle w:val="Hyperlink"/>
          <w:color w:val="auto"/>
          <w:u w:val="none"/>
        </w:rPr>
        <w:t>9</w:t>
      </w:r>
    </w:p>
    <w:p w14:paraId="49DD6EAC" w14:textId="6FAAFCA1" w:rsidR="003F15A8" w:rsidRPr="003F15A8" w:rsidRDefault="003F15A8" w:rsidP="00001159">
      <w:pPr>
        <w:pStyle w:val="TOC1"/>
        <w:ind w:left="284"/>
        <w:jc w:val="left"/>
        <w:rPr>
          <w:rStyle w:val="Hyperlink"/>
          <w:color w:val="auto"/>
          <w:u w:val="none"/>
        </w:rPr>
      </w:pPr>
      <w:r w:rsidRPr="003F15A8">
        <w:rPr>
          <w:rStyle w:val="Hyperlink"/>
          <w:color w:val="auto"/>
          <w:u w:val="none"/>
        </w:rPr>
        <w:t>Indicator 11d –</w:t>
      </w:r>
      <w:r w:rsidR="007D1A23">
        <w:rPr>
          <w:rStyle w:val="Hyperlink"/>
          <w:color w:val="auto"/>
          <w:u w:val="none"/>
        </w:rPr>
        <w:t xml:space="preserve"> </w:t>
      </w:r>
      <w:r w:rsidRPr="003F15A8">
        <w:rPr>
          <w:rStyle w:val="Hyperlink"/>
          <w:color w:val="auto"/>
          <w:u w:val="none"/>
        </w:rPr>
        <w:t>Electricity, gas, water and waste services by jurisdiction</w:t>
      </w:r>
      <w:r w:rsidRPr="003F15A8">
        <w:rPr>
          <w:rStyle w:val="Hyperlink"/>
          <w:color w:val="auto"/>
          <w:u w:val="none"/>
        </w:rPr>
        <w:tab/>
      </w:r>
      <w:r w:rsidR="004C7164">
        <w:rPr>
          <w:rStyle w:val="Hyperlink"/>
          <w:color w:val="auto"/>
          <w:u w:val="none"/>
        </w:rPr>
        <w:t>30</w:t>
      </w:r>
      <w:r w:rsidRPr="003F15A8">
        <w:rPr>
          <w:rStyle w:val="Hyperlink"/>
          <w:color w:val="auto"/>
          <w:u w:val="none"/>
        </w:rPr>
        <w:t xml:space="preserve"> </w:t>
      </w:r>
    </w:p>
    <w:p w14:paraId="4EEB987F" w14:textId="634BE68A" w:rsidR="003F15A8" w:rsidRPr="003F15A8" w:rsidRDefault="003F15A8" w:rsidP="00001159">
      <w:pPr>
        <w:pStyle w:val="TOC1"/>
        <w:ind w:left="284"/>
        <w:jc w:val="left"/>
        <w:rPr>
          <w:rStyle w:val="Hyperlink"/>
          <w:color w:val="auto"/>
          <w:u w:val="none"/>
        </w:rPr>
      </w:pPr>
      <w:r w:rsidRPr="003F15A8">
        <w:rPr>
          <w:rStyle w:val="Hyperlink"/>
          <w:color w:val="auto"/>
          <w:u w:val="none"/>
        </w:rPr>
        <w:t>Indicator 11e –</w:t>
      </w:r>
      <w:r w:rsidR="007D1A23">
        <w:rPr>
          <w:rStyle w:val="Hyperlink"/>
          <w:color w:val="auto"/>
          <w:u w:val="none"/>
        </w:rPr>
        <w:t xml:space="preserve"> </w:t>
      </w:r>
      <w:r w:rsidRPr="003F15A8">
        <w:rPr>
          <w:rStyle w:val="Hyperlink"/>
          <w:color w:val="auto"/>
          <w:u w:val="none"/>
        </w:rPr>
        <w:t>Construction by jurisdiction</w:t>
      </w:r>
      <w:r w:rsidR="007D1A23" w:rsidRPr="003F15A8">
        <w:rPr>
          <w:rStyle w:val="Hyperlink"/>
          <w:color w:val="auto"/>
          <w:u w:val="none"/>
        </w:rPr>
        <w:tab/>
      </w:r>
      <w:r w:rsidRPr="003F15A8">
        <w:rPr>
          <w:rStyle w:val="Hyperlink"/>
          <w:color w:val="auto"/>
          <w:u w:val="none"/>
        </w:rPr>
        <w:t>3</w:t>
      </w:r>
      <w:r w:rsidR="004C7164">
        <w:rPr>
          <w:rStyle w:val="Hyperlink"/>
          <w:color w:val="auto"/>
          <w:u w:val="none"/>
        </w:rPr>
        <w:t>1</w:t>
      </w:r>
    </w:p>
    <w:p w14:paraId="3F461C13" w14:textId="71D81598" w:rsidR="003F15A8" w:rsidRPr="003F15A8" w:rsidRDefault="003F15A8" w:rsidP="00001159">
      <w:pPr>
        <w:pStyle w:val="TOC1"/>
        <w:ind w:left="284"/>
        <w:jc w:val="left"/>
        <w:rPr>
          <w:rStyle w:val="Hyperlink"/>
          <w:color w:val="auto"/>
          <w:u w:val="none"/>
        </w:rPr>
      </w:pPr>
      <w:r w:rsidRPr="003F15A8">
        <w:rPr>
          <w:rStyle w:val="Hyperlink"/>
          <w:color w:val="auto"/>
          <w:u w:val="none"/>
        </w:rPr>
        <w:t>Indicator 11f –</w:t>
      </w:r>
      <w:r w:rsidR="007D1A23">
        <w:rPr>
          <w:rStyle w:val="Hyperlink"/>
          <w:color w:val="auto"/>
          <w:u w:val="none"/>
        </w:rPr>
        <w:t xml:space="preserve"> </w:t>
      </w:r>
      <w:r w:rsidRPr="003F15A8">
        <w:rPr>
          <w:rStyle w:val="Hyperlink"/>
          <w:color w:val="auto"/>
          <w:u w:val="none"/>
        </w:rPr>
        <w:t>Wholesale trade by jurisdiction</w:t>
      </w:r>
      <w:r w:rsidRPr="003F15A8">
        <w:rPr>
          <w:rStyle w:val="Hyperlink"/>
          <w:color w:val="auto"/>
          <w:u w:val="none"/>
        </w:rPr>
        <w:tab/>
        <w:t>3</w:t>
      </w:r>
      <w:r w:rsidR="004C7164">
        <w:rPr>
          <w:rStyle w:val="Hyperlink"/>
          <w:color w:val="auto"/>
          <w:u w:val="none"/>
        </w:rPr>
        <w:t>1</w:t>
      </w:r>
    </w:p>
    <w:p w14:paraId="7FAFD9DE" w14:textId="09C163C7" w:rsidR="003F15A8" w:rsidRPr="003F15A8" w:rsidRDefault="003F15A8" w:rsidP="00001159">
      <w:pPr>
        <w:pStyle w:val="TOC1"/>
        <w:ind w:left="284"/>
        <w:jc w:val="left"/>
        <w:rPr>
          <w:rStyle w:val="Hyperlink"/>
          <w:color w:val="auto"/>
          <w:u w:val="none"/>
        </w:rPr>
      </w:pPr>
      <w:r w:rsidRPr="003F15A8">
        <w:rPr>
          <w:rStyle w:val="Hyperlink"/>
          <w:color w:val="auto"/>
          <w:u w:val="none"/>
        </w:rPr>
        <w:t>Indicator 11g –</w:t>
      </w:r>
      <w:r w:rsidR="007D1A23">
        <w:rPr>
          <w:rStyle w:val="Hyperlink"/>
          <w:color w:val="auto"/>
          <w:u w:val="none"/>
        </w:rPr>
        <w:t xml:space="preserve"> </w:t>
      </w:r>
      <w:r w:rsidRPr="003F15A8">
        <w:rPr>
          <w:rStyle w:val="Hyperlink"/>
          <w:color w:val="auto"/>
          <w:u w:val="none"/>
        </w:rPr>
        <w:t>Retail trade by jurisdiction</w:t>
      </w:r>
      <w:r w:rsidRPr="003F15A8">
        <w:rPr>
          <w:rStyle w:val="Hyperlink"/>
          <w:color w:val="auto"/>
          <w:u w:val="none"/>
        </w:rPr>
        <w:tab/>
        <w:t>3</w:t>
      </w:r>
      <w:r w:rsidR="004C7164">
        <w:rPr>
          <w:rStyle w:val="Hyperlink"/>
          <w:color w:val="auto"/>
          <w:u w:val="none"/>
        </w:rPr>
        <w:t>2</w:t>
      </w:r>
    </w:p>
    <w:p w14:paraId="543DD33C" w14:textId="5B1D90FF" w:rsidR="003F15A8" w:rsidRPr="003F15A8" w:rsidRDefault="003F15A8" w:rsidP="00001159">
      <w:pPr>
        <w:pStyle w:val="TOC1"/>
        <w:ind w:left="284"/>
        <w:jc w:val="left"/>
        <w:rPr>
          <w:rStyle w:val="Hyperlink"/>
          <w:color w:val="auto"/>
          <w:u w:val="none"/>
        </w:rPr>
      </w:pPr>
      <w:r w:rsidRPr="003F15A8">
        <w:rPr>
          <w:rStyle w:val="Hyperlink"/>
          <w:color w:val="auto"/>
          <w:u w:val="none"/>
        </w:rPr>
        <w:lastRenderedPageBreak/>
        <w:t>Indicator 11h –</w:t>
      </w:r>
      <w:r w:rsidR="007D1A23">
        <w:rPr>
          <w:rStyle w:val="Hyperlink"/>
          <w:color w:val="auto"/>
          <w:u w:val="none"/>
        </w:rPr>
        <w:t xml:space="preserve"> </w:t>
      </w:r>
      <w:r w:rsidRPr="003F15A8">
        <w:rPr>
          <w:rStyle w:val="Hyperlink"/>
          <w:color w:val="auto"/>
          <w:u w:val="none"/>
        </w:rPr>
        <w:t>Accommodation and food services by jurisdiction</w:t>
      </w:r>
      <w:r w:rsidRPr="003F15A8">
        <w:rPr>
          <w:rStyle w:val="Hyperlink"/>
          <w:color w:val="auto"/>
          <w:u w:val="none"/>
        </w:rPr>
        <w:tab/>
        <w:t>3</w:t>
      </w:r>
      <w:r w:rsidR="004C7164">
        <w:rPr>
          <w:rStyle w:val="Hyperlink"/>
          <w:color w:val="auto"/>
          <w:u w:val="none"/>
        </w:rPr>
        <w:t>3</w:t>
      </w:r>
    </w:p>
    <w:p w14:paraId="67B754B8" w14:textId="18508053" w:rsidR="003F15A8" w:rsidRPr="003F15A8" w:rsidRDefault="003F15A8" w:rsidP="00001159">
      <w:pPr>
        <w:pStyle w:val="TOC1"/>
        <w:ind w:left="284"/>
        <w:jc w:val="left"/>
        <w:rPr>
          <w:rStyle w:val="Hyperlink"/>
          <w:color w:val="auto"/>
          <w:u w:val="none"/>
        </w:rPr>
      </w:pPr>
      <w:r w:rsidRPr="003F15A8">
        <w:rPr>
          <w:rStyle w:val="Hyperlink"/>
          <w:color w:val="auto"/>
          <w:u w:val="none"/>
        </w:rPr>
        <w:t>Indicator 11i –</w:t>
      </w:r>
      <w:r w:rsidR="007D1A23">
        <w:rPr>
          <w:rStyle w:val="Hyperlink"/>
          <w:color w:val="auto"/>
          <w:u w:val="none"/>
        </w:rPr>
        <w:t xml:space="preserve"> </w:t>
      </w:r>
      <w:r w:rsidRPr="003F15A8">
        <w:rPr>
          <w:rStyle w:val="Hyperlink"/>
          <w:color w:val="auto"/>
          <w:u w:val="none"/>
        </w:rPr>
        <w:t>Transport, postal and warehousing by jurisdiction</w:t>
      </w:r>
      <w:r w:rsidRPr="003F15A8">
        <w:rPr>
          <w:rStyle w:val="Hyperlink"/>
          <w:color w:val="auto"/>
          <w:u w:val="none"/>
        </w:rPr>
        <w:tab/>
        <w:t>3</w:t>
      </w:r>
      <w:r w:rsidR="004C7164">
        <w:rPr>
          <w:rStyle w:val="Hyperlink"/>
          <w:color w:val="auto"/>
          <w:u w:val="none"/>
        </w:rPr>
        <w:t>3</w:t>
      </w:r>
    </w:p>
    <w:p w14:paraId="7F3A062F" w14:textId="34162A32" w:rsidR="003F15A8" w:rsidRPr="003F15A8" w:rsidRDefault="003F15A8" w:rsidP="00001159">
      <w:pPr>
        <w:pStyle w:val="TOC1"/>
        <w:ind w:left="284"/>
        <w:jc w:val="left"/>
        <w:rPr>
          <w:rStyle w:val="Hyperlink"/>
          <w:color w:val="auto"/>
          <w:u w:val="none"/>
        </w:rPr>
      </w:pPr>
      <w:r w:rsidRPr="003F15A8">
        <w:rPr>
          <w:rStyle w:val="Hyperlink"/>
          <w:color w:val="auto"/>
          <w:u w:val="none"/>
        </w:rPr>
        <w:t>Indicator 11j –</w:t>
      </w:r>
      <w:r w:rsidR="007D1A23">
        <w:rPr>
          <w:rStyle w:val="Hyperlink"/>
          <w:color w:val="auto"/>
          <w:u w:val="none"/>
        </w:rPr>
        <w:t xml:space="preserve"> </w:t>
      </w:r>
      <w:r w:rsidRPr="003F15A8">
        <w:rPr>
          <w:rStyle w:val="Hyperlink"/>
          <w:color w:val="auto"/>
          <w:u w:val="none"/>
        </w:rPr>
        <w:t>Information media and telecommunications by jurisdiction</w:t>
      </w:r>
      <w:r w:rsidRPr="003F15A8">
        <w:rPr>
          <w:rStyle w:val="Hyperlink"/>
          <w:color w:val="auto"/>
          <w:u w:val="none"/>
        </w:rPr>
        <w:tab/>
        <w:t>3</w:t>
      </w:r>
      <w:r w:rsidR="004C7164">
        <w:rPr>
          <w:rStyle w:val="Hyperlink"/>
          <w:color w:val="auto"/>
          <w:u w:val="none"/>
        </w:rPr>
        <w:t>4</w:t>
      </w:r>
    </w:p>
    <w:p w14:paraId="1F856FF9" w14:textId="515D9428" w:rsidR="003F15A8" w:rsidRPr="003F15A8" w:rsidRDefault="003F15A8" w:rsidP="00001159">
      <w:pPr>
        <w:pStyle w:val="TOC1"/>
        <w:ind w:left="284"/>
        <w:jc w:val="left"/>
        <w:rPr>
          <w:rStyle w:val="Hyperlink"/>
          <w:color w:val="auto"/>
          <w:u w:val="none"/>
        </w:rPr>
      </w:pPr>
      <w:r w:rsidRPr="003F15A8">
        <w:rPr>
          <w:rStyle w:val="Hyperlink"/>
          <w:color w:val="auto"/>
          <w:u w:val="none"/>
        </w:rPr>
        <w:t>Indicator 11k –</w:t>
      </w:r>
      <w:r w:rsidR="007D1A23">
        <w:rPr>
          <w:rStyle w:val="Hyperlink"/>
          <w:color w:val="auto"/>
          <w:u w:val="none"/>
        </w:rPr>
        <w:t xml:space="preserve"> </w:t>
      </w:r>
      <w:r w:rsidRPr="003F15A8">
        <w:rPr>
          <w:rStyle w:val="Hyperlink"/>
          <w:color w:val="auto"/>
          <w:u w:val="none"/>
        </w:rPr>
        <w:t>Financial and insurance services by jurisdiction</w:t>
      </w:r>
      <w:r w:rsidRPr="003F15A8">
        <w:rPr>
          <w:rStyle w:val="Hyperlink"/>
          <w:color w:val="auto"/>
          <w:u w:val="none"/>
        </w:rPr>
        <w:tab/>
        <w:t>3</w:t>
      </w:r>
      <w:r w:rsidR="004C7164">
        <w:rPr>
          <w:rStyle w:val="Hyperlink"/>
          <w:color w:val="auto"/>
          <w:u w:val="none"/>
        </w:rPr>
        <w:t>5</w:t>
      </w:r>
    </w:p>
    <w:p w14:paraId="0072F33C" w14:textId="0E09B420" w:rsidR="003F15A8" w:rsidRPr="003F15A8" w:rsidRDefault="003F15A8" w:rsidP="00001159">
      <w:pPr>
        <w:pStyle w:val="TOC1"/>
        <w:ind w:left="284"/>
        <w:jc w:val="left"/>
        <w:rPr>
          <w:rStyle w:val="Hyperlink"/>
          <w:color w:val="auto"/>
          <w:u w:val="none"/>
        </w:rPr>
      </w:pPr>
      <w:r w:rsidRPr="003F15A8">
        <w:rPr>
          <w:rStyle w:val="Hyperlink"/>
          <w:color w:val="auto"/>
          <w:u w:val="none"/>
        </w:rPr>
        <w:t>Indicator 11l –</w:t>
      </w:r>
      <w:r w:rsidR="007D1A23">
        <w:rPr>
          <w:rStyle w:val="Hyperlink"/>
          <w:color w:val="auto"/>
          <w:u w:val="none"/>
        </w:rPr>
        <w:t xml:space="preserve"> </w:t>
      </w:r>
      <w:r w:rsidRPr="003F15A8">
        <w:rPr>
          <w:rStyle w:val="Hyperlink"/>
          <w:color w:val="auto"/>
          <w:u w:val="none"/>
        </w:rPr>
        <w:t>Rental, hiring and real estate services by jurisdiction</w:t>
      </w:r>
      <w:r w:rsidRPr="003F15A8">
        <w:rPr>
          <w:rStyle w:val="Hyperlink"/>
          <w:color w:val="auto"/>
          <w:u w:val="none"/>
        </w:rPr>
        <w:tab/>
        <w:t>3</w:t>
      </w:r>
      <w:r w:rsidR="004C7164">
        <w:rPr>
          <w:rStyle w:val="Hyperlink"/>
          <w:color w:val="auto"/>
          <w:u w:val="none"/>
        </w:rPr>
        <w:t>5</w:t>
      </w:r>
    </w:p>
    <w:p w14:paraId="54EA0742" w14:textId="254FF130" w:rsidR="003F15A8" w:rsidRPr="003F15A8" w:rsidRDefault="003F15A8" w:rsidP="00001159">
      <w:pPr>
        <w:pStyle w:val="TOC1"/>
        <w:ind w:left="284"/>
        <w:jc w:val="left"/>
        <w:rPr>
          <w:rStyle w:val="Hyperlink"/>
          <w:color w:val="auto"/>
          <w:u w:val="none"/>
        </w:rPr>
      </w:pPr>
      <w:r w:rsidRPr="003F15A8">
        <w:rPr>
          <w:rStyle w:val="Hyperlink"/>
          <w:color w:val="auto"/>
          <w:u w:val="none"/>
        </w:rPr>
        <w:t>Indicator 11m –</w:t>
      </w:r>
      <w:r w:rsidR="007D1A23">
        <w:rPr>
          <w:rStyle w:val="Hyperlink"/>
          <w:color w:val="auto"/>
          <w:u w:val="none"/>
        </w:rPr>
        <w:t xml:space="preserve"> </w:t>
      </w:r>
      <w:r w:rsidRPr="003F15A8">
        <w:rPr>
          <w:rStyle w:val="Hyperlink"/>
          <w:color w:val="auto"/>
          <w:u w:val="none"/>
        </w:rPr>
        <w:t xml:space="preserve">Professional, scientific and technical services by jurisdiction </w:t>
      </w:r>
      <w:r w:rsidRPr="003F15A8">
        <w:rPr>
          <w:rStyle w:val="Hyperlink"/>
          <w:color w:val="auto"/>
          <w:u w:val="none"/>
        </w:rPr>
        <w:tab/>
        <w:t>3</w:t>
      </w:r>
      <w:r w:rsidR="004C7164">
        <w:rPr>
          <w:rStyle w:val="Hyperlink"/>
          <w:color w:val="auto"/>
          <w:u w:val="none"/>
        </w:rPr>
        <w:t>6</w:t>
      </w:r>
    </w:p>
    <w:p w14:paraId="31254D3D" w14:textId="0A53D1BC" w:rsidR="003F15A8" w:rsidRPr="003F15A8" w:rsidRDefault="003F15A8" w:rsidP="00001159">
      <w:pPr>
        <w:pStyle w:val="TOC1"/>
        <w:ind w:left="284"/>
        <w:jc w:val="left"/>
        <w:rPr>
          <w:rStyle w:val="Hyperlink"/>
          <w:color w:val="auto"/>
          <w:u w:val="none"/>
        </w:rPr>
      </w:pPr>
      <w:r w:rsidRPr="003F15A8">
        <w:rPr>
          <w:rStyle w:val="Hyperlink"/>
          <w:color w:val="auto"/>
          <w:u w:val="none"/>
        </w:rPr>
        <w:t>Indicator 11n –</w:t>
      </w:r>
      <w:r w:rsidR="007D1A23">
        <w:rPr>
          <w:rStyle w:val="Hyperlink"/>
          <w:color w:val="auto"/>
          <w:u w:val="none"/>
        </w:rPr>
        <w:t xml:space="preserve"> </w:t>
      </w:r>
      <w:r w:rsidRPr="003F15A8">
        <w:rPr>
          <w:rStyle w:val="Hyperlink"/>
          <w:color w:val="auto"/>
          <w:u w:val="none"/>
        </w:rPr>
        <w:t>Administrative and support services by jurisdiction</w:t>
      </w:r>
      <w:r w:rsidRPr="003F15A8">
        <w:rPr>
          <w:rStyle w:val="Hyperlink"/>
          <w:color w:val="auto"/>
          <w:u w:val="none"/>
        </w:rPr>
        <w:tab/>
        <w:t>3</w:t>
      </w:r>
      <w:r w:rsidR="004C7164">
        <w:rPr>
          <w:rStyle w:val="Hyperlink"/>
          <w:color w:val="auto"/>
          <w:u w:val="none"/>
        </w:rPr>
        <w:t>7</w:t>
      </w:r>
    </w:p>
    <w:p w14:paraId="7F10EF6E" w14:textId="4CA1E13A" w:rsidR="003F15A8" w:rsidRPr="003F15A8" w:rsidRDefault="003F15A8" w:rsidP="00001159">
      <w:pPr>
        <w:pStyle w:val="TOC1"/>
        <w:ind w:left="284"/>
        <w:jc w:val="left"/>
        <w:rPr>
          <w:rStyle w:val="Hyperlink"/>
          <w:color w:val="auto"/>
          <w:u w:val="none"/>
        </w:rPr>
      </w:pPr>
      <w:r w:rsidRPr="003F15A8">
        <w:rPr>
          <w:rStyle w:val="Hyperlink"/>
          <w:color w:val="auto"/>
          <w:u w:val="none"/>
        </w:rPr>
        <w:t>Indicator 11o –</w:t>
      </w:r>
      <w:r w:rsidR="007D1A23">
        <w:rPr>
          <w:rStyle w:val="Hyperlink"/>
          <w:color w:val="auto"/>
          <w:u w:val="none"/>
        </w:rPr>
        <w:t xml:space="preserve"> </w:t>
      </w:r>
      <w:r w:rsidRPr="003F15A8">
        <w:rPr>
          <w:rStyle w:val="Hyperlink"/>
          <w:color w:val="auto"/>
          <w:u w:val="none"/>
        </w:rPr>
        <w:t>Public administration and safety by jurisdiction</w:t>
      </w:r>
      <w:r w:rsidRPr="003F15A8">
        <w:rPr>
          <w:rStyle w:val="Hyperlink"/>
          <w:color w:val="auto"/>
          <w:u w:val="none"/>
        </w:rPr>
        <w:tab/>
        <w:t>3</w:t>
      </w:r>
      <w:r w:rsidR="004C7164">
        <w:rPr>
          <w:rStyle w:val="Hyperlink"/>
          <w:color w:val="auto"/>
          <w:u w:val="none"/>
        </w:rPr>
        <w:t>7</w:t>
      </w:r>
    </w:p>
    <w:p w14:paraId="67B9B4FD" w14:textId="794A564B" w:rsidR="003F15A8" w:rsidRPr="003F15A8" w:rsidRDefault="003F15A8" w:rsidP="00001159">
      <w:pPr>
        <w:pStyle w:val="TOC1"/>
        <w:ind w:left="284"/>
        <w:jc w:val="left"/>
        <w:rPr>
          <w:rStyle w:val="Hyperlink"/>
          <w:color w:val="auto"/>
          <w:u w:val="none"/>
        </w:rPr>
      </w:pPr>
      <w:r w:rsidRPr="003F15A8">
        <w:rPr>
          <w:rStyle w:val="Hyperlink"/>
          <w:color w:val="auto"/>
          <w:u w:val="none"/>
        </w:rPr>
        <w:t>Indicator 11p –</w:t>
      </w:r>
      <w:r w:rsidR="007D1A23">
        <w:rPr>
          <w:rStyle w:val="Hyperlink"/>
          <w:color w:val="auto"/>
          <w:u w:val="none"/>
        </w:rPr>
        <w:t xml:space="preserve"> </w:t>
      </w:r>
      <w:r w:rsidRPr="003F15A8">
        <w:rPr>
          <w:rStyle w:val="Hyperlink"/>
          <w:color w:val="auto"/>
          <w:u w:val="none"/>
        </w:rPr>
        <w:t>Education and training by jurisdiction</w:t>
      </w:r>
      <w:r w:rsidRPr="003F15A8">
        <w:rPr>
          <w:rStyle w:val="Hyperlink"/>
          <w:color w:val="auto"/>
          <w:u w:val="none"/>
        </w:rPr>
        <w:tab/>
        <w:t>3</w:t>
      </w:r>
      <w:r w:rsidR="004C7164">
        <w:rPr>
          <w:rStyle w:val="Hyperlink"/>
          <w:color w:val="auto"/>
          <w:u w:val="none"/>
        </w:rPr>
        <w:t>8</w:t>
      </w:r>
    </w:p>
    <w:p w14:paraId="5A6149FD" w14:textId="33DD6E7D" w:rsidR="003F15A8" w:rsidRPr="003F15A8" w:rsidRDefault="003F15A8" w:rsidP="00001159">
      <w:pPr>
        <w:pStyle w:val="TOC1"/>
        <w:ind w:left="284"/>
        <w:jc w:val="left"/>
        <w:rPr>
          <w:rStyle w:val="Hyperlink"/>
          <w:color w:val="auto"/>
          <w:u w:val="none"/>
        </w:rPr>
      </w:pPr>
      <w:r w:rsidRPr="003F15A8">
        <w:rPr>
          <w:rStyle w:val="Hyperlink"/>
          <w:color w:val="auto"/>
          <w:u w:val="none"/>
        </w:rPr>
        <w:t>Indicator 11q –</w:t>
      </w:r>
      <w:r w:rsidR="007D1A23">
        <w:rPr>
          <w:rStyle w:val="Hyperlink"/>
          <w:color w:val="auto"/>
          <w:u w:val="none"/>
        </w:rPr>
        <w:t xml:space="preserve"> </w:t>
      </w:r>
      <w:r w:rsidRPr="003F15A8">
        <w:rPr>
          <w:rStyle w:val="Hyperlink"/>
          <w:color w:val="auto"/>
          <w:u w:val="none"/>
        </w:rPr>
        <w:t>Healthcare and social assistance by jurisdiction</w:t>
      </w:r>
      <w:r w:rsidRPr="003F15A8">
        <w:rPr>
          <w:rStyle w:val="Hyperlink"/>
          <w:color w:val="auto"/>
          <w:u w:val="none"/>
        </w:rPr>
        <w:tab/>
        <w:t>3</w:t>
      </w:r>
      <w:r w:rsidR="004C7164">
        <w:rPr>
          <w:rStyle w:val="Hyperlink"/>
          <w:color w:val="auto"/>
          <w:u w:val="none"/>
        </w:rPr>
        <w:t>9</w:t>
      </w:r>
    </w:p>
    <w:p w14:paraId="61606751" w14:textId="50E472F9" w:rsidR="003F15A8" w:rsidRPr="003F15A8" w:rsidRDefault="003F15A8" w:rsidP="00001159">
      <w:pPr>
        <w:pStyle w:val="TOC1"/>
        <w:ind w:left="284"/>
        <w:jc w:val="left"/>
        <w:rPr>
          <w:rStyle w:val="Hyperlink"/>
          <w:color w:val="auto"/>
          <w:u w:val="none"/>
        </w:rPr>
      </w:pPr>
      <w:r w:rsidRPr="003F15A8">
        <w:rPr>
          <w:rStyle w:val="Hyperlink"/>
          <w:color w:val="auto"/>
          <w:u w:val="none"/>
        </w:rPr>
        <w:t>Indicator 11r –</w:t>
      </w:r>
      <w:r w:rsidR="007D1A23">
        <w:rPr>
          <w:rStyle w:val="Hyperlink"/>
          <w:color w:val="auto"/>
          <w:u w:val="none"/>
        </w:rPr>
        <w:t xml:space="preserve"> </w:t>
      </w:r>
      <w:r w:rsidRPr="003F15A8">
        <w:rPr>
          <w:rStyle w:val="Hyperlink"/>
          <w:color w:val="auto"/>
          <w:u w:val="none"/>
        </w:rPr>
        <w:t>Arts and recreation services by jurisdiction</w:t>
      </w:r>
      <w:r w:rsidRPr="003F15A8">
        <w:rPr>
          <w:rStyle w:val="Hyperlink"/>
          <w:color w:val="auto"/>
          <w:u w:val="none"/>
        </w:rPr>
        <w:tab/>
        <w:t>3</w:t>
      </w:r>
      <w:r w:rsidR="004C7164">
        <w:rPr>
          <w:rStyle w:val="Hyperlink"/>
          <w:color w:val="auto"/>
          <w:u w:val="none"/>
        </w:rPr>
        <w:t>9</w:t>
      </w:r>
    </w:p>
    <w:p w14:paraId="7C22ABAD" w14:textId="27B61D8D" w:rsidR="004B79B6" w:rsidRPr="003F15A8" w:rsidRDefault="003F15A8" w:rsidP="00001159">
      <w:pPr>
        <w:pStyle w:val="TOC1"/>
        <w:ind w:left="284"/>
        <w:jc w:val="left"/>
        <w:rPr>
          <w:rStyle w:val="Hyperlink"/>
          <w:color w:val="auto"/>
          <w:u w:val="none"/>
        </w:rPr>
      </w:pPr>
      <w:r w:rsidRPr="003F15A8">
        <w:rPr>
          <w:rStyle w:val="Hyperlink"/>
          <w:color w:val="auto"/>
          <w:u w:val="none"/>
        </w:rPr>
        <w:t>Indicator 11s –</w:t>
      </w:r>
      <w:r w:rsidR="007D1A23">
        <w:rPr>
          <w:rStyle w:val="Hyperlink"/>
          <w:color w:val="auto"/>
          <w:u w:val="none"/>
        </w:rPr>
        <w:t xml:space="preserve"> </w:t>
      </w:r>
      <w:r w:rsidRPr="003F15A8">
        <w:rPr>
          <w:rStyle w:val="Hyperlink"/>
          <w:color w:val="auto"/>
          <w:u w:val="none"/>
        </w:rPr>
        <w:t>Other services by jurisdiction</w:t>
      </w:r>
      <w:r w:rsidRPr="003F15A8">
        <w:rPr>
          <w:rStyle w:val="Hyperlink"/>
          <w:color w:val="auto"/>
          <w:u w:val="none"/>
        </w:rPr>
        <w:tab/>
      </w:r>
      <w:r w:rsidR="004C7164">
        <w:rPr>
          <w:rStyle w:val="Hyperlink"/>
          <w:color w:val="auto"/>
          <w:u w:val="none"/>
        </w:rPr>
        <w:t>40</w:t>
      </w:r>
      <w:bookmarkEnd w:id="4"/>
      <w:bookmarkEnd w:id="1"/>
      <w:r w:rsidR="00D60313" w:rsidRPr="003F15A8">
        <w:rPr>
          <w:rStyle w:val="Hyperlink"/>
          <w:color w:val="auto"/>
          <w:u w:val="none"/>
        </w:rPr>
        <w:br w:type="page"/>
      </w:r>
    </w:p>
    <w:p w14:paraId="5921138B" w14:textId="77777777" w:rsidR="003411E8" w:rsidRPr="00086AB2" w:rsidRDefault="007231AE" w:rsidP="00BC6D23">
      <w:pPr>
        <w:pStyle w:val="Title"/>
        <w:tabs>
          <w:tab w:val="center" w:pos="8222"/>
        </w:tabs>
      </w:pPr>
      <w:bookmarkStart w:id="5" w:name="_Toc55294224"/>
      <w:bookmarkEnd w:id="2"/>
      <w:r w:rsidRPr="00086AB2">
        <w:lastRenderedPageBreak/>
        <w:t>Foreword</w:t>
      </w:r>
      <w:bookmarkEnd w:id="5"/>
      <w:r w:rsidR="00A015DD">
        <w:t xml:space="preserve"> </w:t>
      </w:r>
    </w:p>
    <w:p w14:paraId="64F79389" w14:textId="62BE0473" w:rsidR="007231AE" w:rsidRPr="00086AB2" w:rsidRDefault="007231AE" w:rsidP="007231AE">
      <w:r w:rsidRPr="00086AB2">
        <w:t>The C</w:t>
      </w:r>
      <w:r w:rsidR="00F61FBE">
        <w:t xml:space="preserve">omparative </w:t>
      </w:r>
      <w:r w:rsidR="00F61FBE" w:rsidRPr="00086AB2">
        <w:t>P</w:t>
      </w:r>
      <w:r w:rsidR="00F61FBE">
        <w:t xml:space="preserve">erformance </w:t>
      </w:r>
      <w:r w:rsidRPr="00086AB2">
        <w:t>M</w:t>
      </w:r>
      <w:r w:rsidR="00F61FBE">
        <w:t>onitoring</w:t>
      </w:r>
      <w:r w:rsidR="001D3DDE">
        <w:t xml:space="preserve"> (CPM)</w:t>
      </w:r>
      <w:r w:rsidRPr="00086AB2">
        <w:t xml:space="preserve"> reports provide trend analys</w:t>
      </w:r>
      <w:r w:rsidR="00E602C5">
        <w:t>es</w:t>
      </w:r>
      <w:r w:rsidRPr="00086AB2">
        <w:t xml:space="preserve"> </w:t>
      </w:r>
      <w:r w:rsidR="00E602C5">
        <w:t xml:space="preserve">about </w:t>
      </w:r>
      <w:r w:rsidRPr="00086AB2">
        <w:t xml:space="preserve">work health and safety </w:t>
      </w:r>
      <w:r w:rsidR="004F136C">
        <w:t xml:space="preserve">(WHS) </w:t>
      </w:r>
      <w:r w:rsidRPr="00086AB2">
        <w:t>and workers’ compensation schemes operating in Australia</w:t>
      </w:r>
      <w:r w:rsidR="00CE5E41" w:rsidRPr="00086AB2">
        <w:t xml:space="preserve"> and New Zealand. This is the </w:t>
      </w:r>
      <w:r w:rsidR="00E73AA5" w:rsidRPr="00086AB2">
        <w:t>2</w:t>
      </w:r>
      <w:r w:rsidR="00A015DD">
        <w:t>2</w:t>
      </w:r>
      <w:r w:rsidR="00A015DD">
        <w:rPr>
          <w:vertAlign w:val="superscript"/>
        </w:rPr>
        <w:t>nd</w:t>
      </w:r>
      <w:r w:rsidR="00E73AA5" w:rsidRPr="00086AB2">
        <w:t xml:space="preserve"> </w:t>
      </w:r>
      <w:r w:rsidRPr="00086AB2">
        <w:t xml:space="preserve">annual report of the CPM project. </w:t>
      </w:r>
    </w:p>
    <w:p w14:paraId="08E3D906" w14:textId="63D17E92" w:rsidR="00F74ACD" w:rsidRDefault="007231AE" w:rsidP="007231AE">
      <w:r w:rsidRPr="00086AB2">
        <w:t>The CPM is complemented by the</w:t>
      </w:r>
      <w:r w:rsidR="00CA12F7">
        <w:t>:</w:t>
      </w:r>
    </w:p>
    <w:p w14:paraId="28095E06" w14:textId="0C92967C" w:rsidR="00F74ACD" w:rsidRDefault="007231AE" w:rsidP="00F74ACD">
      <w:pPr>
        <w:pStyle w:val="ListParagraph"/>
        <w:numPr>
          <w:ilvl w:val="0"/>
          <w:numId w:val="16"/>
        </w:numPr>
      </w:pPr>
      <w:r w:rsidRPr="00086AB2">
        <w:t xml:space="preserve"> </w:t>
      </w:r>
      <w:hyperlink r:id="rId14" w:history="1">
        <w:r w:rsidRPr="00F74ACD">
          <w:rPr>
            <w:rStyle w:val="SWALinkChar"/>
            <w:i/>
          </w:rPr>
          <w:t>Australian Workers’ Compensation Statistics</w:t>
        </w:r>
      </w:hyperlink>
      <w:r w:rsidRPr="00086AB2">
        <w:t xml:space="preserve"> report, which provides more detailed analys</w:t>
      </w:r>
      <w:r w:rsidR="00E602C5">
        <w:t>es</w:t>
      </w:r>
      <w:r w:rsidRPr="00086AB2">
        <w:t xml:space="preserve"> of national workers’ compensation data using key variables such as occupation, industry, age and </w:t>
      </w:r>
      <w:r w:rsidR="00670BCD">
        <w:t>gender</w:t>
      </w:r>
      <w:r w:rsidR="00670BCD" w:rsidRPr="00086AB2">
        <w:t xml:space="preserve"> </w:t>
      </w:r>
      <w:r w:rsidRPr="00086AB2">
        <w:t xml:space="preserve">with supporting information on the circumstances surrounding work-related injury and disease occurrences. </w:t>
      </w:r>
    </w:p>
    <w:p w14:paraId="0A68D16B" w14:textId="29264E44" w:rsidR="004E2BF4" w:rsidRDefault="00772B12" w:rsidP="004E2BF4">
      <w:pPr>
        <w:pStyle w:val="ListParagraph"/>
        <w:numPr>
          <w:ilvl w:val="0"/>
          <w:numId w:val="16"/>
        </w:numPr>
      </w:pPr>
      <w:hyperlink r:id="rId15" w:history="1">
        <w:r w:rsidR="007231AE" w:rsidRPr="00F74ACD">
          <w:rPr>
            <w:rStyle w:val="SWALinkChar"/>
            <w:i/>
          </w:rPr>
          <w:t>Comparison of Workers’ Compensation Arrangements in Australia and New Zealand</w:t>
        </w:r>
      </w:hyperlink>
      <w:r w:rsidR="007231AE" w:rsidRPr="00086AB2">
        <w:t>, which discusses the way that each scheme deals with key aspects such as coverage, benefits, self</w:t>
      </w:r>
      <w:r w:rsidR="001D3DDE">
        <w:t>-</w:t>
      </w:r>
      <w:r w:rsidR="007231AE" w:rsidRPr="00086AB2">
        <w:t xml:space="preserve">insurance, common law and dispute resolution. </w:t>
      </w:r>
    </w:p>
    <w:p w14:paraId="7236A30D" w14:textId="2BAFC0E6" w:rsidR="007231AE" w:rsidRPr="00086AB2" w:rsidRDefault="007231AE" w:rsidP="00DB6855">
      <w:r w:rsidRPr="00086AB2">
        <w:t>The</w:t>
      </w:r>
      <w:r w:rsidR="007B3AAE">
        <w:t>se</w:t>
      </w:r>
      <w:r w:rsidRPr="00086AB2">
        <w:t xml:space="preserve"> publications can be found </w:t>
      </w:r>
      <w:r w:rsidR="00DB656E" w:rsidRPr="00086AB2">
        <w:t>on</w:t>
      </w:r>
      <w:r w:rsidRPr="00086AB2">
        <w:t xml:space="preserve"> the </w:t>
      </w:r>
      <w:hyperlink r:id="rId16" w:history="1">
        <w:r w:rsidRPr="0032103F">
          <w:rPr>
            <w:rStyle w:val="Hyperlink"/>
            <w:color w:val="auto"/>
          </w:rPr>
          <w:t>Safe Work Australia</w:t>
        </w:r>
      </w:hyperlink>
      <w:r w:rsidRPr="00086AB2">
        <w:t xml:space="preserve"> website.</w:t>
      </w:r>
    </w:p>
    <w:p w14:paraId="351A17DE" w14:textId="77777777" w:rsidR="002C2153" w:rsidRPr="00086AB2" w:rsidRDefault="002C2153" w:rsidP="00B51041">
      <w:pPr>
        <w:pStyle w:val="Heading1"/>
      </w:pPr>
      <w:r w:rsidRPr="00086AB2">
        <w:t>Statement of purpose</w:t>
      </w:r>
    </w:p>
    <w:p w14:paraId="45127A16" w14:textId="77777777" w:rsidR="002C2153" w:rsidRPr="00086AB2" w:rsidRDefault="002C2153" w:rsidP="002C2153">
      <w:r w:rsidRPr="00086AB2">
        <w:t>The role of the CPM report is to facilitate improv</w:t>
      </w:r>
      <w:r w:rsidR="005354A4" w:rsidRPr="00086AB2">
        <w:t xml:space="preserve">ement of </w:t>
      </w:r>
      <w:r w:rsidRPr="00086AB2">
        <w:t>work health and safety, workers’ compensation and related service outcomes in Australian and New Zealand schemes through an accessible report that:</w:t>
      </w:r>
    </w:p>
    <w:p w14:paraId="70E2810B" w14:textId="77777777" w:rsidR="002C2153" w:rsidRPr="00086AB2" w:rsidRDefault="002C2153" w:rsidP="002C2153">
      <w:pPr>
        <w:pStyle w:val="SWAnumbering"/>
      </w:pPr>
      <w:r w:rsidRPr="00086AB2">
        <w:t>monitors the comparative performance of jurisdictions over time, and</w:t>
      </w:r>
    </w:p>
    <w:p w14:paraId="3C7D8825" w14:textId="77777777" w:rsidR="002C2153" w:rsidRPr="00086AB2" w:rsidRDefault="002C2153" w:rsidP="002C2153">
      <w:pPr>
        <w:pStyle w:val="SWAnumbering"/>
      </w:pPr>
      <w:r w:rsidRPr="00086AB2">
        <w:t>enables benchmarking across jurisdictions and the identification of best practice to support policy making.</w:t>
      </w:r>
    </w:p>
    <w:p w14:paraId="36DCC4BD" w14:textId="77777777" w:rsidR="002C2153" w:rsidRPr="00086AB2" w:rsidRDefault="002C2153" w:rsidP="00B51041">
      <w:pPr>
        <w:pStyle w:val="Heading1"/>
      </w:pPr>
      <w:r w:rsidRPr="00086AB2">
        <w:t>Data</w:t>
      </w:r>
    </w:p>
    <w:p w14:paraId="4F504D71" w14:textId="032F8914" w:rsidR="004162CD" w:rsidRDefault="00F74ACD" w:rsidP="004162CD">
      <w:pPr>
        <w:rPr>
          <w:rFonts w:ascii="Calibri" w:hAnsi="Calibri"/>
          <w:szCs w:val="22"/>
        </w:rPr>
      </w:pPr>
      <w:r>
        <w:t>For</w:t>
      </w:r>
      <w:r w:rsidR="002C2153" w:rsidRPr="00086AB2">
        <w:t xml:space="preserve"> this report</w:t>
      </w:r>
      <w:r>
        <w:t>, jurisdictions</w:t>
      </w:r>
      <w:r w:rsidR="002C2153" w:rsidRPr="00086AB2">
        <w:t xml:space="preserve"> supplied </w:t>
      </w:r>
      <w:r>
        <w:t xml:space="preserve">data </w:t>
      </w:r>
      <w:r w:rsidR="00DD7C2F" w:rsidRPr="00086AB2">
        <w:t>for the 201</w:t>
      </w:r>
      <w:r w:rsidR="00A015DD">
        <w:t>8</w:t>
      </w:r>
      <w:r w:rsidR="00DD7C2F" w:rsidRPr="00086AB2">
        <w:t>–1</w:t>
      </w:r>
      <w:r w:rsidR="00A015DD">
        <w:t>9</w:t>
      </w:r>
      <w:r w:rsidR="002C2153" w:rsidRPr="00086AB2">
        <w:t xml:space="preserve"> financial year </w:t>
      </w:r>
      <w:r w:rsidR="00DB656E" w:rsidRPr="00086AB2">
        <w:t xml:space="preserve">and </w:t>
      </w:r>
      <w:r>
        <w:t>provided updated data</w:t>
      </w:r>
      <w:r w:rsidR="002C2153" w:rsidRPr="00086AB2">
        <w:t xml:space="preserve"> back to </w:t>
      </w:r>
      <w:r w:rsidR="00DD7C2F" w:rsidRPr="00086AB2">
        <w:t>201</w:t>
      </w:r>
      <w:r w:rsidR="00C4127C">
        <w:t>3</w:t>
      </w:r>
      <w:r w:rsidR="00DD7C2F" w:rsidRPr="00086AB2">
        <w:t>–1</w:t>
      </w:r>
      <w:r w:rsidR="00C4127C">
        <w:t>4</w:t>
      </w:r>
      <w:r w:rsidR="007729EA">
        <w:t>.</w:t>
      </w:r>
      <w:r w:rsidR="00E602C5">
        <w:t xml:space="preserve"> When comparisons over time have been made the latest financial year (in this report 2018</w:t>
      </w:r>
      <w:r w:rsidR="00E602C5" w:rsidRPr="00086AB2">
        <w:t>–</w:t>
      </w:r>
      <w:r w:rsidR="00E602C5">
        <w:t xml:space="preserve">19) has been excluded. </w:t>
      </w:r>
      <w:r w:rsidR="004162CD" w:rsidRPr="00073A07">
        <w:t>Data for 2018–19 are preliminary and likely to be revised up in future years as additional claims are made and finalised. Preliminary data should not be used to calculate changes over time.</w:t>
      </w:r>
    </w:p>
    <w:p w14:paraId="621CBADE" w14:textId="29F588E5" w:rsidR="002C2153" w:rsidRPr="00086AB2" w:rsidRDefault="00001159" w:rsidP="002C2153">
      <w:r>
        <w:t xml:space="preserve">Data in this publication </w:t>
      </w:r>
      <w:r w:rsidR="002C2153" w:rsidRPr="00086AB2">
        <w:t>may differ from jurisdictional annual reports due to the use of different definitions and the application of adjustment factors to aid in the comparability of data. E</w:t>
      </w:r>
      <w:r w:rsidR="006F0762" w:rsidRPr="00086AB2">
        <w:t>ach chapter contains e</w:t>
      </w:r>
      <w:r w:rsidR="002C2153" w:rsidRPr="00086AB2">
        <w:t>xplanatory commentary on the data items with additional information included in Appendix</w:t>
      </w:r>
      <w:r w:rsidR="00A37C09">
        <w:t> </w:t>
      </w:r>
      <w:r w:rsidR="002C2153" w:rsidRPr="00086AB2">
        <w:t xml:space="preserve">1 – Explanatory Notes. </w:t>
      </w:r>
    </w:p>
    <w:p w14:paraId="0339C6E5" w14:textId="77777777" w:rsidR="002C2153" w:rsidRPr="00086AB2" w:rsidRDefault="002C2153" w:rsidP="002C2153">
      <w:r w:rsidRPr="00086AB2">
        <w:t>The data in this report were collected from:</w:t>
      </w:r>
    </w:p>
    <w:p w14:paraId="5A8FF66A" w14:textId="37B52D56" w:rsidR="002C2153" w:rsidRPr="00086AB2" w:rsidRDefault="002C2153" w:rsidP="00905154">
      <w:pPr>
        <w:pStyle w:val="SWABullets"/>
        <w:contextualSpacing w:val="0"/>
      </w:pPr>
      <w:bookmarkStart w:id="6" w:name="_Hlk53049311"/>
      <w:r w:rsidRPr="00086AB2">
        <w:t xml:space="preserve">workers’ compensation </w:t>
      </w:r>
      <w:r w:rsidR="00C4127C">
        <w:t>and</w:t>
      </w:r>
      <w:r w:rsidR="001D3DDE">
        <w:t xml:space="preserve"> </w:t>
      </w:r>
      <w:bookmarkStart w:id="7" w:name="_Hlk61265186"/>
      <w:r w:rsidR="00C4127C">
        <w:t xml:space="preserve">WHS </w:t>
      </w:r>
      <w:bookmarkEnd w:id="7"/>
      <w:r w:rsidR="00C4127C">
        <w:t>authorities</w:t>
      </w:r>
      <w:r w:rsidRPr="00086AB2">
        <w:t xml:space="preserve"> as follows</w:t>
      </w:r>
      <w:bookmarkEnd w:id="6"/>
      <w:r w:rsidRPr="00086AB2">
        <w:t>:</w:t>
      </w:r>
    </w:p>
    <w:p w14:paraId="5FED1554" w14:textId="77777777" w:rsidR="002C2153" w:rsidRPr="00086AB2" w:rsidRDefault="002C2153" w:rsidP="00905154">
      <w:pPr>
        <w:pStyle w:val="SWABullets"/>
        <w:numPr>
          <w:ilvl w:val="1"/>
          <w:numId w:val="3"/>
        </w:numPr>
        <w:contextualSpacing w:val="0"/>
      </w:pPr>
      <w:r w:rsidRPr="00086AB2">
        <w:t>New South Wales — State Insurance Regulatory Authority and SafeWork NSW</w:t>
      </w:r>
    </w:p>
    <w:p w14:paraId="255819AC" w14:textId="77777777" w:rsidR="002C2153" w:rsidRPr="00086AB2" w:rsidRDefault="002C2153" w:rsidP="00905154">
      <w:pPr>
        <w:pStyle w:val="SWABullets"/>
        <w:numPr>
          <w:ilvl w:val="1"/>
          <w:numId w:val="3"/>
        </w:numPr>
        <w:contextualSpacing w:val="0"/>
      </w:pPr>
      <w:r w:rsidRPr="00086AB2">
        <w:t>Victoria — WorkSafe Victoria</w:t>
      </w:r>
    </w:p>
    <w:p w14:paraId="3FDDB360" w14:textId="77777777" w:rsidR="002C2153" w:rsidRPr="00086AB2" w:rsidRDefault="002C2153" w:rsidP="00905154">
      <w:pPr>
        <w:pStyle w:val="SWABullets"/>
        <w:numPr>
          <w:ilvl w:val="1"/>
          <w:numId w:val="3"/>
        </w:numPr>
        <w:contextualSpacing w:val="0"/>
      </w:pPr>
      <w:r w:rsidRPr="00086AB2">
        <w:t xml:space="preserve">Queensland — Workplace Health and Safety Queensland, Office of Industrial Relations – </w:t>
      </w:r>
      <w:r w:rsidR="00E04C70" w:rsidRPr="00086AB2">
        <w:t>Education Queensland</w:t>
      </w:r>
      <w:r w:rsidRPr="00086AB2">
        <w:t>, Queensland Workers’ Compensation Regulator and WorkCover Queensland</w:t>
      </w:r>
    </w:p>
    <w:p w14:paraId="37374630" w14:textId="77D8638C" w:rsidR="002C2153" w:rsidRPr="00086AB2" w:rsidRDefault="002C2153" w:rsidP="00905154">
      <w:pPr>
        <w:pStyle w:val="SWABullets"/>
        <w:numPr>
          <w:ilvl w:val="1"/>
          <w:numId w:val="3"/>
        </w:numPr>
        <w:contextualSpacing w:val="0"/>
      </w:pPr>
      <w:r w:rsidRPr="00086AB2">
        <w:t xml:space="preserve">Western Australia — </w:t>
      </w:r>
      <w:bookmarkStart w:id="8" w:name="_Hlk53049403"/>
      <w:r w:rsidR="00986780" w:rsidRPr="00086AB2">
        <w:t>Department of Mines, Industry Regulation and Safety</w:t>
      </w:r>
      <w:r w:rsidR="00632BFB">
        <w:t>,</w:t>
      </w:r>
      <w:r w:rsidR="00986780" w:rsidRPr="00086AB2">
        <w:t xml:space="preserve"> WorkSafe</w:t>
      </w:r>
      <w:r w:rsidR="00537ADF">
        <w:t xml:space="preserve"> </w:t>
      </w:r>
      <w:r w:rsidR="00632BFB">
        <w:t>and WorkCover WA</w:t>
      </w:r>
      <w:bookmarkEnd w:id="8"/>
    </w:p>
    <w:p w14:paraId="5E8C70E2" w14:textId="481573F2" w:rsidR="002C2153" w:rsidRPr="00086AB2" w:rsidRDefault="002C2153" w:rsidP="00905154">
      <w:pPr>
        <w:pStyle w:val="SWABullets"/>
        <w:numPr>
          <w:ilvl w:val="1"/>
          <w:numId w:val="3"/>
        </w:numPr>
        <w:contextualSpacing w:val="0"/>
      </w:pPr>
      <w:r w:rsidRPr="00086AB2">
        <w:t xml:space="preserve">South Australia — </w:t>
      </w:r>
      <w:bookmarkStart w:id="9" w:name="_Hlk54968193"/>
      <w:proofErr w:type="spellStart"/>
      <w:r w:rsidR="00AB50F8" w:rsidRPr="0000293B">
        <w:t>ReturnToWorkSA</w:t>
      </w:r>
      <w:bookmarkEnd w:id="9"/>
      <w:proofErr w:type="spellEnd"/>
      <w:r w:rsidR="00A50B85" w:rsidRPr="00086AB2" w:rsidDel="00A50B85">
        <w:t xml:space="preserve"> </w:t>
      </w:r>
      <w:r w:rsidRPr="00086AB2">
        <w:t>and SafeWork SA</w:t>
      </w:r>
    </w:p>
    <w:p w14:paraId="4CD378F3" w14:textId="77777777" w:rsidR="002C2153" w:rsidRPr="00086AB2" w:rsidRDefault="002C2153" w:rsidP="00905154">
      <w:pPr>
        <w:pStyle w:val="SWABullets"/>
        <w:numPr>
          <w:ilvl w:val="1"/>
          <w:numId w:val="3"/>
        </w:numPr>
        <w:contextualSpacing w:val="0"/>
      </w:pPr>
      <w:r w:rsidRPr="00086AB2">
        <w:t xml:space="preserve">Tasmania — WorkSafe Tasmania and WorkCover </w:t>
      </w:r>
      <w:r w:rsidR="00E82228" w:rsidRPr="00086AB2">
        <w:t xml:space="preserve">Board </w:t>
      </w:r>
      <w:r w:rsidRPr="00086AB2">
        <w:t>Tasmania</w:t>
      </w:r>
    </w:p>
    <w:p w14:paraId="67D3DCDD" w14:textId="185FE127" w:rsidR="002C2153" w:rsidRPr="00086AB2" w:rsidRDefault="002C2153" w:rsidP="00905154">
      <w:pPr>
        <w:pStyle w:val="SWABullets"/>
        <w:numPr>
          <w:ilvl w:val="1"/>
          <w:numId w:val="3"/>
        </w:numPr>
        <w:contextualSpacing w:val="0"/>
      </w:pPr>
      <w:r w:rsidRPr="00086AB2">
        <w:t xml:space="preserve">Northern Territory — NT WorkSafe, Department of </w:t>
      </w:r>
      <w:r w:rsidR="001D3DDE">
        <w:t xml:space="preserve">the </w:t>
      </w:r>
      <w:r w:rsidRPr="00086AB2">
        <w:t>Attorney-General and Justice</w:t>
      </w:r>
    </w:p>
    <w:p w14:paraId="45CCFB47" w14:textId="41D75D80" w:rsidR="002C2153" w:rsidRPr="00086AB2" w:rsidRDefault="002C2153" w:rsidP="00905154">
      <w:pPr>
        <w:pStyle w:val="SWABullets"/>
        <w:numPr>
          <w:ilvl w:val="1"/>
          <w:numId w:val="3"/>
        </w:numPr>
        <w:contextualSpacing w:val="0"/>
      </w:pPr>
      <w:r w:rsidRPr="00086AB2">
        <w:t xml:space="preserve">Australian Capital Territory — </w:t>
      </w:r>
      <w:bookmarkStart w:id="10" w:name="_Hlk54968319"/>
      <w:r w:rsidR="00AB50F8">
        <w:t>WorkSafe ACT</w:t>
      </w:r>
      <w:bookmarkEnd w:id="10"/>
      <w:r w:rsidR="00AB50F8" w:rsidRPr="00086AB2" w:rsidDel="00AB50F8">
        <w:t xml:space="preserve"> </w:t>
      </w:r>
    </w:p>
    <w:p w14:paraId="63D0A955" w14:textId="77777777" w:rsidR="002C2153" w:rsidRPr="00086AB2" w:rsidRDefault="002C2153" w:rsidP="00905154">
      <w:pPr>
        <w:pStyle w:val="SWABullets"/>
        <w:numPr>
          <w:ilvl w:val="1"/>
          <w:numId w:val="3"/>
        </w:numPr>
        <w:contextualSpacing w:val="0"/>
      </w:pPr>
      <w:r w:rsidRPr="00086AB2">
        <w:t>Australian Government — Comcare</w:t>
      </w:r>
    </w:p>
    <w:p w14:paraId="56FD1A36" w14:textId="77777777" w:rsidR="002C2153" w:rsidRPr="00086AB2" w:rsidRDefault="002C2153" w:rsidP="00905154">
      <w:pPr>
        <w:pStyle w:val="SWABullets"/>
        <w:numPr>
          <w:ilvl w:val="1"/>
          <w:numId w:val="3"/>
        </w:numPr>
        <w:contextualSpacing w:val="0"/>
      </w:pPr>
      <w:r w:rsidRPr="00086AB2">
        <w:t>Seacare — Seacare Authority (Seafarers Safety, Rehabilitation and Compensation Authority), and</w:t>
      </w:r>
    </w:p>
    <w:p w14:paraId="46E37EE1" w14:textId="77777777" w:rsidR="002C2153" w:rsidRPr="00086AB2" w:rsidRDefault="002C2153" w:rsidP="00905154">
      <w:pPr>
        <w:pStyle w:val="SWABullets"/>
        <w:numPr>
          <w:ilvl w:val="1"/>
          <w:numId w:val="3"/>
        </w:numPr>
        <w:contextualSpacing w:val="0"/>
      </w:pPr>
      <w:r w:rsidRPr="00086AB2">
        <w:lastRenderedPageBreak/>
        <w:t>New Zealand — Accident Compensation Corporation and WorkSafe New Zealand</w:t>
      </w:r>
    </w:p>
    <w:p w14:paraId="3602899C" w14:textId="7E2AC7BF" w:rsidR="00DA3C51" w:rsidRDefault="002C2153" w:rsidP="00E73AA5">
      <w:pPr>
        <w:pStyle w:val="SWABullets"/>
        <w:contextualSpacing w:val="0"/>
      </w:pPr>
      <w:r w:rsidRPr="00086AB2">
        <w:t xml:space="preserve">the National Data Set for Compensation-based Statistics and the Work-related Traumatic Injury Fatalities data set compiled by Safe Work Australia. Further information on these data sets can be found on the </w:t>
      </w:r>
      <w:hyperlink r:id="rId17" w:history="1">
        <w:r w:rsidRPr="00086AB2">
          <w:rPr>
            <w:rStyle w:val="SWALinkChar"/>
          </w:rPr>
          <w:t>Safe Work Australia</w:t>
        </w:r>
      </w:hyperlink>
      <w:r w:rsidRPr="00086AB2">
        <w:t xml:space="preserve"> website</w:t>
      </w:r>
      <w:r w:rsidR="00E73AA5" w:rsidRPr="00086AB2">
        <w:t xml:space="preserve"> </w:t>
      </w:r>
    </w:p>
    <w:p w14:paraId="208761D8" w14:textId="5E80C48C" w:rsidR="002C2153" w:rsidRPr="00086AB2" w:rsidRDefault="00DA3C51" w:rsidP="00E73AA5">
      <w:pPr>
        <w:pStyle w:val="SWABullets"/>
        <w:contextualSpacing w:val="0"/>
      </w:pPr>
      <w:r>
        <w:t xml:space="preserve">the Return to Work Survey that replaced the Return to Work Monitor previously published by the Heads of Workers’ Compensation Authorities. </w:t>
      </w:r>
      <w:r w:rsidRPr="00B8220E">
        <w:t xml:space="preserve">The full results can be accessed at </w:t>
      </w:r>
      <w:r w:rsidRPr="00446015">
        <w:t>the</w:t>
      </w:r>
      <w:r w:rsidRPr="00B8220E">
        <w:t xml:space="preserve"> </w:t>
      </w:r>
      <w:hyperlink r:id="rId18" w:history="1">
        <w:r w:rsidRPr="00B8220E">
          <w:rPr>
            <w:rStyle w:val="SWALinkChar"/>
          </w:rPr>
          <w:t>Safe Work Australia</w:t>
        </w:r>
      </w:hyperlink>
      <w:r w:rsidRPr="00B8220E">
        <w:t xml:space="preserve"> website</w:t>
      </w:r>
      <w:r>
        <w:t xml:space="preserve">, </w:t>
      </w:r>
      <w:r w:rsidR="00E73AA5" w:rsidRPr="00086AB2">
        <w:t>and</w:t>
      </w:r>
      <w:r w:rsidR="002C2153" w:rsidRPr="00086AB2">
        <w:t xml:space="preserve"> </w:t>
      </w:r>
    </w:p>
    <w:p w14:paraId="738D7815" w14:textId="77777777" w:rsidR="006E3B2A" w:rsidRDefault="002C2153" w:rsidP="006E3B2A">
      <w:pPr>
        <w:pStyle w:val="SWABullets"/>
        <w:keepNext/>
        <w:keepLines/>
        <w:contextualSpacing w:val="0"/>
      </w:pPr>
      <w:r w:rsidRPr="00086AB2">
        <w:t>the Australian Bureau of Statistics (ABS) which provides estimates of the number of employees and hours worked based on the Labour Force Survey, the Survey of Employment and Earnings</w:t>
      </w:r>
      <w:r w:rsidR="004035EC" w:rsidRPr="00086AB2">
        <w:t>,</w:t>
      </w:r>
      <w:r w:rsidRPr="00086AB2">
        <w:t xml:space="preserve"> and </w:t>
      </w:r>
      <w:r w:rsidR="00375419">
        <w:t xml:space="preserve">employee </w:t>
      </w:r>
      <w:r w:rsidRPr="00086AB2">
        <w:t xml:space="preserve">data provided by Comcare. Further adjustments are </w:t>
      </w:r>
      <w:r w:rsidR="007729EA">
        <w:t xml:space="preserve">made </w:t>
      </w:r>
      <w:r w:rsidRPr="00086AB2">
        <w:t>using data from the Census, the Forms of Employment Survey and the Survey of Employment Arrangements, Retirement and Superannuation.</w:t>
      </w:r>
    </w:p>
    <w:p w14:paraId="2DBA2EDF" w14:textId="6AD90C85" w:rsidR="006E3B2A" w:rsidRDefault="006E3B2A" w:rsidP="00DA3C51">
      <w:bookmarkStart w:id="11" w:name="_Hlk54968439"/>
      <w:r>
        <w:t xml:space="preserve">The CPM report </w:t>
      </w:r>
      <w:r w:rsidR="004C7164">
        <w:t xml:space="preserve">(Part 2) </w:t>
      </w:r>
      <w:r>
        <w:t>does not currently include any information on compliance and enforcement activities relating to the mining industry, including the offshore petroleum industry. This is to ensure jurisdictional data are comparable, as not all jurisdictions’ WHS authorities conduct these activities. Rather they are in some cases conducted by separate specific agencies.</w:t>
      </w:r>
    </w:p>
    <w:p w14:paraId="1B4A0348" w14:textId="01AA17FF" w:rsidR="006E3B2A" w:rsidRPr="00086AB2" w:rsidRDefault="006E3B2A" w:rsidP="00DA3C51">
      <w:r>
        <w:t xml:space="preserve">The CPM also does not currently include information or data from a range of other industry specific regulators that have responsibilities with respect to WHS and workers’ compensation. These include national </w:t>
      </w:r>
      <w:proofErr w:type="gramStart"/>
      <w:r>
        <w:t>industry based</w:t>
      </w:r>
      <w:proofErr w:type="gramEnd"/>
      <w:r>
        <w:t xml:space="preserve"> regulators with compliance and enforcement roles such as the National Heavy Vehicle Regulator, the National Rail Safety Regulator and the National Offshore Petroleum Safety and Environmental Management Authority, and other agencies with responsibility for industry-specific compensation claims. Further information on these regulators can be found </w:t>
      </w:r>
      <w:r w:rsidR="004F136C">
        <w:t>on</w:t>
      </w:r>
      <w:r>
        <w:t xml:space="preserve"> their respective websites.</w:t>
      </w:r>
      <w:bookmarkEnd w:id="11"/>
      <w:r>
        <w:t xml:space="preserve"> </w:t>
      </w:r>
    </w:p>
    <w:p w14:paraId="0ADB3F1A" w14:textId="77777777" w:rsidR="003411E8" w:rsidRPr="00086AB2" w:rsidRDefault="004B79B6" w:rsidP="00B51041">
      <w:pPr>
        <w:pStyle w:val="Heading1"/>
      </w:pPr>
      <w:r w:rsidRPr="00086AB2">
        <w:t>Coordination</w:t>
      </w:r>
    </w:p>
    <w:p w14:paraId="18107D46" w14:textId="305D7AFF" w:rsidR="00375419" w:rsidRDefault="004B79B6" w:rsidP="00375419">
      <w:r w:rsidRPr="00086AB2">
        <w:t xml:space="preserve">This report has been compiled and coordinated by Safe Work Australia with assistance from representatives of </w:t>
      </w:r>
      <w:r w:rsidR="0029532C">
        <w:t>WHS</w:t>
      </w:r>
      <w:r w:rsidRPr="00086AB2">
        <w:t xml:space="preserve"> and workers’ compensation authorities in Australia and New Zealand. </w:t>
      </w:r>
      <w:r w:rsidR="00375419" w:rsidRPr="00086AB2">
        <w:t xml:space="preserve">Through a partnership of governments, employers and employees, Safe Work Australia leads the development of national policy to improve </w:t>
      </w:r>
      <w:r w:rsidR="001D3DDE">
        <w:t xml:space="preserve">WHS </w:t>
      </w:r>
      <w:r w:rsidR="00375419" w:rsidRPr="00086AB2">
        <w:t>and workers’ compensation arrangements across Australia.</w:t>
      </w:r>
    </w:p>
    <w:p w14:paraId="1335D05D" w14:textId="0D4458E4" w:rsidR="00DA3C51" w:rsidRDefault="00DA3C51" w:rsidP="00DA3C51">
      <w:pPr>
        <w:sectPr w:rsidR="00DA3C51" w:rsidSect="00C50144">
          <w:headerReference w:type="first" r:id="rId19"/>
          <w:footerReference w:type="first" r:id="rId20"/>
          <w:pgSz w:w="11906" w:h="16838"/>
          <w:pgMar w:top="993" w:right="1800" w:bottom="1440" w:left="1276" w:header="708" w:footer="708" w:gutter="0"/>
          <w:cols w:space="242"/>
          <w:titlePg/>
          <w:docGrid w:linePitch="360"/>
        </w:sectPr>
      </w:pPr>
      <w:r w:rsidRPr="00EE4613">
        <w:t xml:space="preserve">In this report the name ‘Australian Government’ is used for indicators relating to the Australian Government jurisdiction in </w:t>
      </w:r>
      <w:r w:rsidR="001D3DDE">
        <w:t>WHS</w:t>
      </w:r>
      <w:r w:rsidRPr="00EE4613">
        <w:t xml:space="preserve"> and workers’ compensation matters, while ‘Comcare’ is used for the indicators relating to premium rates and entitlements</w:t>
      </w:r>
      <w:r w:rsidR="00410AF3">
        <w:t>.</w:t>
      </w:r>
    </w:p>
    <w:p w14:paraId="32A57138" w14:textId="77777777" w:rsidR="00DA3C51" w:rsidRPr="00A1240B" w:rsidRDefault="00DA3C51" w:rsidP="00375419"/>
    <w:p w14:paraId="7D38B2CD" w14:textId="7E2DB7CD" w:rsidR="00D10D6A" w:rsidRPr="00086AB2" w:rsidRDefault="0008200E" w:rsidP="00782BAF">
      <w:pPr>
        <w:spacing w:after="200" w:line="276" w:lineRule="auto"/>
        <w:jc w:val="left"/>
      </w:pPr>
      <w:r>
        <w:rPr>
          <w:noProof/>
        </w:rPr>
        <w:drawing>
          <wp:inline distT="0" distB="0" distL="0" distR="0" wp14:anchorId="7D745CD8" wp14:editId="3871F169">
            <wp:extent cx="5925702" cy="8382000"/>
            <wp:effectExtent l="0" t="0" r="0" b="0"/>
            <wp:docPr id="5" name="Picture 5" descr="This image contains the first set of key findings for CPM 22 – Part 1.&#10;&#10;The key findings include that the Australian serious claim incidence rate was 9.4 serious claims per 1,000 employees in 2018-19 (with a 9% decrease between 2013-14 and 2017-18); For long term serious claims the incidence rate 3.2 in 2018-19.  In New Zealand the serious claim incidence rate was 15.8 in 2018-19 (with a 25% increase between 2013-14 and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36428" cy="8397172"/>
                    </a:xfrm>
                    <a:prstGeom prst="rect">
                      <a:avLst/>
                    </a:prstGeom>
                    <a:noFill/>
                    <a:ln>
                      <a:noFill/>
                    </a:ln>
                  </pic:spPr>
                </pic:pic>
              </a:graphicData>
            </a:graphic>
          </wp:inline>
        </w:drawing>
      </w:r>
    </w:p>
    <w:p w14:paraId="03306514" w14:textId="7F8F6E53" w:rsidR="004B79B6" w:rsidRPr="00086AB2" w:rsidRDefault="00B1089A" w:rsidP="00A22256">
      <w:pPr>
        <w:sectPr w:rsidR="004B79B6" w:rsidRPr="00086AB2" w:rsidSect="00C50144">
          <w:headerReference w:type="first" r:id="rId22"/>
          <w:footerReference w:type="first" r:id="rId23"/>
          <w:pgSz w:w="11906" w:h="16838"/>
          <w:pgMar w:top="993" w:right="1800" w:bottom="1440" w:left="1276" w:header="708" w:footer="708" w:gutter="0"/>
          <w:cols w:space="242"/>
          <w:titlePg/>
          <w:docGrid w:linePitch="360"/>
        </w:sectPr>
      </w:pPr>
      <w:r>
        <w:rPr>
          <w:noProof/>
        </w:rPr>
        <w:lastRenderedPageBreak/>
        <w:drawing>
          <wp:inline distT="0" distB="0" distL="0" distR="0" wp14:anchorId="3ED01543" wp14:editId="130BA400">
            <wp:extent cx="5886450" cy="8325694"/>
            <wp:effectExtent l="0" t="0" r="0" b="0"/>
            <wp:docPr id="1" name="Picture 1" descr="This image contains the second set of key findings for CPM 22 - Part 1.&#10;&#10;The key findings include that the number of self-insured claims in Australia decreased by 13% between 2013-14 to 2017-18; the highest rate of serious claims for 2018-19 was in the Agriculture, forestry and fishing industry (at 17.2 serious claims per 1,000 employees); the main cause of injury in in 2018-19 was due to body stress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8275" cy="8328275"/>
                    </a:xfrm>
                    <a:prstGeom prst="rect">
                      <a:avLst/>
                    </a:prstGeom>
                    <a:noFill/>
                    <a:ln>
                      <a:noFill/>
                    </a:ln>
                  </pic:spPr>
                </pic:pic>
              </a:graphicData>
            </a:graphic>
          </wp:inline>
        </w:drawing>
      </w:r>
      <w:r w:rsidR="003535BF" w:rsidRPr="00086AB2">
        <w:br w:type="page"/>
      </w:r>
    </w:p>
    <w:p w14:paraId="72A25474" w14:textId="77777777" w:rsidR="003411E8" w:rsidRPr="00086AB2" w:rsidRDefault="00486C4E" w:rsidP="00B51041">
      <w:pPr>
        <w:pStyle w:val="SWASectionnumberingheading"/>
        <w:rPr>
          <w:caps/>
        </w:rPr>
      </w:pPr>
      <w:bookmarkStart w:id="12" w:name="_Toc55294225"/>
      <w:r w:rsidRPr="00086AB2">
        <w:lastRenderedPageBreak/>
        <w:t>Serious c</w:t>
      </w:r>
      <w:r w:rsidR="00CE5E41" w:rsidRPr="00086AB2">
        <w:t>laims</w:t>
      </w:r>
      <w:bookmarkEnd w:id="12"/>
      <w:r w:rsidR="00020821">
        <w:t xml:space="preserve"> </w:t>
      </w:r>
    </w:p>
    <w:p w14:paraId="588EDC14" w14:textId="1BEE8A60" w:rsidR="00871001" w:rsidRDefault="00A45E9A" w:rsidP="00836CBF">
      <w:r w:rsidRPr="00086AB2">
        <w:t xml:space="preserve">Workers’ compensation data provides an indicator for measuring work health and safety </w:t>
      </w:r>
      <w:r>
        <w:t xml:space="preserve">(WHS) </w:t>
      </w:r>
      <w:r w:rsidRPr="00086AB2">
        <w:t>performance. While there are some limitations, most notably that the data only cover</w:t>
      </w:r>
      <w:r>
        <w:t>s</w:t>
      </w:r>
      <w:r w:rsidRPr="00086AB2">
        <w:t xml:space="preserve"> those eligible for workers’ compensation and under-report</w:t>
      </w:r>
      <w:r>
        <w:t>s</w:t>
      </w:r>
      <w:r w:rsidRPr="00086AB2">
        <w:t xml:space="preserve"> the incidence of disease, the data still provide a good indication of </w:t>
      </w:r>
      <w:r>
        <w:t>WHS</w:t>
      </w:r>
      <w:r w:rsidRPr="00086AB2">
        <w:t xml:space="preserve"> trends.</w:t>
      </w:r>
    </w:p>
    <w:p w14:paraId="7B9DD86F" w14:textId="293F3AFA" w:rsidR="00871001" w:rsidRDefault="00D10D6A" w:rsidP="00836CBF">
      <w:r w:rsidRPr="00086AB2">
        <w:t xml:space="preserve">The data </w:t>
      </w:r>
      <w:r w:rsidR="00E73AA5" w:rsidRPr="00086AB2">
        <w:t xml:space="preserve">presented </w:t>
      </w:r>
      <w:r w:rsidRPr="00086AB2">
        <w:t xml:space="preserve">in this </w:t>
      </w:r>
      <w:r w:rsidR="00CE5E41" w:rsidRPr="00086AB2">
        <w:t>section</w:t>
      </w:r>
      <w:r w:rsidRPr="00086AB2">
        <w:t xml:space="preserve"> </w:t>
      </w:r>
      <w:r w:rsidR="00A45E9A">
        <w:t xml:space="preserve">relates to </w:t>
      </w:r>
      <w:r w:rsidRPr="00086AB2">
        <w:t xml:space="preserve">accepted </w:t>
      </w:r>
      <w:r w:rsidR="00CE5E41" w:rsidRPr="00086AB2">
        <w:t xml:space="preserve">serious </w:t>
      </w:r>
      <w:r w:rsidRPr="00086AB2">
        <w:t xml:space="preserve">workers’ compensation claims lodged in each financial year. </w:t>
      </w:r>
      <w:r w:rsidR="00871001">
        <w:t>Common terms used in this section of the report include:</w:t>
      </w:r>
    </w:p>
    <w:p w14:paraId="71850D1D" w14:textId="77777777" w:rsidR="00871001" w:rsidRPr="00802A18" w:rsidRDefault="00871001" w:rsidP="00A965F7">
      <w:pPr>
        <w:pStyle w:val="ListParagraph"/>
        <w:numPr>
          <w:ilvl w:val="0"/>
          <w:numId w:val="17"/>
        </w:numPr>
        <w:rPr>
          <w:b/>
        </w:rPr>
      </w:pPr>
      <w:r w:rsidRPr="00802A18">
        <w:rPr>
          <w:b/>
        </w:rPr>
        <w:t>serious claims</w:t>
      </w:r>
      <w:r>
        <w:rPr>
          <w:b/>
        </w:rPr>
        <w:t xml:space="preserve">: </w:t>
      </w:r>
      <w:r w:rsidRPr="00086AB2">
        <w:t>claims relating to work-related injury or disease that result in a total absence from work of one working week or more</w:t>
      </w:r>
    </w:p>
    <w:p w14:paraId="1854F5DE" w14:textId="77777777" w:rsidR="00871001" w:rsidRDefault="00871001" w:rsidP="00A965F7">
      <w:pPr>
        <w:pStyle w:val="ListParagraph"/>
        <w:numPr>
          <w:ilvl w:val="0"/>
          <w:numId w:val="17"/>
        </w:numPr>
        <w:rPr>
          <w:b/>
        </w:rPr>
      </w:pPr>
      <w:r>
        <w:rPr>
          <w:b/>
        </w:rPr>
        <w:t xml:space="preserve">incident rate: </w:t>
      </w:r>
      <w:r w:rsidRPr="00802A18">
        <w:t>number of</w:t>
      </w:r>
      <w:r>
        <w:t xml:space="preserve"> serious</w:t>
      </w:r>
      <w:r w:rsidRPr="00802A18">
        <w:t xml:space="preserve"> claims </w:t>
      </w:r>
      <w:r>
        <w:t>per 1,000 employees</w:t>
      </w:r>
    </w:p>
    <w:p w14:paraId="0E690185" w14:textId="77777777" w:rsidR="00871001" w:rsidRDefault="00871001" w:rsidP="00A965F7">
      <w:pPr>
        <w:pStyle w:val="ListParagraph"/>
        <w:numPr>
          <w:ilvl w:val="0"/>
          <w:numId w:val="17"/>
        </w:numPr>
      </w:pPr>
      <w:r>
        <w:rPr>
          <w:b/>
        </w:rPr>
        <w:t xml:space="preserve">frequency rate: </w:t>
      </w:r>
      <w:r w:rsidRPr="00802A18">
        <w:t>number of claims per one million hours worked</w:t>
      </w:r>
      <w:r w:rsidR="00A45E9A">
        <w:t>, and</w:t>
      </w:r>
    </w:p>
    <w:p w14:paraId="6D6C03CF" w14:textId="77777777" w:rsidR="00A45E9A" w:rsidRPr="00871001" w:rsidRDefault="00A45E9A" w:rsidP="00802A18">
      <w:pPr>
        <w:pStyle w:val="ListParagraph"/>
        <w:numPr>
          <w:ilvl w:val="0"/>
          <w:numId w:val="17"/>
        </w:numPr>
      </w:pPr>
      <w:r>
        <w:rPr>
          <w:b/>
        </w:rPr>
        <w:t>“p”:</w:t>
      </w:r>
      <w:r>
        <w:t xml:space="preserve"> </w:t>
      </w:r>
      <w:r w:rsidRPr="00802A18">
        <w:t xml:space="preserve">denotes </w:t>
      </w:r>
      <w:r>
        <w:t xml:space="preserve">the data is preliminary and subject to revision in future years as claims are finalised. </w:t>
      </w:r>
    </w:p>
    <w:p w14:paraId="63DB1AC0" w14:textId="45C2712C" w:rsidR="00A45E9A" w:rsidRPr="006F5644" w:rsidRDefault="00A45E9A" w:rsidP="006F5644">
      <w:pPr>
        <w:autoSpaceDE w:val="0"/>
        <w:autoSpaceDN w:val="0"/>
        <w:spacing w:after="0"/>
        <w:rPr>
          <w:rFonts w:ascii="Calibri" w:hAnsi="Calibri"/>
          <w:szCs w:val="22"/>
        </w:rPr>
      </w:pPr>
      <w:r>
        <w:t xml:space="preserve">Data presented in this report </w:t>
      </w:r>
      <w:r w:rsidR="00A11CC8">
        <w:t xml:space="preserve">are </w:t>
      </w:r>
      <w:r>
        <w:t xml:space="preserve">revised each year which may result in differences from previously published data. </w:t>
      </w:r>
      <w:r w:rsidR="006F5644">
        <w:t xml:space="preserve">Calculations of percentage changes may differ to percentages outlined in the text as percentages shown in tables and figures have been rounded to the nearest decimal place. </w:t>
      </w:r>
    </w:p>
    <w:p w14:paraId="3AA4AB06" w14:textId="77777777" w:rsidR="00D10D6A" w:rsidRPr="00086AB2" w:rsidRDefault="00CE5E41" w:rsidP="00B51041">
      <w:pPr>
        <w:pStyle w:val="SWASectionnum2"/>
      </w:pPr>
      <w:bookmarkStart w:id="13" w:name="_Toc55294226"/>
      <w:r w:rsidRPr="00086AB2">
        <w:t xml:space="preserve">Incidence </w:t>
      </w:r>
      <w:r w:rsidR="003C1E2B" w:rsidRPr="00086AB2">
        <w:t>r</w:t>
      </w:r>
      <w:r w:rsidRPr="00086AB2">
        <w:t>ate</w:t>
      </w:r>
      <w:r w:rsidR="00CA3385">
        <w:t xml:space="preserve"> </w:t>
      </w:r>
      <w:bookmarkEnd w:id="13"/>
    </w:p>
    <w:p w14:paraId="5A41C70A" w14:textId="76184243" w:rsidR="00D10D6A" w:rsidRPr="00086AB2" w:rsidRDefault="00222424" w:rsidP="00D10D6A">
      <w:r>
        <w:t>T</w:t>
      </w:r>
      <w:r w:rsidR="00D10D6A" w:rsidRPr="00086AB2">
        <w:t xml:space="preserve">he </w:t>
      </w:r>
      <w:r w:rsidR="00E73AA5" w:rsidRPr="00086AB2">
        <w:t xml:space="preserve">overall </w:t>
      </w:r>
      <w:r w:rsidR="00D10D6A" w:rsidRPr="00086AB2">
        <w:t>Australian incidence rate for serious claims</w:t>
      </w:r>
      <w:r w:rsidR="00A11CC8">
        <w:t xml:space="preserve"> (Indicator 1)</w:t>
      </w:r>
      <w:r w:rsidR="00D10D6A" w:rsidRPr="00086AB2">
        <w:t xml:space="preserve"> </w:t>
      </w:r>
      <w:r w:rsidR="00A45E9A">
        <w:t xml:space="preserve">has </w:t>
      </w:r>
      <w:r w:rsidR="00104B49">
        <w:t xml:space="preserve">remained steady </w:t>
      </w:r>
      <w:r w:rsidR="00A45E9A">
        <w:t>at 9.4 claims per 1,000</w:t>
      </w:r>
      <w:r w:rsidR="00862931">
        <w:t> </w:t>
      </w:r>
      <w:r w:rsidR="00A45E9A">
        <w:t>employees for the last three financial years (2015</w:t>
      </w:r>
      <w:r w:rsidR="00206AD9" w:rsidRPr="00086AB2">
        <w:t>–</w:t>
      </w:r>
      <w:r w:rsidR="00A45E9A">
        <w:t>16 to 2017</w:t>
      </w:r>
      <w:r w:rsidR="00206AD9" w:rsidRPr="00086AB2">
        <w:t>–</w:t>
      </w:r>
      <w:r w:rsidR="00A45E9A">
        <w:t xml:space="preserve">18). </w:t>
      </w:r>
      <w:r w:rsidR="00D10D6A" w:rsidRPr="00086AB2">
        <w:t xml:space="preserve">Preliminary data for </w:t>
      </w:r>
      <w:r w:rsidR="00F74ABF" w:rsidRPr="00086AB2">
        <w:t>201</w:t>
      </w:r>
      <w:r w:rsidR="00712B7B">
        <w:t>8</w:t>
      </w:r>
      <w:r w:rsidR="00206AD9" w:rsidRPr="00086AB2">
        <w:t>–</w:t>
      </w:r>
      <w:r w:rsidR="00F74ABF" w:rsidRPr="00086AB2">
        <w:t>1</w:t>
      </w:r>
      <w:r w:rsidR="00712B7B">
        <w:t>9</w:t>
      </w:r>
      <w:r w:rsidR="00EB1750" w:rsidRPr="00086AB2">
        <w:t xml:space="preserve"> </w:t>
      </w:r>
      <w:r w:rsidR="00D10D6A" w:rsidRPr="00086AB2">
        <w:t>show an incidence rate of 9.</w:t>
      </w:r>
      <w:r w:rsidR="00712B7B">
        <w:t>4</w:t>
      </w:r>
      <w:r w:rsidR="00D10D6A" w:rsidRPr="00086AB2">
        <w:t xml:space="preserve"> claims per </w:t>
      </w:r>
      <w:r w:rsidR="000B6602" w:rsidRPr="00086AB2">
        <w:t>1,000</w:t>
      </w:r>
      <w:r w:rsidR="00D10D6A" w:rsidRPr="00086AB2">
        <w:t xml:space="preserve"> employees</w:t>
      </w:r>
      <w:r w:rsidR="00E73AA5" w:rsidRPr="00086AB2">
        <w:t>,</w:t>
      </w:r>
      <w:r w:rsidR="00D10D6A" w:rsidRPr="00086AB2">
        <w:t xml:space="preserve"> however this is expected to </w:t>
      </w:r>
      <w:r w:rsidR="00E73AA5" w:rsidRPr="00086AB2">
        <w:t xml:space="preserve">be revised upwards </w:t>
      </w:r>
      <w:r w:rsidR="00D10D6A" w:rsidRPr="00086AB2">
        <w:t xml:space="preserve">when updated data </w:t>
      </w:r>
      <w:r w:rsidR="00A45E9A">
        <w:t>becomes</w:t>
      </w:r>
      <w:r w:rsidR="00A45E9A" w:rsidRPr="00086AB2">
        <w:t xml:space="preserve"> </w:t>
      </w:r>
      <w:r w:rsidR="00D10D6A" w:rsidRPr="00086AB2">
        <w:t>available.</w:t>
      </w:r>
    </w:p>
    <w:p w14:paraId="132DC06A" w14:textId="7EFA0578" w:rsidR="00A11CC8" w:rsidRPr="00086AB2" w:rsidRDefault="00A11CC8" w:rsidP="00A11CC8">
      <w:bookmarkStart w:id="14" w:name="_Toc56603292"/>
      <w:r w:rsidRPr="00086AB2">
        <w:t>Between 201</w:t>
      </w:r>
      <w:r>
        <w:t>3</w:t>
      </w:r>
      <w:r w:rsidRPr="00086AB2">
        <w:t>–1</w:t>
      </w:r>
      <w:r>
        <w:t>4</w:t>
      </w:r>
      <w:r w:rsidRPr="00086AB2">
        <w:t xml:space="preserve"> and 201</w:t>
      </w:r>
      <w:r>
        <w:t>7</w:t>
      </w:r>
      <w:r w:rsidRPr="00086AB2">
        <w:t>–1</w:t>
      </w:r>
      <w:r>
        <w:t>8</w:t>
      </w:r>
      <w:r w:rsidRPr="00086AB2">
        <w:t xml:space="preserve"> all Australian jurisdictions </w:t>
      </w:r>
      <w:r>
        <w:t xml:space="preserve">except Seacare (up 2%) and the Australian Capital Territory (up 1%) </w:t>
      </w:r>
      <w:r w:rsidRPr="00086AB2">
        <w:t xml:space="preserve">recorded falls in the incidence rate of serious claims. </w:t>
      </w:r>
      <w:r>
        <w:t>The Australian Government</w:t>
      </w:r>
      <w:r w:rsidRPr="00086AB2">
        <w:t xml:space="preserve"> recorded the largest decrease (down </w:t>
      </w:r>
      <w:r>
        <w:t>35%</w:t>
      </w:r>
      <w:r w:rsidRPr="00086AB2">
        <w:t xml:space="preserve">), followed by </w:t>
      </w:r>
      <w:r>
        <w:t>South Australia (down 24%), the Northern Territory (down 23%)</w:t>
      </w:r>
      <w:r w:rsidR="00410AF3">
        <w:t xml:space="preserve"> </w:t>
      </w:r>
      <w:r w:rsidRPr="00086AB2">
        <w:t xml:space="preserve">and </w:t>
      </w:r>
      <w:r>
        <w:t xml:space="preserve">Tasmania </w:t>
      </w:r>
      <w:r w:rsidRPr="00086AB2">
        <w:t>(down </w:t>
      </w:r>
      <w:r>
        <w:t>12%</w:t>
      </w:r>
      <w:r w:rsidRPr="00086AB2">
        <w:t>). Preliminary data show</w:t>
      </w:r>
      <w:r>
        <w:t>s</w:t>
      </w:r>
      <w:r w:rsidRPr="00086AB2">
        <w:t xml:space="preserve"> Seacare recorded the highest incidence rate of serious claims in 201</w:t>
      </w:r>
      <w:r>
        <w:t>8</w:t>
      </w:r>
      <w:r w:rsidRPr="00086AB2">
        <w:t>–1</w:t>
      </w:r>
      <w:r>
        <w:t>9</w:t>
      </w:r>
      <w:r w:rsidR="00331B45">
        <w:t xml:space="preserve">p </w:t>
      </w:r>
      <w:r w:rsidRPr="00086AB2">
        <w:t>with 1</w:t>
      </w:r>
      <w:r>
        <w:t>4</w:t>
      </w:r>
      <w:r w:rsidRPr="00086AB2">
        <w:t>.</w:t>
      </w:r>
      <w:r>
        <w:t>1 </w:t>
      </w:r>
      <w:r w:rsidRPr="00086AB2">
        <w:t xml:space="preserve">claims per 1,000 employees, while the Australian Government recorded the lowest rate with </w:t>
      </w:r>
      <w:r>
        <w:t>4.1 </w:t>
      </w:r>
      <w:r w:rsidRPr="00086AB2">
        <w:t>claims per 1,000 employees</w:t>
      </w:r>
      <w:r>
        <w:t>.</w:t>
      </w:r>
      <w:r w:rsidRPr="00086AB2">
        <w:t xml:space="preserve"> </w:t>
      </w:r>
    </w:p>
    <w:p w14:paraId="5D3B4F50" w14:textId="2A0E6306" w:rsidR="00A11CC8" w:rsidRPr="00086AB2" w:rsidRDefault="00A11CC8" w:rsidP="00A11CC8">
      <w:r w:rsidRPr="00086AB2">
        <w:t>Over the period from 201</w:t>
      </w:r>
      <w:r>
        <w:t>3</w:t>
      </w:r>
      <w:r w:rsidRPr="00086AB2">
        <w:t>–1</w:t>
      </w:r>
      <w:r>
        <w:t>4</w:t>
      </w:r>
      <w:r w:rsidRPr="00086AB2">
        <w:t xml:space="preserve"> to 201</w:t>
      </w:r>
      <w:r>
        <w:t>7</w:t>
      </w:r>
      <w:r w:rsidRPr="00086AB2">
        <w:t>–1</w:t>
      </w:r>
      <w:r>
        <w:t>8</w:t>
      </w:r>
      <w:r w:rsidRPr="00086AB2">
        <w:t xml:space="preserve">, New Zealand recorded a </w:t>
      </w:r>
      <w:r>
        <w:t>25%</w:t>
      </w:r>
      <w:r w:rsidRPr="00086AB2">
        <w:t xml:space="preserve"> increase in the incidence rate of serious claims, increasing from 1</w:t>
      </w:r>
      <w:r>
        <w:t>1.7</w:t>
      </w:r>
      <w:r w:rsidRPr="00086AB2">
        <w:t xml:space="preserve"> to 1</w:t>
      </w:r>
      <w:r>
        <w:t>4</w:t>
      </w:r>
      <w:r w:rsidRPr="00086AB2">
        <w:t>.</w:t>
      </w:r>
      <w:r>
        <w:t>5</w:t>
      </w:r>
      <w:r w:rsidRPr="00086AB2">
        <w:t xml:space="preserve"> claims per 1,000 employees. Preliminary data show</w:t>
      </w:r>
      <w:r>
        <w:t>s</w:t>
      </w:r>
      <w:r w:rsidRPr="00086AB2">
        <w:t xml:space="preserve"> the New Zealand incidence rate has increased to 1</w:t>
      </w:r>
      <w:r>
        <w:t>5</w:t>
      </w:r>
      <w:r w:rsidRPr="00086AB2">
        <w:t>.</w:t>
      </w:r>
      <w:r>
        <w:t>8</w:t>
      </w:r>
      <w:r w:rsidRPr="00086AB2">
        <w:t xml:space="preserve"> serious claims per</w:t>
      </w:r>
      <w:r>
        <w:t> </w:t>
      </w:r>
      <w:r w:rsidRPr="00086AB2">
        <w:t>1,000 employees in 201</w:t>
      </w:r>
      <w:r>
        <w:t>8</w:t>
      </w:r>
      <w:r w:rsidRPr="00086AB2">
        <w:t>–1</w:t>
      </w:r>
      <w:r>
        <w:t>9</w:t>
      </w:r>
      <w:r w:rsidR="00331B45">
        <w:t>p</w:t>
      </w:r>
      <w:r w:rsidRPr="00086AB2">
        <w:t xml:space="preserve">. </w:t>
      </w:r>
    </w:p>
    <w:p w14:paraId="287DBDE0" w14:textId="7A2EF883" w:rsidR="00D10D6A" w:rsidRPr="00086AB2" w:rsidRDefault="00E1127D" w:rsidP="00E1127D">
      <w:pPr>
        <w:pStyle w:val="SWATableheader"/>
      </w:pPr>
      <w:bookmarkStart w:id="15" w:name="_Toc56772227"/>
      <w:r>
        <w:lastRenderedPageBreak/>
        <w:t xml:space="preserve">Indicator </w:t>
      </w:r>
      <w:r w:rsidR="00772B12">
        <w:fldChar w:fldCharType="begin"/>
      </w:r>
      <w:r w:rsidR="00772B12">
        <w:instrText xml:space="preserve"> SEQ Indicator \* ARABIC </w:instrText>
      </w:r>
      <w:r w:rsidR="00772B12">
        <w:fldChar w:fldCharType="separate"/>
      </w:r>
      <w:r w:rsidR="00772B12">
        <w:rPr>
          <w:noProof/>
        </w:rPr>
        <w:t>1</w:t>
      </w:r>
      <w:r w:rsidR="00772B12">
        <w:rPr>
          <w:noProof/>
        </w:rPr>
        <w:fldChar w:fldCharType="end"/>
      </w:r>
      <w:r w:rsidRPr="00086AB2">
        <w:t xml:space="preserve"> – Incidence rates of serious injury and disease claims by jurisdiction</w:t>
      </w:r>
      <w:bookmarkEnd w:id="14"/>
      <w:bookmarkEnd w:id="15"/>
    </w:p>
    <w:p w14:paraId="7AE9FBC9" w14:textId="1BB30DD6" w:rsidR="00D10D6A" w:rsidRPr="00086AB2" w:rsidRDefault="00475C85" w:rsidP="004F6BA7">
      <w:pPr>
        <w:jc w:val="center"/>
      </w:pPr>
      <w:r>
        <w:rPr>
          <w:noProof/>
        </w:rPr>
        <w:drawing>
          <wp:inline distT="0" distB="0" distL="0" distR="0" wp14:anchorId="350E5E77" wp14:editId="137F5CE5">
            <wp:extent cx="5367114" cy="2895600"/>
            <wp:effectExtent l="0" t="0" r="5080" b="0"/>
            <wp:docPr id="4" name="Picture 4" descr="Indicator 1 – Incidence rates of serious injury and disease claims by jurisdiction&#10;&#10;This column chart shows comparison of incidence rates of serious injury and disease claims in Australian jurisdictions and New Zealand between 2013-14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875" cy="2904103"/>
                    </a:xfrm>
                    <a:prstGeom prst="rect">
                      <a:avLst/>
                    </a:prstGeom>
                    <a:noFill/>
                  </pic:spPr>
                </pic:pic>
              </a:graphicData>
            </a:graphic>
          </wp:inline>
        </w:drawing>
      </w:r>
    </w:p>
    <w:p w14:paraId="7F58464F" w14:textId="31DD08BB" w:rsidR="00C85DF5" w:rsidRPr="00086AB2" w:rsidRDefault="00C85DF5" w:rsidP="00B51041">
      <w:pPr>
        <w:pStyle w:val="SWASectionnum2"/>
      </w:pPr>
      <w:bookmarkStart w:id="16" w:name="_Toc55294227"/>
      <w:r w:rsidRPr="00086AB2">
        <w:t xml:space="preserve">Frequency </w:t>
      </w:r>
      <w:r w:rsidR="00546938" w:rsidRPr="00086AB2">
        <w:t>r</w:t>
      </w:r>
      <w:r w:rsidRPr="00086AB2">
        <w:t>ate</w:t>
      </w:r>
      <w:bookmarkEnd w:id="16"/>
      <w:r w:rsidR="00C87D5A">
        <w:t xml:space="preserve"> </w:t>
      </w:r>
    </w:p>
    <w:p w14:paraId="788E4F77" w14:textId="7498C37A" w:rsidR="004D7B61" w:rsidRDefault="00DC241B" w:rsidP="00D10D6A">
      <w:r>
        <w:t>T</w:t>
      </w:r>
      <w:r w:rsidR="00D10D6A" w:rsidRPr="00086AB2">
        <w:t>he</w:t>
      </w:r>
      <w:r w:rsidR="00056EAA" w:rsidRPr="00086AB2">
        <w:t xml:space="preserve"> overall</w:t>
      </w:r>
      <w:r w:rsidR="00D10D6A" w:rsidRPr="00086AB2">
        <w:t xml:space="preserve"> Australian frequency rat</w:t>
      </w:r>
      <w:r w:rsidR="007159DD" w:rsidRPr="00086AB2">
        <w:t xml:space="preserve">e of serious claims </w:t>
      </w:r>
      <w:r w:rsidR="00A11CC8" w:rsidRPr="00A11CC8">
        <w:t xml:space="preserve">(Indicator </w:t>
      </w:r>
      <w:r w:rsidR="00A11CC8">
        <w:t>2</w:t>
      </w:r>
      <w:r w:rsidR="00A11CC8" w:rsidRPr="00A11CC8">
        <w:t xml:space="preserve">) </w:t>
      </w:r>
      <w:r w:rsidR="007159DD" w:rsidRPr="00086AB2">
        <w:t xml:space="preserve">decreased </w:t>
      </w:r>
      <w:r w:rsidR="00056EAA" w:rsidRPr="00086AB2">
        <w:t xml:space="preserve">by </w:t>
      </w:r>
      <w:r w:rsidR="00F6499F">
        <w:t>8</w:t>
      </w:r>
      <w:r w:rsidR="003C4F76">
        <w:t>%</w:t>
      </w:r>
      <w:r w:rsidR="00D10D6A" w:rsidRPr="00086AB2">
        <w:t xml:space="preserve"> from </w:t>
      </w:r>
      <w:r w:rsidR="00F6499F">
        <w:t>6.2</w:t>
      </w:r>
      <w:r w:rsidR="00D10D6A" w:rsidRPr="00086AB2">
        <w:t xml:space="preserve"> claims per million hours worked in </w:t>
      </w:r>
      <w:r w:rsidR="007159DD" w:rsidRPr="00086AB2">
        <w:t>201</w:t>
      </w:r>
      <w:r w:rsidR="00F6499F">
        <w:t>3</w:t>
      </w:r>
      <w:r w:rsidR="007159DD" w:rsidRPr="00086AB2">
        <w:t>–1</w:t>
      </w:r>
      <w:r w:rsidR="00F6499F">
        <w:t>4</w:t>
      </w:r>
      <w:r w:rsidR="00D10D6A" w:rsidRPr="00086AB2">
        <w:t xml:space="preserve"> to </w:t>
      </w:r>
      <w:r w:rsidR="00BC0DB4" w:rsidRPr="00086AB2">
        <w:t>5.</w:t>
      </w:r>
      <w:r w:rsidR="000135E2">
        <w:t>7</w:t>
      </w:r>
      <w:r w:rsidR="00D10D6A" w:rsidRPr="00086AB2">
        <w:t xml:space="preserve"> in </w:t>
      </w:r>
      <w:r w:rsidR="00BC0DB4" w:rsidRPr="00086AB2">
        <w:t>201</w:t>
      </w:r>
      <w:r w:rsidR="00896B42">
        <w:t>7</w:t>
      </w:r>
      <w:r w:rsidR="00BC0DB4" w:rsidRPr="00086AB2">
        <w:t>–1</w:t>
      </w:r>
      <w:r w:rsidR="00896B42">
        <w:t>8</w:t>
      </w:r>
      <w:r w:rsidR="00D10D6A" w:rsidRPr="00086AB2">
        <w:t xml:space="preserve">. </w:t>
      </w:r>
      <w:r w:rsidR="00F879E2" w:rsidRPr="00086AB2">
        <w:t>Preliminary data show</w:t>
      </w:r>
      <w:r w:rsidR="004D7B61">
        <w:t>s</w:t>
      </w:r>
      <w:r w:rsidR="00F879E2" w:rsidRPr="00086AB2">
        <w:t xml:space="preserve"> that the Australian frequency rate of serious claims has </w:t>
      </w:r>
      <w:r w:rsidR="00896B42">
        <w:t xml:space="preserve">not changed </w:t>
      </w:r>
      <w:r w:rsidR="00F879E2" w:rsidRPr="00086AB2">
        <w:t>in 201</w:t>
      </w:r>
      <w:r w:rsidR="00896B42">
        <w:t>8</w:t>
      </w:r>
      <w:r w:rsidR="00F879E2" w:rsidRPr="00086AB2">
        <w:t>–1</w:t>
      </w:r>
      <w:r w:rsidR="00896B42">
        <w:t>9</w:t>
      </w:r>
      <w:r w:rsidR="00F879E2" w:rsidRPr="00086AB2">
        <w:t>.</w:t>
      </w:r>
    </w:p>
    <w:p w14:paraId="068B7CE6" w14:textId="591790F8" w:rsidR="00D10D6A" w:rsidRPr="00086AB2" w:rsidRDefault="004D7B61" w:rsidP="00D10D6A">
      <w:r>
        <w:t>T</w:t>
      </w:r>
      <w:r w:rsidR="00F879E2" w:rsidRPr="00086AB2">
        <w:t xml:space="preserve">he frequency rate data show a similar level of improvement to incidence rates across jurisdictions, </w:t>
      </w:r>
      <w:r>
        <w:t xml:space="preserve">although </w:t>
      </w:r>
      <w:r w:rsidR="00F879E2" w:rsidRPr="00086AB2">
        <w:t>there are differences in the ranking of jurisdictions</w:t>
      </w:r>
      <w:r w:rsidR="00D71E74" w:rsidRPr="00086AB2">
        <w:t>.</w:t>
      </w:r>
      <w:r w:rsidR="00F6424C">
        <w:t xml:space="preserve"> </w:t>
      </w:r>
      <w:r w:rsidR="00F879E2" w:rsidRPr="00086AB2">
        <w:t xml:space="preserve">Tasmania recorded the highest </w:t>
      </w:r>
      <w:r w:rsidR="00F6424C">
        <w:br/>
      </w:r>
      <w:r w:rsidR="00F879E2" w:rsidRPr="00086AB2">
        <w:t xml:space="preserve">frequency rate at </w:t>
      </w:r>
      <w:r w:rsidR="00A2488B">
        <w:t>9.3</w:t>
      </w:r>
      <w:r w:rsidR="00F879E2" w:rsidRPr="00086AB2">
        <w:t xml:space="preserve"> claims per one million hours worked in 201</w:t>
      </w:r>
      <w:r w:rsidR="00A2488B">
        <w:t>8</w:t>
      </w:r>
      <w:r w:rsidR="00F879E2" w:rsidRPr="00086AB2">
        <w:t>–1</w:t>
      </w:r>
      <w:r w:rsidR="00A2488B">
        <w:t>9</w:t>
      </w:r>
      <w:r w:rsidR="00331B45">
        <w:t>p</w:t>
      </w:r>
      <w:r w:rsidR="00F879E2" w:rsidRPr="00086AB2">
        <w:t xml:space="preserve">. </w:t>
      </w:r>
      <w:r w:rsidR="00862931">
        <w:t xml:space="preserve">Despite having the highest incidence rate, </w:t>
      </w:r>
      <w:r w:rsidR="00D10D6A" w:rsidRPr="00086AB2">
        <w:t xml:space="preserve">Seacare </w:t>
      </w:r>
      <w:r w:rsidR="00862931">
        <w:t>ha</w:t>
      </w:r>
      <w:r w:rsidR="00331B45">
        <w:t>d</w:t>
      </w:r>
      <w:r w:rsidR="00D10D6A" w:rsidRPr="00086AB2">
        <w:t xml:space="preserve"> </w:t>
      </w:r>
      <w:r w:rsidR="00426389">
        <w:t xml:space="preserve">only </w:t>
      </w:r>
      <w:r w:rsidR="00D10D6A" w:rsidRPr="00086AB2">
        <w:t xml:space="preserve">the </w:t>
      </w:r>
      <w:r w:rsidR="003C4F76">
        <w:t>fifth</w:t>
      </w:r>
      <w:r w:rsidR="003C4F76" w:rsidRPr="00086AB2">
        <w:t xml:space="preserve"> </w:t>
      </w:r>
      <w:r w:rsidR="00D10D6A" w:rsidRPr="00086AB2">
        <w:t xml:space="preserve">highest frequency rate </w:t>
      </w:r>
      <w:r w:rsidR="009E6BC5">
        <w:t xml:space="preserve">in </w:t>
      </w:r>
      <w:r w:rsidR="009E6BC5" w:rsidRPr="00086AB2">
        <w:t>201</w:t>
      </w:r>
      <w:r w:rsidR="009E6BC5">
        <w:t>8</w:t>
      </w:r>
      <w:r w:rsidR="009E6BC5" w:rsidRPr="00086AB2">
        <w:t>–1</w:t>
      </w:r>
      <w:r w:rsidR="009E6BC5">
        <w:t>9</w:t>
      </w:r>
      <w:r w:rsidR="00331B45">
        <w:t>p</w:t>
      </w:r>
      <w:r w:rsidR="009E6BC5">
        <w:t xml:space="preserve"> </w:t>
      </w:r>
      <w:r w:rsidR="00D10D6A" w:rsidRPr="00086AB2">
        <w:t>due to the 24-hour basis</w:t>
      </w:r>
      <w:r w:rsidR="00426389">
        <w:t xml:space="preserve"> that employees work</w:t>
      </w:r>
      <w:r w:rsidR="00D10D6A" w:rsidRPr="00086AB2">
        <w:t xml:space="preserve"> which </w:t>
      </w:r>
      <w:r w:rsidR="00426389">
        <w:t xml:space="preserve">reduces its </w:t>
      </w:r>
      <w:r w:rsidR="00D10D6A" w:rsidRPr="00086AB2">
        <w:t>frequency rates.</w:t>
      </w:r>
      <w:r w:rsidR="00D71E74" w:rsidRPr="00086AB2">
        <w:t xml:space="preserve"> Refer to Appendix 1 –</w:t>
      </w:r>
      <w:r w:rsidR="00C85DF5" w:rsidRPr="00086AB2">
        <w:t xml:space="preserve"> </w:t>
      </w:r>
      <w:r w:rsidR="00D10D6A" w:rsidRPr="00086AB2">
        <w:t>Explanatory notes</w:t>
      </w:r>
      <w:r w:rsidR="00654E9D">
        <w:t>: Time Series and adjustment of claims data for more information)</w:t>
      </w:r>
      <w:r w:rsidR="009E6BC5">
        <w:t>.</w:t>
      </w:r>
    </w:p>
    <w:p w14:paraId="30432FFD" w14:textId="7905CF80" w:rsidR="00D10D6A" w:rsidRPr="00086AB2" w:rsidRDefault="00D10D6A" w:rsidP="00D10D6A">
      <w:pPr>
        <w:pStyle w:val="SWATableheader"/>
      </w:pPr>
      <w:bookmarkStart w:id="17" w:name="_Toc56603293"/>
      <w:bookmarkStart w:id="18" w:name="_Toc56772228"/>
      <w:r w:rsidRPr="00086AB2">
        <w:t xml:space="preserve">Indicator </w:t>
      </w:r>
      <w:r w:rsidR="00772B12">
        <w:fldChar w:fldCharType="begin"/>
      </w:r>
      <w:r w:rsidR="00772B12">
        <w:instrText xml:space="preserve"> SEQ Indicator \* ARABIC </w:instrText>
      </w:r>
      <w:r w:rsidR="00772B12">
        <w:fldChar w:fldCharType="separate"/>
      </w:r>
      <w:r w:rsidR="00772B12">
        <w:rPr>
          <w:noProof/>
        </w:rPr>
        <w:t>2</w:t>
      </w:r>
      <w:r w:rsidR="00772B12">
        <w:rPr>
          <w:noProof/>
        </w:rPr>
        <w:fldChar w:fldCharType="end"/>
      </w:r>
      <w:r w:rsidRPr="00086AB2">
        <w:t xml:space="preserve"> </w:t>
      </w:r>
      <w:r w:rsidR="00E76BFC" w:rsidRPr="00086AB2">
        <w:t>–</w:t>
      </w:r>
      <w:r w:rsidRPr="00086AB2">
        <w:t xml:space="preserve"> Frequency rate of serious injury claims by jurisdiction</w:t>
      </w:r>
      <w:bookmarkEnd w:id="17"/>
      <w:bookmarkEnd w:id="18"/>
    </w:p>
    <w:p w14:paraId="1C94CBBD" w14:textId="1697E98D" w:rsidR="00D10D6A" w:rsidRPr="00086AB2" w:rsidRDefault="00475C85" w:rsidP="00536144">
      <w:r>
        <w:rPr>
          <w:noProof/>
        </w:rPr>
        <w:drawing>
          <wp:inline distT="0" distB="0" distL="0" distR="0" wp14:anchorId="64CBFFF6" wp14:editId="2AF58CA8">
            <wp:extent cx="5555780" cy="3009900"/>
            <wp:effectExtent l="0" t="0" r="6985" b="0"/>
            <wp:docPr id="7" name="Picture 7" descr="Indicator 2 – Frequency rates of serious injury claims by jurisdiction&#10;&#10;This column chart shows comparison of frequency rates of serious injury and disease claims in Australian jurisdictions and New Zealand between 2013-14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744" cy="3013673"/>
                    </a:xfrm>
                    <a:prstGeom prst="rect">
                      <a:avLst/>
                    </a:prstGeom>
                    <a:noFill/>
                  </pic:spPr>
                </pic:pic>
              </a:graphicData>
            </a:graphic>
          </wp:inline>
        </w:drawing>
      </w:r>
    </w:p>
    <w:p w14:paraId="500E1BB2" w14:textId="308C8680" w:rsidR="00C85DF5" w:rsidRPr="0023228D" w:rsidRDefault="005E07FA" w:rsidP="005E07FA">
      <w:pPr>
        <w:pStyle w:val="SWASectionnum2"/>
        <w:numPr>
          <w:ilvl w:val="0"/>
          <w:numId w:val="0"/>
        </w:numPr>
        <w:rPr>
          <w:color w:val="00B050"/>
          <w:sz w:val="16"/>
          <w:szCs w:val="16"/>
        </w:rPr>
      </w:pPr>
      <w:bookmarkStart w:id="19" w:name="_Toc55294228"/>
      <w:r>
        <w:lastRenderedPageBreak/>
        <w:t xml:space="preserve">1.3 </w:t>
      </w:r>
      <w:r w:rsidR="00C85DF5" w:rsidRPr="00086AB2">
        <w:t>Long term incidence and frequency rates</w:t>
      </w:r>
      <w:bookmarkEnd w:id="19"/>
      <w:r w:rsidR="00020821">
        <w:t xml:space="preserve"> </w:t>
      </w:r>
    </w:p>
    <w:p w14:paraId="48495F8B" w14:textId="7FFEF054" w:rsidR="00D10D6A" w:rsidRPr="00086AB2" w:rsidRDefault="004677BD" w:rsidP="00D10D6A">
      <w:r>
        <w:t>T</w:t>
      </w:r>
      <w:r w:rsidR="00D10D6A" w:rsidRPr="00086AB2">
        <w:t xml:space="preserve">he incidence rate of long term </w:t>
      </w:r>
      <w:r w:rsidR="000B1DE9" w:rsidRPr="00086AB2">
        <w:t>(12 weeks or more compensation)</w:t>
      </w:r>
      <w:r w:rsidR="00947F6E" w:rsidRPr="00086AB2">
        <w:t xml:space="preserve"> </w:t>
      </w:r>
      <w:r w:rsidR="00D10D6A" w:rsidRPr="00086AB2">
        <w:t xml:space="preserve">injury and disease claims </w:t>
      </w:r>
      <w:r w:rsidR="00A11CC8">
        <w:t xml:space="preserve">(Indicator 3) </w:t>
      </w:r>
      <w:r w:rsidR="00D10D6A" w:rsidRPr="00086AB2">
        <w:t xml:space="preserve">in Australia between </w:t>
      </w:r>
      <w:r w:rsidR="00A81111" w:rsidRPr="00086AB2">
        <w:t>201</w:t>
      </w:r>
      <w:r w:rsidR="002F182A">
        <w:t>3</w:t>
      </w:r>
      <w:r w:rsidR="00A81111" w:rsidRPr="00086AB2">
        <w:t>–1</w:t>
      </w:r>
      <w:r w:rsidR="002F182A">
        <w:t>4</w:t>
      </w:r>
      <w:r w:rsidR="00D10D6A" w:rsidRPr="00086AB2">
        <w:t xml:space="preserve"> and </w:t>
      </w:r>
      <w:r w:rsidR="00A81111" w:rsidRPr="00086AB2">
        <w:t>201</w:t>
      </w:r>
      <w:r>
        <w:t>7</w:t>
      </w:r>
      <w:r w:rsidR="00A81111" w:rsidRPr="00086AB2">
        <w:t>–1</w:t>
      </w:r>
      <w:r>
        <w:t>8</w:t>
      </w:r>
      <w:r w:rsidR="00426389">
        <w:t xml:space="preserve"> remained steady</w:t>
      </w:r>
      <w:r w:rsidR="00D10D6A" w:rsidRPr="00086AB2">
        <w:t xml:space="preserve">. </w:t>
      </w:r>
      <w:r w:rsidR="00426389">
        <w:t>T</w:t>
      </w:r>
      <w:r w:rsidR="00D10D6A" w:rsidRPr="00086AB2">
        <w:t xml:space="preserve">he preliminary </w:t>
      </w:r>
      <w:r w:rsidR="00A81111" w:rsidRPr="00086AB2">
        <w:t>201</w:t>
      </w:r>
      <w:r>
        <w:t>8</w:t>
      </w:r>
      <w:r w:rsidR="00A81111" w:rsidRPr="00086AB2">
        <w:t>–1</w:t>
      </w:r>
      <w:r>
        <w:t>9</w:t>
      </w:r>
      <w:r w:rsidR="00D10D6A" w:rsidRPr="00086AB2">
        <w:t xml:space="preserve"> results show a decrease in the incidence rate compared to the previous year</w:t>
      </w:r>
      <w:r w:rsidR="00426389">
        <w:t>. However,</w:t>
      </w:r>
      <w:r w:rsidR="00D10D6A" w:rsidRPr="00086AB2">
        <w:t xml:space="preserve"> th</w:t>
      </w:r>
      <w:r w:rsidR="00A81111" w:rsidRPr="00086AB2">
        <w:t>is</w:t>
      </w:r>
      <w:r w:rsidR="00D10D6A" w:rsidRPr="00086AB2">
        <w:t xml:space="preserve"> data should be treated with caution</w:t>
      </w:r>
      <w:r w:rsidR="00A81111" w:rsidRPr="00086AB2">
        <w:t xml:space="preserve"> as claimants </w:t>
      </w:r>
      <w:r w:rsidR="00426389">
        <w:t xml:space="preserve">with open claims </w:t>
      </w:r>
      <w:r w:rsidR="00A81111" w:rsidRPr="00086AB2">
        <w:t>may accrue more time lost or compensation payments in subsequent years.</w:t>
      </w:r>
      <w:r w:rsidR="00D10D6A" w:rsidRPr="00086AB2">
        <w:t xml:space="preserve"> On average, </w:t>
      </w:r>
      <w:r w:rsidR="00B145EF">
        <w:t xml:space="preserve">a third </w:t>
      </w:r>
      <w:r w:rsidR="00D10D6A" w:rsidRPr="00086AB2">
        <w:t xml:space="preserve">of serious claims resulted in 12 or more weeks of compensation over the </w:t>
      </w:r>
      <w:r w:rsidR="002F182A">
        <w:t>six</w:t>
      </w:r>
      <w:r w:rsidR="00A81111" w:rsidRPr="00086AB2">
        <w:t>-</w:t>
      </w:r>
      <w:r w:rsidR="00D10D6A" w:rsidRPr="00086AB2">
        <w:t xml:space="preserve">year period. </w:t>
      </w:r>
    </w:p>
    <w:p w14:paraId="44A35982" w14:textId="71B5DD42" w:rsidR="00C85DF5" w:rsidRPr="00086AB2" w:rsidRDefault="00E806FA" w:rsidP="00D10D6A">
      <w:r>
        <w:t xml:space="preserve">Most </w:t>
      </w:r>
      <w:r w:rsidR="00D62C46" w:rsidRPr="00086AB2">
        <w:t>Australian</w:t>
      </w:r>
      <w:r w:rsidR="00C85DF5" w:rsidRPr="00086AB2">
        <w:t xml:space="preserve"> jurisdictions</w:t>
      </w:r>
      <w:r w:rsidR="000F11D0" w:rsidRPr="00086AB2">
        <w:t>,</w:t>
      </w:r>
      <w:r w:rsidR="0097214F">
        <w:t xml:space="preserve"> </w:t>
      </w:r>
      <w:r w:rsidR="000F11D0" w:rsidRPr="00086AB2">
        <w:t xml:space="preserve">except </w:t>
      </w:r>
      <w:r w:rsidR="00EC052E">
        <w:t xml:space="preserve">for </w:t>
      </w:r>
      <w:r w:rsidR="00813740">
        <w:t>Seacare (up 18</w:t>
      </w:r>
      <w:r w:rsidR="0072127C">
        <w:t>%</w:t>
      </w:r>
      <w:r w:rsidR="00813740">
        <w:t>), New South Wales (up 14</w:t>
      </w:r>
      <w:r w:rsidR="0072127C">
        <w:t>%</w:t>
      </w:r>
      <w:r w:rsidR="00813740">
        <w:t>) and the Australian Capital Territory (up 10</w:t>
      </w:r>
      <w:r w:rsidR="0072127C">
        <w:t>%</w:t>
      </w:r>
      <w:r w:rsidR="00813740">
        <w:t xml:space="preserve">), </w:t>
      </w:r>
      <w:r w:rsidR="00C85DF5" w:rsidRPr="00086AB2">
        <w:t xml:space="preserve">recorded a </w:t>
      </w:r>
      <w:r w:rsidR="00813740">
        <w:t>decrease</w:t>
      </w:r>
      <w:r w:rsidR="00C85DF5" w:rsidRPr="00086AB2">
        <w:t xml:space="preserve"> in incidence rates of </w:t>
      </w:r>
      <w:proofErr w:type="gramStart"/>
      <w:r w:rsidR="00C85DF5" w:rsidRPr="00086AB2">
        <w:t>long term</w:t>
      </w:r>
      <w:proofErr w:type="gramEnd"/>
      <w:r w:rsidR="00C85DF5" w:rsidRPr="00086AB2">
        <w:t xml:space="preserve"> claims over the period from </w:t>
      </w:r>
      <w:r w:rsidR="000F11D0" w:rsidRPr="00086AB2">
        <w:t>201</w:t>
      </w:r>
      <w:r w:rsidR="00813740">
        <w:t>3</w:t>
      </w:r>
      <w:r w:rsidR="000F11D0" w:rsidRPr="00086AB2">
        <w:t>–1</w:t>
      </w:r>
      <w:r w:rsidR="00813740">
        <w:t>4</w:t>
      </w:r>
      <w:r w:rsidR="000F11D0" w:rsidRPr="00086AB2">
        <w:t xml:space="preserve"> to 201</w:t>
      </w:r>
      <w:r>
        <w:t>7</w:t>
      </w:r>
      <w:r w:rsidR="000F11D0" w:rsidRPr="00086AB2">
        <w:t>–1</w:t>
      </w:r>
      <w:r>
        <w:t>8</w:t>
      </w:r>
      <w:r w:rsidR="00C85DF5" w:rsidRPr="00086AB2">
        <w:t xml:space="preserve">. </w:t>
      </w:r>
      <w:r w:rsidR="00813740">
        <w:t xml:space="preserve">The Australian Government </w:t>
      </w:r>
      <w:r>
        <w:t xml:space="preserve">recorded the </w:t>
      </w:r>
      <w:r w:rsidR="00331B45">
        <w:t xml:space="preserve">largest </w:t>
      </w:r>
      <w:r w:rsidR="00813740">
        <w:t>decrease</w:t>
      </w:r>
      <w:r>
        <w:t xml:space="preserve"> (</w:t>
      </w:r>
      <w:r w:rsidR="00813740">
        <w:t>down</w:t>
      </w:r>
      <w:r>
        <w:t xml:space="preserve"> </w:t>
      </w:r>
      <w:r w:rsidR="00813740">
        <w:t>39</w:t>
      </w:r>
      <w:r w:rsidR="0072127C">
        <w:t>%</w:t>
      </w:r>
      <w:r>
        <w:t>)</w:t>
      </w:r>
      <w:r w:rsidR="00C85DF5" w:rsidRPr="00086AB2">
        <w:t xml:space="preserve"> </w:t>
      </w:r>
      <w:r w:rsidR="00A17097" w:rsidRPr="00086AB2">
        <w:t xml:space="preserve">in </w:t>
      </w:r>
      <w:r w:rsidR="00056EAA" w:rsidRPr="00086AB2">
        <w:t xml:space="preserve">the </w:t>
      </w:r>
      <w:proofErr w:type="gramStart"/>
      <w:r w:rsidR="00056EAA" w:rsidRPr="00086AB2">
        <w:t>long</w:t>
      </w:r>
      <w:r w:rsidR="00EF4870">
        <w:t xml:space="preserve"> </w:t>
      </w:r>
      <w:r w:rsidR="00056EAA" w:rsidRPr="00086AB2">
        <w:t>term</w:t>
      </w:r>
      <w:proofErr w:type="gramEnd"/>
      <w:r w:rsidR="00056EAA" w:rsidRPr="00086AB2">
        <w:t xml:space="preserve"> </w:t>
      </w:r>
      <w:r w:rsidR="00A17097" w:rsidRPr="00086AB2">
        <w:t>incidence rate</w:t>
      </w:r>
      <w:r w:rsidR="00EC052E">
        <w:t xml:space="preserve"> </w:t>
      </w:r>
      <w:r w:rsidR="00C85DF5" w:rsidRPr="00086AB2">
        <w:t xml:space="preserve">over the period, followed by </w:t>
      </w:r>
      <w:r w:rsidR="00813740">
        <w:t>South Australia</w:t>
      </w:r>
      <w:r w:rsidR="000F11D0" w:rsidRPr="00086AB2">
        <w:t xml:space="preserve"> (</w:t>
      </w:r>
      <w:r w:rsidR="00813740">
        <w:t>down</w:t>
      </w:r>
      <w:r w:rsidR="000F11D0" w:rsidRPr="00086AB2">
        <w:t> </w:t>
      </w:r>
      <w:r w:rsidR="00813740">
        <w:t>32</w:t>
      </w:r>
      <w:r w:rsidR="0072127C">
        <w:t>%</w:t>
      </w:r>
      <w:r w:rsidR="000F11D0" w:rsidRPr="00086AB2">
        <w:t>)</w:t>
      </w:r>
      <w:r w:rsidR="00331B45">
        <w:t xml:space="preserve"> and</w:t>
      </w:r>
      <w:r w:rsidR="0097214F">
        <w:t xml:space="preserve"> </w:t>
      </w:r>
      <w:r w:rsidR="00EC052E">
        <w:t xml:space="preserve">the Northern </w:t>
      </w:r>
      <w:r w:rsidR="00813740">
        <w:t>T</w:t>
      </w:r>
      <w:r w:rsidR="00EC052E">
        <w:t>erritory (</w:t>
      </w:r>
      <w:r w:rsidR="00813740">
        <w:t>down</w:t>
      </w:r>
      <w:r w:rsidR="00EC052E">
        <w:t xml:space="preserve"> </w:t>
      </w:r>
      <w:r w:rsidR="00C868A7">
        <w:t>12</w:t>
      </w:r>
      <w:r w:rsidR="003C4F76">
        <w:t>%</w:t>
      </w:r>
      <w:r w:rsidR="00384890">
        <w:t>). Victoria</w:t>
      </w:r>
      <w:r w:rsidR="0011179A">
        <w:t>,</w:t>
      </w:r>
      <w:r w:rsidR="00C868A7">
        <w:t xml:space="preserve"> </w:t>
      </w:r>
      <w:r w:rsidR="007F489B">
        <w:t xml:space="preserve">Western Australia </w:t>
      </w:r>
      <w:r w:rsidR="00C868A7">
        <w:t xml:space="preserve">and Tasmania </w:t>
      </w:r>
      <w:r w:rsidR="007F489B">
        <w:t xml:space="preserve">recorded </w:t>
      </w:r>
      <w:r w:rsidR="0011179A">
        <w:t xml:space="preserve">4, </w:t>
      </w:r>
      <w:r w:rsidR="00C868A7">
        <w:t>3 and 2</w:t>
      </w:r>
      <w:r w:rsidR="003C4F76">
        <w:t>%</w:t>
      </w:r>
      <w:r w:rsidR="007F489B">
        <w:t xml:space="preserve"> </w:t>
      </w:r>
      <w:r w:rsidR="00C868A7">
        <w:t>decrease</w:t>
      </w:r>
      <w:r w:rsidR="00176650">
        <w:t>s</w:t>
      </w:r>
      <w:r w:rsidR="00C868A7">
        <w:t xml:space="preserve"> </w:t>
      </w:r>
      <w:r w:rsidR="007F489B">
        <w:t>during the same period</w:t>
      </w:r>
      <w:r w:rsidR="0038514A">
        <w:t xml:space="preserve"> respectively</w:t>
      </w:r>
      <w:r w:rsidR="007F489B">
        <w:t>.</w:t>
      </w:r>
      <w:r w:rsidR="00C868A7">
        <w:t xml:space="preserve"> </w:t>
      </w:r>
      <w:r w:rsidR="00C85DF5" w:rsidRPr="00086AB2">
        <w:t xml:space="preserve">New Zealand recorded a </w:t>
      </w:r>
      <w:r w:rsidR="00C868A7">
        <w:t>20</w:t>
      </w:r>
      <w:r w:rsidR="003C4F76">
        <w:t>%</w:t>
      </w:r>
      <w:r w:rsidR="00C85DF5" w:rsidRPr="00086AB2">
        <w:t xml:space="preserve"> increase over this </w:t>
      </w:r>
      <w:proofErr w:type="gramStart"/>
      <w:r w:rsidR="00C85DF5" w:rsidRPr="00086AB2">
        <w:t>period,</w:t>
      </w:r>
      <w:proofErr w:type="gramEnd"/>
      <w:r w:rsidR="00C85DF5" w:rsidRPr="00086AB2">
        <w:t xml:space="preserve"> however, its rate remain</w:t>
      </w:r>
      <w:r w:rsidR="00056EAA" w:rsidRPr="00086AB2">
        <w:t>s</w:t>
      </w:r>
      <w:r w:rsidR="00C85DF5" w:rsidRPr="00086AB2">
        <w:t xml:space="preserve"> lower than that of Australia.</w:t>
      </w:r>
    </w:p>
    <w:p w14:paraId="49ADAA4A" w14:textId="6F584511" w:rsidR="005820B5" w:rsidRPr="00086AB2" w:rsidRDefault="005820B5" w:rsidP="005820B5">
      <w:pPr>
        <w:pStyle w:val="SWATableheader"/>
      </w:pPr>
      <w:bookmarkStart w:id="20" w:name="_Toc56603294"/>
      <w:bookmarkStart w:id="21" w:name="_Toc56772229"/>
      <w:r w:rsidRPr="00086AB2">
        <w:t xml:space="preserve">Indicator </w:t>
      </w:r>
      <w:r w:rsidR="00772B12">
        <w:fldChar w:fldCharType="begin"/>
      </w:r>
      <w:r w:rsidR="00772B12">
        <w:instrText xml:space="preserve"> SEQ Indicator \* ARABIC </w:instrText>
      </w:r>
      <w:r w:rsidR="00772B12">
        <w:fldChar w:fldCharType="separate"/>
      </w:r>
      <w:r w:rsidR="00772B12">
        <w:rPr>
          <w:noProof/>
        </w:rPr>
        <w:t>3</w:t>
      </w:r>
      <w:r w:rsidR="00772B12">
        <w:rPr>
          <w:noProof/>
        </w:rPr>
        <w:fldChar w:fldCharType="end"/>
      </w:r>
      <w:r w:rsidRPr="00086AB2">
        <w:t xml:space="preserve"> </w:t>
      </w:r>
      <w:r w:rsidR="00E76BFC" w:rsidRPr="00086AB2">
        <w:t>–</w:t>
      </w:r>
      <w:r w:rsidRPr="00086AB2">
        <w:t xml:space="preserve"> Incidence rates of long term (12 weeks or more compensation) injury and disease claims by jurisdiction</w:t>
      </w:r>
      <w:bookmarkEnd w:id="20"/>
      <w:bookmarkEnd w:id="21"/>
      <w:r w:rsidR="0023228D">
        <w:t xml:space="preserve"> </w:t>
      </w:r>
    </w:p>
    <w:p w14:paraId="266ABF76" w14:textId="6548D45C" w:rsidR="005820B5" w:rsidRPr="00086AB2" w:rsidRDefault="00BC3EB7" w:rsidP="0072127C">
      <w:pPr>
        <w:jc w:val="center"/>
      </w:pPr>
      <w:r>
        <w:rPr>
          <w:noProof/>
        </w:rPr>
        <w:drawing>
          <wp:inline distT="0" distB="0" distL="0" distR="0" wp14:anchorId="5B8F540D" wp14:editId="4C5165F3">
            <wp:extent cx="5029200" cy="2749201"/>
            <wp:effectExtent l="0" t="0" r="0" b="6985"/>
            <wp:docPr id="42" name="Picture 42" descr="Indicator 3 – Incidence rates of long term (12 weeks or more compensation) injury and disease claims by jurisdiction&#10;&#10;This column chart shows comparison of incidence rates of long term (12 weeks or more compensation) injury and disease claims in Australian jurisdictions and New Zealand between 2013-14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749201"/>
                    </a:xfrm>
                    <a:prstGeom prst="rect">
                      <a:avLst/>
                    </a:prstGeom>
                    <a:noFill/>
                  </pic:spPr>
                </pic:pic>
              </a:graphicData>
            </a:graphic>
          </wp:inline>
        </w:drawing>
      </w:r>
    </w:p>
    <w:p w14:paraId="09BF0220" w14:textId="6ED6DC28" w:rsidR="004F6B49" w:rsidRDefault="004F6B49" w:rsidP="00D10D6A">
      <w:r w:rsidRPr="00086AB2">
        <w:t xml:space="preserve">The overall Australian frequency rate </w:t>
      </w:r>
      <w:r>
        <w:t xml:space="preserve">(Indicator 4) </w:t>
      </w:r>
      <w:r w:rsidRPr="00086AB2">
        <w:t>of long-term claims</w:t>
      </w:r>
      <w:r>
        <w:t xml:space="preserve"> did not change between 2013</w:t>
      </w:r>
      <w:r w:rsidR="00206AD9" w:rsidRPr="00086AB2">
        <w:t>–</w:t>
      </w:r>
      <w:r>
        <w:t>14 and 2017</w:t>
      </w:r>
      <w:r w:rsidR="00206AD9" w:rsidRPr="00086AB2">
        <w:t>–</w:t>
      </w:r>
      <w:r>
        <w:t>18</w:t>
      </w:r>
      <w:r w:rsidRPr="00086AB2">
        <w:t>. Preliminary data for 201</w:t>
      </w:r>
      <w:r>
        <w:t>8</w:t>
      </w:r>
      <w:r w:rsidRPr="00086AB2">
        <w:t>–1</w:t>
      </w:r>
      <w:r>
        <w:t>9</w:t>
      </w:r>
      <w:r w:rsidRPr="00086AB2">
        <w:t xml:space="preserve"> showed </w:t>
      </w:r>
      <w:r>
        <w:t xml:space="preserve">that the </w:t>
      </w:r>
      <w:r w:rsidRPr="00086AB2">
        <w:t>Australian frequency rate of long-term serious claims</w:t>
      </w:r>
      <w:r>
        <w:t xml:space="preserve"> was </w:t>
      </w:r>
      <w:r w:rsidRPr="00086AB2">
        <w:t>1.</w:t>
      </w:r>
      <w:r>
        <w:t>9</w:t>
      </w:r>
      <w:r w:rsidRPr="00086AB2">
        <w:t xml:space="preserve"> claims per million hours worked.</w:t>
      </w:r>
    </w:p>
    <w:p w14:paraId="683FDEE4" w14:textId="43C8CB6A" w:rsidR="005820B5" w:rsidRPr="00086AB2" w:rsidRDefault="005820B5" w:rsidP="00D10D6A">
      <w:r w:rsidRPr="00086AB2">
        <w:t xml:space="preserve">The frequency rates of </w:t>
      </w:r>
      <w:proofErr w:type="gramStart"/>
      <w:r w:rsidRPr="00086AB2">
        <w:t>long term</w:t>
      </w:r>
      <w:proofErr w:type="gramEnd"/>
      <w:r w:rsidRPr="00086AB2">
        <w:t xml:space="preserve"> claims </w:t>
      </w:r>
      <w:r w:rsidR="007B4751">
        <w:t>increased</w:t>
      </w:r>
      <w:r w:rsidRPr="00086AB2">
        <w:t xml:space="preserve"> </w:t>
      </w:r>
      <w:r w:rsidR="00B509D2">
        <w:t>in Seacare (up 21</w:t>
      </w:r>
      <w:r w:rsidR="003C4F76">
        <w:t>%</w:t>
      </w:r>
      <w:r w:rsidR="00B509D2">
        <w:t>), New</w:t>
      </w:r>
      <w:r w:rsidR="00176650">
        <w:t> </w:t>
      </w:r>
      <w:r w:rsidR="00B509D2">
        <w:t>South Wales (up 15</w:t>
      </w:r>
      <w:r w:rsidR="003C4F76">
        <w:t>%</w:t>
      </w:r>
      <w:r w:rsidR="00B509D2">
        <w:t>), the Australian Capital Territory (up 10</w:t>
      </w:r>
      <w:r w:rsidR="003C4F76">
        <w:t>%</w:t>
      </w:r>
      <w:r w:rsidR="00B509D2">
        <w:t>) and Queensland (up 3</w:t>
      </w:r>
      <w:r w:rsidR="003C4F76">
        <w:t>%</w:t>
      </w:r>
      <w:r w:rsidR="00B509D2">
        <w:t>). The Australian Government recorded the largest decrease (down 40</w:t>
      </w:r>
      <w:r w:rsidR="003C4F76">
        <w:t>%</w:t>
      </w:r>
      <w:r w:rsidR="00B509D2">
        <w:t>) in its frequency rate, followed by</w:t>
      </w:r>
      <w:r w:rsidR="00294CDB">
        <w:t xml:space="preserve"> South Australia (down</w:t>
      </w:r>
      <w:r w:rsidR="009E6BC5">
        <w:t> </w:t>
      </w:r>
      <w:r w:rsidR="00294CDB">
        <w:t>32</w:t>
      </w:r>
      <w:r w:rsidR="003C4F76">
        <w:t>%</w:t>
      </w:r>
      <w:r w:rsidR="00294CDB">
        <w:t>) and the Northern Territory (down</w:t>
      </w:r>
      <w:r w:rsidR="004F6B49">
        <w:t> </w:t>
      </w:r>
      <w:r w:rsidR="00294CDB">
        <w:t>10</w:t>
      </w:r>
      <w:r w:rsidR="003C4F76">
        <w:t>%</w:t>
      </w:r>
      <w:r w:rsidR="00294CDB">
        <w:t xml:space="preserve">) </w:t>
      </w:r>
      <w:r w:rsidR="00294CDB" w:rsidRPr="00086AB2">
        <w:t>over the period from 201</w:t>
      </w:r>
      <w:r w:rsidR="00294CDB">
        <w:t>3</w:t>
      </w:r>
      <w:r w:rsidR="00294CDB" w:rsidRPr="00086AB2">
        <w:t>–1</w:t>
      </w:r>
      <w:r w:rsidR="00294CDB">
        <w:t>4</w:t>
      </w:r>
      <w:r w:rsidR="00294CDB" w:rsidRPr="00086AB2">
        <w:t xml:space="preserve"> to 201</w:t>
      </w:r>
      <w:r w:rsidR="00294CDB">
        <w:t>7</w:t>
      </w:r>
      <w:r w:rsidR="00294CDB" w:rsidRPr="00086AB2">
        <w:t>–1</w:t>
      </w:r>
      <w:r w:rsidR="00294CDB">
        <w:t>8.</w:t>
      </w:r>
      <w:r w:rsidR="004F6B49">
        <w:t xml:space="preserve"> </w:t>
      </w:r>
    </w:p>
    <w:p w14:paraId="7556C68A" w14:textId="5BC590FC" w:rsidR="005820B5" w:rsidRPr="00086AB2" w:rsidRDefault="005820B5" w:rsidP="005820B5">
      <w:pPr>
        <w:pStyle w:val="SWATableheader"/>
      </w:pPr>
      <w:bookmarkStart w:id="22" w:name="_Toc56603295"/>
      <w:bookmarkStart w:id="23" w:name="_Toc56772230"/>
      <w:r w:rsidRPr="00086AB2">
        <w:lastRenderedPageBreak/>
        <w:t xml:space="preserve">Indicator </w:t>
      </w:r>
      <w:r w:rsidR="00772B12">
        <w:fldChar w:fldCharType="begin"/>
      </w:r>
      <w:r w:rsidR="00772B12">
        <w:instrText xml:space="preserve"> SEQ Indicator \* ARABIC </w:instrText>
      </w:r>
      <w:r w:rsidR="00772B12">
        <w:fldChar w:fldCharType="separate"/>
      </w:r>
      <w:r w:rsidR="00772B12">
        <w:rPr>
          <w:noProof/>
        </w:rPr>
        <w:t>4</w:t>
      </w:r>
      <w:r w:rsidR="00772B12">
        <w:rPr>
          <w:noProof/>
        </w:rPr>
        <w:fldChar w:fldCharType="end"/>
      </w:r>
      <w:r w:rsidRPr="00086AB2">
        <w:t xml:space="preserve"> </w:t>
      </w:r>
      <w:r w:rsidR="00E76BFC" w:rsidRPr="00086AB2">
        <w:t>–</w:t>
      </w:r>
      <w:r w:rsidRPr="00086AB2">
        <w:t xml:space="preserve"> Frequency rate of long term (12 weeks or more compensation) injury and disease claims by jurisdiction</w:t>
      </w:r>
      <w:bookmarkEnd w:id="22"/>
      <w:bookmarkEnd w:id="23"/>
      <w:r w:rsidR="00711D93">
        <w:t xml:space="preserve"> </w:t>
      </w:r>
    </w:p>
    <w:p w14:paraId="10CFD6B1" w14:textId="59416ED5" w:rsidR="00E74178" w:rsidRPr="004866F8" w:rsidRDefault="0072127C" w:rsidP="00451318">
      <w:pPr>
        <w:jc w:val="center"/>
      </w:pPr>
      <w:r>
        <w:rPr>
          <w:noProof/>
        </w:rPr>
        <w:drawing>
          <wp:inline distT="0" distB="0" distL="0" distR="0" wp14:anchorId="02FA9240" wp14:editId="4D1BC41E">
            <wp:extent cx="5000625" cy="2611061"/>
            <wp:effectExtent l="0" t="0" r="0" b="635"/>
            <wp:docPr id="53" name="Picture 53" descr="Indicator 4 – Frequency rates of long term (12 weeks or more compensation) injury and disease claims by jurisdiction&#10;&#10;This column chart shows comparison of frequency rates of long term (12 weeks or more compensation) injury and disease claims in Australian jurisdictions and New Zealand between 2013-14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2611061"/>
                    </a:xfrm>
                    <a:prstGeom prst="rect">
                      <a:avLst/>
                    </a:prstGeom>
                    <a:noFill/>
                  </pic:spPr>
                </pic:pic>
              </a:graphicData>
            </a:graphic>
          </wp:inline>
        </w:drawing>
      </w:r>
    </w:p>
    <w:p w14:paraId="7D2A8186" w14:textId="0930761B" w:rsidR="00413A86" w:rsidRPr="004866F8" w:rsidRDefault="00413A86">
      <w:pPr>
        <w:spacing w:after="200" w:line="276" w:lineRule="auto"/>
        <w:jc w:val="left"/>
      </w:pPr>
    </w:p>
    <w:p w14:paraId="5DC7AB9C" w14:textId="25E5D509" w:rsidR="004014F4" w:rsidRPr="00086AB2" w:rsidRDefault="00CA4F45" w:rsidP="00CA4F45">
      <w:pPr>
        <w:pStyle w:val="SWASectionnum2"/>
        <w:numPr>
          <w:ilvl w:val="0"/>
          <w:numId w:val="0"/>
        </w:numPr>
      </w:pPr>
      <w:bookmarkStart w:id="24" w:name="_Toc55294229"/>
      <w:r>
        <w:t xml:space="preserve">1.4 </w:t>
      </w:r>
      <w:r w:rsidR="004014F4" w:rsidRPr="00086AB2">
        <w:t>Self-insured serious claims</w:t>
      </w:r>
      <w:r w:rsidR="00020821">
        <w:t xml:space="preserve"> </w:t>
      </w:r>
      <w:bookmarkEnd w:id="24"/>
    </w:p>
    <w:p w14:paraId="1C84A07F" w14:textId="328DD16B" w:rsidR="00E74178" w:rsidRPr="00B07EFB" w:rsidRDefault="00E74178" w:rsidP="00BC0DA2">
      <w:pPr>
        <w:rPr>
          <w:i/>
        </w:rPr>
      </w:pPr>
      <w:r w:rsidRPr="00B07EFB">
        <w:rPr>
          <w:i/>
        </w:rPr>
        <w:t>Number of self-insured claims</w:t>
      </w:r>
    </w:p>
    <w:p w14:paraId="3253EC26" w14:textId="53FA3E25" w:rsidR="00B145EF" w:rsidRDefault="00CC3D68" w:rsidP="00BC0DA2">
      <w:r>
        <w:t>T</w:t>
      </w:r>
      <w:r w:rsidR="004014F4" w:rsidRPr="00086AB2">
        <w:t xml:space="preserve">he number of self-insured serious claims in Australia </w:t>
      </w:r>
      <w:r w:rsidR="00E74178">
        <w:t xml:space="preserve">(Indicator 5a) </w:t>
      </w:r>
      <w:r w:rsidR="004014F4" w:rsidRPr="00086AB2">
        <w:t xml:space="preserve">decreased by </w:t>
      </w:r>
      <w:r w:rsidR="006B6ED8" w:rsidRPr="00086AB2">
        <w:t>1</w:t>
      </w:r>
      <w:r w:rsidR="00F5071A">
        <w:t>3</w:t>
      </w:r>
      <w:r w:rsidR="003C4F76">
        <w:t>%</w:t>
      </w:r>
      <w:r w:rsidR="004014F4" w:rsidRPr="00086AB2">
        <w:t xml:space="preserve"> </w:t>
      </w:r>
      <w:r w:rsidR="00B145EF">
        <w:t>between</w:t>
      </w:r>
      <w:r w:rsidR="004014F4" w:rsidRPr="00086AB2">
        <w:t xml:space="preserve"> </w:t>
      </w:r>
      <w:r w:rsidR="006B6ED8" w:rsidRPr="00086AB2">
        <w:t>201</w:t>
      </w:r>
      <w:r w:rsidR="00F5071A">
        <w:t>3</w:t>
      </w:r>
      <w:r w:rsidR="006B6ED8" w:rsidRPr="00086AB2">
        <w:t>–1</w:t>
      </w:r>
      <w:r w:rsidR="00F5071A">
        <w:t>4</w:t>
      </w:r>
      <w:r w:rsidR="006B6ED8" w:rsidRPr="00086AB2">
        <w:t xml:space="preserve"> </w:t>
      </w:r>
      <w:r w:rsidR="00B145EF">
        <w:t>and</w:t>
      </w:r>
      <w:r w:rsidR="00B145EF" w:rsidRPr="00086AB2">
        <w:t xml:space="preserve"> </w:t>
      </w:r>
      <w:r w:rsidR="006B6ED8" w:rsidRPr="00086AB2">
        <w:t>201</w:t>
      </w:r>
      <w:r w:rsidR="009453D0">
        <w:t>7</w:t>
      </w:r>
      <w:r w:rsidR="006B6ED8" w:rsidRPr="00086AB2">
        <w:t>–1</w:t>
      </w:r>
      <w:r w:rsidR="009453D0">
        <w:t>8</w:t>
      </w:r>
      <w:r w:rsidR="004014F4" w:rsidRPr="00086AB2">
        <w:t>. The prelim</w:t>
      </w:r>
      <w:r w:rsidR="006B6ED8" w:rsidRPr="00086AB2">
        <w:t>inary data for Australia in 201</w:t>
      </w:r>
      <w:r w:rsidR="009453D0">
        <w:t>8</w:t>
      </w:r>
      <w:r w:rsidR="00206AD9" w:rsidRPr="00086AB2">
        <w:t>–</w:t>
      </w:r>
      <w:r w:rsidR="006B6ED8" w:rsidRPr="00086AB2">
        <w:t>1</w:t>
      </w:r>
      <w:r w:rsidR="009453D0">
        <w:t>9</w:t>
      </w:r>
      <w:r w:rsidR="006B6ED8" w:rsidRPr="00086AB2">
        <w:t xml:space="preserve"> shows a </w:t>
      </w:r>
      <w:r w:rsidR="006E5EEB">
        <w:t xml:space="preserve">slight </w:t>
      </w:r>
      <w:r w:rsidR="009453D0">
        <w:t>increase (up 2</w:t>
      </w:r>
      <w:r w:rsidR="003C4F76">
        <w:t>%</w:t>
      </w:r>
      <w:r w:rsidR="009453D0">
        <w:t>)</w:t>
      </w:r>
      <w:r w:rsidR="00B145EF">
        <w:t xml:space="preserve"> from 2017</w:t>
      </w:r>
      <w:r w:rsidR="009E6BC5">
        <w:t>–</w:t>
      </w:r>
      <w:r w:rsidR="00B145EF">
        <w:t>18</w:t>
      </w:r>
      <w:r w:rsidR="004014F4" w:rsidRPr="00086AB2">
        <w:t>.</w:t>
      </w:r>
    </w:p>
    <w:p w14:paraId="1C4D5A6C" w14:textId="6B11A569" w:rsidR="003A4452" w:rsidRDefault="00305D4D" w:rsidP="00BC0DA2">
      <w:r>
        <w:t>South Australia</w:t>
      </w:r>
      <w:r w:rsidR="004014F4" w:rsidRPr="00086AB2">
        <w:t xml:space="preserve"> recorded the </w:t>
      </w:r>
      <w:r>
        <w:t>largest</w:t>
      </w:r>
      <w:r w:rsidR="004014F4" w:rsidRPr="00086AB2">
        <w:t xml:space="preserve"> decrease in the number of self</w:t>
      </w:r>
      <w:r w:rsidR="00B145EF">
        <w:noBreakHyphen/>
      </w:r>
      <w:r w:rsidR="004A2301" w:rsidRPr="00086AB2">
        <w:t>insured serious claims (down </w:t>
      </w:r>
      <w:r>
        <w:t>3</w:t>
      </w:r>
      <w:r w:rsidR="009453D0">
        <w:t>0</w:t>
      </w:r>
      <w:r w:rsidR="003C4F76">
        <w:t>%</w:t>
      </w:r>
      <w:r w:rsidR="004014F4" w:rsidRPr="00086AB2">
        <w:t xml:space="preserve">) over the period from </w:t>
      </w:r>
      <w:r w:rsidR="0067564A" w:rsidRPr="00086AB2">
        <w:t>201</w:t>
      </w:r>
      <w:r w:rsidR="00F5071A">
        <w:t>3</w:t>
      </w:r>
      <w:r w:rsidR="0067564A" w:rsidRPr="00086AB2">
        <w:t>–1</w:t>
      </w:r>
      <w:r w:rsidR="00F5071A">
        <w:t>4</w:t>
      </w:r>
      <w:r w:rsidR="0067564A" w:rsidRPr="00086AB2">
        <w:t xml:space="preserve"> to 201</w:t>
      </w:r>
      <w:r w:rsidR="009453D0">
        <w:t>7</w:t>
      </w:r>
      <w:r w:rsidR="0067564A" w:rsidRPr="00086AB2">
        <w:t>–1</w:t>
      </w:r>
      <w:r w:rsidR="009453D0">
        <w:t>8</w:t>
      </w:r>
      <w:r w:rsidR="004014F4" w:rsidRPr="00086AB2">
        <w:t xml:space="preserve">, followed by </w:t>
      </w:r>
      <w:r>
        <w:t>the Australian Capital Territory</w:t>
      </w:r>
      <w:r w:rsidR="0067564A" w:rsidRPr="00086AB2">
        <w:t xml:space="preserve"> (down</w:t>
      </w:r>
      <w:r w:rsidR="009E6BC5">
        <w:t> </w:t>
      </w:r>
      <w:r w:rsidR="00F5071A">
        <w:t>22</w:t>
      </w:r>
      <w:r w:rsidR="003C4F76">
        <w:t>%</w:t>
      </w:r>
      <w:r w:rsidR="0067564A" w:rsidRPr="00086AB2">
        <w:t xml:space="preserve">), </w:t>
      </w:r>
      <w:r w:rsidR="00F5071A">
        <w:t>the Northern Territory (down</w:t>
      </w:r>
      <w:r w:rsidR="00331B45">
        <w:t xml:space="preserve"> </w:t>
      </w:r>
      <w:r w:rsidR="00F5071A">
        <w:t>21</w:t>
      </w:r>
      <w:r w:rsidR="003C4F76">
        <w:t>%</w:t>
      </w:r>
      <w:r w:rsidR="00F5071A">
        <w:t xml:space="preserve">), </w:t>
      </w:r>
      <w:r w:rsidR="009453D0">
        <w:t>New South Wales</w:t>
      </w:r>
      <w:r w:rsidR="00F5071A">
        <w:t xml:space="preserve"> (down</w:t>
      </w:r>
      <w:r w:rsidR="00331B45">
        <w:t xml:space="preserve"> </w:t>
      </w:r>
      <w:r w:rsidR="00F5071A">
        <w:t>13</w:t>
      </w:r>
      <w:r w:rsidR="003C4F76">
        <w:t>%</w:t>
      </w:r>
      <w:r w:rsidR="00F5071A">
        <w:t>)</w:t>
      </w:r>
      <w:r w:rsidR="009453D0">
        <w:t xml:space="preserve"> and Western Australia </w:t>
      </w:r>
      <w:r w:rsidR="00755AA2">
        <w:t xml:space="preserve">(down </w:t>
      </w:r>
      <w:r w:rsidR="009453D0">
        <w:t>1</w:t>
      </w:r>
      <w:r w:rsidR="00755AA2">
        <w:t>2</w:t>
      </w:r>
      <w:r w:rsidR="003C4F76">
        <w:t>%</w:t>
      </w:r>
      <w:r w:rsidR="00755AA2">
        <w:t>)</w:t>
      </w:r>
      <w:r w:rsidR="00F5071A">
        <w:t>.</w:t>
      </w:r>
      <w:r w:rsidR="009453D0">
        <w:t xml:space="preserve"> </w:t>
      </w:r>
      <w:r w:rsidR="003A4452">
        <w:t>A 7</w:t>
      </w:r>
      <w:r w:rsidR="003C4F76">
        <w:t>%</w:t>
      </w:r>
      <w:r w:rsidR="003A4452">
        <w:t xml:space="preserve"> increase in the number of self-insured serious claims was reported by Tasmania during this period. </w:t>
      </w:r>
      <w:r w:rsidR="006D108C" w:rsidRPr="00441875">
        <w:t>Tasmanian self-insured claims also include state government agencies.</w:t>
      </w:r>
    </w:p>
    <w:p w14:paraId="7BE63A59" w14:textId="2A67484A" w:rsidR="004014F4" w:rsidRDefault="004014F4" w:rsidP="004014F4">
      <w:r w:rsidRPr="00086AB2">
        <w:t xml:space="preserve">The number of self-insured serious claims in New Zealand showed a </w:t>
      </w:r>
      <w:r w:rsidR="00327D86">
        <w:t>29</w:t>
      </w:r>
      <w:r w:rsidR="003C4F76">
        <w:t>%</w:t>
      </w:r>
      <w:r w:rsidRPr="00086AB2">
        <w:t xml:space="preserve"> increase between </w:t>
      </w:r>
      <w:r w:rsidR="002D638A" w:rsidRPr="00086AB2">
        <w:t>201</w:t>
      </w:r>
      <w:r w:rsidR="00327D86">
        <w:t>3</w:t>
      </w:r>
      <w:r w:rsidR="009E6BC5">
        <w:t>–</w:t>
      </w:r>
      <w:r w:rsidR="002D638A" w:rsidRPr="00086AB2">
        <w:t>1</w:t>
      </w:r>
      <w:r w:rsidR="00327D86">
        <w:t>4</w:t>
      </w:r>
      <w:r w:rsidR="002D638A" w:rsidRPr="00086AB2">
        <w:t xml:space="preserve"> and 201</w:t>
      </w:r>
      <w:r w:rsidR="00933D31">
        <w:t>7</w:t>
      </w:r>
      <w:r w:rsidR="009E6BC5">
        <w:t>–</w:t>
      </w:r>
      <w:r w:rsidR="002D638A" w:rsidRPr="00086AB2">
        <w:t>1</w:t>
      </w:r>
      <w:r w:rsidR="00933D31">
        <w:t>8</w:t>
      </w:r>
      <w:r w:rsidR="00A86AE0" w:rsidRPr="00086AB2">
        <w:t xml:space="preserve">. </w:t>
      </w:r>
      <w:r w:rsidR="00E74178">
        <w:t>The p</w:t>
      </w:r>
      <w:r w:rsidRPr="00086AB2">
        <w:t>reliminary data</w:t>
      </w:r>
      <w:r w:rsidR="00E74178">
        <w:t xml:space="preserve"> </w:t>
      </w:r>
      <w:r w:rsidRPr="00086AB2">
        <w:t>show</w:t>
      </w:r>
      <w:r w:rsidR="00E74178">
        <w:t>s</w:t>
      </w:r>
      <w:r w:rsidRPr="00086AB2">
        <w:t xml:space="preserve"> a</w:t>
      </w:r>
      <w:r w:rsidR="006E5EEB">
        <w:t xml:space="preserve"> further</w:t>
      </w:r>
      <w:r w:rsidRPr="00086AB2">
        <w:t xml:space="preserve"> </w:t>
      </w:r>
      <w:r w:rsidR="008907A9">
        <w:t>9</w:t>
      </w:r>
      <w:r w:rsidR="003C4F76">
        <w:t>%</w:t>
      </w:r>
      <w:r w:rsidR="002D638A" w:rsidRPr="00086AB2">
        <w:t xml:space="preserve"> </w:t>
      </w:r>
      <w:r w:rsidR="00755AA2">
        <w:t>increase</w:t>
      </w:r>
      <w:r w:rsidR="006E5EEB">
        <w:t xml:space="preserve"> in the number of </w:t>
      </w:r>
      <w:proofErr w:type="gramStart"/>
      <w:r w:rsidR="006E5EEB">
        <w:t>self</w:t>
      </w:r>
      <w:proofErr w:type="gramEnd"/>
      <w:r w:rsidR="006E5EEB">
        <w:noBreakHyphen/>
      </w:r>
      <w:r w:rsidRPr="00086AB2">
        <w:t xml:space="preserve">insured claims </w:t>
      </w:r>
      <w:r w:rsidR="00A86AE0" w:rsidRPr="00086AB2">
        <w:t>in 201</w:t>
      </w:r>
      <w:r w:rsidR="00933D31">
        <w:t>8</w:t>
      </w:r>
      <w:r w:rsidR="009E6BC5">
        <w:t>–</w:t>
      </w:r>
      <w:r w:rsidR="00A86AE0" w:rsidRPr="00086AB2">
        <w:t>1</w:t>
      </w:r>
      <w:r w:rsidR="00933D31">
        <w:t>9</w:t>
      </w:r>
      <w:r w:rsidR="00A86AE0" w:rsidRPr="00086AB2">
        <w:t>.</w:t>
      </w:r>
    </w:p>
    <w:p w14:paraId="48369F18" w14:textId="00702D17" w:rsidR="000A3553" w:rsidRPr="00086AB2" w:rsidRDefault="000A3553" w:rsidP="000A3553">
      <w:pPr>
        <w:pStyle w:val="SWATableheader"/>
      </w:pPr>
      <w:bookmarkStart w:id="25" w:name="_Toc56772231"/>
      <w:r w:rsidRPr="00086AB2">
        <w:t xml:space="preserve">Indicator </w:t>
      </w:r>
      <w:r w:rsidR="00772B12">
        <w:fldChar w:fldCharType="begin"/>
      </w:r>
      <w:r w:rsidR="00772B12">
        <w:instrText xml:space="preserve"> SEQ Indicator \* ARABIC </w:instrText>
      </w:r>
      <w:r w:rsidR="00772B12">
        <w:fldChar w:fldCharType="separate"/>
      </w:r>
      <w:r w:rsidR="00772B12">
        <w:rPr>
          <w:noProof/>
        </w:rPr>
        <w:t>5</w:t>
      </w:r>
      <w:r w:rsidR="00772B12">
        <w:rPr>
          <w:noProof/>
        </w:rPr>
        <w:fldChar w:fldCharType="end"/>
      </w:r>
      <w:r w:rsidRPr="00086AB2">
        <w:rPr>
          <w:noProof/>
        </w:rPr>
        <w:t>a</w:t>
      </w:r>
      <w:r w:rsidRPr="00086AB2">
        <w:t xml:space="preserve"> – Self-insured claims: number of serious claims by jurisdiction</w:t>
      </w:r>
      <w:bookmarkEnd w:id="25"/>
      <w:r>
        <w:t xml:space="preserve"> </w:t>
      </w:r>
    </w:p>
    <w:tbl>
      <w:tblPr>
        <w:tblStyle w:val="LightShading-Accent2"/>
        <w:tblW w:w="5142" w:type="pct"/>
        <w:tblLook w:val="04A0" w:firstRow="1" w:lastRow="0" w:firstColumn="1" w:lastColumn="0" w:noHBand="0" w:noVBand="1"/>
        <w:tblCaption w:val="Indicator 5a - Number of self-insured serious claims by jurisdiction "/>
        <w:tblDescription w:val="This table shows the number of self-insured claims between 2014-15 and 2018-19 for each jurisdiction. Please refer to body text for more details."/>
      </w:tblPr>
      <w:tblGrid>
        <w:gridCol w:w="1117"/>
        <w:gridCol w:w="717"/>
        <w:gridCol w:w="717"/>
        <w:gridCol w:w="717"/>
        <w:gridCol w:w="717"/>
        <w:gridCol w:w="639"/>
        <w:gridCol w:w="717"/>
        <w:gridCol w:w="639"/>
        <w:gridCol w:w="550"/>
        <w:gridCol w:w="628"/>
        <w:gridCol w:w="1195"/>
        <w:gridCol w:w="717"/>
      </w:tblGrid>
      <w:tr w:rsidR="000A3553" w:rsidRPr="00086AB2" w14:paraId="2345B543" w14:textId="77777777" w:rsidTr="000B386A">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593" w:type="pct"/>
            <w:noWrap/>
            <w:hideMark/>
          </w:tcPr>
          <w:p w14:paraId="7282278C" w14:textId="77777777" w:rsidR="000A3553" w:rsidRPr="00086AB2" w:rsidRDefault="000A3553" w:rsidP="000B386A">
            <w:pPr>
              <w:rPr>
                <w:b w:val="0"/>
                <w:bCs w:val="0"/>
              </w:rPr>
            </w:pPr>
            <w:r w:rsidRPr="00086AB2">
              <w:t> </w:t>
            </w:r>
            <w:r>
              <w:t>Year</w:t>
            </w:r>
          </w:p>
        </w:tc>
        <w:tc>
          <w:tcPr>
            <w:tcW w:w="395" w:type="pct"/>
            <w:vAlign w:val="center"/>
            <w:hideMark/>
          </w:tcPr>
          <w:p w14:paraId="06340FD0"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SA</w:t>
            </w:r>
          </w:p>
        </w:tc>
        <w:tc>
          <w:tcPr>
            <w:tcW w:w="395" w:type="pct"/>
            <w:vAlign w:val="center"/>
            <w:hideMark/>
          </w:tcPr>
          <w:p w14:paraId="164F4C0C"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NSW</w:t>
            </w:r>
          </w:p>
        </w:tc>
        <w:tc>
          <w:tcPr>
            <w:tcW w:w="395" w:type="pct"/>
            <w:vAlign w:val="center"/>
            <w:hideMark/>
          </w:tcPr>
          <w:p w14:paraId="7B2525A6"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Vic</w:t>
            </w:r>
          </w:p>
        </w:tc>
        <w:tc>
          <w:tcPr>
            <w:tcW w:w="395" w:type="pct"/>
            <w:vAlign w:val="center"/>
            <w:hideMark/>
          </w:tcPr>
          <w:p w14:paraId="5B224179"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Qld</w:t>
            </w:r>
          </w:p>
        </w:tc>
        <w:tc>
          <w:tcPr>
            <w:tcW w:w="373" w:type="pct"/>
            <w:vAlign w:val="center"/>
            <w:hideMark/>
          </w:tcPr>
          <w:p w14:paraId="4C3695A6"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WA</w:t>
            </w:r>
          </w:p>
        </w:tc>
        <w:tc>
          <w:tcPr>
            <w:tcW w:w="395" w:type="pct"/>
            <w:vAlign w:val="center"/>
            <w:hideMark/>
          </w:tcPr>
          <w:p w14:paraId="6517E136"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86AB2">
              <w:t>Aus</w:t>
            </w:r>
            <w:proofErr w:type="spellEnd"/>
            <w:r w:rsidRPr="00086AB2">
              <w:t xml:space="preserve"> Gov</w:t>
            </w:r>
          </w:p>
        </w:tc>
        <w:tc>
          <w:tcPr>
            <w:tcW w:w="351" w:type="pct"/>
            <w:vAlign w:val="center"/>
            <w:hideMark/>
          </w:tcPr>
          <w:p w14:paraId="6027C1A3"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Tas</w:t>
            </w:r>
            <w:r>
              <w:t>*</w:t>
            </w:r>
          </w:p>
        </w:tc>
        <w:tc>
          <w:tcPr>
            <w:tcW w:w="303" w:type="pct"/>
            <w:vAlign w:val="center"/>
            <w:hideMark/>
          </w:tcPr>
          <w:p w14:paraId="703C6F11"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NT</w:t>
            </w:r>
          </w:p>
        </w:tc>
        <w:tc>
          <w:tcPr>
            <w:tcW w:w="346" w:type="pct"/>
            <w:vAlign w:val="center"/>
            <w:hideMark/>
          </w:tcPr>
          <w:p w14:paraId="597DCBBF"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ACT</w:t>
            </w:r>
          </w:p>
        </w:tc>
        <w:tc>
          <w:tcPr>
            <w:tcW w:w="663" w:type="pct"/>
            <w:tcBorders>
              <w:bottom w:val="dashSmallGap" w:sz="4" w:space="0" w:color="FFFFFF" w:themeColor="background1"/>
            </w:tcBorders>
            <w:shd w:val="clear" w:color="auto" w:fill="808080" w:themeFill="background1" w:themeFillShade="80"/>
            <w:vAlign w:val="center"/>
            <w:hideMark/>
          </w:tcPr>
          <w:p w14:paraId="49FE3FDE" w14:textId="77777777" w:rsidR="000A3553" w:rsidRPr="0002378C"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2378C">
              <w:t>Australian</w:t>
            </w:r>
            <w:r w:rsidRPr="0002378C">
              <w:br/>
              <w:t>total</w:t>
            </w:r>
          </w:p>
        </w:tc>
        <w:tc>
          <w:tcPr>
            <w:tcW w:w="395" w:type="pct"/>
            <w:vAlign w:val="center"/>
          </w:tcPr>
          <w:p w14:paraId="39E50D8D" w14:textId="77777777" w:rsidR="000A3553" w:rsidRPr="00086AB2" w:rsidRDefault="000A3553" w:rsidP="000B386A">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NZ</w:t>
            </w:r>
          </w:p>
        </w:tc>
      </w:tr>
      <w:tr w:rsidR="000A3553" w:rsidRPr="00520584" w14:paraId="16B54FD9" w14:textId="77777777" w:rsidTr="000B386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93" w:type="pct"/>
            <w:noWrap/>
            <w:hideMark/>
          </w:tcPr>
          <w:p w14:paraId="4447996A" w14:textId="2F772BD9" w:rsidR="000A3553" w:rsidRPr="00520584" w:rsidRDefault="000A3553" w:rsidP="000B386A">
            <w:pPr>
              <w:spacing w:after="0"/>
              <w:rPr>
                <w:rFonts w:cs="Arial"/>
                <w:color w:val="000000"/>
                <w:szCs w:val="20"/>
              </w:rPr>
            </w:pPr>
            <w:r w:rsidRPr="00520584">
              <w:rPr>
                <w:rFonts w:cs="Arial"/>
                <w:color w:val="000000"/>
                <w:szCs w:val="20"/>
              </w:rPr>
              <w:t>2013</w:t>
            </w:r>
            <w:r w:rsidR="004C7164" w:rsidRPr="00086AB2">
              <w:t>–</w:t>
            </w:r>
            <w:r w:rsidRPr="00520584">
              <w:rPr>
                <w:rFonts w:cs="Arial"/>
                <w:color w:val="000000"/>
                <w:szCs w:val="20"/>
              </w:rPr>
              <w:t>14</w:t>
            </w:r>
          </w:p>
        </w:tc>
        <w:tc>
          <w:tcPr>
            <w:tcW w:w="395" w:type="pct"/>
            <w:noWrap/>
            <w:hideMark/>
          </w:tcPr>
          <w:p w14:paraId="09D55BB1"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w:t>
            </w:r>
            <w:r>
              <w:rPr>
                <w:rFonts w:cs="Arial"/>
                <w:color w:val="000000"/>
                <w:szCs w:val="20"/>
              </w:rPr>
              <w:t>,</w:t>
            </w:r>
            <w:r w:rsidRPr="00520584">
              <w:rPr>
                <w:rFonts w:cs="Arial"/>
                <w:color w:val="000000"/>
                <w:szCs w:val="20"/>
              </w:rPr>
              <w:t>867</w:t>
            </w:r>
          </w:p>
        </w:tc>
        <w:tc>
          <w:tcPr>
            <w:tcW w:w="395" w:type="pct"/>
            <w:noWrap/>
            <w:hideMark/>
          </w:tcPr>
          <w:p w14:paraId="592B4328"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w:t>
            </w:r>
            <w:r>
              <w:rPr>
                <w:rFonts w:cs="Arial"/>
                <w:color w:val="000000"/>
                <w:szCs w:val="20"/>
              </w:rPr>
              <w:t>,</w:t>
            </w:r>
            <w:r w:rsidRPr="00520584">
              <w:rPr>
                <w:rFonts w:cs="Arial"/>
                <w:color w:val="000000"/>
                <w:szCs w:val="20"/>
              </w:rPr>
              <w:t>593</w:t>
            </w:r>
          </w:p>
        </w:tc>
        <w:tc>
          <w:tcPr>
            <w:tcW w:w="395" w:type="pct"/>
            <w:hideMark/>
          </w:tcPr>
          <w:p w14:paraId="6BBC35A9"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1,517</w:t>
            </w:r>
          </w:p>
        </w:tc>
        <w:tc>
          <w:tcPr>
            <w:tcW w:w="395" w:type="pct"/>
            <w:hideMark/>
          </w:tcPr>
          <w:p w14:paraId="2E639652"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1,838</w:t>
            </w:r>
          </w:p>
        </w:tc>
        <w:tc>
          <w:tcPr>
            <w:tcW w:w="373" w:type="pct"/>
            <w:hideMark/>
          </w:tcPr>
          <w:p w14:paraId="3D8AA06E"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981</w:t>
            </w:r>
          </w:p>
        </w:tc>
        <w:tc>
          <w:tcPr>
            <w:tcW w:w="395" w:type="pct"/>
            <w:hideMark/>
          </w:tcPr>
          <w:p w14:paraId="0A39713C"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1,285</w:t>
            </w:r>
          </w:p>
        </w:tc>
        <w:tc>
          <w:tcPr>
            <w:tcW w:w="351" w:type="pct"/>
            <w:hideMark/>
          </w:tcPr>
          <w:p w14:paraId="58B9B308"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561</w:t>
            </w:r>
          </w:p>
        </w:tc>
        <w:tc>
          <w:tcPr>
            <w:tcW w:w="303" w:type="pct"/>
            <w:hideMark/>
          </w:tcPr>
          <w:p w14:paraId="67162880"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245</w:t>
            </w:r>
          </w:p>
        </w:tc>
        <w:tc>
          <w:tcPr>
            <w:tcW w:w="346" w:type="pct"/>
            <w:hideMark/>
          </w:tcPr>
          <w:p w14:paraId="581C943C"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352</w:t>
            </w:r>
          </w:p>
        </w:tc>
        <w:tc>
          <w:tcPr>
            <w:tcW w:w="663" w:type="pct"/>
            <w:shd w:val="clear" w:color="auto" w:fill="A6A6A6" w:themeFill="background1" w:themeFillShade="A6"/>
            <w:hideMark/>
          </w:tcPr>
          <w:p w14:paraId="5B6FA48D" w14:textId="77777777" w:rsidR="000A3553" w:rsidRPr="0002378C"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sidRPr="0002378C">
              <w:rPr>
                <w:rFonts w:cs="Arial"/>
                <w:color w:val="FFFFFF" w:themeColor="background1"/>
                <w:szCs w:val="20"/>
              </w:rPr>
              <w:t>12,239</w:t>
            </w:r>
          </w:p>
        </w:tc>
        <w:tc>
          <w:tcPr>
            <w:tcW w:w="395" w:type="pct"/>
            <w:hideMark/>
          </w:tcPr>
          <w:p w14:paraId="65089E7F"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5,180</w:t>
            </w:r>
          </w:p>
        </w:tc>
      </w:tr>
      <w:tr w:rsidR="000A3553" w:rsidRPr="00520584" w14:paraId="123420A6" w14:textId="77777777" w:rsidTr="000B386A">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93" w:type="pct"/>
            <w:noWrap/>
            <w:hideMark/>
          </w:tcPr>
          <w:p w14:paraId="44C4E5EA" w14:textId="0ADFC16B" w:rsidR="000A3553" w:rsidRPr="00520584" w:rsidRDefault="000A3553" w:rsidP="000B386A">
            <w:pPr>
              <w:spacing w:after="0"/>
              <w:rPr>
                <w:rFonts w:cs="Arial"/>
                <w:color w:val="000000"/>
                <w:szCs w:val="20"/>
              </w:rPr>
            </w:pPr>
            <w:r w:rsidRPr="00520584">
              <w:rPr>
                <w:rFonts w:cs="Arial"/>
                <w:color w:val="000000"/>
                <w:szCs w:val="20"/>
              </w:rPr>
              <w:t>2014</w:t>
            </w:r>
            <w:r w:rsidR="004C7164" w:rsidRPr="00086AB2">
              <w:t>–</w:t>
            </w:r>
            <w:r w:rsidRPr="00520584">
              <w:rPr>
                <w:rFonts w:cs="Arial"/>
                <w:color w:val="000000"/>
                <w:szCs w:val="20"/>
              </w:rPr>
              <w:t>15</w:t>
            </w:r>
          </w:p>
        </w:tc>
        <w:tc>
          <w:tcPr>
            <w:tcW w:w="395" w:type="pct"/>
            <w:hideMark/>
          </w:tcPr>
          <w:p w14:paraId="50B510AF"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2,880</w:t>
            </w:r>
          </w:p>
        </w:tc>
        <w:tc>
          <w:tcPr>
            <w:tcW w:w="395" w:type="pct"/>
            <w:hideMark/>
          </w:tcPr>
          <w:p w14:paraId="4D4DD8C6"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2,570</w:t>
            </w:r>
          </w:p>
        </w:tc>
        <w:tc>
          <w:tcPr>
            <w:tcW w:w="395" w:type="pct"/>
            <w:hideMark/>
          </w:tcPr>
          <w:p w14:paraId="3E81FD8B"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1,430</w:t>
            </w:r>
          </w:p>
        </w:tc>
        <w:tc>
          <w:tcPr>
            <w:tcW w:w="395" w:type="pct"/>
            <w:hideMark/>
          </w:tcPr>
          <w:p w14:paraId="1BE8A0A1"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1,817</w:t>
            </w:r>
          </w:p>
        </w:tc>
        <w:tc>
          <w:tcPr>
            <w:tcW w:w="373" w:type="pct"/>
            <w:hideMark/>
          </w:tcPr>
          <w:p w14:paraId="4666FFE1"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978</w:t>
            </w:r>
          </w:p>
        </w:tc>
        <w:tc>
          <w:tcPr>
            <w:tcW w:w="395" w:type="pct"/>
            <w:hideMark/>
          </w:tcPr>
          <w:p w14:paraId="787327D6"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1,168</w:t>
            </w:r>
          </w:p>
        </w:tc>
        <w:tc>
          <w:tcPr>
            <w:tcW w:w="351" w:type="pct"/>
            <w:hideMark/>
          </w:tcPr>
          <w:p w14:paraId="74CC396C"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560</w:t>
            </w:r>
          </w:p>
        </w:tc>
        <w:tc>
          <w:tcPr>
            <w:tcW w:w="303" w:type="pct"/>
            <w:hideMark/>
          </w:tcPr>
          <w:p w14:paraId="59C3C7AA"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188</w:t>
            </w:r>
          </w:p>
        </w:tc>
        <w:tc>
          <w:tcPr>
            <w:tcW w:w="346" w:type="pct"/>
            <w:hideMark/>
          </w:tcPr>
          <w:p w14:paraId="46CFA018"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320</w:t>
            </w:r>
          </w:p>
        </w:tc>
        <w:tc>
          <w:tcPr>
            <w:tcW w:w="663" w:type="pct"/>
            <w:shd w:val="clear" w:color="auto" w:fill="A6A6A6" w:themeFill="background1" w:themeFillShade="A6"/>
            <w:hideMark/>
          </w:tcPr>
          <w:p w14:paraId="263DA2AB" w14:textId="77777777" w:rsidR="000A3553" w:rsidRPr="0002378C"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sidRPr="0002378C">
              <w:rPr>
                <w:rFonts w:cs="Arial"/>
                <w:color w:val="FFFFFF" w:themeColor="background1"/>
                <w:szCs w:val="20"/>
              </w:rPr>
              <w:t>11,911</w:t>
            </w:r>
          </w:p>
        </w:tc>
        <w:tc>
          <w:tcPr>
            <w:tcW w:w="395" w:type="pct"/>
            <w:hideMark/>
          </w:tcPr>
          <w:p w14:paraId="25964DD1"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5,752</w:t>
            </w:r>
          </w:p>
        </w:tc>
      </w:tr>
      <w:tr w:rsidR="000A3553" w:rsidRPr="00520584" w14:paraId="6374D52B" w14:textId="77777777" w:rsidTr="000B386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93" w:type="pct"/>
            <w:noWrap/>
            <w:hideMark/>
          </w:tcPr>
          <w:p w14:paraId="74D52BFC" w14:textId="73C8EF8D" w:rsidR="000A3553" w:rsidRPr="00520584" w:rsidRDefault="000A3553" w:rsidP="000B386A">
            <w:pPr>
              <w:spacing w:after="0"/>
              <w:rPr>
                <w:rFonts w:cs="Arial"/>
                <w:color w:val="000000"/>
                <w:szCs w:val="20"/>
              </w:rPr>
            </w:pPr>
            <w:r w:rsidRPr="00520584">
              <w:rPr>
                <w:rFonts w:cs="Arial"/>
                <w:color w:val="000000"/>
                <w:szCs w:val="20"/>
              </w:rPr>
              <w:t>2015</w:t>
            </w:r>
            <w:r w:rsidR="004C7164" w:rsidRPr="00086AB2">
              <w:t>–</w:t>
            </w:r>
            <w:r w:rsidRPr="00520584">
              <w:rPr>
                <w:rFonts w:cs="Arial"/>
                <w:color w:val="000000"/>
                <w:szCs w:val="20"/>
              </w:rPr>
              <w:t>16</w:t>
            </w:r>
          </w:p>
        </w:tc>
        <w:tc>
          <w:tcPr>
            <w:tcW w:w="395" w:type="pct"/>
            <w:noWrap/>
            <w:hideMark/>
          </w:tcPr>
          <w:p w14:paraId="31055EC7"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w:t>
            </w:r>
            <w:r>
              <w:rPr>
                <w:rFonts w:cs="Arial"/>
                <w:color w:val="000000"/>
                <w:szCs w:val="20"/>
              </w:rPr>
              <w:t>,</w:t>
            </w:r>
            <w:r w:rsidRPr="00520584">
              <w:rPr>
                <w:rFonts w:cs="Arial"/>
                <w:color w:val="000000"/>
                <w:szCs w:val="20"/>
              </w:rPr>
              <w:t>997</w:t>
            </w:r>
          </w:p>
        </w:tc>
        <w:tc>
          <w:tcPr>
            <w:tcW w:w="395" w:type="pct"/>
            <w:noWrap/>
            <w:hideMark/>
          </w:tcPr>
          <w:p w14:paraId="3611D86D"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w:t>
            </w:r>
            <w:r>
              <w:rPr>
                <w:rFonts w:cs="Arial"/>
                <w:color w:val="000000"/>
                <w:szCs w:val="20"/>
              </w:rPr>
              <w:t>,</w:t>
            </w:r>
            <w:r w:rsidRPr="00520584">
              <w:rPr>
                <w:rFonts w:cs="Arial"/>
                <w:color w:val="000000"/>
                <w:szCs w:val="20"/>
              </w:rPr>
              <w:t>233</w:t>
            </w:r>
          </w:p>
        </w:tc>
        <w:tc>
          <w:tcPr>
            <w:tcW w:w="395" w:type="pct"/>
            <w:hideMark/>
          </w:tcPr>
          <w:p w14:paraId="65A8A928"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1,389</w:t>
            </w:r>
          </w:p>
        </w:tc>
        <w:tc>
          <w:tcPr>
            <w:tcW w:w="395" w:type="pct"/>
            <w:hideMark/>
          </w:tcPr>
          <w:p w14:paraId="126E6263"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1,755</w:t>
            </w:r>
          </w:p>
        </w:tc>
        <w:tc>
          <w:tcPr>
            <w:tcW w:w="373" w:type="pct"/>
            <w:hideMark/>
          </w:tcPr>
          <w:p w14:paraId="2FC1374C"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972</w:t>
            </w:r>
          </w:p>
        </w:tc>
        <w:tc>
          <w:tcPr>
            <w:tcW w:w="395" w:type="pct"/>
            <w:hideMark/>
          </w:tcPr>
          <w:p w14:paraId="22733574"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1,004</w:t>
            </w:r>
          </w:p>
        </w:tc>
        <w:tc>
          <w:tcPr>
            <w:tcW w:w="351" w:type="pct"/>
            <w:hideMark/>
          </w:tcPr>
          <w:p w14:paraId="38D66A9F"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594</w:t>
            </w:r>
          </w:p>
        </w:tc>
        <w:tc>
          <w:tcPr>
            <w:tcW w:w="303" w:type="pct"/>
            <w:hideMark/>
          </w:tcPr>
          <w:p w14:paraId="14C53A8B"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172</w:t>
            </w:r>
          </w:p>
        </w:tc>
        <w:tc>
          <w:tcPr>
            <w:tcW w:w="346" w:type="pct"/>
            <w:hideMark/>
          </w:tcPr>
          <w:p w14:paraId="6D63A5BC"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311</w:t>
            </w:r>
          </w:p>
        </w:tc>
        <w:tc>
          <w:tcPr>
            <w:tcW w:w="663" w:type="pct"/>
            <w:shd w:val="clear" w:color="auto" w:fill="A6A6A6" w:themeFill="background1" w:themeFillShade="A6"/>
            <w:hideMark/>
          </w:tcPr>
          <w:p w14:paraId="22DA02D4" w14:textId="77777777" w:rsidR="000A3553" w:rsidRPr="0002378C"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sidRPr="0002378C">
              <w:rPr>
                <w:rFonts w:cs="Arial"/>
                <w:color w:val="FFFFFF" w:themeColor="background1"/>
                <w:szCs w:val="20"/>
              </w:rPr>
              <w:t>10,427</w:t>
            </w:r>
          </w:p>
        </w:tc>
        <w:tc>
          <w:tcPr>
            <w:tcW w:w="395" w:type="pct"/>
            <w:hideMark/>
          </w:tcPr>
          <w:p w14:paraId="20AB374A"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5,807</w:t>
            </w:r>
          </w:p>
        </w:tc>
      </w:tr>
      <w:tr w:rsidR="000A3553" w:rsidRPr="00520584" w14:paraId="57BEE4B4" w14:textId="77777777" w:rsidTr="000B386A">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93" w:type="pct"/>
            <w:noWrap/>
            <w:hideMark/>
          </w:tcPr>
          <w:p w14:paraId="1422B0CF" w14:textId="18919781" w:rsidR="000A3553" w:rsidRPr="00520584" w:rsidRDefault="000A3553" w:rsidP="000B386A">
            <w:pPr>
              <w:spacing w:after="0"/>
              <w:rPr>
                <w:rFonts w:cs="Arial"/>
                <w:color w:val="000000"/>
                <w:szCs w:val="20"/>
              </w:rPr>
            </w:pPr>
            <w:r w:rsidRPr="00520584">
              <w:rPr>
                <w:rFonts w:cs="Arial"/>
                <w:color w:val="000000"/>
                <w:szCs w:val="20"/>
              </w:rPr>
              <w:t>2016</w:t>
            </w:r>
            <w:r w:rsidR="004C7164" w:rsidRPr="00086AB2">
              <w:t>–</w:t>
            </w:r>
            <w:r w:rsidRPr="00520584">
              <w:rPr>
                <w:rFonts w:cs="Arial"/>
                <w:color w:val="000000"/>
                <w:szCs w:val="20"/>
              </w:rPr>
              <w:t>17</w:t>
            </w:r>
          </w:p>
        </w:tc>
        <w:tc>
          <w:tcPr>
            <w:tcW w:w="395" w:type="pct"/>
            <w:hideMark/>
          </w:tcPr>
          <w:p w14:paraId="11E5B50B"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1,998</w:t>
            </w:r>
          </w:p>
        </w:tc>
        <w:tc>
          <w:tcPr>
            <w:tcW w:w="395" w:type="pct"/>
            <w:hideMark/>
          </w:tcPr>
          <w:p w14:paraId="345F112F"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2,142</w:t>
            </w:r>
          </w:p>
        </w:tc>
        <w:tc>
          <w:tcPr>
            <w:tcW w:w="395" w:type="pct"/>
            <w:hideMark/>
          </w:tcPr>
          <w:p w14:paraId="3E22F5AA"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1,405</w:t>
            </w:r>
          </w:p>
        </w:tc>
        <w:tc>
          <w:tcPr>
            <w:tcW w:w="395" w:type="pct"/>
            <w:hideMark/>
          </w:tcPr>
          <w:p w14:paraId="5E37606F"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1,688</w:t>
            </w:r>
          </w:p>
        </w:tc>
        <w:tc>
          <w:tcPr>
            <w:tcW w:w="373" w:type="pct"/>
            <w:hideMark/>
          </w:tcPr>
          <w:p w14:paraId="0D7B6ED3"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930</w:t>
            </w:r>
          </w:p>
        </w:tc>
        <w:tc>
          <w:tcPr>
            <w:tcW w:w="395" w:type="pct"/>
            <w:hideMark/>
          </w:tcPr>
          <w:p w14:paraId="535748BA"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1,120</w:t>
            </w:r>
          </w:p>
        </w:tc>
        <w:tc>
          <w:tcPr>
            <w:tcW w:w="351" w:type="pct"/>
            <w:hideMark/>
          </w:tcPr>
          <w:p w14:paraId="568DEAA0"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625</w:t>
            </w:r>
          </w:p>
        </w:tc>
        <w:tc>
          <w:tcPr>
            <w:tcW w:w="303" w:type="pct"/>
            <w:hideMark/>
          </w:tcPr>
          <w:p w14:paraId="1D6EDAE9"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203</w:t>
            </w:r>
          </w:p>
        </w:tc>
        <w:tc>
          <w:tcPr>
            <w:tcW w:w="346" w:type="pct"/>
            <w:hideMark/>
          </w:tcPr>
          <w:p w14:paraId="40D0EDDE"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352</w:t>
            </w:r>
          </w:p>
        </w:tc>
        <w:tc>
          <w:tcPr>
            <w:tcW w:w="663" w:type="pct"/>
            <w:shd w:val="clear" w:color="auto" w:fill="A6A6A6" w:themeFill="background1" w:themeFillShade="A6"/>
            <w:hideMark/>
          </w:tcPr>
          <w:p w14:paraId="2A423398" w14:textId="77777777" w:rsidR="000A3553" w:rsidRPr="0002378C"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sidRPr="0002378C">
              <w:rPr>
                <w:rFonts w:cs="Arial"/>
                <w:color w:val="FFFFFF" w:themeColor="background1"/>
                <w:szCs w:val="20"/>
              </w:rPr>
              <w:t>10,463</w:t>
            </w:r>
          </w:p>
        </w:tc>
        <w:tc>
          <w:tcPr>
            <w:tcW w:w="395" w:type="pct"/>
            <w:hideMark/>
          </w:tcPr>
          <w:p w14:paraId="48C20ECF"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5,853</w:t>
            </w:r>
          </w:p>
        </w:tc>
      </w:tr>
      <w:tr w:rsidR="000A3553" w:rsidRPr="00520584" w14:paraId="1CD74A7A" w14:textId="77777777" w:rsidTr="000B386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93" w:type="pct"/>
            <w:noWrap/>
            <w:hideMark/>
          </w:tcPr>
          <w:p w14:paraId="5158AE7F" w14:textId="2844006F" w:rsidR="000A3553" w:rsidRPr="00520584" w:rsidRDefault="000A3553" w:rsidP="000B386A">
            <w:pPr>
              <w:spacing w:after="0"/>
              <w:rPr>
                <w:rFonts w:cs="Arial"/>
                <w:color w:val="000000"/>
                <w:szCs w:val="20"/>
              </w:rPr>
            </w:pPr>
            <w:r w:rsidRPr="00520584">
              <w:rPr>
                <w:rFonts w:cs="Arial"/>
                <w:color w:val="000000"/>
                <w:szCs w:val="20"/>
              </w:rPr>
              <w:t>2017</w:t>
            </w:r>
            <w:r w:rsidR="004C7164" w:rsidRPr="00086AB2">
              <w:t>–</w:t>
            </w:r>
            <w:r w:rsidRPr="00520584">
              <w:rPr>
                <w:rFonts w:cs="Arial"/>
                <w:color w:val="000000"/>
                <w:szCs w:val="20"/>
              </w:rPr>
              <w:t>18</w:t>
            </w:r>
          </w:p>
        </w:tc>
        <w:tc>
          <w:tcPr>
            <w:tcW w:w="395" w:type="pct"/>
            <w:hideMark/>
          </w:tcPr>
          <w:p w14:paraId="522B278F"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2,015</w:t>
            </w:r>
          </w:p>
        </w:tc>
        <w:tc>
          <w:tcPr>
            <w:tcW w:w="395" w:type="pct"/>
            <w:hideMark/>
          </w:tcPr>
          <w:p w14:paraId="5C998897"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2,258</w:t>
            </w:r>
          </w:p>
        </w:tc>
        <w:tc>
          <w:tcPr>
            <w:tcW w:w="395" w:type="pct"/>
            <w:hideMark/>
          </w:tcPr>
          <w:p w14:paraId="0919FB6D"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1,441</w:t>
            </w:r>
          </w:p>
        </w:tc>
        <w:tc>
          <w:tcPr>
            <w:tcW w:w="395" w:type="pct"/>
            <w:hideMark/>
          </w:tcPr>
          <w:p w14:paraId="44CF2DA9"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1,818</w:t>
            </w:r>
          </w:p>
        </w:tc>
        <w:tc>
          <w:tcPr>
            <w:tcW w:w="373" w:type="pct"/>
            <w:hideMark/>
          </w:tcPr>
          <w:p w14:paraId="5B17748D"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863</w:t>
            </w:r>
          </w:p>
        </w:tc>
        <w:tc>
          <w:tcPr>
            <w:tcW w:w="395" w:type="pct"/>
            <w:hideMark/>
          </w:tcPr>
          <w:p w14:paraId="2DDF1BFE"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1,206</w:t>
            </w:r>
          </w:p>
        </w:tc>
        <w:tc>
          <w:tcPr>
            <w:tcW w:w="351" w:type="pct"/>
            <w:hideMark/>
          </w:tcPr>
          <w:p w14:paraId="63419FC9"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603</w:t>
            </w:r>
          </w:p>
        </w:tc>
        <w:tc>
          <w:tcPr>
            <w:tcW w:w="303" w:type="pct"/>
            <w:hideMark/>
          </w:tcPr>
          <w:p w14:paraId="679BCAEB"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193</w:t>
            </w:r>
          </w:p>
        </w:tc>
        <w:tc>
          <w:tcPr>
            <w:tcW w:w="346" w:type="pct"/>
            <w:hideMark/>
          </w:tcPr>
          <w:p w14:paraId="5EC47E99"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275</w:t>
            </w:r>
          </w:p>
        </w:tc>
        <w:tc>
          <w:tcPr>
            <w:tcW w:w="663" w:type="pct"/>
            <w:shd w:val="clear" w:color="auto" w:fill="A6A6A6" w:themeFill="background1" w:themeFillShade="A6"/>
            <w:hideMark/>
          </w:tcPr>
          <w:p w14:paraId="33399CA2" w14:textId="77777777" w:rsidR="000A3553" w:rsidRPr="0002378C"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sidRPr="0002378C">
              <w:rPr>
                <w:rFonts w:cs="Arial"/>
                <w:color w:val="FFFFFF" w:themeColor="background1"/>
                <w:szCs w:val="20"/>
              </w:rPr>
              <w:t>10,672</w:t>
            </w:r>
          </w:p>
        </w:tc>
        <w:tc>
          <w:tcPr>
            <w:tcW w:w="395" w:type="pct"/>
            <w:hideMark/>
          </w:tcPr>
          <w:p w14:paraId="443ABFA7" w14:textId="77777777" w:rsidR="000A3553" w:rsidRPr="00520584" w:rsidRDefault="000A3553" w:rsidP="000B386A">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6,679</w:t>
            </w:r>
          </w:p>
        </w:tc>
      </w:tr>
      <w:tr w:rsidR="000A3553" w:rsidRPr="00520584" w14:paraId="7C20B5F3" w14:textId="77777777" w:rsidTr="000B386A">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93" w:type="pct"/>
            <w:shd w:val="clear" w:color="auto" w:fill="auto"/>
            <w:noWrap/>
            <w:hideMark/>
          </w:tcPr>
          <w:p w14:paraId="0A50F7E0" w14:textId="21C6E049" w:rsidR="000A3553" w:rsidRPr="00520584" w:rsidRDefault="000A3553" w:rsidP="000B386A">
            <w:pPr>
              <w:spacing w:after="0"/>
              <w:rPr>
                <w:rFonts w:cs="Arial"/>
                <w:color w:val="000000"/>
                <w:szCs w:val="20"/>
              </w:rPr>
            </w:pPr>
            <w:r w:rsidRPr="00520584">
              <w:rPr>
                <w:rFonts w:cs="Arial"/>
                <w:color w:val="000000"/>
                <w:szCs w:val="20"/>
              </w:rPr>
              <w:t>2018</w:t>
            </w:r>
            <w:r w:rsidR="004C7164" w:rsidRPr="00086AB2">
              <w:t>–</w:t>
            </w:r>
            <w:r w:rsidRPr="00520584">
              <w:rPr>
                <w:rFonts w:cs="Arial"/>
                <w:color w:val="000000"/>
                <w:szCs w:val="20"/>
              </w:rPr>
              <w:t>19p</w:t>
            </w:r>
          </w:p>
        </w:tc>
        <w:tc>
          <w:tcPr>
            <w:tcW w:w="395" w:type="pct"/>
            <w:shd w:val="clear" w:color="auto" w:fill="auto"/>
            <w:hideMark/>
          </w:tcPr>
          <w:p w14:paraId="5F41FFC6"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2,184</w:t>
            </w:r>
          </w:p>
        </w:tc>
        <w:tc>
          <w:tcPr>
            <w:tcW w:w="395" w:type="pct"/>
            <w:shd w:val="clear" w:color="auto" w:fill="auto"/>
            <w:hideMark/>
          </w:tcPr>
          <w:p w14:paraId="01FE4000"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2,144</w:t>
            </w:r>
          </w:p>
        </w:tc>
        <w:tc>
          <w:tcPr>
            <w:tcW w:w="395" w:type="pct"/>
            <w:shd w:val="clear" w:color="auto" w:fill="auto"/>
            <w:hideMark/>
          </w:tcPr>
          <w:p w14:paraId="11E9F726"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1,563</w:t>
            </w:r>
          </w:p>
        </w:tc>
        <w:tc>
          <w:tcPr>
            <w:tcW w:w="395" w:type="pct"/>
            <w:shd w:val="clear" w:color="auto" w:fill="auto"/>
            <w:hideMark/>
          </w:tcPr>
          <w:p w14:paraId="57BB3AA8"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1,683</w:t>
            </w:r>
          </w:p>
        </w:tc>
        <w:tc>
          <w:tcPr>
            <w:tcW w:w="373" w:type="pct"/>
            <w:shd w:val="clear" w:color="auto" w:fill="auto"/>
            <w:hideMark/>
          </w:tcPr>
          <w:p w14:paraId="44C6254F"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781</w:t>
            </w:r>
          </w:p>
        </w:tc>
        <w:tc>
          <w:tcPr>
            <w:tcW w:w="395" w:type="pct"/>
            <w:shd w:val="clear" w:color="auto" w:fill="auto"/>
            <w:hideMark/>
          </w:tcPr>
          <w:p w14:paraId="00921F38"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1,347</w:t>
            </w:r>
          </w:p>
        </w:tc>
        <w:tc>
          <w:tcPr>
            <w:tcW w:w="351" w:type="pct"/>
            <w:shd w:val="clear" w:color="auto" w:fill="auto"/>
            <w:hideMark/>
          </w:tcPr>
          <w:p w14:paraId="00C460D1"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716</w:t>
            </w:r>
          </w:p>
        </w:tc>
        <w:tc>
          <w:tcPr>
            <w:tcW w:w="303" w:type="pct"/>
            <w:shd w:val="clear" w:color="auto" w:fill="auto"/>
            <w:hideMark/>
          </w:tcPr>
          <w:p w14:paraId="08C2F19F"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209</w:t>
            </w:r>
          </w:p>
        </w:tc>
        <w:tc>
          <w:tcPr>
            <w:tcW w:w="346" w:type="pct"/>
            <w:shd w:val="clear" w:color="auto" w:fill="auto"/>
            <w:hideMark/>
          </w:tcPr>
          <w:p w14:paraId="39BC0882"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224</w:t>
            </w:r>
          </w:p>
        </w:tc>
        <w:tc>
          <w:tcPr>
            <w:tcW w:w="663" w:type="pct"/>
            <w:shd w:val="clear" w:color="auto" w:fill="A6A6A6" w:themeFill="background1" w:themeFillShade="A6"/>
            <w:hideMark/>
          </w:tcPr>
          <w:p w14:paraId="7D9F4713" w14:textId="77777777" w:rsidR="000A3553" w:rsidRPr="0002378C"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sidRPr="0002378C">
              <w:rPr>
                <w:rFonts w:cs="Arial"/>
                <w:color w:val="FFFFFF" w:themeColor="background1"/>
                <w:szCs w:val="20"/>
              </w:rPr>
              <w:t>10,851</w:t>
            </w:r>
          </w:p>
        </w:tc>
        <w:tc>
          <w:tcPr>
            <w:tcW w:w="395" w:type="pct"/>
            <w:shd w:val="clear" w:color="auto" w:fill="auto"/>
            <w:hideMark/>
          </w:tcPr>
          <w:p w14:paraId="6276A18E" w14:textId="77777777" w:rsidR="000A3553" w:rsidRPr="00520584" w:rsidRDefault="000A3553" w:rsidP="000B386A">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7,256</w:t>
            </w:r>
          </w:p>
        </w:tc>
      </w:tr>
    </w:tbl>
    <w:p w14:paraId="0DF124AA" w14:textId="77777777" w:rsidR="000A3553" w:rsidRPr="00F60444" w:rsidRDefault="000A3553" w:rsidP="000A3553">
      <w:pPr>
        <w:rPr>
          <w:rFonts w:eastAsiaTheme="minorHAnsi" w:cs="Arial"/>
          <w:color w:val="000000"/>
          <w:sz w:val="16"/>
          <w:szCs w:val="16"/>
          <w:lang w:val="en-US" w:eastAsia="en-US"/>
        </w:rPr>
      </w:pPr>
      <w:r w:rsidRPr="00F60444">
        <w:rPr>
          <w:rFonts w:eastAsiaTheme="minorHAnsi" w:cs="Arial"/>
          <w:color w:val="000000"/>
          <w:sz w:val="16"/>
          <w:szCs w:val="16"/>
          <w:lang w:val="en-US" w:eastAsia="en-US"/>
        </w:rPr>
        <w:t>*Tasmanian self-insured claims also include state government agencies</w:t>
      </w:r>
    </w:p>
    <w:p w14:paraId="482CD85A" w14:textId="77777777" w:rsidR="00331B45" w:rsidRDefault="00331B45" w:rsidP="004014F4">
      <w:pPr>
        <w:rPr>
          <w:i/>
        </w:rPr>
      </w:pPr>
    </w:p>
    <w:p w14:paraId="6D7B6EDF" w14:textId="4E59054A" w:rsidR="00E74178" w:rsidRPr="00B07EFB" w:rsidRDefault="00E74178" w:rsidP="004014F4">
      <w:pPr>
        <w:rPr>
          <w:i/>
        </w:rPr>
      </w:pPr>
      <w:r w:rsidRPr="00B07EFB">
        <w:rPr>
          <w:i/>
        </w:rPr>
        <w:lastRenderedPageBreak/>
        <w:t>Proportion of self-insured claims</w:t>
      </w:r>
    </w:p>
    <w:p w14:paraId="5A3F3566" w14:textId="2F311E1D" w:rsidR="00E74178" w:rsidRDefault="004014F4" w:rsidP="004014F4">
      <w:r w:rsidRPr="00086AB2">
        <w:t xml:space="preserve">The </w:t>
      </w:r>
      <w:r w:rsidR="00A86AE0" w:rsidRPr="00086AB2">
        <w:t xml:space="preserve">overall </w:t>
      </w:r>
      <w:r w:rsidR="001129BA">
        <w:t>proportion</w:t>
      </w:r>
      <w:r w:rsidRPr="00086AB2">
        <w:t xml:space="preserve"> of self-insured claims in Australia </w:t>
      </w:r>
      <w:r w:rsidR="00A11CC8">
        <w:t xml:space="preserve">(Indicator 5b) </w:t>
      </w:r>
      <w:r w:rsidR="00331B45">
        <w:t xml:space="preserve">decreased </w:t>
      </w:r>
      <w:r w:rsidR="00E74178">
        <w:t>(down 12</w:t>
      </w:r>
      <w:r w:rsidR="003C4F76">
        <w:t>%</w:t>
      </w:r>
      <w:r w:rsidR="00E74178">
        <w:t xml:space="preserve">) </w:t>
      </w:r>
      <w:r w:rsidR="009E6BC5">
        <w:t xml:space="preserve">between </w:t>
      </w:r>
      <w:r w:rsidR="00E74178">
        <w:t>2013</w:t>
      </w:r>
      <w:r w:rsidR="009E6BC5">
        <w:t>–</w:t>
      </w:r>
      <w:r w:rsidR="00E74178">
        <w:t xml:space="preserve">14 </w:t>
      </w:r>
      <w:r w:rsidR="009E6BC5">
        <w:t xml:space="preserve">and </w:t>
      </w:r>
      <w:r w:rsidR="00206AD9">
        <w:t>2017–18</w:t>
      </w:r>
      <w:r w:rsidR="00E74178">
        <w:t>. With self-insured claims representing 70</w:t>
      </w:r>
      <w:r w:rsidR="0072127C">
        <w:t>%</w:t>
      </w:r>
      <w:r w:rsidR="00E74178">
        <w:t xml:space="preserve"> of their serious claims, t</w:t>
      </w:r>
      <w:r w:rsidRPr="00086AB2">
        <w:t>he Australian Government had the highest percentage of self</w:t>
      </w:r>
      <w:r w:rsidR="00DD1296" w:rsidRPr="00086AB2">
        <w:noBreakHyphen/>
      </w:r>
      <w:r w:rsidRPr="00086AB2">
        <w:t>insured</w:t>
      </w:r>
      <w:r w:rsidR="00E74178">
        <w:t xml:space="preserve"> claims in 2017</w:t>
      </w:r>
      <w:r w:rsidR="00206AD9">
        <w:t>–</w:t>
      </w:r>
      <w:r w:rsidR="00E74178">
        <w:t xml:space="preserve">18. </w:t>
      </w:r>
      <w:r w:rsidR="007263AE">
        <w:t xml:space="preserve">It was </w:t>
      </w:r>
      <w:r w:rsidR="00E74178">
        <w:t xml:space="preserve">followed by </w:t>
      </w:r>
      <w:r w:rsidRPr="00086AB2">
        <w:t>South Australia (</w:t>
      </w:r>
      <w:r w:rsidR="00A33B98" w:rsidRPr="00086AB2">
        <w:t>3</w:t>
      </w:r>
      <w:r w:rsidR="000D3DCB">
        <w:t>2</w:t>
      </w:r>
      <w:r w:rsidR="003C4F76">
        <w:t>%</w:t>
      </w:r>
      <w:r w:rsidRPr="00086AB2">
        <w:t>), Tasmania (</w:t>
      </w:r>
      <w:r w:rsidR="00A33B98" w:rsidRPr="00086AB2">
        <w:t>2</w:t>
      </w:r>
      <w:r w:rsidR="000D3DCB">
        <w:t>2</w:t>
      </w:r>
      <w:r w:rsidR="003C4F76">
        <w:t>%</w:t>
      </w:r>
      <w:r w:rsidRPr="00086AB2">
        <w:t xml:space="preserve">), </w:t>
      </w:r>
      <w:r w:rsidR="00522A78" w:rsidRPr="00086AB2">
        <w:t xml:space="preserve">the </w:t>
      </w:r>
      <w:r w:rsidRPr="00086AB2">
        <w:t>Northern Territory (</w:t>
      </w:r>
      <w:r w:rsidR="000D3DCB">
        <w:t>17</w:t>
      </w:r>
      <w:r w:rsidR="003C4F76">
        <w:t>%</w:t>
      </w:r>
      <w:r w:rsidRPr="00086AB2">
        <w:t>)</w:t>
      </w:r>
      <w:r w:rsidR="00B63106">
        <w:t>, and the Australian</w:t>
      </w:r>
      <w:r w:rsidR="009E6BC5">
        <w:t> </w:t>
      </w:r>
      <w:r w:rsidR="00B63106">
        <w:t>Capital Territory (</w:t>
      </w:r>
      <w:r w:rsidR="000D3DCB">
        <w:t>16</w:t>
      </w:r>
      <w:r w:rsidR="003C4F76">
        <w:t>%</w:t>
      </w:r>
      <w:r w:rsidR="00B63106">
        <w:t>)</w:t>
      </w:r>
      <w:r w:rsidRPr="00086AB2">
        <w:t xml:space="preserve">. By contrast, </w:t>
      </w:r>
      <w:r w:rsidR="00B63106">
        <w:t xml:space="preserve">New South Wales and </w:t>
      </w:r>
      <w:r w:rsidR="000D3DCB">
        <w:t>Victoria</w:t>
      </w:r>
      <w:r w:rsidR="00B63106">
        <w:t xml:space="preserve"> </w:t>
      </w:r>
      <w:r w:rsidRPr="00086AB2">
        <w:t xml:space="preserve">had the lowest </w:t>
      </w:r>
      <w:r w:rsidR="00A86AE0" w:rsidRPr="00086AB2">
        <w:t xml:space="preserve">proportion </w:t>
      </w:r>
      <w:r w:rsidRPr="00086AB2">
        <w:t xml:space="preserve">of self-insured claims </w:t>
      </w:r>
      <w:r w:rsidR="00B63106">
        <w:t>(6</w:t>
      </w:r>
      <w:r w:rsidR="003C4F76">
        <w:t>%</w:t>
      </w:r>
      <w:r w:rsidR="00B63106">
        <w:t xml:space="preserve"> each)</w:t>
      </w:r>
      <w:r w:rsidR="00A33B98" w:rsidRPr="00086AB2">
        <w:t xml:space="preserve"> in 201</w:t>
      </w:r>
      <w:r w:rsidR="000D3DCB">
        <w:t>7</w:t>
      </w:r>
      <w:r w:rsidR="00A33B98" w:rsidRPr="00086AB2">
        <w:t>–1</w:t>
      </w:r>
      <w:r w:rsidR="000D3DCB">
        <w:t>8</w:t>
      </w:r>
      <w:r w:rsidRPr="00086AB2">
        <w:t>.</w:t>
      </w:r>
      <w:r w:rsidR="00B63106">
        <w:t xml:space="preserve"> </w:t>
      </w:r>
    </w:p>
    <w:p w14:paraId="4A5962EA" w14:textId="22109643" w:rsidR="004014F4" w:rsidRPr="00086AB2" w:rsidRDefault="004014F4" w:rsidP="004014F4">
      <w:r w:rsidRPr="00086AB2">
        <w:t xml:space="preserve">Preliminary data for </w:t>
      </w:r>
      <w:r w:rsidR="00A33B98" w:rsidRPr="00086AB2">
        <w:t>201</w:t>
      </w:r>
      <w:r w:rsidR="00B63106">
        <w:t>8</w:t>
      </w:r>
      <w:r w:rsidR="00A33B98" w:rsidRPr="00086AB2">
        <w:t>–1</w:t>
      </w:r>
      <w:r w:rsidR="00B63106">
        <w:t>9</w:t>
      </w:r>
      <w:r w:rsidRPr="00086AB2">
        <w:t xml:space="preserve"> show</w:t>
      </w:r>
      <w:r w:rsidR="00E74178">
        <w:t>s</w:t>
      </w:r>
      <w:r w:rsidRPr="00086AB2">
        <w:t xml:space="preserve"> a similar trend, with the highest and lowest percentages reported in the Australian Government </w:t>
      </w:r>
      <w:r w:rsidR="00A33B98" w:rsidRPr="00086AB2">
        <w:t>(</w:t>
      </w:r>
      <w:r w:rsidR="006C1A85">
        <w:t>7</w:t>
      </w:r>
      <w:r w:rsidR="000D3DCB">
        <w:t>8</w:t>
      </w:r>
      <w:r w:rsidR="003C4F76">
        <w:t>%</w:t>
      </w:r>
      <w:r w:rsidR="00A33B98" w:rsidRPr="00086AB2">
        <w:t xml:space="preserve">) </w:t>
      </w:r>
      <w:r w:rsidRPr="00086AB2">
        <w:t xml:space="preserve">and </w:t>
      </w:r>
      <w:r w:rsidR="000D3DCB">
        <w:t>New South Wales and Queensland (6</w:t>
      </w:r>
      <w:r w:rsidR="003C4F76">
        <w:t>%</w:t>
      </w:r>
      <w:r w:rsidR="000D3DCB">
        <w:t xml:space="preserve"> each)</w:t>
      </w:r>
      <w:r w:rsidRPr="00086AB2">
        <w:t xml:space="preserve">. </w:t>
      </w:r>
    </w:p>
    <w:p w14:paraId="62348B24" w14:textId="1ABBCE94" w:rsidR="004014F4" w:rsidRPr="00086AB2" w:rsidRDefault="004014F4" w:rsidP="004014F4">
      <w:r w:rsidRPr="00086AB2">
        <w:t xml:space="preserve">In New Zealand, </w:t>
      </w:r>
      <w:r w:rsidR="006E5EEB">
        <w:t>2</w:t>
      </w:r>
      <w:r w:rsidR="00933D31">
        <w:t>4</w:t>
      </w:r>
      <w:r w:rsidR="003C4F76">
        <w:t>%</w:t>
      </w:r>
      <w:r w:rsidRPr="00086AB2">
        <w:t xml:space="preserve"> of serious claims in </w:t>
      </w:r>
      <w:r w:rsidR="00A33B98" w:rsidRPr="00086AB2">
        <w:t>201</w:t>
      </w:r>
      <w:r w:rsidR="00933D31">
        <w:t>7</w:t>
      </w:r>
      <w:r w:rsidR="00A33B98" w:rsidRPr="00086AB2">
        <w:t>–1</w:t>
      </w:r>
      <w:r w:rsidR="00933D31">
        <w:t>8</w:t>
      </w:r>
      <w:r w:rsidRPr="00086AB2">
        <w:t xml:space="preserve"> were recorded by self-insurers, which is </w:t>
      </w:r>
      <w:r w:rsidR="001E50CF">
        <w:t xml:space="preserve">approximately </w:t>
      </w:r>
      <w:r w:rsidR="00E74178">
        <w:t xml:space="preserve">2.5 times </w:t>
      </w:r>
      <w:r w:rsidRPr="00086AB2">
        <w:t xml:space="preserve">the Australian proportion for the same financial year. </w:t>
      </w:r>
    </w:p>
    <w:p w14:paraId="14CABFA5" w14:textId="3244E8DB" w:rsidR="00546165" w:rsidRPr="00086AB2" w:rsidRDefault="00546165" w:rsidP="005C4C44">
      <w:r w:rsidRPr="00086AB2">
        <w:t>For more information on self-insurers</w:t>
      </w:r>
      <w:r w:rsidR="00522A78" w:rsidRPr="00086AB2">
        <w:t>’</w:t>
      </w:r>
      <w:r w:rsidRPr="00086AB2">
        <w:t xml:space="preserve"> arrangements in Australia and New Zealand refer to Chapter</w:t>
      </w:r>
      <w:r w:rsidR="00206AD9">
        <w:t> </w:t>
      </w:r>
      <w:r w:rsidRPr="00086AB2">
        <w:t>s</w:t>
      </w:r>
      <w:r w:rsidR="005D73B9" w:rsidRPr="00086AB2">
        <w:t xml:space="preserve">ix </w:t>
      </w:r>
      <w:r w:rsidRPr="00086AB2">
        <w:t>of the Comparison of Workers’ Compensation Arrangements publication on</w:t>
      </w:r>
      <w:r w:rsidR="007729EA">
        <w:t xml:space="preserve"> the</w:t>
      </w:r>
      <w:r w:rsidR="005C4C44" w:rsidRPr="00086AB2">
        <w:br/>
      </w:r>
      <w:hyperlink r:id="rId29" w:history="1">
        <w:r w:rsidRPr="00086AB2">
          <w:rPr>
            <w:rStyle w:val="Hyperlink"/>
            <w:color w:val="auto"/>
          </w:rPr>
          <w:t>Safe</w:t>
        </w:r>
        <w:r w:rsidR="000304FC" w:rsidRPr="00086AB2">
          <w:rPr>
            <w:rStyle w:val="Hyperlink"/>
            <w:color w:val="auto"/>
          </w:rPr>
          <w:t> </w:t>
        </w:r>
        <w:r w:rsidRPr="00086AB2">
          <w:rPr>
            <w:rStyle w:val="Hyperlink"/>
            <w:color w:val="auto"/>
          </w:rPr>
          <w:t>Work</w:t>
        </w:r>
        <w:r w:rsidR="000304FC" w:rsidRPr="00086AB2">
          <w:rPr>
            <w:rStyle w:val="Hyperlink"/>
            <w:color w:val="auto"/>
          </w:rPr>
          <w:t> </w:t>
        </w:r>
        <w:r w:rsidRPr="00086AB2">
          <w:rPr>
            <w:rStyle w:val="Hyperlink"/>
            <w:color w:val="auto"/>
          </w:rPr>
          <w:t>Australia</w:t>
        </w:r>
      </w:hyperlink>
      <w:r w:rsidR="00DD1296" w:rsidRPr="00086AB2">
        <w:t> </w:t>
      </w:r>
      <w:r w:rsidRPr="00086AB2">
        <w:t>website.</w:t>
      </w:r>
    </w:p>
    <w:p w14:paraId="459D8051" w14:textId="1F03A9AD" w:rsidR="00077368" w:rsidRPr="00086AB2" w:rsidRDefault="00077368" w:rsidP="00303E3E">
      <w:pPr>
        <w:pStyle w:val="SWATableheader"/>
      </w:pPr>
      <w:bookmarkStart w:id="26" w:name="_Hlk56772447"/>
      <w:r w:rsidRPr="00086AB2">
        <w:t xml:space="preserve">Indicator </w:t>
      </w:r>
      <w:r w:rsidR="002C7AAB" w:rsidRPr="00086AB2">
        <w:t>5</w:t>
      </w:r>
      <w:r w:rsidRPr="00086AB2">
        <w:t xml:space="preserve">b </w:t>
      </w:r>
      <w:r w:rsidR="00E76BFC" w:rsidRPr="00086AB2">
        <w:t>–</w:t>
      </w:r>
      <w:r w:rsidRPr="00086AB2">
        <w:t xml:space="preserve"> Self-insured claims</w:t>
      </w:r>
      <w:r w:rsidR="00A61D78">
        <w:t xml:space="preserve"> as a</w:t>
      </w:r>
      <w:r w:rsidRPr="00086AB2">
        <w:t xml:space="preserve"> proportion of serious claims by jurisdiction</w:t>
      </w:r>
    </w:p>
    <w:tbl>
      <w:tblPr>
        <w:tblStyle w:val="LightShading-Accent2"/>
        <w:tblW w:w="5140" w:type="pct"/>
        <w:tblLook w:val="04A0" w:firstRow="1" w:lastRow="0" w:firstColumn="1" w:lastColumn="0" w:noHBand="0" w:noVBand="1"/>
        <w:tblCaption w:val="Indicator 5b - Proportion of self-insured serious claims by jurisdiction "/>
        <w:tblDescription w:val="This table shows the proportion of self-insured claims between 2013-14 and 2017-18 for each jurisdiction. Please refer to body text for more details."/>
      </w:tblPr>
      <w:tblGrid>
        <w:gridCol w:w="1129"/>
        <w:gridCol w:w="619"/>
        <w:gridCol w:w="684"/>
        <w:gridCol w:w="517"/>
        <w:gridCol w:w="838"/>
        <w:gridCol w:w="678"/>
        <w:gridCol w:w="682"/>
        <w:gridCol w:w="639"/>
        <w:gridCol w:w="526"/>
        <w:gridCol w:w="865"/>
        <w:gridCol w:w="1195"/>
        <w:gridCol w:w="695"/>
      </w:tblGrid>
      <w:tr w:rsidR="00077368" w:rsidRPr="00086AB2" w14:paraId="56CC52FA" w14:textId="77777777" w:rsidTr="00F60444">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623" w:type="pct"/>
            <w:noWrap/>
            <w:hideMark/>
          </w:tcPr>
          <w:bookmarkEnd w:id="26"/>
          <w:p w14:paraId="465073D3" w14:textId="77777777" w:rsidR="00077368" w:rsidRPr="00086AB2" w:rsidRDefault="00077368" w:rsidP="00077368">
            <w:pPr>
              <w:rPr>
                <w:b w:val="0"/>
                <w:bCs w:val="0"/>
              </w:rPr>
            </w:pPr>
            <w:r w:rsidRPr="00086AB2">
              <w:t> </w:t>
            </w:r>
            <w:r w:rsidR="00002B4C">
              <w:t>Year</w:t>
            </w:r>
          </w:p>
        </w:tc>
        <w:tc>
          <w:tcPr>
            <w:tcW w:w="342" w:type="pct"/>
            <w:vAlign w:val="center"/>
            <w:hideMark/>
          </w:tcPr>
          <w:p w14:paraId="17783BAC"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SA</w:t>
            </w:r>
          </w:p>
        </w:tc>
        <w:tc>
          <w:tcPr>
            <w:tcW w:w="377" w:type="pct"/>
            <w:vAlign w:val="center"/>
            <w:hideMark/>
          </w:tcPr>
          <w:p w14:paraId="7A95FD0A"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NSW</w:t>
            </w:r>
          </w:p>
        </w:tc>
        <w:tc>
          <w:tcPr>
            <w:tcW w:w="285" w:type="pct"/>
            <w:vAlign w:val="center"/>
            <w:hideMark/>
          </w:tcPr>
          <w:p w14:paraId="67195461"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Vic</w:t>
            </w:r>
          </w:p>
        </w:tc>
        <w:tc>
          <w:tcPr>
            <w:tcW w:w="462" w:type="pct"/>
            <w:vAlign w:val="center"/>
            <w:hideMark/>
          </w:tcPr>
          <w:p w14:paraId="51C6EEDE"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Qld</w:t>
            </w:r>
          </w:p>
        </w:tc>
        <w:tc>
          <w:tcPr>
            <w:tcW w:w="374" w:type="pct"/>
            <w:vAlign w:val="center"/>
            <w:hideMark/>
          </w:tcPr>
          <w:p w14:paraId="57C6AE7D"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WA</w:t>
            </w:r>
          </w:p>
        </w:tc>
        <w:tc>
          <w:tcPr>
            <w:tcW w:w="376" w:type="pct"/>
            <w:vAlign w:val="center"/>
            <w:hideMark/>
          </w:tcPr>
          <w:p w14:paraId="7C20C434"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86AB2">
              <w:t>Aus</w:t>
            </w:r>
            <w:proofErr w:type="spellEnd"/>
            <w:r w:rsidRPr="00086AB2">
              <w:t xml:space="preserve"> Gov</w:t>
            </w:r>
          </w:p>
        </w:tc>
        <w:tc>
          <w:tcPr>
            <w:tcW w:w="352" w:type="pct"/>
            <w:vAlign w:val="center"/>
            <w:hideMark/>
          </w:tcPr>
          <w:p w14:paraId="1013F415" w14:textId="5268E135"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Tas</w:t>
            </w:r>
            <w:r w:rsidR="002122C3">
              <w:t>*</w:t>
            </w:r>
          </w:p>
        </w:tc>
        <w:tc>
          <w:tcPr>
            <w:tcW w:w="290" w:type="pct"/>
            <w:vAlign w:val="center"/>
            <w:hideMark/>
          </w:tcPr>
          <w:p w14:paraId="68878066"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NT</w:t>
            </w:r>
          </w:p>
        </w:tc>
        <w:tc>
          <w:tcPr>
            <w:tcW w:w="477" w:type="pct"/>
            <w:vAlign w:val="center"/>
            <w:hideMark/>
          </w:tcPr>
          <w:p w14:paraId="3155C0CB"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ACT</w:t>
            </w:r>
          </w:p>
        </w:tc>
        <w:tc>
          <w:tcPr>
            <w:tcW w:w="659" w:type="pct"/>
            <w:tcBorders>
              <w:bottom w:val="dashSmallGap" w:sz="4" w:space="0" w:color="FFFFFF" w:themeColor="background1"/>
            </w:tcBorders>
            <w:shd w:val="clear" w:color="auto" w:fill="A6A6A6" w:themeFill="background1" w:themeFillShade="A6"/>
            <w:vAlign w:val="center"/>
            <w:hideMark/>
          </w:tcPr>
          <w:p w14:paraId="41D1E943" w14:textId="77777777" w:rsidR="00077368" w:rsidRPr="0002378C" w:rsidRDefault="00077368" w:rsidP="007F5071">
            <w:pPr>
              <w:jc w:val="center"/>
              <w:cnfStyle w:val="100000000000" w:firstRow="1" w:lastRow="0" w:firstColumn="0" w:lastColumn="0" w:oddVBand="0" w:evenVBand="0" w:oddHBand="0" w:evenHBand="0" w:firstRowFirstColumn="0" w:firstRowLastColumn="0" w:lastRowFirstColumn="0" w:lastRowLastColumn="0"/>
            </w:pPr>
            <w:r w:rsidRPr="0002378C">
              <w:t>Australian</w:t>
            </w:r>
            <w:r w:rsidRPr="0002378C">
              <w:br/>
              <w:t>total</w:t>
            </w:r>
          </w:p>
        </w:tc>
        <w:tc>
          <w:tcPr>
            <w:tcW w:w="383" w:type="pct"/>
            <w:vAlign w:val="center"/>
          </w:tcPr>
          <w:p w14:paraId="2CEE8E0D" w14:textId="77777777"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NZ</w:t>
            </w:r>
          </w:p>
        </w:tc>
      </w:tr>
      <w:tr w:rsidR="00520584" w:rsidRPr="00086AB2" w14:paraId="65D57EB8" w14:textId="77777777" w:rsidTr="00F6044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23" w:type="pct"/>
          </w:tcPr>
          <w:p w14:paraId="77981AE2" w14:textId="6D4D61A2" w:rsidR="00520584" w:rsidRPr="00086AB2" w:rsidRDefault="00520584" w:rsidP="00520584">
            <w:pPr>
              <w:rPr>
                <w:b w:val="0"/>
                <w:bCs w:val="0"/>
                <w:color w:val="000000"/>
              </w:rPr>
            </w:pPr>
            <w:r w:rsidRPr="00520584">
              <w:rPr>
                <w:rFonts w:cs="Arial"/>
                <w:color w:val="000000"/>
                <w:szCs w:val="20"/>
              </w:rPr>
              <w:t>2013</w:t>
            </w:r>
            <w:r w:rsidR="004C7164" w:rsidRPr="00086AB2">
              <w:t>–</w:t>
            </w:r>
            <w:r w:rsidRPr="00520584">
              <w:rPr>
                <w:rFonts w:cs="Arial"/>
                <w:color w:val="000000"/>
                <w:szCs w:val="20"/>
              </w:rPr>
              <w:t>14</w:t>
            </w:r>
          </w:p>
        </w:tc>
        <w:tc>
          <w:tcPr>
            <w:tcW w:w="342" w:type="pct"/>
            <w:tcBorders>
              <w:top w:val="single" w:sz="4" w:space="0" w:color="FFFFFF"/>
              <w:left w:val="single" w:sz="4" w:space="0" w:color="FFFFFF"/>
              <w:bottom w:val="single" w:sz="4" w:space="0" w:color="FFFFFF"/>
              <w:right w:val="single" w:sz="4" w:space="0" w:color="FFFFFF"/>
            </w:tcBorders>
            <w:shd w:val="clear" w:color="000000" w:fill="EFD3D2"/>
          </w:tcPr>
          <w:p w14:paraId="214C36AE" w14:textId="70244E72" w:rsid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37</w:t>
            </w:r>
          </w:p>
        </w:tc>
        <w:tc>
          <w:tcPr>
            <w:tcW w:w="377" w:type="pct"/>
            <w:tcBorders>
              <w:top w:val="single" w:sz="4" w:space="0" w:color="FFFFFF"/>
              <w:left w:val="nil"/>
              <w:bottom w:val="single" w:sz="4" w:space="0" w:color="FFFFFF"/>
              <w:right w:val="single" w:sz="4" w:space="0" w:color="FFFFFF"/>
            </w:tcBorders>
            <w:shd w:val="clear" w:color="000000" w:fill="EFD3D2"/>
          </w:tcPr>
          <w:p w14:paraId="03DA7E51" w14:textId="3BE25E6E"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285" w:type="pct"/>
            <w:tcBorders>
              <w:top w:val="single" w:sz="4" w:space="0" w:color="FFFFFF"/>
              <w:left w:val="nil"/>
              <w:bottom w:val="single" w:sz="4" w:space="0" w:color="FFFFFF"/>
              <w:right w:val="single" w:sz="4" w:space="0" w:color="FFFFFF"/>
            </w:tcBorders>
            <w:shd w:val="clear" w:color="000000" w:fill="EFD3D2"/>
          </w:tcPr>
          <w:p w14:paraId="702C9961" w14:textId="764D74E7"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462" w:type="pct"/>
            <w:tcBorders>
              <w:top w:val="single" w:sz="4" w:space="0" w:color="FFFFFF"/>
              <w:left w:val="nil"/>
              <w:bottom w:val="single" w:sz="4" w:space="0" w:color="FFFFFF"/>
              <w:right w:val="single" w:sz="4" w:space="0" w:color="FFFFFF"/>
            </w:tcBorders>
            <w:shd w:val="clear" w:color="000000" w:fill="EFD3D2"/>
          </w:tcPr>
          <w:p w14:paraId="7A0501AA" w14:textId="148AC50C"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374" w:type="pct"/>
            <w:tcBorders>
              <w:top w:val="single" w:sz="4" w:space="0" w:color="FFFFFF"/>
              <w:left w:val="nil"/>
              <w:bottom w:val="single" w:sz="4" w:space="0" w:color="FFFFFF"/>
              <w:right w:val="single" w:sz="4" w:space="0" w:color="FFFFFF"/>
            </w:tcBorders>
            <w:shd w:val="clear" w:color="000000" w:fill="EFD3D2"/>
          </w:tcPr>
          <w:p w14:paraId="2D1DD876" w14:textId="2AB60C0B"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8</w:t>
            </w:r>
          </w:p>
        </w:tc>
        <w:tc>
          <w:tcPr>
            <w:tcW w:w="376" w:type="pct"/>
            <w:tcBorders>
              <w:top w:val="single" w:sz="4" w:space="0" w:color="FFFFFF"/>
              <w:left w:val="nil"/>
              <w:bottom w:val="single" w:sz="4" w:space="0" w:color="FFFFFF"/>
              <w:right w:val="single" w:sz="4" w:space="0" w:color="FFFFFF"/>
            </w:tcBorders>
            <w:shd w:val="clear" w:color="000000" w:fill="EFD3D2"/>
          </w:tcPr>
          <w:p w14:paraId="6D05EA86" w14:textId="24F8BBB1"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51</w:t>
            </w:r>
          </w:p>
        </w:tc>
        <w:tc>
          <w:tcPr>
            <w:tcW w:w="352" w:type="pct"/>
            <w:tcBorders>
              <w:top w:val="single" w:sz="4" w:space="0" w:color="FFFFFF"/>
              <w:left w:val="nil"/>
              <w:bottom w:val="single" w:sz="4" w:space="0" w:color="FFFFFF"/>
              <w:right w:val="single" w:sz="4" w:space="0" w:color="FFFFFF"/>
            </w:tcBorders>
            <w:shd w:val="clear" w:color="000000" w:fill="EFD3D2"/>
          </w:tcPr>
          <w:p w14:paraId="170317B6" w14:textId="754549E4"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20</w:t>
            </w:r>
          </w:p>
        </w:tc>
        <w:tc>
          <w:tcPr>
            <w:tcW w:w="290" w:type="pct"/>
            <w:tcBorders>
              <w:top w:val="single" w:sz="4" w:space="0" w:color="FFFFFF"/>
              <w:left w:val="nil"/>
              <w:bottom w:val="single" w:sz="4" w:space="0" w:color="FFFFFF"/>
              <w:right w:val="single" w:sz="4" w:space="0" w:color="FFFFFF"/>
            </w:tcBorders>
            <w:shd w:val="clear" w:color="000000" w:fill="EFD3D2"/>
          </w:tcPr>
          <w:p w14:paraId="6CB14C80" w14:textId="7E30B2CD"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18</w:t>
            </w:r>
          </w:p>
        </w:tc>
        <w:tc>
          <w:tcPr>
            <w:tcW w:w="477" w:type="pct"/>
            <w:tcBorders>
              <w:top w:val="single" w:sz="4" w:space="0" w:color="FFFFFF"/>
              <w:left w:val="nil"/>
              <w:bottom w:val="single" w:sz="4" w:space="0" w:color="FFFFFF"/>
              <w:right w:val="single" w:sz="4" w:space="0" w:color="FFFFFF"/>
            </w:tcBorders>
            <w:shd w:val="clear" w:color="000000" w:fill="EFD3D2"/>
          </w:tcPr>
          <w:p w14:paraId="68D0AADB" w14:textId="2D484FCB"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23</w:t>
            </w:r>
          </w:p>
        </w:tc>
        <w:tc>
          <w:tcPr>
            <w:tcW w:w="659" w:type="pct"/>
            <w:tcBorders>
              <w:top w:val="single" w:sz="4" w:space="0" w:color="FFFFFF"/>
              <w:left w:val="nil"/>
              <w:bottom w:val="single" w:sz="4" w:space="0" w:color="FFFFFF"/>
              <w:right w:val="single" w:sz="4" w:space="0" w:color="FFFFFF"/>
            </w:tcBorders>
            <w:shd w:val="clear" w:color="auto" w:fill="A6A6A6" w:themeFill="background1" w:themeFillShade="A6"/>
          </w:tcPr>
          <w:p w14:paraId="2837842D" w14:textId="4A29F92F" w:rsidR="00520584" w:rsidRPr="0002378C"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sidRPr="0002378C">
              <w:rPr>
                <w:rFonts w:cs="Arial"/>
                <w:color w:val="FFFFFF" w:themeColor="background1"/>
                <w:szCs w:val="20"/>
              </w:rPr>
              <w:t>11</w:t>
            </w:r>
          </w:p>
        </w:tc>
        <w:tc>
          <w:tcPr>
            <w:tcW w:w="383" w:type="pct"/>
            <w:tcBorders>
              <w:top w:val="single" w:sz="4" w:space="0" w:color="FFFFFF"/>
              <w:left w:val="nil"/>
              <w:bottom w:val="single" w:sz="4" w:space="0" w:color="FFFFFF"/>
              <w:right w:val="single" w:sz="4" w:space="0" w:color="FFFFFF"/>
            </w:tcBorders>
            <w:shd w:val="clear" w:color="000000" w:fill="EFD3D2"/>
          </w:tcPr>
          <w:p w14:paraId="74D68C69" w14:textId="47496321" w:rsidR="00520584" w:rsidRDefault="00520584" w:rsidP="00520584">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22</w:t>
            </w:r>
          </w:p>
        </w:tc>
      </w:tr>
      <w:tr w:rsidR="00520584" w:rsidRPr="00520584" w14:paraId="4D03380E" w14:textId="77777777" w:rsidTr="00F60444">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623" w:type="pct"/>
          </w:tcPr>
          <w:p w14:paraId="3979AE97" w14:textId="510EE401" w:rsidR="00520584" w:rsidRPr="00520584" w:rsidRDefault="00520584" w:rsidP="00520584">
            <w:pPr>
              <w:spacing w:after="0"/>
              <w:rPr>
                <w:rFonts w:cs="Arial"/>
                <w:color w:val="000000"/>
                <w:szCs w:val="20"/>
              </w:rPr>
            </w:pPr>
            <w:r w:rsidRPr="00520584">
              <w:rPr>
                <w:rFonts w:cs="Arial"/>
                <w:color w:val="000000"/>
                <w:szCs w:val="20"/>
              </w:rPr>
              <w:t>2014</w:t>
            </w:r>
            <w:r w:rsidR="004C7164" w:rsidRPr="00086AB2">
              <w:t>–</w:t>
            </w:r>
            <w:r w:rsidRPr="00520584">
              <w:rPr>
                <w:rFonts w:cs="Arial"/>
                <w:color w:val="000000"/>
                <w:szCs w:val="20"/>
              </w:rPr>
              <w:t>15</w:t>
            </w:r>
          </w:p>
        </w:tc>
        <w:tc>
          <w:tcPr>
            <w:tcW w:w="342" w:type="pct"/>
          </w:tcPr>
          <w:p w14:paraId="0C2B9DAB" w14:textId="1938C828"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41</w:t>
            </w:r>
          </w:p>
        </w:tc>
        <w:tc>
          <w:tcPr>
            <w:tcW w:w="377" w:type="pct"/>
          </w:tcPr>
          <w:p w14:paraId="004C4F30" w14:textId="3263561D"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w:t>
            </w:r>
          </w:p>
        </w:tc>
        <w:tc>
          <w:tcPr>
            <w:tcW w:w="285" w:type="pct"/>
          </w:tcPr>
          <w:p w14:paraId="0A86A268" w14:textId="27EB5720"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w:t>
            </w:r>
          </w:p>
        </w:tc>
        <w:tc>
          <w:tcPr>
            <w:tcW w:w="462" w:type="pct"/>
          </w:tcPr>
          <w:p w14:paraId="6A112B93" w14:textId="0A7A3022"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w:t>
            </w:r>
          </w:p>
        </w:tc>
        <w:tc>
          <w:tcPr>
            <w:tcW w:w="374" w:type="pct"/>
          </w:tcPr>
          <w:p w14:paraId="2FC18CAC" w14:textId="0C954319"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8</w:t>
            </w:r>
          </w:p>
        </w:tc>
        <w:tc>
          <w:tcPr>
            <w:tcW w:w="376" w:type="pct"/>
          </w:tcPr>
          <w:p w14:paraId="2F3E6AB7" w14:textId="553BD924"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55</w:t>
            </w:r>
          </w:p>
        </w:tc>
        <w:tc>
          <w:tcPr>
            <w:tcW w:w="352" w:type="pct"/>
          </w:tcPr>
          <w:p w14:paraId="0890CC38" w14:textId="740629B8"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21</w:t>
            </w:r>
          </w:p>
        </w:tc>
        <w:tc>
          <w:tcPr>
            <w:tcW w:w="290" w:type="pct"/>
          </w:tcPr>
          <w:p w14:paraId="35F73CBD" w14:textId="2B7B6A69"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14</w:t>
            </w:r>
          </w:p>
        </w:tc>
        <w:tc>
          <w:tcPr>
            <w:tcW w:w="477" w:type="pct"/>
          </w:tcPr>
          <w:p w14:paraId="68E1E192" w14:textId="38AE0DA5"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20</w:t>
            </w:r>
          </w:p>
        </w:tc>
        <w:tc>
          <w:tcPr>
            <w:tcW w:w="659" w:type="pct"/>
            <w:shd w:val="clear" w:color="auto" w:fill="A6A6A6" w:themeFill="background1" w:themeFillShade="A6"/>
          </w:tcPr>
          <w:p w14:paraId="3C977FBF" w14:textId="084E4212" w:rsidR="00520584" w:rsidRPr="0002378C"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sidRPr="0002378C">
              <w:rPr>
                <w:rFonts w:cs="Arial"/>
                <w:color w:val="FFFFFF" w:themeColor="background1"/>
                <w:szCs w:val="20"/>
              </w:rPr>
              <w:t>11</w:t>
            </w:r>
          </w:p>
        </w:tc>
        <w:tc>
          <w:tcPr>
            <w:tcW w:w="383" w:type="pct"/>
          </w:tcPr>
          <w:p w14:paraId="1B0C96D5" w14:textId="3D4958D2"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24</w:t>
            </w:r>
          </w:p>
        </w:tc>
      </w:tr>
      <w:tr w:rsidR="00520584" w:rsidRPr="00520584" w14:paraId="7FE97E4A" w14:textId="77777777" w:rsidTr="00F604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23" w:type="pct"/>
          </w:tcPr>
          <w:p w14:paraId="0F8A404A" w14:textId="1E81A1A8" w:rsidR="00520584" w:rsidRPr="00520584" w:rsidRDefault="00520584" w:rsidP="00520584">
            <w:pPr>
              <w:spacing w:after="0"/>
              <w:rPr>
                <w:rFonts w:cs="Arial"/>
                <w:color w:val="000000"/>
                <w:szCs w:val="20"/>
              </w:rPr>
            </w:pPr>
            <w:r w:rsidRPr="00520584">
              <w:rPr>
                <w:rFonts w:cs="Arial"/>
                <w:color w:val="000000"/>
                <w:szCs w:val="20"/>
              </w:rPr>
              <w:t>2015</w:t>
            </w:r>
            <w:r w:rsidR="004C7164" w:rsidRPr="00086AB2">
              <w:t>–</w:t>
            </w:r>
            <w:r w:rsidRPr="00520584">
              <w:rPr>
                <w:rFonts w:cs="Arial"/>
                <w:color w:val="000000"/>
                <w:szCs w:val="20"/>
              </w:rPr>
              <w:t>16</w:t>
            </w:r>
          </w:p>
        </w:tc>
        <w:tc>
          <w:tcPr>
            <w:tcW w:w="342" w:type="pct"/>
          </w:tcPr>
          <w:p w14:paraId="45D10A22" w14:textId="7CE82E82"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32</w:t>
            </w:r>
          </w:p>
        </w:tc>
        <w:tc>
          <w:tcPr>
            <w:tcW w:w="377" w:type="pct"/>
          </w:tcPr>
          <w:p w14:paraId="7F7E9D7A" w14:textId="724D2836"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285" w:type="pct"/>
          </w:tcPr>
          <w:p w14:paraId="376C5D70" w14:textId="150C8A8B"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6</w:t>
            </w:r>
          </w:p>
        </w:tc>
        <w:tc>
          <w:tcPr>
            <w:tcW w:w="462" w:type="pct"/>
          </w:tcPr>
          <w:p w14:paraId="53495EF0" w14:textId="1D2BB1C4"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374" w:type="pct"/>
          </w:tcPr>
          <w:p w14:paraId="40CC0171" w14:textId="304F79AE"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8</w:t>
            </w:r>
          </w:p>
        </w:tc>
        <w:tc>
          <w:tcPr>
            <w:tcW w:w="376" w:type="pct"/>
          </w:tcPr>
          <w:p w14:paraId="6D60273C" w14:textId="73FBDB01"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57</w:t>
            </w:r>
          </w:p>
        </w:tc>
        <w:tc>
          <w:tcPr>
            <w:tcW w:w="352" w:type="pct"/>
          </w:tcPr>
          <w:p w14:paraId="1CCE2B2D" w14:textId="200DAA8E"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22</w:t>
            </w:r>
          </w:p>
        </w:tc>
        <w:tc>
          <w:tcPr>
            <w:tcW w:w="290" w:type="pct"/>
          </w:tcPr>
          <w:p w14:paraId="2C5B12EC" w14:textId="4754C05C"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14</w:t>
            </w:r>
          </w:p>
        </w:tc>
        <w:tc>
          <w:tcPr>
            <w:tcW w:w="477" w:type="pct"/>
          </w:tcPr>
          <w:p w14:paraId="3CF1BCB4" w14:textId="19645ACC"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19</w:t>
            </w:r>
          </w:p>
        </w:tc>
        <w:tc>
          <w:tcPr>
            <w:tcW w:w="659" w:type="pct"/>
            <w:shd w:val="clear" w:color="auto" w:fill="A6A6A6" w:themeFill="background1" w:themeFillShade="A6"/>
          </w:tcPr>
          <w:p w14:paraId="20E11E7C" w14:textId="39FC01A0" w:rsidR="00520584" w:rsidRPr="0002378C"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sidRPr="0002378C">
              <w:rPr>
                <w:rFonts w:cs="Arial"/>
                <w:color w:val="FFFFFF" w:themeColor="background1"/>
                <w:szCs w:val="20"/>
              </w:rPr>
              <w:t>10</w:t>
            </w:r>
          </w:p>
        </w:tc>
        <w:tc>
          <w:tcPr>
            <w:tcW w:w="383" w:type="pct"/>
          </w:tcPr>
          <w:p w14:paraId="775B2D65" w14:textId="13D735D6"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24</w:t>
            </w:r>
          </w:p>
        </w:tc>
      </w:tr>
      <w:tr w:rsidR="00520584" w:rsidRPr="00520584" w14:paraId="15091513" w14:textId="77777777" w:rsidTr="00F60444">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23" w:type="pct"/>
          </w:tcPr>
          <w:p w14:paraId="3B9ECDCD" w14:textId="5F95E113" w:rsidR="00520584" w:rsidRPr="00520584" w:rsidRDefault="00520584" w:rsidP="00520584">
            <w:pPr>
              <w:spacing w:after="0"/>
              <w:rPr>
                <w:rFonts w:cs="Arial"/>
                <w:color w:val="000000"/>
                <w:szCs w:val="20"/>
              </w:rPr>
            </w:pPr>
            <w:r w:rsidRPr="00520584">
              <w:rPr>
                <w:rFonts w:cs="Arial"/>
                <w:color w:val="000000"/>
                <w:szCs w:val="20"/>
              </w:rPr>
              <w:t>2016</w:t>
            </w:r>
            <w:r w:rsidR="004C7164" w:rsidRPr="00086AB2">
              <w:t>–</w:t>
            </w:r>
            <w:r w:rsidRPr="00520584">
              <w:rPr>
                <w:rFonts w:cs="Arial"/>
                <w:color w:val="000000"/>
                <w:szCs w:val="20"/>
              </w:rPr>
              <w:t>17</w:t>
            </w:r>
          </w:p>
        </w:tc>
        <w:tc>
          <w:tcPr>
            <w:tcW w:w="342" w:type="pct"/>
          </w:tcPr>
          <w:p w14:paraId="564A011F" w14:textId="241A3CB4"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33</w:t>
            </w:r>
          </w:p>
        </w:tc>
        <w:tc>
          <w:tcPr>
            <w:tcW w:w="377" w:type="pct"/>
          </w:tcPr>
          <w:p w14:paraId="7019DF52" w14:textId="1D97859B"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w:t>
            </w:r>
          </w:p>
        </w:tc>
        <w:tc>
          <w:tcPr>
            <w:tcW w:w="285" w:type="pct"/>
          </w:tcPr>
          <w:p w14:paraId="2B993D8F" w14:textId="58ED5855"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w:t>
            </w:r>
          </w:p>
        </w:tc>
        <w:tc>
          <w:tcPr>
            <w:tcW w:w="462" w:type="pct"/>
          </w:tcPr>
          <w:p w14:paraId="30DB58AA" w14:textId="2462AA98"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w:t>
            </w:r>
          </w:p>
        </w:tc>
        <w:tc>
          <w:tcPr>
            <w:tcW w:w="374" w:type="pct"/>
          </w:tcPr>
          <w:p w14:paraId="69E530B2" w14:textId="78374A67"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8</w:t>
            </w:r>
          </w:p>
        </w:tc>
        <w:tc>
          <w:tcPr>
            <w:tcW w:w="376" w:type="pct"/>
          </w:tcPr>
          <w:p w14:paraId="188A0CAF" w14:textId="7C2E52AA"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65</w:t>
            </w:r>
          </w:p>
        </w:tc>
        <w:tc>
          <w:tcPr>
            <w:tcW w:w="352" w:type="pct"/>
          </w:tcPr>
          <w:p w14:paraId="03155E42" w14:textId="182650B3"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23</w:t>
            </w:r>
          </w:p>
        </w:tc>
        <w:tc>
          <w:tcPr>
            <w:tcW w:w="290" w:type="pct"/>
          </w:tcPr>
          <w:p w14:paraId="65CDC4CB" w14:textId="10F2B022"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16</w:t>
            </w:r>
          </w:p>
        </w:tc>
        <w:tc>
          <w:tcPr>
            <w:tcW w:w="477" w:type="pct"/>
          </w:tcPr>
          <w:p w14:paraId="22039025" w14:textId="495BB84E"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20</w:t>
            </w:r>
          </w:p>
        </w:tc>
        <w:tc>
          <w:tcPr>
            <w:tcW w:w="659" w:type="pct"/>
            <w:shd w:val="clear" w:color="auto" w:fill="A6A6A6" w:themeFill="background1" w:themeFillShade="A6"/>
          </w:tcPr>
          <w:p w14:paraId="7DBD913D" w14:textId="5EBA6BC4" w:rsidR="00520584" w:rsidRPr="0002378C"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sidRPr="0002378C">
              <w:rPr>
                <w:rFonts w:cs="Arial"/>
                <w:color w:val="FFFFFF" w:themeColor="background1"/>
                <w:szCs w:val="20"/>
              </w:rPr>
              <w:t>10</w:t>
            </w:r>
          </w:p>
        </w:tc>
        <w:tc>
          <w:tcPr>
            <w:tcW w:w="383" w:type="pct"/>
          </w:tcPr>
          <w:p w14:paraId="6C79BB08" w14:textId="30C51978"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23</w:t>
            </w:r>
          </w:p>
        </w:tc>
      </w:tr>
      <w:tr w:rsidR="00520584" w:rsidRPr="00520584" w14:paraId="5673E4FB" w14:textId="77777777" w:rsidTr="00F60444">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23" w:type="pct"/>
          </w:tcPr>
          <w:p w14:paraId="187A346D" w14:textId="5B12EFA7" w:rsidR="00520584" w:rsidRPr="00520584" w:rsidRDefault="00520584" w:rsidP="00520584">
            <w:pPr>
              <w:spacing w:after="0"/>
              <w:rPr>
                <w:rFonts w:cs="Arial"/>
                <w:color w:val="000000"/>
                <w:szCs w:val="20"/>
              </w:rPr>
            </w:pPr>
            <w:r w:rsidRPr="00520584">
              <w:rPr>
                <w:rFonts w:cs="Arial"/>
                <w:color w:val="000000"/>
                <w:szCs w:val="20"/>
              </w:rPr>
              <w:t>2017</w:t>
            </w:r>
            <w:r w:rsidR="004C7164" w:rsidRPr="00086AB2">
              <w:t>–</w:t>
            </w:r>
            <w:r w:rsidRPr="00520584">
              <w:rPr>
                <w:rFonts w:cs="Arial"/>
                <w:color w:val="000000"/>
                <w:szCs w:val="20"/>
              </w:rPr>
              <w:t>18</w:t>
            </w:r>
          </w:p>
        </w:tc>
        <w:tc>
          <w:tcPr>
            <w:tcW w:w="342" w:type="pct"/>
          </w:tcPr>
          <w:p w14:paraId="2339E7C1" w14:textId="79C3686E"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32</w:t>
            </w:r>
          </w:p>
        </w:tc>
        <w:tc>
          <w:tcPr>
            <w:tcW w:w="377" w:type="pct"/>
          </w:tcPr>
          <w:p w14:paraId="7F7CACC1" w14:textId="588A3FAB"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6</w:t>
            </w:r>
          </w:p>
        </w:tc>
        <w:tc>
          <w:tcPr>
            <w:tcW w:w="285" w:type="pct"/>
          </w:tcPr>
          <w:p w14:paraId="6CFC598D" w14:textId="4AB958C4"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6</w:t>
            </w:r>
          </w:p>
        </w:tc>
        <w:tc>
          <w:tcPr>
            <w:tcW w:w="462" w:type="pct"/>
          </w:tcPr>
          <w:p w14:paraId="280476BA" w14:textId="438F2248"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374" w:type="pct"/>
          </w:tcPr>
          <w:p w14:paraId="4E4B84D4" w14:textId="6522FE25"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w:t>
            </w:r>
          </w:p>
        </w:tc>
        <w:tc>
          <w:tcPr>
            <w:tcW w:w="376" w:type="pct"/>
          </w:tcPr>
          <w:p w14:paraId="423388E4" w14:textId="0A7CB10E"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70</w:t>
            </w:r>
          </w:p>
        </w:tc>
        <w:tc>
          <w:tcPr>
            <w:tcW w:w="352" w:type="pct"/>
          </w:tcPr>
          <w:p w14:paraId="4E175E6E" w14:textId="6CA110DE"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22</w:t>
            </w:r>
          </w:p>
        </w:tc>
        <w:tc>
          <w:tcPr>
            <w:tcW w:w="290" w:type="pct"/>
          </w:tcPr>
          <w:p w14:paraId="718E865D" w14:textId="7A1109FC"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17</w:t>
            </w:r>
          </w:p>
        </w:tc>
        <w:tc>
          <w:tcPr>
            <w:tcW w:w="477" w:type="pct"/>
          </w:tcPr>
          <w:p w14:paraId="03C586EA" w14:textId="7AB8F3C4"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16</w:t>
            </w:r>
          </w:p>
        </w:tc>
        <w:tc>
          <w:tcPr>
            <w:tcW w:w="659" w:type="pct"/>
            <w:shd w:val="clear" w:color="auto" w:fill="A6A6A6"/>
          </w:tcPr>
          <w:p w14:paraId="4BD56C7D" w14:textId="246CA3B6" w:rsidR="00520584" w:rsidRPr="0002378C"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sidRPr="0002378C">
              <w:rPr>
                <w:rFonts w:cs="Arial"/>
                <w:color w:val="FFFFFF" w:themeColor="background1"/>
                <w:szCs w:val="20"/>
              </w:rPr>
              <w:t>10</w:t>
            </w:r>
          </w:p>
        </w:tc>
        <w:tc>
          <w:tcPr>
            <w:tcW w:w="383" w:type="pct"/>
          </w:tcPr>
          <w:p w14:paraId="55AFDB10" w14:textId="76D13A2E" w:rsidR="00520584" w:rsidRPr="00520584" w:rsidRDefault="00520584" w:rsidP="0052058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20584">
              <w:rPr>
                <w:rFonts w:cs="Arial"/>
                <w:color w:val="000000"/>
                <w:szCs w:val="20"/>
              </w:rPr>
              <w:t>24</w:t>
            </w:r>
          </w:p>
        </w:tc>
      </w:tr>
      <w:tr w:rsidR="00632BFB" w:rsidRPr="00520584" w14:paraId="404EA31B" w14:textId="77777777" w:rsidTr="00F60444">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23" w:type="pct"/>
            <w:shd w:val="clear" w:color="auto" w:fill="auto"/>
          </w:tcPr>
          <w:p w14:paraId="372447CD" w14:textId="68BD627E" w:rsidR="00520584" w:rsidRPr="00520584" w:rsidRDefault="00520584" w:rsidP="00520584">
            <w:pPr>
              <w:spacing w:after="0"/>
              <w:rPr>
                <w:rFonts w:cs="Arial"/>
                <w:color w:val="000000"/>
                <w:szCs w:val="20"/>
              </w:rPr>
            </w:pPr>
            <w:r w:rsidRPr="00520584">
              <w:rPr>
                <w:rFonts w:cs="Arial"/>
                <w:color w:val="000000"/>
                <w:szCs w:val="20"/>
              </w:rPr>
              <w:t>2018</w:t>
            </w:r>
            <w:r w:rsidR="004C7164" w:rsidRPr="00086AB2">
              <w:t>–</w:t>
            </w:r>
            <w:r w:rsidRPr="00520584">
              <w:rPr>
                <w:rFonts w:cs="Arial"/>
                <w:color w:val="000000"/>
                <w:szCs w:val="20"/>
              </w:rPr>
              <w:t>19p</w:t>
            </w:r>
          </w:p>
        </w:tc>
        <w:tc>
          <w:tcPr>
            <w:tcW w:w="342" w:type="pct"/>
            <w:shd w:val="clear" w:color="auto" w:fill="auto"/>
          </w:tcPr>
          <w:p w14:paraId="05E35C6B" w14:textId="4FB68247"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34</w:t>
            </w:r>
          </w:p>
        </w:tc>
        <w:tc>
          <w:tcPr>
            <w:tcW w:w="377" w:type="pct"/>
            <w:shd w:val="clear" w:color="auto" w:fill="auto"/>
          </w:tcPr>
          <w:p w14:paraId="7E5D1948" w14:textId="27B0C80B"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w:t>
            </w:r>
          </w:p>
        </w:tc>
        <w:tc>
          <w:tcPr>
            <w:tcW w:w="285" w:type="pct"/>
            <w:shd w:val="clear" w:color="auto" w:fill="auto"/>
          </w:tcPr>
          <w:p w14:paraId="549FE9FF" w14:textId="43F71733"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w:t>
            </w:r>
          </w:p>
        </w:tc>
        <w:tc>
          <w:tcPr>
            <w:tcW w:w="462" w:type="pct"/>
            <w:shd w:val="clear" w:color="auto" w:fill="auto"/>
          </w:tcPr>
          <w:p w14:paraId="15E0CBCF" w14:textId="7941EB1F"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6</w:t>
            </w:r>
          </w:p>
        </w:tc>
        <w:tc>
          <w:tcPr>
            <w:tcW w:w="374" w:type="pct"/>
            <w:shd w:val="clear" w:color="auto" w:fill="auto"/>
          </w:tcPr>
          <w:p w14:paraId="6BF77473" w14:textId="70E5FE2B"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w:t>
            </w:r>
          </w:p>
        </w:tc>
        <w:tc>
          <w:tcPr>
            <w:tcW w:w="376" w:type="pct"/>
            <w:shd w:val="clear" w:color="auto" w:fill="auto"/>
          </w:tcPr>
          <w:p w14:paraId="0F3B5F15" w14:textId="4254A5D7"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78</w:t>
            </w:r>
          </w:p>
        </w:tc>
        <w:tc>
          <w:tcPr>
            <w:tcW w:w="352" w:type="pct"/>
            <w:shd w:val="clear" w:color="auto" w:fill="auto"/>
          </w:tcPr>
          <w:p w14:paraId="73BB737B" w14:textId="446B0A70"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23</w:t>
            </w:r>
          </w:p>
        </w:tc>
        <w:tc>
          <w:tcPr>
            <w:tcW w:w="290" w:type="pct"/>
            <w:shd w:val="clear" w:color="auto" w:fill="auto"/>
          </w:tcPr>
          <w:p w14:paraId="794A2121" w14:textId="597C42A7"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21</w:t>
            </w:r>
          </w:p>
        </w:tc>
        <w:tc>
          <w:tcPr>
            <w:tcW w:w="477" w:type="pct"/>
            <w:shd w:val="clear" w:color="auto" w:fill="auto"/>
          </w:tcPr>
          <w:p w14:paraId="2BE5DB1D" w14:textId="0F15E3F4"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14</w:t>
            </w:r>
          </w:p>
        </w:tc>
        <w:tc>
          <w:tcPr>
            <w:tcW w:w="659" w:type="pct"/>
            <w:shd w:val="clear" w:color="auto" w:fill="A6A6A6" w:themeFill="background1" w:themeFillShade="A6"/>
          </w:tcPr>
          <w:p w14:paraId="2C139F35" w14:textId="55D6AE9A" w:rsidR="00520584" w:rsidRPr="0002378C"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sidRPr="0002378C">
              <w:rPr>
                <w:rFonts w:cs="Arial"/>
                <w:color w:val="FFFFFF" w:themeColor="background1"/>
                <w:szCs w:val="20"/>
              </w:rPr>
              <w:t>9</w:t>
            </w:r>
          </w:p>
        </w:tc>
        <w:tc>
          <w:tcPr>
            <w:tcW w:w="383" w:type="pct"/>
            <w:shd w:val="clear" w:color="auto" w:fill="auto"/>
          </w:tcPr>
          <w:p w14:paraId="07CF8C86" w14:textId="27F5352B" w:rsidR="00520584" w:rsidRPr="00520584" w:rsidRDefault="00520584" w:rsidP="00520584">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20584">
              <w:rPr>
                <w:rFonts w:cs="Arial"/>
                <w:color w:val="000000"/>
                <w:szCs w:val="20"/>
              </w:rPr>
              <w:t>23</w:t>
            </w:r>
          </w:p>
        </w:tc>
      </w:tr>
    </w:tbl>
    <w:p w14:paraId="59BA129C" w14:textId="77777777" w:rsidR="002122C3" w:rsidRPr="00B60449" w:rsidRDefault="002122C3" w:rsidP="002122C3">
      <w:pPr>
        <w:rPr>
          <w:rFonts w:eastAsiaTheme="minorHAnsi" w:cs="Arial"/>
          <w:color w:val="000000"/>
          <w:sz w:val="16"/>
          <w:szCs w:val="16"/>
          <w:lang w:val="en-US" w:eastAsia="en-US"/>
        </w:rPr>
      </w:pPr>
      <w:r w:rsidRPr="00B60449">
        <w:rPr>
          <w:rFonts w:eastAsiaTheme="minorHAnsi" w:cs="Arial"/>
          <w:color w:val="000000"/>
          <w:sz w:val="16"/>
          <w:szCs w:val="16"/>
          <w:lang w:val="en-US" w:eastAsia="en-US"/>
        </w:rPr>
        <w:t>*Tasmanian self-insured claims also include state government agencies</w:t>
      </w:r>
    </w:p>
    <w:p w14:paraId="7A1D6C12" w14:textId="77777777" w:rsidR="00413A86" w:rsidRPr="004866F8" w:rsidRDefault="00413A86">
      <w:pPr>
        <w:spacing w:after="200" w:line="276" w:lineRule="auto"/>
        <w:jc w:val="left"/>
      </w:pPr>
      <w:r>
        <w:br w:type="page"/>
      </w:r>
    </w:p>
    <w:p w14:paraId="5F0AFB66" w14:textId="6B6E24DE" w:rsidR="004014F4" w:rsidRPr="00086AB2" w:rsidRDefault="001B67B4" w:rsidP="007729EA">
      <w:pPr>
        <w:pStyle w:val="SWASectionnumberingheading"/>
      </w:pPr>
      <w:bookmarkStart w:id="27" w:name="_Toc55294230"/>
      <w:r w:rsidRPr="00086AB2">
        <w:lastRenderedPageBreak/>
        <w:t>Duration of absence</w:t>
      </w:r>
      <w:bookmarkEnd w:id="27"/>
      <w:r w:rsidR="00020821">
        <w:t xml:space="preserve"> </w:t>
      </w:r>
    </w:p>
    <w:p w14:paraId="435B5EEE" w14:textId="428E700A" w:rsidR="001B67B4" w:rsidRPr="00086AB2" w:rsidRDefault="001B67B4" w:rsidP="007729EA">
      <w:pPr>
        <w:keepNext/>
        <w:keepLines/>
      </w:pPr>
      <w:r w:rsidRPr="00086AB2">
        <w:t xml:space="preserve">The duration of absence associated with </w:t>
      </w:r>
      <w:r w:rsidR="00B07EFB">
        <w:t xml:space="preserve">serious </w:t>
      </w:r>
      <w:r w:rsidRPr="00086AB2">
        <w:t>claims provides an indication of the severity of injuries</w:t>
      </w:r>
      <w:r w:rsidR="00EA53BE" w:rsidRPr="00086AB2">
        <w:t xml:space="preserve"> and diseases</w:t>
      </w:r>
      <w:r w:rsidRPr="00086AB2">
        <w:t xml:space="preserve"> occurring in Australia. Indicator 6 shows the variation in the percentage of claims involving selected periods of compensation</w:t>
      </w:r>
      <w:r w:rsidR="00F20315" w:rsidRPr="00086AB2">
        <w:t xml:space="preserve"> across the jurisdictions</w:t>
      </w:r>
      <w:r w:rsidRPr="00086AB2">
        <w:t xml:space="preserve">. </w:t>
      </w:r>
      <w:r w:rsidR="00E74178">
        <w:t xml:space="preserve">Data </w:t>
      </w:r>
      <w:r w:rsidR="0039462E">
        <w:t>are</w:t>
      </w:r>
      <w:r w:rsidRPr="00086AB2">
        <w:t xml:space="preserve"> based on claims lodged in</w:t>
      </w:r>
      <w:r w:rsidR="00F20315" w:rsidRPr="00086AB2">
        <w:t xml:space="preserve"> </w:t>
      </w:r>
      <w:r w:rsidR="00AE29EB">
        <w:t>2</w:t>
      </w:r>
      <w:r w:rsidR="00F20315" w:rsidRPr="00086AB2">
        <w:t>01</w:t>
      </w:r>
      <w:r w:rsidR="00D87A9B">
        <w:t>7</w:t>
      </w:r>
      <w:r w:rsidR="00F20315" w:rsidRPr="00086AB2">
        <w:t>–1</w:t>
      </w:r>
      <w:r w:rsidR="00D87A9B">
        <w:t>8</w:t>
      </w:r>
      <w:r w:rsidRPr="00086AB2">
        <w:t xml:space="preserve">, which is the most recent year that </w:t>
      </w:r>
      <w:r w:rsidR="00E74178">
        <w:t>finalised</w:t>
      </w:r>
      <w:r w:rsidR="00E74178" w:rsidRPr="00086AB2">
        <w:t xml:space="preserve"> </w:t>
      </w:r>
      <w:r w:rsidRPr="00086AB2">
        <w:t xml:space="preserve">data </w:t>
      </w:r>
      <w:r w:rsidR="00E74178">
        <w:t>is</w:t>
      </w:r>
      <w:r w:rsidR="00E74178" w:rsidRPr="00086AB2">
        <w:t xml:space="preserve"> </w:t>
      </w:r>
      <w:r w:rsidRPr="00086AB2">
        <w:t xml:space="preserve">available for this indicator. </w:t>
      </w:r>
    </w:p>
    <w:p w14:paraId="2355B95D" w14:textId="0A8588D2" w:rsidR="001B67B4" w:rsidRPr="00086AB2" w:rsidRDefault="001B67B4" w:rsidP="007729EA">
      <w:pPr>
        <w:keepNext/>
        <w:keepLines/>
      </w:pPr>
      <w:r w:rsidRPr="00086AB2">
        <w:t>Indicator 6 shows that</w:t>
      </w:r>
      <w:r w:rsidR="00F20315" w:rsidRPr="00086AB2">
        <w:t xml:space="preserve"> </w:t>
      </w:r>
      <w:r w:rsidR="00D87A9B">
        <w:t>49</w:t>
      </w:r>
      <w:r w:rsidR="003C4F76">
        <w:t>%</w:t>
      </w:r>
      <w:r w:rsidRPr="00086AB2">
        <w:t xml:space="preserve"> of claims in Australia resulted in less than six weeks of compensation. The jurisdictional rates </w:t>
      </w:r>
      <w:r w:rsidR="00947F6E" w:rsidRPr="00086AB2">
        <w:t xml:space="preserve">ranged between </w:t>
      </w:r>
      <w:r w:rsidR="00B07EFB">
        <w:t>65</w:t>
      </w:r>
      <w:r w:rsidR="003C4F76">
        <w:t>%</w:t>
      </w:r>
      <w:r w:rsidR="00947F6E" w:rsidRPr="00086AB2">
        <w:t xml:space="preserve"> for </w:t>
      </w:r>
      <w:r w:rsidR="00193005">
        <w:t>South Australia</w:t>
      </w:r>
      <w:r w:rsidR="00947F6E" w:rsidRPr="00086AB2">
        <w:t xml:space="preserve"> to </w:t>
      </w:r>
      <w:r w:rsidR="00430D6C">
        <w:t>3</w:t>
      </w:r>
      <w:r w:rsidR="00D87A9B">
        <w:t>4</w:t>
      </w:r>
      <w:r w:rsidR="003C4F76">
        <w:t>%</w:t>
      </w:r>
      <w:r w:rsidR="00947F6E" w:rsidRPr="00086AB2">
        <w:t xml:space="preserve"> for Seacare.</w:t>
      </w:r>
      <w:r w:rsidRPr="00086AB2">
        <w:t xml:space="preserve"> </w:t>
      </w:r>
    </w:p>
    <w:p w14:paraId="2AB4E3A7" w14:textId="098E084F" w:rsidR="001B67B4" w:rsidRPr="00086AB2" w:rsidRDefault="00C24B25" w:rsidP="001B67B4">
      <w:r>
        <w:t>On average, 11</w:t>
      </w:r>
      <w:r w:rsidR="003C4F76">
        <w:t>%</w:t>
      </w:r>
      <w:r>
        <w:t xml:space="preserve"> of all claims across Australia continued for 52 weeks or more. </w:t>
      </w:r>
      <w:r w:rsidR="001B67B4" w:rsidRPr="00086AB2">
        <w:t>Victoria had the highest percentage of claims that continued past 52 weeks of compensation (</w:t>
      </w:r>
      <w:r w:rsidR="00F20315" w:rsidRPr="00086AB2">
        <w:t>1</w:t>
      </w:r>
      <w:r w:rsidR="00430D6C">
        <w:t>9</w:t>
      </w:r>
      <w:r w:rsidR="003C4F76">
        <w:t>%</w:t>
      </w:r>
      <w:r w:rsidR="001B67B4" w:rsidRPr="00086AB2">
        <w:t xml:space="preserve"> of claims), followed by </w:t>
      </w:r>
      <w:r w:rsidR="00D87A9B">
        <w:t>Seacare (15</w:t>
      </w:r>
      <w:r w:rsidR="003C4F76">
        <w:t>%</w:t>
      </w:r>
      <w:r w:rsidR="00D87A9B">
        <w:t>),</w:t>
      </w:r>
      <w:r>
        <w:t xml:space="preserve"> </w:t>
      </w:r>
      <w:r w:rsidR="00430D6C">
        <w:t>Western Australia</w:t>
      </w:r>
      <w:r w:rsidR="00F20315" w:rsidRPr="00086AB2">
        <w:t xml:space="preserve"> (1</w:t>
      </w:r>
      <w:r w:rsidR="00D87A9B">
        <w:t>3</w:t>
      </w:r>
      <w:r w:rsidR="003C4F76">
        <w:t>%</w:t>
      </w:r>
      <w:r w:rsidR="00F20315" w:rsidRPr="00086AB2">
        <w:t xml:space="preserve">), </w:t>
      </w:r>
      <w:r>
        <w:t xml:space="preserve">and </w:t>
      </w:r>
      <w:r w:rsidR="00430D6C">
        <w:t>New South Wales</w:t>
      </w:r>
      <w:r w:rsidR="00D87A9B">
        <w:t xml:space="preserve"> (12</w:t>
      </w:r>
      <w:r w:rsidR="003C4F76">
        <w:t>%</w:t>
      </w:r>
      <w:r w:rsidR="00D87A9B">
        <w:t>)</w:t>
      </w:r>
      <w:r>
        <w:t xml:space="preserve">. </w:t>
      </w:r>
      <w:r w:rsidR="00933EBA">
        <w:t>South Australia</w:t>
      </w:r>
      <w:r w:rsidR="001B67B4" w:rsidRPr="00086AB2">
        <w:t xml:space="preserve"> had the lowest percentage (</w:t>
      </w:r>
      <w:r w:rsidR="003F362E">
        <w:t>3</w:t>
      </w:r>
      <w:r w:rsidR="003C4F76">
        <w:t>%</w:t>
      </w:r>
      <w:r w:rsidR="001B67B4" w:rsidRPr="00086AB2">
        <w:t>) of claims continuin</w:t>
      </w:r>
      <w:r w:rsidR="00522A78" w:rsidRPr="00086AB2">
        <w:t>g past 52 weeks of compensation</w:t>
      </w:r>
      <w:r w:rsidR="00430D6C">
        <w:t>, followed by Tasmania (7</w:t>
      </w:r>
      <w:r w:rsidR="003C4F76">
        <w:t>%</w:t>
      </w:r>
      <w:r w:rsidR="00430D6C">
        <w:t>).</w:t>
      </w:r>
    </w:p>
    <w:p w14:paraId="788E405A" w14:textId="4CF4E147" w:rsidR="00020DBC" w:rsidRPr="00086AB2" w:rsidRDefault="002E5FC6" w:rsidP="00546165">
      <w:r>
        <w:t>In 2017</w:t>
      </w:r>
      <w:r w:rsidR="004C7164" w:rsidRPr="00086AB2">
        <w:t>–</w:t>
      </w:r>
      <w:r>
        <w:t>18, 67% of</w:t>
      </w:r>
      <w:r w:rsidR="001B67B4" w:rsidRPr="00086AB2">
        <w:t xml:space="preserve"> New Zealand scheme </w:t>
      </w:r>
      <w:r>
        <w:t>claims resulted in less than six weeks of compensation</w:t>
      </w:r>
      <w:r w:rsidR="001B67B4" w:rsidRPr="00086AB2">
        <w:t>.</w:t>
      </w:r>
    </w:p>
    <w:p w14:paraId="0447AFDD" w14:textId="4B371A21" w:rsidR="00AB20B9" w:rsidRPr="00086AB2" w:rsidRDefault="00AB20B9" w:rsidP="00AB20B9">
      <w:pPr>
        <w:pStyle w:val="SWATableheader"/>
      </w:pPr>
      <w:bookmarkStart w:id="28" w:name="_Toc56603297"/>
      <w:bookmarkStart w:id="29" w:name="_Toc56772232"/>
      <w:r w:rsidRPr="00086AB2">
        <w:t xml:space="preserve">Indicator </w:t>
      </w:r>
      <w:r w:rsidR="00772B12">
        <w:fldChar w:fldCharType="begin"/>
      </w:r>
      <w:r w:rsidR="00772B12">
        <w:instrText xml:space="preserve"> SEQ Indicator \* ARABIC </w:instrText>
      </w:r>
      <w:r w:rsidR="00772B12">
        <w:fldChar w:fldCharType="separate"/>
      </w:r>
      <w:r w:rsidR="00772B12">
        <w:rPr>
          <w:noProof/>
        </w:rPr>
        <w:t>6</w:t>
      </w:r>
      <w:r w:rsidR="00772B12">
        <w:rPr>
          <w:noProof/>
        </w:rPr>
        <w:fldChar w:fldCharType="end"/>
      </w:r>
      <w:r w:rsidRPr="00086AB2">
        <w:t xml:space="preserve"> </w:t>
      </w:r>
      <w:r w:rsidR="00E76BFC" w:rsidRPr="00086AB2">
        <w:t>–</w:t>
      </w:r>
      <w:r w:rsidRPr="00086AB2">
        <w:t xml:space="preserve"> Serious claims: Percentage involving selected periods of compensation, </w:t>
      </w:r>
      <w:r w:rsidR="00F869DA" w:rsidRPr="00086AB2">
        <w:t>201</w:t>
      </w:r>
      <w:r w:rsidR="00246940">
        <w:t>7</w:t>
      </w:r>
      <w:r w:rsidR="00F869DA" w:rsidRPr="00086AB2">
        <w:t>–1</w:t>
      </w:r>
      <w:r w:rsidR="00246940">
        <w:t>8</w:t>
      </w:r>
      <w:bookmarkEnd w:id="28"/>
      <w:bookmarkEnd w:id="29"/>
      <w:r w:rsidR="00246940">
        <w:t xml:space="preserve"> </w:t>
      </w:r>
    </w:p>
    <w:tbl>
      <w:tblPr>
        <w:tblStyle w:val="LightShading-Accent2"/>
        <w:tblW w:w="5000" w:type="pct"/>
        <w:tblLook w:val="04A0" w:firstRow="1" w:lastRow="0" w:firstColumn="1" w:lastColumn="0" w:noHBand="0" w:noVBand="1"/>
        <w:tblCaption w:val="Indicator 6 - Table shows the percentage of claims involving selected periods of compensation in 2013-14."/>
        <w:tblDescription w:val="This table shows the percentage of serious claims involving selected periods of compensation (in weeks) by jurisdiction, for the financial year 2016-17. Please refer to body text for more details."/>
      </w:tblPr>
      <w:tblGrid>
        <w:gridCol w:w="2795"/>
        <w:gridCol w:w="1206"/>
        <w:gridCol w:w="1206"/>
        <w:gridCol w:w="1206"/>
        <w:gridCol w:w="1207"/>
        <w:gridCol w:w="1200"/>
      </w:tblGrid>
      <w:tr w:rsidR="00AB20B9" w:rsidRPr="00086AB2" w14:paraId="168ADDCF" w14:textId="77777777" w:rsidTr="0069501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14:paraId="4D326BCE" w14:textId="77777777" w:rsidR="00AB20B9" w:rsidRPr="00086AB2" w:rsidRDefault="00AB20B9" w:rsidP="007F5071">
            <w:pPr>
              <w:jc w:val="left"/>
              <w:rPr>
                <w:bCs w:val="0"/>
                <w:szCs w:val="20"/>
              </w:rPr>
            </w:pPr>
            <w:r w:rsidRPr="00086AB2">
              <w:rPr>
                <w:bCs w:val="0"/>
                <w:szCs w:val="20"/>
              </w:rPr>
              <w:t>Jurisdiction</w:t>
            </w:r>
          </w:p>
        </w:tc>
        <w:tc>
          <w:tcPr>
            <w:tcW w:w="684" w:type="pct"/>
            <w:vAlign w:val="center"/>
            <w:hideMark/>
          </w:tcPr>
          <w:p w14:paraId="225E925B" w14:textId="77777777"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less than 6 weeks</w:t>
            </w:r>
          </w:p>
        </w:tc>
        <w:tc>
          <w:tcPr>
            <w:tcW w:w="684" w:type="pct"/>
            <w:vAlign w:val="center"/>
            <w:hideMark/>
          </w:tcPr>
          <w:p w14:paraId="212182B4" w14:textId="77777777"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6 weeks or more</w:t>
            </w:r>
          </w:p>
        </w:tc>
        <w:tc>
          <w:tcPr>
            <w:tcW w:w="684" w:type="pct"/>
            <w:vAlign w:val="center"/>
            <w:hideMark/>
          </w:tcPr>
          <w:p w14:paraId="1D9FFE79" w14:textId="77777777"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12 weeks or more</w:t>
            </w:r>
          </w:p>
        </w:tc>
        <w:tc>
          <w:tcPr>
            <w:tcW w:w="684" w:type="pct"/>
            <w:vAlign w:val="center"/>
            <w:hideMark/>
          </w:tcPr>
          <w:p w14:paraId="1DF21B96" w14:textId="77777777"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26 weeks or more</w:t>
            </w:r>
          </w:p>
        </w:tc>
        <w:tc>
          <w:tcPr>
            <w:tcW w:w="680" w:type="pct"/>
            <w:vAlign w:val="center"/>
            <w:hideMark/>
          </w:tcPr>
          <w:p w14:paraId="6C1902BC" w14:textId="77777777"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52 weeks or more</w:t>
            </w:r>
          </w:p>
        </w:tc>
      </w:tr>
      <w:tr w:rsidR="00246940" w:rsidRPr="00086AB2" w14:paraId="4873DADA" w14:textId="77777777"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686C1D3F" w14:textId="77777777" w:rsidR="00246940" w:rsidRPr="00086AB2" w:rsidRDefault="00246940" w:rsidP="00246940">
            <w:pPr>
              <w:rPr>
                <w:color w:val="000000"/>
                <w:szCs w:val="20"/>
              </w:rPr>
            </w:pPr>
            <w:r w:rsidRPr="00086AB2">
              <w:rPr>
                <w:color w:val="000000"/>
                <w:szCs w:val="20"/>
              </w:rPr>
              <w:t>New South Wales</w:t>
            </w:r>
          </w:p>
        </w:tc>
        <w:tc>
          <w:tcPr>
            <w:tcW w:w="684" w:type="pct"/>
            <w:tcBorders>
              <w:top w:val="single" w:sz="4" w:space="0" w:color="FFFFFF"/>
              <w:left w:val="single" w:sz="4" w:space="0" w:color="FFFFFF"/>
              <w:bottom w:val="single" w:sz="4" w:space="0" w:color="FFFFFF"/>
              <w:right w:val="single" w:sz="4" w:space="0" w:color="FFFFFF"/>
            </w:tcBorders>
            <w:shd w:val="clear" w:color="000000" w:fill="EFD3D2"/>
            <w:noWrap/>
            <w:vAlign w:val="center"/>
            <w:hideMark/>
          </w:tcPr>
          <w:p w14:paraId="16AAEBEE" w14:textId="0B80CFCA" w:rsidR="00246940" w:rsidRDefault="00246940" w:rsidP="00246940">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52</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14:paraId="3629CE79" w14:textId="6B13F9AA"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48</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14:paraId="7CE2B698" w14:textId="41DC9C35"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32</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14:paraId="2083DFBB" w14:textId="00C0E9CB"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20</w:t>
            </w:r>
          </w:p>
        </w:tc>
        <w:tc>
          <w:tcPr>
            <w:tcW w:w="680" w:type="pct"/>
            <w:tcBorders>
              <w:top w:val="single" w:sz="4" w:space="0" w:color="FFFFFF"/>
              <w:left w:val="nil"/>
              <w:bottom w:val="single" w:sz="4" w:space="0" w:color="FFFFFF"/>
              <w:right w:val="single" w:sz="4" w:space="0" w:color="FFFFFF"/>
            </w:tcBorders>
            <w:shd w:val="clear" w:color="000000" w:fill="EFD3D2"/>
            <w:noWrap/>
            <w:vAlign w:val="center"/>
            <w:hideMark/>
          </w:tcPr>
          <w:p w14:paraId="7E2ABBCE" w14:textId="38C4A82D"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w:t>
            </w:r>
          </w:p>
        </w:tc>
      </w:tr>
      <w:tr w:rsidR="00246940" w:rsidRPr="00086AB2" w14:paraId="40A72C89" w14:textId="77777777"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1F9FB158" w14:textId="77777777" w:rsidR="00246940" w:rsidRPr="00086AB2" w:rsidRDefault="00246940" w:rsidP="00246940">
            <w:pPr>
              <w:rPr>
                <w:color w:val="000000"/>
                <w:szCs w:val="20"/>
              </w:rPr>
            </w:pPr>
            <w:r w:rsidRPr="00086AB2">
              <w:rPr>
                <w:color w:val="000000"/>
                <w:szCs w:val="20"/>
              </w:rPr>
              <w:t>Victoria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hideMark/>
          </w:tcPr>
          <w:p w14:paraId="4C632FC5" w14:textId="74810195"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38</w:t>
            </w:r>
          </w:p>
        </w:tc>
        <w:tc>
          <w:tcPr>
            <w:tcW w:w="684" w:type="pct"/>
            <w:tcBorders>
              <w:top w:val="nil"/>
              <w:left w:val="nil"/>
              <w:bottom w:val="single" w:sz="4" w:space="0" w:color="FFFFFF"/>
              <w:right w:val="single" w:sz="4" w:space="0" w:color="FFFFFF"/>
            </w:tcBorders>
            <w:shd w:val="clear" w:color="000000" w:fill="FFFFFF"/>
            <w:noWrap/>
            <w:vAlign w:val="center"/>
            <w:hideMark/>
          </w:tcPr>
          <w:p w14:paraId="142C7841" w14:textId="29237603"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62</w:t>
            </w:r>
          </w:p>
        </w:tc>
        <w:tc>
          <w:tcPr>
            <w:tcW w:w="684" w:type="pct"/>
            <w:tcBorders>
              <w:top w:val="nil"/>
              <w:left w:val="nil"/>
              <w:bottom w:val="single" w:sz="4" w:space="0" w:color="FFFFFF"/>
              <w:right w:val="single" w:sz="4" w:space="0" w:color="FFFFFF"/>
            </w:tcBorders>
            <w:shd w:val="clear" w:color="000000" w:fill="FFFFFF"/>
            <w:noWrap/>
            <w:vAlign w:val="center"/>
            <w:hideMark/>
          </w:tcPr>
          <w:p w14:paraId="090E075F" w14:textId="67FE9AC9"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46</w:t>
            </w:r>
          </w:p>
        </w:tc>
        <w:tc>
          <w:tcPr>
            <w:tcW w:w="684" w:type="pct"/>
            <w:tcBorders>
              <w:top w:val="nil"/>
              <w:left w:val="nil"/>
              <w:bottom w:val="single" w:sz="4" w:space="0" w:color="FFFFFF"/>
              <w:right w:val="single" w:sz="4" w:space="0" w:color="FFFFFF"/>
            </w:tcBorders>
            <w:shd w:val="clear" w:color="000000" w:fill="FFFFFF"/>
            <w:noWrap/>
            <w:vAlign w:val="center"/>
            <w:hideMark/>
          </w:tcPr>
          <w:p w14:paraId="7A3D6C00" w14:textId="61521326"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30</w:t>
            </w:r>
          </w:p>
        </w:tc>
        <w:tc>
          <w:tcPr>
            <w:tcW w:w="680" w:type="pct"/>
            <w:tcBorders>
              <w:top w:val="nil"/>
              <w:left w:val="nil"/>
              <w:bottom w:val="single" w:sz="4" w:space="0" w:color="FFFFFF"/>
              <w:right w:val="single" w:sz="4" w:space="0" w:color="FFFFFF"/>
            </w:tcBorders>
            <w:shd w:val="clear" w:color="000000" w:fill="FFFFFF"/>
            <w:noWrap/>
            <w:vAlign w:val="center"/>
            <w:hideMark/>
          </w:tcPr>
          <w:p w14:paraId="21652773" w14:textId="63ECE838"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r>
      <w:tr w:rsidR="00246940" w:rsidRPr="00086AB2" w14:paraId="3B797EBD" w14:textId="77777777"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686461BA" w14:textId="77777777" w:rsidR="00246940" w:rsidRPr="00086AB2" w:rsidRDefault="00246940" w:rsidP="00246940">
            <w:pPr>
              <w:rPr>
                <w:color w:val="000000"/>
                <w:szCs w:val="20"/>
              </w:rPr>
            </w:pPr>
            <w:r w:rsidRPr="00086AB2">
              <w:rPr>
                <w:color w:val="000000"/>
                <w:szCs w:val="20"/>
              </w:rPr>
              <w:t>Queensland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6E06143A" w14:textId="0EEA57FF"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52</w:t>
            </w:r>
          </w:p>
        </w:tc>
        <w:tc>
          <w:tcPr>
            <w:tcW w:w="684" w:type="pct"/>
            <w:tcBorders>
              <w:top w:val="nil"/>
              <w:left w:val="nil"/>
              <w:bottom w:val="single" w:sz="4" w:space="0" w:color="FFFFFF"/>
              <w:right w:val="single" w:sz="4" w:space="0" w:color="FFFFFF"/>
            </w:tcBorders>
            <w:shd w:val="clear" w:color="000000" w:fill="EFD3D2"/>
            <w:noWrap/>
            <w:vAlign w:val="center"/>
          </w:tcPr>
          <w:p w14:paraId="7A42F857" w14:textId="2EE3FFEC"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EFD3D2"/>
            <w:noWrap/>
            <w:vAlign w:val="center"/>
          </w:tcPr>
          <w:p w14:paraId="763E2ACC" w14:textId="053197F4"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30</w:t>
            </w:r>
          </w:p>
        </w:tc>
        <w:tc>
          <w:tcPr>
            <w:tcW w:w="684" w:type="pct"/>
            <w:tcBorders>
              <w:top w:val="nil"/>
              <w:left w:val="nil"/>
              <w:bottom w:val="single" w:sz="4" w:space="0" w:color="FFFFFF"/>
              <w:right w:val="single" w:sz="4" w:space="0" w:color="FFFFFF"/>
            </w:tcBorders>
            <w:shd w:val="clear" w:color="000000" w:fill="EFD3D2"/>
            <w:noWrap/>
            <w:vAlign w:val="center"/>
          </w:tcPr>
          <w:p w14:paraId="49FCC46D" w14:textId="270081FC"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680" w:type="pct"/>
            <w:tcBorders>
              <w:top w:val="nil"/>
              <w:left w:val="nil"/>
              <w:bottom w:val="single" w:sz="4" w:space="0" w:color="FFFFFF"/>
              <w:right w:val="single" w:sz="4" w:space="0" w:color="FFFFFF"/>
            </w:tcBorders>
            <w:shd w:val="clear" w:color="000000" w:fill="EFD3D2"/>
            <w:noWrap/>
            <w:vAlign w:val="center"/>
          </w:tcPr>
          <w:p w14:paraId="01086E3B" w14:textId="39DCE2C3"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r>
      <w:tr w:rsidR="00246940" w:rsidRPr="00086AB2" w14:paraId="43870D6F" w14:textId="77777777"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3EFFE012" w14:textId="77777777" w:rsidR="00246940" w:rsidRPr="00086AB2" w:rsidRDefault="00246940" w:rsidP="00246940">
            <w:pPr>
              <w:rPr>
                <w:color w:val="000000"/>
                <w:szCs w:val="20"/>
              </w:rPr>
            </w:pPr>
            <w:r w:rsidRPr="00086AB2">
              <w:rPr>
                <w:color w:val="000000"/>
                <w:szCs w:val="20"/>
              </w:rPr>
              <w:t>South Australia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7943D572" w14:textId="583D570E"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65</w:t>
            </w:r>
          </w:p>
        </w:tc>
        <w:tc>
          <w:tcPr>
            <w:tcW w:w="684" w:type="pct"/>
            <w:tcBorders>
              <w:top w:val="nil"/>
              <w:left w:val="nil"/>
              <w:bottom w:val="single" w:sz="4" w:space="0" w:color="FFFFFF"/>
              <w:right w:val="single" w:sz="4" w:space="0" w:color="FFFFFF"/>
            </w:tcBorders>
            <w:shd w:val="clear" w:color="000000" w:fill="FFFFFF"/>
            <w:noWrap/>
            <w:vAlign w:val="center"/>
          </w:tcPr>
          <w:p w14:paraId="3A607E7C" w14:textId="20EBDA69"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35</w:t>
            </w:r>
          </w:p>
        </w:tc>
        <w:tc>
          <w:tcPr>
            <w:tcW w:w="684" w:type="pct"/>
            <w:tcBorders>
              <w:top w:val="nil"/>
              <w:left w:val="nil"/>
              <w:bottom w:val="single" w:sz="4" w:space="0" w:color="FFFFFF"/>
              <w:right w:val="single" w:sz="4" w:space="0" w:color="FFFFFF"/>
            </w:tcBorders>
            <w:shd w:val="clear" w:color="000000" w:fill="FFFFFF"/>
            <w:noWrap/>
            <w:vAlign w:val="center"/>
          </w:tcPr>
          <w:p w14:paraId="22E12F7E" w14:textId="4FD8F6FB"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20</w:t>
            </w:r>
          </w:p>
        </w:tc>
        <w:tc>
          <w:tcPr>
            <w:tcW w:w="684" w:type="pct"/>
            <w:tcBorders>
              <w:top w:val="nil"/>
              <w:left w:val="nil"/>
              <w:bottom w:val="single" w:sz="4" w:space="0" w:color="FFFFFF"/>
              <w:right w:val="single" w:sz="4" w:space="0" w:color="FFFFFF"/>
            </w:tcBorders>
            <w:shd w:val="clear" w:color="000000" w:fill="FFFFFF"/>
            <w:noWrap/>
            <w:vAlign w:val="center"/>
          </w:tcPr>
          <w:p w14:paraId="33E7C373" w14:textId="6268DFD5"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w:t>
            </w:r>
          </w:p>
        </w:tc>
        <w:tc>
          <w:tcPr>
            <w:tcW w:w="680" w:type="pct"/>
            <w:tcBorders>
              <w:top w:val="nil"/>
              <w:left w:val="nil"/>
              <w:bottom w:val="single" w:sz="4" w:space="0" w:color="FFFFFF"/>
              <w:right w:val="single" w:sz="4" w:space="0" w:color="FFFFFF"/>
            </w:tcBorders>
            <w:shd w:val="clear" w:color="000000" w:fill="FFFFFF"/>
            <w:noWrap/>
            <w:vAlign w:val="center"/>
          </w:tcPr>
          <w:p w14:paraId="5D41E1FA" w14:textId="361A29C5"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p>
        </w:tc>
      </w:tr>
      <w:tr w:rsidR="00246940" w:rsidRPr="00086AB2" w14:paraId="158C6C81" w14:textId="77777777"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2F1B3E75" w14:textId="77777777" w:rsidR="00246940" w:rsidRPr="00086AB2" w:rsidRDefault="00246940" w:rsidP="00246940">
            <w:pPr>
              <w:rPr>
                <w:color w:val="000000"/>
                <w:szCs w:val="20"/>
              </w:rPr>
            </w:pPr>
            <w:r w:rsidRPr="00086AB2">
              <w:rPr>
                <w:color w:val="000000"/>
                <w:szCs w:val="20"/>
              </w:rPr>
              <w:t>Western Australia</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4337CDE5" w14:textId="2314365B"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43</w:t>
            </w:r>
          </w:p>
        </w:tc>
        <w:tc>
          <w:tcPr>
            <w:tcW w:w="684" w:type="pct"/>
            <w:tcBorders>
              <w:top w:val="nil"/>
              <w:left w:val="nil"/>
              <w:bottom w:val="single" w:sz="4" w:space="0" w:color="FFFFFF"/>
              <w:right w:val="single" w:sz="4" w:space="0" w:color="FFFFFF"/>
            </w:tcBorders>
            <w:shd w:val="clear" w:color="000000" w:fill="EFD3D2"/>
            <w:noWrap/>
            <w:vAlign w:val="center"/>
          </w:tcPr>
          <w:p w14:paraId="4EE2974B" w14:textId="1F1BA775"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57</w:t>
            </w:r>
          </w:p>
        </w:tc>
        <w:tc>
          <w:tcPr>
            <w:tcW w:w="684" w:type="pct"/>
            <w:tcBorders>
              <w:top w:val="nil"/>
              <w:left w:val="nil"/>
              <w:bottom w:val="single" w:sz="4" w:space="0" w:color="FFFFFF"/>
              <w:right w:val="single" w:sz="4" w:space="0" w:color="FFFFFF"/>
            </w:tcBorders>
            <w:shd w:val="clear" w:color="000000" w:fill="EFD3D2"/>
            <w:noWrap/>
            <w:vAlign w:val="center"/>
          </w:tcPr>
          <w:p w14:paraId="65D2EE90" w14:textId="661E4CBF"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40</w:t>
            </w:r>
          </w:p>
        </w:tc>
        <w:tc>
          <w:tcPr>
            <w:tcW w:w="684" w:type="pct"/>
            <w:tcBorders>
              <w:top w:val="nil"/>
              <w:left w:val="nil"/>
              <w:bottom w:val="single" w:sz="4" w:space="0" w:color="FFFFFF"/>
              <w:right w:val="single" w:sz="4" w:space="0" w:color="FFFFFF"/>
            </w:tcBorders>
            <w:shd w:val="clear" w:color="000000" w:fill="EFD3D2"/>
            <w:noWrap/>
            <w:vAlign w:val="center"/>
          </w:tcPr>
          <w:p w14:paraId="6816EDBD" w14:textId="612A78EF"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24</w:t>
            </w:r>
          </w:p>
        </w:tc>
        <w:tc>
          <w:tcPr>
            <w:tcW w:w="680" w:type="pct"/>
            <w:tcBorders>
              <w:top w:val="nil"/>
              <w:left w:val="nil"/>
              <w:bottom w:val="single" w:sz="4" w:space="0" w:color="FFFFFF"/>
              <w:right w:val="single" w:sz="4" w:space="0" w:color="FFFFFF"/>
            </w:tcBorders>
            <w:shd w:val="clear" w:color="000000" w:fill="EFD3D2"/>
            <w:noWrap/>
            <w:vAlign w:val="center"/>
          </w:tcPr>
          <w:p w14:paraId="52AB6D49" w14:textId="636D5501"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r>
      <w:tr w:rsidR="00246940" w:rsidRPr="00086AB2" w14:paraId="20962093" w14:textId="77777777"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472B4251" w14:textId="77777777" w:rsidR="00246940" w:rsidRPr="00086AB2" w:rsidRDefault="00246940" w:rsidP="00246940">
            <w:pPr>
              <w:rPr>
                <w:color w:val="000000"/>
                <w:szCs w:val="20"/>
              </w:rPr>
            </w:pPr>
            <w:r w:rsidRPr="00086AB2">
              <w:rPr>
                <w:color w:val="000000"/>
                <w:szCs w:val="20"/>
              </w:rPr>
              <w:t>Tasmania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619BF2C4" w14:textId="126322AD"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56</w:t>
            </w:r>
          </w:p>
        </w:tc>
        <w:tc>
          <w:tcPr>
            <w:tcW w:w="684" w:type="pct"/>
            <w:tcBorders>
              <w:top w:val="nil"/>
              <w:left w:val="nil"/>
              <w:bottom w:val="single" w:sz="4" w:space="0" w:color="FFFFFF"/>
              <w:right w:val="single" w:sz="4" w:space="0" w:color="FFFFFF"/>
            </w:tcBorders>
            <w:shd w:val="clear" w:color="000000" w:fill="FFFFFF"/>
            <w:noWrap/>
            <w:vAlign w:val="center"/>
          </w:tcPr>
          <w:p w14:paraId="36BD4523" w14:textId="31AE9561"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44</w:t>
            </w:r>
          </w:p>
        </w:tc>
        <w:tc>
          <w:tcPr>
            <w:tcW w:w="684" w:type="pct"/>
            <w:tcBorders>
              <w:top w:val="nil"/>
              <w:left w:val="nil"/>
              <w:bottom w:val="single" w:sz="4" w:space="0" w:color="FFFFFF"/>
              <w:right w:val="single" w:sz="4" w:space="0" w:color="FFFFFF"/>
            </w:tcBorders>
            <w:shd w:val="clear" w:color="000000" w:fill="FFFFFF"/>
            <w:noWrap/>
            <w:vAlign w:val="center"/>
          </w:tcPr>
          <w:p w14:paraId="161213D4" w14:textId="11A1432D"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27</w:t>
            </w:r>
          </w:p>
        </w:tc>
        <w:tc>
          <w:tcPr>
            <w:tcW w:w="684" w:type="pct"/>
            <w:tcBorders>
              <w:top w:val="nil"/>
              <w:left w:val="nil"/>
              <w:bottom w:val="single" w:sz="4" w:space="0" w:color="FFFFFF"/>
              <w:right w:val="single" w:sz="4" w:space="0" w:color="FFFFFF"/>
            </w:tcBorders>
            <w:shd w:val="clear" w:color="000000" w:fill="FFFFFF"/>
            <w:noWrap/>
            <w:vAlign w:val="center"/>
          </w:tcPr>
          <w:p w14:paraId="4E8F63C3" w14:textId="3A97EFFA"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w:t>
            </w:r>
          </w:p>
        </w:tc>
        <w:tc>
          <w:tcPr>
            <w:tcW w:w="680" w:type="pct"/>
            <w:tcBorders>
              <w:top w:val="nil"/>
              <w:left w:val="nil"/>
              <w:bottom w:val="single" w:sz="4" w:space="0" w:color="FFFFFF"/>
              <w:right w:val="single" w:sz="4" w:space="0" w:color="FFFFFF"/>
            </w:tcBorders>
            <w:shd w:val="clear" w:color="000000" w:fill="FFFFFF"/>
            <w:noWrap/>
            <w:vAlign w:val="center"/>
          </w:tcPr>
          <w:p w14:paraId="6DF30F12" w14:textId="6F087EB9"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r>
      <w:tr w:rsidR="00246940" w:rsidRPr="00086AB2" w14:paraId="67231CCF" w14:textId="77777777"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3A6C64C5" w14:textId="77777777" w:rsidR="00246940" w:rsidRPr="00086AB2" w:rsidRDefault="00246940" w:rsidP="00246940">
            <w:pPr>
              <w:rPr>
                <w:color w:val="000000"/>
                <w:szCs w:val="20"/>
              </w:rPr>
            </w:pPr>
            <w:r w:rsidRPr="00086AB2">
              <w:rPr>
                <w:color w:val="000000"/>
                <w:szCs w:val="20"/>
              </w:rPr>
              <w:t>Northern Territory</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6B62AA56" w14:textId="77CCBF5F"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42</w:t>
            </w:r>
          </w:p>
        </w:tc>
        <w:tc>
          <w:tcPr>
            <w:tcW w:w="684" w:type="pct"/>
            <w:tcBorders>
              <w:top w:val="nil"/>
              <w:left w:val="nil"/>
              <w:bottom w:val="single" w:sz="4" w:space="0" w:color="FFFFFF"/>
              <w:right w:val="single" w:sz="4" w:space="0" w:color="FFFFFF"/>
            </w:tcBorders>
            <w:shd w:val="clear" w:color="000000" w:fill="EFD3D2"/>
            <w:noWrap/>
            <w:vAlign w:val="center"/>
          </w:tcPr>
          <w:p w14:paraId="432D9E1A" w14:textId="39E213FB"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58</w:t>
            </w:r>
          </w:p>
        </w:tc>
        <w:tc>
          <w:tcPr>
            <w:tcW w:w="684" w:type="pct"/>
            <w:tcBorders>
              <w:top w:val="nil"/>
              <w:left w:val="nil"/>
              <w:bottom w:val="single" w:sz="4" w:space="0" w:color="FFFFFF"/>
              <w:right w:val="single" w:sz="4" w:space="0" w:color="FFFFFF"/>
            </w:tcBorders>
            <w:shd w:val="clear" w:color="000000" w:fill="EFD3D2"/>
            <w:noWrap/>
            <w:vAlign w:val="center"/>
          </w:tcPr>
          <w:p w14:paraId="481724D6" w14:textId="033B6AD8"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684" w:type="pct"/>
            <w:tcBorders>
              <w:top w:val="nil"/>
              <w:left w:val="nil"/>
              <w:bottom w:val="single" w:sz="4" w:space="0" w:color="FFFFFF"/>
              <w:right w:val="single" w:sz="4" w:space="0" w:color="FFFFFF"/>
            </w:tcBorders>
            <w:shd w:val="clear" w:color="000000" w:fill="EFD3D2"/>
            <w:noWrap/>
            <w:vAlign w:val="center"/>
          </w:tcPr>
          <w:p w14:paraId="3AECF3F8" w14:textId="2920CF87"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680" w:type="pct"/>
            <w:tcBorders>
              <w:top w:val="nil"/>
              <w:left w:val="nil"/>
              <w:bottom w:val="single" w:sz="4" w:space="0" w:color="FFFFFF"/>
              <w:right w:val="single" w:sz="4" w:space="0" w:color="FFFFFF"/>
            </w:tcBorders>
            <w:shd w:val="clear" w:color="000000" w:fill="EFD3D2"/>
            <w:noWrap/>
            <w:vAlign w:val="center"/>
          </w:tcPr>
          <w:p w14:paraId="2F583CD9" w14:textId="523F4C1A"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r>
      <w:tr w:rsidR="00246940" w:rsidRPr="00086AB2" w14:paraId="4DACAA9C" w14:textId="77777777"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49151215" w14:textId="77777777" w:rsidR="00246940" w:rsidRPr="00086AB2" w:rsidRDefault="00246940" w:rsidP="00246940">
            <w:pPr>
              <w:rPr>
                <w:color w:val="000000"/>
                <w:szCs w:val="20"/>
              </w:rPr>
            </w:pPr>
            <w:r w:rsidRPr="00086AB2">
              <w:rPr>
                <w:color w:val="000000"/>
                <w:szCs w:val="20"/>
              </w:rPr>
              <w:t>Australian Capital Territory</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48638426" w14:textId="718937D7"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46</w:t>
            </w:r>
          </w:p>
        </w:tc>
        <w:tc>
          <w:tcPr>
            <w:tcW w:w="684" w:type="pct"/>
            <w:tcBorders>
              <w:top w:val="nil"/>
              <w:left w:val="nil"/>
              <w:bottom w:val="single" w:sz="4" w:space="0" w:color="FFFFFF"/>
              <w:right w:val="single" w:sz="4" w:space="0" w:color="FFFFFF"/>
            </w:tcBorders>
            <w:shd w:val="clear" w:color="000000" w:fill="FFFFFF"/>
            <w:noWrap/>
            <w:vAlign w:val="center"/>
          </w:tcPr>
          <w:p w14:paraId="2CD17B73" w14:textId="2BCB73D8"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54</w:t>
            </w:r>
          </w:p>
        </w:tc>
        <w:tc>
          <w:tcPr>
            <w:tcW w:w="684" w:type="pct"/>
            <w:tcBorders>
              <w:top w:val="nil"/>
              <w:left w:val="nil"/>
              <w:bottom w:val="single" w:sz="4" w:space="0" w:color="FFFFFF"/>
              <w:right w:val="single" w:sz="4" w:space="0" w:color="FFFFFF"/>
            </w:tcBorders>
            <w:shd w:val="clear" w:color="000000" w:fill="FFFFFF"/>
            <w:noWrap/>
            <w:vAlign w:val="center"/>
          </w:tcPr>
          <w:p w14:paraId="7B79B5DA" w14:textId="1374B725"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38</w:t>
            </w:r>
          </w:p>
        </w:tc>
        <w:tc>
          <w:tcPr>
            <w:tcW w:w="684" w:type="pct"/>
            <w:tcBorders>
              <w:top w:val="nil"/>
              <w:left w:val="nil"/>
              <w:bottom w:val="single" w:sz="4" w:space="0" w:color="FFFFFF"/>
              <w:right w:val="single" w:sz="4" w:space="0" w:color="FFFFFF"/>
            </w:tcBorders>
            <w:shd w:val="clear" w:color="000000" w:fill="FFFFFF"/>
            <w:noWrap/>
            <w:vAlign w:val="center"/>
          </w:tcPr>
          <w:p w14:paraId="07426C8D" w14:textId="1F676DB2"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22</w:t>
            </w:r>
          </w:p>
        </w:tc>
        <w:tc>
          <w:tcPr>
            <w:tcW w:w="680" w:type="pct"/>
            <w:tcBorders>
              <w:top w:val="nil"/>
              <w:left w:val="nil"/>
              <w:bottom w:val="single" w:sz="4" w:space="0" w:color="FFFFFF"/>
              <w:right w:val="single" w:sz="4" w:space="0" w:color="FFFFFF"/>
            </w:tcBorders>
            <w:shd w:val="clear" w:color="000000" w:fill="FFFFFF"/>
            <w:noWrap/>
            <w:vAlign w:val="center"/>
          </w:tcPr>
          <w:p w14:paraId="1A4B168C" w14:textId="273C6C87"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w:t>
            </w:r>
          </w:p>
        </w:tc>
      </w:tr>
      <w:tr w:rsidR="00246940" w:rsidRPr="00086AB2" w14:paraId="4221FFF8" w14:textId="77777777"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741A13E3" w14:textId="77777777" w:rsidR="00246940" w:rsidRPr="00086AB2" w:rsidRDefault="00246940" w:rsidP="00246940">
            <w:pPr>
              <w:rPr>
                <w:color w:val="000000"/>
                <w:szCs w:val="20"/>
              </w:rPr>
            </w:pPr>
            <w:r w:rsidRPr="00086AB2">
              <w:rPr>
                <w:color w:val="000000"/>
                <w:szCs w:val="20"/>
              </w:rPr>
              <w:t>Australian Government</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2779D6EA" w14:textId="5B3B5816"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EFD3D2"/>
            <w:noWrap/>
            <w:vAlign w:val="center"/>
          </w:tcPr>
          <w:p w14:paraId="083694C5" w14:textId="702679E4"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52</w:t>
            </w:r>
          </w:p>
        </w:tc>
        <w:tc>
          <w:tcPr>
            <w:tcW w:w="684" w:type="pct"/>
            <w:tcBorders>
              <w:top w:val="nil"/>
              <w:left w:val="nil"/>
              <w:bottom w:val="single" w:sz="4" w:space="0" w:color="FFFFFF"/>
              <w:right w:val="single" w:sz="4" w:space="0" w:color="FFFFFF"/>
            </w:tcBorders>
            <w:shd w:val="clear" w:color="000000" w:fill="EFD3D2"/>
            <w:noWrap/>
            <w:vAlign w:val="center"/>
          </w:tcPr>
          <w:p w14:paraId="30F6012A" w14:textId="377BABE5"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w:t>
            </w:r>
          </w:p>
        </w:tc>
        <w:tc>
          <w:tcPr>
            <w:tcW w:w="684" w:type="pct"/>
            <w:tcBorders>
              <w:top w:val="nil"/>
              <w:left w:val="nil"/>
              <w:bottom w:val="single" w:sz="4" w:space="0" w:color="FFFFFF"/>
              <w:right w:val="single" w:sz="4" w:space="0" w:color="FFFFFF"/>
            </w:tcBorders>
            <w:shd w:val="clear" w:color="000000" w:fill="EFD3D2"/>
            <w:noWrap/>
            <w:vAlign w:val="center"/>
          </w:tcPr>
          <w:p w14:paraId="6897798E" w14:textId="6EFBFA4A"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19</w:t>
            </w:r>
          </w:p>
        </w:tc>
        <w:tc>
          <w:tcPr>
            <w:tcW w:w="680" w:type="pct"/>
            <w:tcBorders>
              <w:top w:val="nil"/>
              <w:left w:val="nil"/>
              <w:bottom w:val="single" w:sz="4" w:space="0" w:color="FFFFFF"/>
              <w:right w:val="single" w:sz="4" w:space="0" w:color="FFFFFF"/>
            </w:tcBorders>
            <w:shd w:val="clear" w:color="000000" w:fill="EFD3D2"/>
            <w:noWrap/>
            <w:vAlign w:val="center"/>
          </w:tcPr>
          <w:p w14:paraId="161F1980" w14:textId="3664B105"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r>
      <w:tr w:rsidR="00246940" w:rsidRPr="00086AB2" w14:paraId="66900E93" w14:textId="77777777"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2D6596F9" w14:textId="77777777" w:rsidR="00246940" w:rsidRPr="00086AB2" w:rsidRDefault="00246940" w:rsidP="00246940">
            <w:pPr>
              <w:rPr>
                <w:color w:val="000000"/>
                <w:szCs w:val="20"/>
              </w:rPr>
            </w:pPr>
            <w:r w:rsidRPr="00086AB2">
              <w:rPr>
                <w:color w:val="000000"/>
                <w:szCs w:val="20"/>
              </w:rPr>
              <w:t>Seacare</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2D5DAC0B" w14:textId="0E073287"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34</w:t>
            </w:r>
          </w:p>
        </w:tc>
        <w:tc>
          <w:tcPr>
            <w:tcW w:w="684" w:type="pct"/>
            <w:tcBorders>
              <w:top w:val="nil"/>
              <w:left w:val="nil"/>
              <w:bottom w:val="single" w:sz="4" w:space="0" w:color="FFFFFF"/>
              <w:right w:val="single" w:sz="4" w:space="0" w:color="FFFFFF"/>
            </w:tcBorders>
            <w:shd w:val="clear" w:color="000000" w:fill="FFFFFF"/>
            <w:noWrap/>
            <w:vAlign w:val="center"/>
          </w:tcPr>
          <w:p w14:paraId="7D9DF6D0" w14:textId="79F5E3C1"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66</w:t>
            </w:r>
          </w:p>
        </w:tc>
        <w:tc>
          <w:tcPr>
            <w:tcW w:w="684" w:type="pct"/>
            <w:tcBorders>
              <w:top w:val="nil"/>
              <w:left w:val="nil"/>
              <w:bottom w:val="single" w:sz="4" w:space="0" w:color="FFFFFF"/>
              <w:right w:val="single" w:sz="4" w:space="0" w:color="FFFFFF"/>
            </w:tcBorders>
            <w:shd w:val="clear" w:color="000000" w:fill="FFFFFF"/>
            <w:noWrap/>
            <w:vAlign w:val="center"/>
          </w:tcPr>
          <w:p w14:paraId="30127B15" w14:textId="58A61BE5"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FFFFFF"/>
            <w:noWrap/>
            <w:vAlign w:val="center"/>
          </w:tcPr>
          <w:p w14:paraId="50088F4C" w14:textId="5EEF5F6D"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23</w:t>
            </w:r>
          </w:p>
        </w:tc>
        <w:tc>
          <w:tcPr>
            <w:tcW w:w="680" w:type="pct"/>
            <w:tcBorders>
              <w:top w:val="nil"/>
              <w:left w:val="nil"/>
              <w:bottom w:val="single" w:sz="4" w:space="0" w:color="FFFFFF"/>
              <w:right w:val="single" w:sz="4" w:space="0" w:color="FFFFFF"/>
            </w:tcBorders>
            <w:shd w:val="clear" w:color="000000" w:fill="FFFFFF"/>
            <w:noWrap/>
            <w:vAlign w:val="center"/>
          </w:tcPr>
          <w:p w14:paraId="736E3910" w14:textId="722751EB"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p>
        </w:tc>
      </w:tr>
      <w:tr w:rsidR="00246940" w:rsidRPr="00086AB2" w14:paraId="344F8FDB" w14:textId="77777777"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808080" w:themeFill="background1" w:themeFillShade="80"/>
            <w:noWrap/>
            <w:hideMark/>
          </w:tcPr>
          <w:p w14:paraId="3F8C0FAB" w14:textId="77777777" w:rsidR="00246940" w:rsidRPr="00086AB2" w:rsidRDefault="00246940" w:rsidP="00246940">
            <w:pPr>
              <w:rPr>
                <w:bCs w:val="0"/>
                <w:color w:val="FFFFFF" w:themeColor="background1"/>
                <w:szCs w:val="20"/>
              </w:rPr>
            </w:pPr>
            <w:r w:rsidRPr="00086AB2">
              <w:rPr>
                <w:bCs w:val="0"/>
                <w:color w:val="FFFFFF" w:themeColor="background1"/>
                <w:szCs w:val="20"/>
              </w:rPr>
              <w:t>Australian average</w:t>
            </w:r>
          </w:p>
        </w:tc>
        <w:tc>
          <w:tcPr>
            <w:tcW w:w="684" w:type="pct"/>
            <w:tcBorders>
              <w:top w:val="nil"/>
              <w:left w:val="single" w:sz="4" w:space="0" w:color="FFFFFF"/>
              <w:bottom w:val="single" w:sz="4" w:space="0" w:color="FFFFFF"/>
              <w:right w:val="single" w:sz="4" w:space="0" w:color="FFFFFF"/>
            </w:tcBorders>
            <w:shd w:val="clear" w:color="000000" w:fill="808080"/>
            <w:noWrap/>
            <w:vAlign w:val="center"/>
          </w:tcPr>
          <w:p w14:paraId="7B41ED08" w14:textId="3B0666F1"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49</w:t>
            </w:r>
          </w:p>
        </w:tc>
        <w:tc>
          <w:tcPr>
            <w:tcW w:w="684" w:type="pct"/>
            <w:tcBorders>
              <w:top w:val="nil"/>
              <w:left w:val="nil"/>
              <w:bottom w:val="single" w:sz="4" w:space="0" w:color="FFFFFF"/>
              <w:right w:val="single" w:sz="4" w:space="0" w:color="FFFFFF"/>
            </w:tcBorders>
            <w:shd w:val="clear" w:color="000000" w:fill="808080"/>
            <w:noWrap/>
            <w:vAlign w:val="center"/>
          </w:tcPr>
          <w:p w14:paraId="2B2F4AE9" w14:textId="6BF7BE18"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51</w:t>
            </w:r>
          </w:p>
        </w:tc>
        <w:tc>
          <w:tcPr>
            <w:tcW w:w="684" w:type="pct"/>
            <w:tcBorders>
              <w:top w:val="nil"/>
              <w:left w:val="nil"/>
              <w:bottom w:val="single" w:sz="4" w:space="0" w:color="FFFFFF"/>
              <w:right w:val="single" w:sz="4" w:space="0" w:color="FFFFFF"/>
            </w:tcBorders>
            <w:shd w:val="clear" w:color="000000" w:fill="808080"/>
            <w:noWrap/>
            <w:vAlign w:val="center"/>
          </w:tcPr>
          <w:p w14:paraId="5059A1FD" w14:textId="513087EB"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35</w:t>
            </w:r>
          </w:p>
        </w:tc>
        <w:tc>
          <w:tcPr>
            <w:tcW w:w="684" w:type="pct"/>
            <w:tcBorders>
              <w:top w:val="nil"/>
              <w:left w:val="nil"/>
              <w:bottom w:val="single" w:sz="4" w:space="0" w:color="FFFFFF"/>
              <w:right w:val="single" w:sz="4" w:space="0" w:color="FFFFFF"/>
            </w:tcBorders>
            <w:shd w:val="clear" w:color="000000" w:fill="808080"/>
            <w:noWrap/>
            <w:vAlign w:val="center"/>
          </w:tcPr>
          <w:p w14:paraId="19A83C7B" w14:textId="6A34F105"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20</w:t>
            </w:r>
          </w:p>
        </w:tc>
        <w:tc>
          <w:tcPr>
            <w:tcW w:w="680" w:type="pct"/>
            <w:tcBorders>
              <w:top w:val="nil"/>
              <w:left w:val="nil"/>
              <w:bottom w:val="single" w:sz="4" w:space="0" w:color="FFFFFF"/>
              <w:right w:val="single" w:sz="4" w:space="0" w:color="FFFFFF"/>
            </w:tcBorders>
            <w:shd w:val="clear" w:color="000000" w:fill="808080"/>
            <w:noWrap/>
            <w:vAlign w:val="center"/>
          </w:tcPr>
          <w:p w14:paraId="6624FECB" w14:textId="3ED74F59" w:rsidR="00246940" w:rsidRDefault="00246940" w:rsidP="0024694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11</w:t>
            </w:r>
          </w:p>
        </w:tc>
      </w:tr>
      <w:tr w:rsidR="00246940" w:rsidRPr="00086AB2" w14:paraId="45491A11" w14:textId="77777777"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EFD3D2"/>
            <w:noWrap/>
            <w:hideMark/>
          </w:tcPr>
          <w:p w14:paraId="6B4EA3CA" w14:textId="77777777" w:rsidR="00246940" w:rsidRPr="00086AB2" w:rsidRDefault="00246940" w:rsidP="00246940">
            <w:pPr>
              <w:rPr>
                <w:color w:val="000000"/>
                <w:szCs w:val="20"/>
              </w:rPr>
            </w:pPr>
            <w:r w:rsidRPr="00086AB2">
              <w:rPr>
                <w:color w:val="000000"/>
                <w:szCs w:val="20"/>
              </w:rPr>
              <w:t>New Zealand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42EE776A" w14:textId="11CF5AEA"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67</w:t>
            </w:r>
          </w:p>
        </w:tc>
        <w:tc>
          <w:tcPr>
            <w:tcW w:w="684" w:type="pct"/>
            <w:tcBorders>
              <w:top w:val="nil"/>
              <w:left w:val="nil"/>
              <w:bottom w:val="single" w:sz="4" w:space="0" w:color="FFFFFF"/>
              <w:right w:val="single" w:sz="4" w:space="0" w:color="FFFFFF"/>
            </w:tcBorders>
            <w:shd w:val="clear" w:color="000000" w:fill="EFD3D2"/>
            <w:noWrap/>
            <w:vAlign w:val="center"/>
          </w:tcPr>
          <w:p w14:paraId="5168013D" w14:textId="48A3724C"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33</w:t>
            </w:r>
          </w:p>
        </w:tc>
        <w:tc>
          <w:tcPr>
            <w:tcW w:w="684" w:type="pct"/>
            <w:tcBorders>
              <w:top w:val="nil"/>
              <w:left w:val="nil"/>
              <w:bottom w:val="single" w:sz="4" w:space="0" w:color="FFFFFF"/>
              <w:right w:val="single" w:sz="4" w:space="0" w:color="FFFFFF"/>
            </w:tcBorders>
            <w:shd w:val="clear" w:color="000000" w:fill="EFD3D2"/>
            <w:noWrap/>
            <w:vAlign w:val="center"/>
          </w:tcPr>
          <w:p w14:paraId="1E0451EF" w14:textId="4F0286BB"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20</w:t>
            </w:r>
          </w:p>
        </w:tc>
        <w:tc>
          <w:tcPr>
            <w:tcW w:w="684" w:type="pct"/>
            <w:tcBorders>
              <w:top w:val="nil"/>
              <w:left w:val="nil"/>
              <w:bottom w:val="single" w:sz="4" w:space="0" w:color="FFFFFF"/>
              <w:right w:val="single" w:sz="4" w:space="0" w:color="FFFFFF"/>
            </w:tcBorders>
            <w:shd w:val="clear" w:color="000000" w:fill="EFD3D2"/>
            <w:noWrap/>
            <w:vAlign w:val="center"/>
          </w:tcPr>
          <w:p w14:paraId="26C81052" w14:textId="6B96449F"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9</w:t>
            </w:r>
          </w:p>
        </w:tc>
        <w:tc>
          <w:tcPr>
            <w:tcW w:w="680" w:type="pct"/>
            <w:tcBorders>
              <w:top w:val="nil"/>
              <w:left w:val="nil"/>
              <w:bottom w:val="single" w:sz="4" w:space="0" w:color="FFFFFF"/>
              <w:right w:val="single" w:sz="4" w:space="0" w:color="FFFFFF"/>
            </w:tcBorders>
            <w:shd w:val="clear" w:color="000000" w:fill="EFD3D2"/>
            <w:noWrap/>
            <w:vAlign w:val="center"/>
          </w:tcPr>
          <w:p w14:paraId="6426F31A" w14:textId="14673CA8" w:rsidR="00246940" w:rsidRDefault="00246940" w:rsidP="00246940">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r>
    </w:tbl>
    <w:p w14:paraId="2079CE0D" w14:textId="311F863A" w:rsidR="00AB20B9" w:rsidRPr="00086AB2" w:rsidRDefault="00762385" w:rsidP="00B24501">
      <w:pPr>
        <w:pStyle w:val="SWASectionnumberingheading"/>
      </w:pPr>
      <w:bookmarkStart w:id="30" w:name="_Toc55294231"/>
      <w:r w:rsidRPr="00086AB2">
        <w:lastRenderedPageBreak/>
        <w:t>Work-related fatalities</w:t>
      </w:r>
      <w:bookmarkEnd w:id="30"/>
      <w:r w:rsidR="005C5C63">
        <w:t xml:space="preserve"> </w:t>
      </w:r>
    </w:p>
    <w:p w14:paraId="7BE29452" w14:textId="6CD47CA7" w:rsidR="005F1601" w:rsidRPr="00086AB2" w:rsidRDefault="005F1601" w:rsidP="00B24501">
      <w:pPr>
        <w:pStyle w:val="SWASectionnum2"/>
      </w:pPr>
      <w:bookmarkStart w:id="31" w:name="_Toc55294232"/>
      <w:r w:rsidRPr="00086AB2">
        <w:t>Work-related traumatic injury fatalities</w:t>
      </w:r>
      <w:bookmarkEnd w:id="31"/>
      <w:r w:rsidR="008753E3">
        <w:t xml:space="preserve"> </w:t>
      </w:r>
    </w:p>
    <w:p w14:paraId="12DBBD9A" w14:textId="6722C8BE" w:rsidR="00DD528E" w:rsidRPr="00345DA2" w:rsidRDefault="00DD528E" w:rsidP="00B24501">
      <w:pPr>
        <w:keepNext/>
        <w:keepLines/>
        <w:rPr>
          <w:i/>
        </w:rPr>
      </w:pPr>
      <w:r w:rsidRPr="00345DA2">
        <w:rPr>
          <w:i/>
        </w:rPr>
        <w:t>About Traumatic Injury Fatalities</w:t>
      </w:r>
    </w:p>
    <w:p w14:paraId="01FF807E" w14:textId="0A5D0559" w:rsidR="00DD528E" w:rsidRDefault="00B61A03" w:rsidP="00B24501">
      <w:pPr>
        <w:keepNext/>
        <w:keepLines/>
      </w:pPr>
      <w:r>
        <w:t>D</w:t>
      </w:r>
      <w:r w:rsidR="00762385" w:rsidRPr="00086AB2">
        <w:t xml:space="preserve">ata presented in this section are sourced from the Work-related Traumatic Injury Fatality (TIF) data collection. </w:t>
      </w:r>
      <w:r w:rsidR="00DD528E">
        <w:t xml:space="preserve">This collection sources </w:t>
      </w:r>
      <w:r w:rsidR="007263AE">
        <w:t xml:space="preserve">information </w:t>
      </w:r>
      <w:r w:rsidR="00DD528E">
        <w:t xml:space="preserve">from </w:t>
      </w:r>
      <w:r w:rsidR="00DD528E" w:rsidRPr="00086AB2">
        <w:t>workers’ compensation data, fatality notifications to the various work health and safety authorities and information in the National Coronial Information System (NCIS).</w:t>
      </w:r>
      <w:r w:rsidR="00DD528E">
        <w:t xml:space="preserve"> </w:t>
      </w:r>
    </w:p>
    <w:p w14:paraId="3E61188F" w14:textId="59D4CCF6" w:rsidR="00762385" w:rsidRPr="00086AB2" w:rsidRDefault="00DD528E" w:rsidP="00B24501">
      <w:pPr>
        <w:keepNext/>
        <w:keepLines/>
      </w:pPr>
      <w:r>
        <w:t>Typically, o</w:t>
      </w:r>
      <w:r w:rsidRPr="00086AB2">
        <w:t xml:space="preserve">nly around </w:t>
      </w:r>
      <w:r w:rsidR="00F90579">
        <w:t>55</w:t>
      </w:r>
      <w:r w:rsidR="003C4F76">
        <w:t>%</w:t>
      </w:r>
      <w:r w:rsidRPr="00086AB2">
        <w:t xml:space="preserve"> of work-related fatalities recorded in the TIF collec</w:t>
      </w:r>
      <w:r>
        <w:t xml:space="preserve">tion are compensated. </w:t>
      </w:r>
      <w:r w:rsidR="00762385" w:rsidRPr="00086AB2">
        <w:t>This is in part due to self-employed workers not being covered by worke</w:t>
      </w:r>
      <w:r w:rsidR="006926E8" w:rsidRPr="00086AB2">
        <w:t xml:space="preserve">rs’ compensation schemes. Many </w:t>
      </w:r>
      <w:r w:rsidR="00762385" w:rsidRPr="00086AB2">
        <w:t xml:space="preserve">self-employed workers work in high risk sectors such as agriculture, transport and construction. </w:t>
      </w:r>
    </w:p>
    <w:p w14:paraId="2DF7E8B6" w14:textId="2DA2CD66" w:rsidR="006926E8" w:rsidRPr="00086AB2" w:rsidRDefault="006926E8" w:rsidP="006926E8">
      <w:r w:rsidRPr="00086AB2">
        <w:t xml:space="preserve">Information presented in </w:t>
      </w:r>
      <w:r w:rsidR="005F1601" w:rsidRPr="00086AB2">
        <w:t>I</w:t>
      </w:r>
      <w:r w:rsidRPr="00086AB2">
        <w:t>ndicator</w:t>
      </w:r>
      <w:r w:rsidR="005F1601" w:rsidRPr="00086AB2">
        <w:t xml:space="preserve"> 7</w:t>
      </w:r>
      <w:r w:rsidR="00A03D67" w:rsidRPr="00086AB2">
        <w:t>a</w:t>
      </w:r>
      <w:r w:rsidR="009548EF" w:rsidRPr="00086AB2">
        <w:t xml:space="preserve"> </w:t>
      </w:r>
      <w:r w:rsidR="00012363" w:rsidRPr="00086AB2">
        <w:t>and 7b</w:t>
      </w:r>
      <w:r w:rsidRPr="00086AB2">
        <w:t xml:space="preserve"> does not include fatal work</w:t>
      </w:r>
      <w:r w:rsidR="00522A78" w:rsidRPr="00086AB2">
        <w:t>-related</w:t>
      </w:r>
      <w:r w:rsidRPr="00086AB2">
        <w:t xml:space="preserve"> incidents occurring on a public road. </w:t>
      </w:r>
      <w:r w:rsidR="00986780" w:rsidRPr="00086AB2">
        <w:t>The compensated injury fatalities in the TIF collection are based on</w:t>
      </w:r>
      <w:r w:rsidR="00AF0B5E" w:rsidRPr="00086AB2">
        <w:t xml:space="preserve"> date of death and not date of lodgement</w:t>
      </w:r>
      <w:r w:rsidR="00042B7A">
        <w:t>.</w:t>
      </w:r>
      <w:r w:rsidR="00AF0B5E" w:rsidRPr="00086AB2">
        <w:t xml:space="preserve"> </w:t>
      </w:r>
    </w:p>
    <w:p w14:paraId="4767DB23" w14:textId="636E9DD8" w:rsidR="00DD528E" w:rsidRPr="00086AB2" w:rsidRDefault="00DD528E" w:rsidP="00DD528E">
      <w:r w:rsidRPr="00086AB2">
        <w:t xml:space="preserve">It should be noted that traumatic injury fatality data can be volatile year-on-year. </w:t>
      </w:r>
      <w:proofErr w:type="gramStart"/>
      <w:r w:rsidRPr="00086AB2">
        <w:t xml:space="preserve">In particular, </w:t>
      </w:r>
      <w:r w:rsidR="000A3553">
        <w:t>a</w:t>
      </w:r>
      <w:proofErr w:type="gramEnd"/>
      <w:r w:rsidR="000A3553">
        <w:t xml:space="preserve"> single incident resulting in multiple</w:t>
      </w:r>
      <w:r w:rsidR="000A3553" w:rsidRPr="00086AB2">
        <w:t xml:space="preserve"> </w:t>
      </w:r>
      <w:r w:rsidRPr="00086AB2">
        <w:t>death</w:t>
      </w:r>
      <w:r w:rsidR="000A3553">
        <w:t>s</w:t>
      </w:r>
      <w:r w:rsidRPr="00086AB2">
        <w:t xml:space="preserve"> can </w:t>
      </w:r>
      <w:r w:rsidR="000A3553">
        <w:t xml:space="preserve">significantly </w:t>
      </w:r>
      <w:r w:rsidRPr="00086AB2">
        <w:t>impact the data</w:t>
      </w:r>
      <w:r w:rsidR="000A3553">
        <w:t xml:space="preserve"> in a given year</w:t>
      </w:r>
      <w:r w:rsidRPr="00086AB2">
        <w:t xml:space="preserve">, </w:t>
      </w:r>
      <w:r w:rsidR="000A3553">
        <w:t xml:space="preserve">potentially masking the progress </w:t>
      </w:r>
      <w:r w:rsidRPr="00086AB2">
        <w:t xml:space="preserve">of jurisdictions </w:t>
      </w:r>
      <w:r>
        <w:t>in reducing or eliminating work</w:t>
      </w:r>
      <w:r>
        <w:noBreakHyphen/>
      </w:r>
      <w:r w:rsidRPr="00086AB2">
        <w:t>related traumatic injury fatalities</w:t>
      </w:r>
      <w:r w:rsidR="000A3553">
        <w:t xml:space="preserve"> in </w:t>
      </w:r>
      <w:r w:rsidR="00001159">
        <w:t>other</w:t>
      </w:r>
      <w:r w:rsidR="000A3553">
        <w:t xml:space="preserve"> area</w:t>
      </w:r>
      <w:r w:rsidR="00001159">
        <w:t>s</w:t>
      </w:r>
      <w:r w:rsidRPr="00086AB2">
        <w:t>.</w:t>
      </w:r>
      <w:r>
        <w:t xml:space="preserve"> </w:t>
      </w:r>
      <w:r w:rsidRPr="00086AB2">
        <w:t xml:space="preserve">Further information about the TIF collection and a detailed analysis of the data can be found on the </w:t>
      </w:r>
      <w:hyperlink r:id="rId30" w:history="1">
        <w:r w:rsidRPr="0014241A">
          <w:rPr>
            <w:rStyle w:val="SWALinkChar"/>
          </w:rPr>
          <w:t>Safe Work Australia</w:t>
        </w:r>
      </w:hyperlink>
      <w:r w:rsidRPr="0014241A">
        <w:t xml:space="preserve"> </w:t>
      </w:r>
      <w:r w:rsidRPr="00086AB2">
        <w:t>website.</w:t>
      </w:r>
    </w:p>
    <w:p w14:paraId="3D325B81" w14:textId="6C240134" w:rsidR="00DD528E" w:rsidRPr="00345DA2" w:rsidRDefault="00DD528E" w:rsidP="006926E8">
      <w:pPr>
        <w:rPr>
          <w:i/>
        </w:rPr>
      </w:pPr>
      <w:r>
        <w:rPr>
          <w:i/>
        </w:rPr>
        <w:t>Worker fatalities and incidence rates</w:t>
      </w:r>
    </w:p>
    <w:p w14:paraId="1AA761E4" w14:textId="134CDAB2" w:rsidR="006926E8" w:rsidRPr="00086AB2" w:rsidRDefault="006A6B87" w:rsidP="006926E8">
      <w:r>
        <w:t>T</w:t>
      </w:r>
      <w:r w:rsidR="006926E8" w:rsidRPr="00086AB2">
        <w:t xml:space="preserve">here was a </w:t>
      </w:r>
      <w:r w:rsidR="00DD528E">
        <w:t>3</w:t>
      </w:r>
      <w:r w:rsidR="003C4F76">
        <w:t>%</w:t>
      </w:r>
      <w:r w:rsidR="006926E8" w:rsidRPr="00086AB2">
        <w:t xml:space="preserve"> decrease in the number of worker</w:t>
      </w:r>
      <w:r w:rsidR="00EA53BE" w:rsidRPr="00086AB2">
        <w:t xml:space="preserve"> fatalities resulting from </w:t>
      </w:r>
      <w:r w:rsidR="006926E8" w:rsidRPr="00086AB2">
        <w:t>incidents not on a public road</w:t>
      </w:r>
      <w:r w:rsidR="00A03D67" w:rsidRPr="00086AB2">
        <w:t xml:space="preserve"> between 201</w:t>
      </w:r>
      <w:r w:rsidR="00DD528E">
        <w:t>4</w:t>
      </w:r>
      <w:r w:rsidR="00A03D67" w:rsidRPr="00086AB2">
        <w:t>–1</w:t>
      </w:r>
      <w:r w:rsidR="00DD528E">
        <w:t>5</w:t>
      </w:r>
      <w:r w:rsidR="00A03D67" w:rsidRPr="00086AB2">
        <w:t xml:space="preserve"> and 201</w:t>
      </w:r>
      <w:r w:rsidR="00AD53DE">
        <w:t>8</w:t>
      </w:r>
      <w:r w:rsidR="00A03D67" w:rsidRPr="00086AB2">
        <w:t>–1</w:t>
      </w:r>
      <w:r w:rsidR="00AD53DE">
        <w:t>9</w:t>
      </w:r>
      <w:r w:rsidR="006926E8" w:rsidRPr="00086AB2">
        <w:t xml:space="preserve">. </w:t>
      </w:r>
      <w:r w:rsidR="00DD528E">
        <w:t xml:space="preserve">On average over the five years, </w:t>
      </w:r>
      <w:r w:rsidR="006926E8" w:rsidRPr="00086AB2">
        <w:t>New South Wales recorded the highest number of fatalities per year (</w:t>
      </w:r>
      <w:r w:rsidR="00971B9B">
        <w:t>3</w:t>
      </w:r>
      <w:r w:rsidR="00DD528E">
        <w:t>7</w:t>
      </w:r>
      <w:r w:rsidR="00A03D67" w:rsidRPr="00086AB2">
        <w:t xml:space="preserve"> </w:t>
      </w:r>
      <w:r w:rsidR="006926E8" w:rsidRPr="00086AB2">
        <w:t>fatalities), followed by Queensland (</w:t>
      </w:r>
      <w:r w:rsidR="00A03D67" w:rsidRPr="00086AB2">
        <w:t>3</w:t>
      </w:r>
      <w:r w:rsidR="00DD528E">
        <w:t>1</w:t>
      </w:r>
      <w:r w:rsidR="00A03D67" w:rsidRPr="00086AB2">
        <w:t xml:space="preserve"> </w:t>
      </w:r>
      <w:r w:rsidR="006926E8" w:rsidRPr="00086AB2">
        <w:t>fatalities) and Victoria (2</w:t>
      </w:r>
      <w:r w:rsidR="00DD528E">
        <w:t>7</w:t>
      </w:r>
      <w:r w:rsidR="006926E8" w:rsidRPr="00086AB2">
        <w:t xml:space="preserve"> fatalities).</w:t>
      </w:r>
      <w:r w:rsidR="00A03D67" w:rsidRPr="00086AB2">
        <w:t xml:space="preserve"> However, incidence rates over the </w:t>
      </w:r>
      <w:proofErr w:type="gramStart"/>
      <w:r w:rsidR="00AA3BF8">
        <w:t>five</w:t>
      </w:r>
      <w:r w:rsidR="00AA3BF8" w:rsidRPr="00086AB2">
        <w:t xml:space="preserve"> </w:t>
      </w:r>
      <w:r w:rsidR="00A03D67" w:rsidRPr="00086AB2">
        <w:t>year</w:t>
      </w:r>
      <w:proofErr w:type="gramEnd"/>
      <w:r w:rsidR="00A03D67" w:rsidRPr="00086AB2">
        <w:t xml:space="preserve"> period show that </w:t>
      </w:r>
      <w:r w:rsidR="000B2046">
        <w:t>the Northern</w:t>
      </w:r>
      <w:r w:rsidR="00206AD9">
        <w:t> </w:t>
      </w:r>
      <w:r w:rsidR="000B2046">
        <w:t>Territory</w:t>
      </w:r>
      <w:r w:rsidR="00A03D67" w:rsidRPr="00086AB2">
        <w:t xml:space="preserve"> </w:t>
      </w:r>
      <w:r w:rsidR="00012363" w:rsidRPr="00086AB2">
        <w:t>(2.</w:t>
      </w:r>
      <w:r w:rsidR="002A4994">
        <w:t>2</w:t>
      </w:r>
      <w:r w:rsidR="00012363" w:rsidRPr="00086AB2">
        <w:t xml:space="preserve"> fatalities per 100,000 workers) recorded the highest rate and </w:t>
      </w:r>
      <w:r w:rsidR="00A03D67" w:rsidRPr="00086AB2">
        <w:t>the Australian</w:t>
      </w:r>
      <w:r w:rsidR="00206AD9">
        <w:t> </w:t>
      </w:r>
      <w:r w:rsidR="00A03D67" w:rsidRPr="00086AB2">
        <w:t xml:space="preserve">Capital Territory </w:t>
      </w:r>
      <w:r w:rsidR="00012363" w:rsidRPr="00086AB2">
        <w:t>(0.</w:t>
      </w:r>
      <w:r w:rsidR="00345DA2">
        <w:t>7</w:t>
      </w:r>
      <w:r w:rsidR="00012363" w:rsidRPr="00086AB2">
        <w:t xml:space="preserve"> fatalit</w:t>
      </w:r>
      <w:r w:rsidR="002A4994">
        <w:t>ies</w:t>
      </w:r>
      <w:r w:rsidR="00012363" w:rsidRPr="00086AB2">
        <w:t xml:space="preserve"> per 100,000 workers) </w:t>
      </w:r>
      <w:r w:rsidR="00A03D67" w:rsidRPr="00086AB2">
        <w:t>recorded the lowest rate (Indicator 7b).</w:t>
      </w:r>
    </w:p>
    <w:p w14:paraId="4F888C18" w14:textId="43D66114" w:rsidR="00333A32" w:rsidRPr="00086AB2" w:rsidRDefault="00333A32" w:rsidP="00333A32">
      <w:pPr>
        <w:pStyle w:val="SWATableheader"/>
      </w:pPr>
      <w:bookmarkStart w:id="32" w:name="_Toc56603298"/>
      <w:bookmarkStart w:id="33" w:name="_Toc56772233"/>
      <w:bookmarkStart w:id="34" w:name="_Hlk61510759"/>
      <w:r w:rsidRPr="00086AB2">
        <w:t xml:space="preserve">Indicator </w:t>
      </w:r>
      <w:r w:rsidR="00772B12">
        <w:fldChar w:fldCharType="begin"/>
      </w:r>
      <w:r w:rsidR="00772B12">
        <w:instrText xml:space="preserve"> SEQ Indicator \* ARABIC </w:instrText>
      </w:r>
      <w:r w:rsidR="00772B12">
        <w:fldChar w:fldCharType="separate"/>
      </w:r>
      <w:r w:rsidR="00772B12">
        <w:rPr>
          <w:noProof/>
        </w:rPr>
        <w:t>7</w:t>
      </w:r>
      <w:r w:rsidR="00772B12">
        <w:rPr>
          <w:noProof/>
        </w:rPr>
        <w:fldChar w:fldCharType="end"/>
      </w:r>
      <w:r w:rsidR="00F21CB1" w:rsidRPr="00086AB2">
        <w:rPr>
          <w:noProof/>
        </w:rPr>
        <w:t>a</w:t>
      </w:r>
      <w:r w:rsidR="00F21CB1" w:rsidRPr="00086AB2">
        <w:t xml:space="preserve"> </w:t>
      </w:r>
      <w:r w:rsidR="00E76BFC" w:rsidRPr="00086AB2">
        <w:t>–</w:t>
      </w:r>
      <w:r w:rsidR="00F21CB1" w:rsidRPr="00086AB2">
        <w:t xml:space="preserve"> Traumatic injury </w:t>
      </w:r>
      <w:r w:rsidR="00AA10E5" w:rsidRPr="00086AB2">
        <w:t xml:space="preserve">worker </w:t>
      </w:r>
      <w:r w:rsidR="00F21CB1" w:rsidRPr="00086AB2">
        <w:t>fatalities: number of incidents not on a public road,</w:t>
      </w:r>
      <w:r w:rsidRPr="00086AB2">
        <w:t xml:space="preserve"> by state</w:t>
      </w:r>
      <w:r w:rsidR="009C571C" w:rsidRPr="00086AB2">
        <w:t> </w:t>
      </w:r>
      <w:r w:rsidRPr="00086AB2">
        <w:t>of</w:t>
      </w:r>
      <w:r w:rsidR="00C63DB5" w:rsidRPr="00086AB2">
        <w:t> </w:t>
      </w:r>
      <w:r w:rsidRPr="00086AB2">
        <w:t>death</w:t>
      </w:r>
      <w:bookmarkEnd w:id="32"/>
      <w:bookmarkEnd w:id="33"/>
      <w:r w:rsidR="00617EB4">
        <w:t xml:space="preserve"> </w:t>
      </w:r>
    </w:p>
    <w:tbl>
      <w:tblPr>
        <w:tblStyle w:val="LightShading-Accent2"/>
        <w:tblW w:w="9046" w:type="dxa"/>
        <w:tblLayout w:type="fixed"/>
        <w:tblLook w:val="04A0" w:firstRow="1" w:lastRow="0" w:firstColumn="1" w:lastColumn="0" w:noHBand="0" w:noVBand="1"/>
        <w:tblCaption w:val="ndicator 7a – Number of Traumatic injury fatality incidents not on a public road, by state of death"/>
        <w:tblDescription w:val="This Table shows number of traumatic injury fatalities not occurring  on a public road between 2014-15 and 2018-19 by state of death. Please refer to body text for more details."/>
      </w:tblPr>
      <w:tblGrid>
        <w:gridCol w:w="2838"/>
        <w:gridCol w:w="1034"/>
        <w:gridCol w:w="1035"/>
        <w:gridCol w:w="1035"/>
        <w:gridCol w:w="1034"/>
        <w:gridCol w:w="1035"/>
        <w:gridCol w:w="1035"/>
      </w:tblGrid>
      <w:tr w:rsidR="00C24B25" w:rsidRPr="00086AB2" w14:paraId="283353D4" w14:textId="77777777" w:rsidTr="00632BFB">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838" w:type="dxa"/>
            <w:noWrap/>
            <w:vAlign w:val="center"/>
          </w:tcPr>
          <w:p w14:paraId="44734AF6" w14:textId="77777777" w:rsidR="00C24B25" w:rsidRPr="00086AB2" w:rsidRDefault="00C24B25" w:rsidP="00473F9D">
            <w:pPr>
              <w:jc w:val="center"/>
              <w:rPr>
                <w:rFonts w:cs="Arial"/>
                <w:szCs w:val="20"/>
              </w:rPr>
            </w:pPr>
            <w:bookmarkStart w:id="35" w:name="_Hlk46992737"/>
          </w:p>
        </w:tc>
        <w:tc>
          <w:tcPr>
            <w:tcW w:w="1034" w:type="dxa"/>
            <w:tcBorders>
              <w:top w:val="single" w:sz="4" w:space="0" w:color="FFFFFF"/>
              <w:left w:val="nil"/>
              <w:bottom w:val="single" w:sz="4" w:space="0" w:color="FFFFFF"/>
              <w:right w:val="single" w:sz="4" w:space="0" w:color="FFFFFF"/>
            </w:tcBorders>
            <w:shd w:val="clear" w:color="000000" w:fill="AF1E2D"/>
            <w:noWrap/>
            <w:vAlign w:val="center"/>
          </w:tcPr>
          <w:p w14:paraId="160F9BD5" w14:textId="4D5EBBE3" w:rsidR="00C24B25" w:rsidRPr="00086AB2" w:rsidRDefault="00C24B25" w:rsidP="00473F9D">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2014</w:t>
            </w:r>
            <w:r w:rsidR="004C7164" w:rsidRPr="00086AB2">
              <w:t>–</w:t>
            </w:r>
            <w:r>
              <w:rPr>
                <w:rFonts w:cs="Arial"/>
                <w:b w:val="0"/>
                <w:bCs w:val="0"/>
                <w:color w:val="FFFFFF"/>
                <w:szCs w:val="20"/>
              </w:rPr>
              <w:t>15</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14:paraId="6FD9F366" w14:textId="2668C527" w:rsidR="00C24B25" w:rsidRPr="00086AB2" w:rsidRDefault="00C24B25" w:rsidP="00473F9D">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2015</w:t>
            </w:r>
            <w:r w:rsidR="004C7164" w:rsidRPr="00086AB2">
              <w:t>–</w:t>
            </w:r>
            <w:r>
              <w:rPr>
                <w:rFonts w:cs="Arial"/>
                <w:b w:val="0"/>
                <w:bCs w:val="0"/>
                <w:color w:val="FFFFFF"/>
                <w:szCs w:val="20"/>
              </w:rPr>
              <w:t>16</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14:paraId="175B72AA" w14:textId="33032064" w:rsidR="00C24B25" w:rsidRPr="00086AB2" w:rsidRDefault="00C24B25" w:rsidP="00473F9D">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2016</w:t>
            </w:r>
            <w:r w:rsidR="004C7164" w:rsidRPr="00086AB2">
              <w:t>–</w:t>
            </w:r>
            <w:r>
              <w:rPr>
                <w:rFonts w:cs="Arial"/>
                <w:b w:val="0"/>
                <w:bCs w:val="0"/>
                <w:color w:val="FFFFFF"/>
                <w:szCs w:val="20"/>
              </w:rPr>
              <w:t>17</w:t>
            </w:r>
          </w:p>
        </w:tc>
        <w:tc>
          <w:tcPr>
            <w:tcW w:w="1034" w:type="dxa"/>
            <w:tcBorders>
              <w:top w:val="single" w:sz="4" w:space="0" w:color="FFFFFF"/>
              <w:left w:val="nil"/>
              <w:bottom w:val="single" w:sz="4" w:space="0" w:color="FFFFFF"/>
              <w:right w:val="single" w:sz="4" w:space="0" w:color="FFFFFF"/>
            </w:tcBorders>
            <w:shd w:val="clear" w:color="000000" w:fill="AF1E2D"/>
            <w:noWrap/>
            <w:vAlign w:val="center"/>
          </w:tcPr>
          <w:p w14:paraId="2A4A98BC" w14:textId="52B77967" w:rsidR="00C24B25" w:rsidRPr="00086AB2" w:rsidRDefault="00C24B25" w:rsidP="00473F9D">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2017</w:t>
            </w:r>
            <w:r w:rsidR="004C7164" w:rsidRPr="00086AB2">
              <w:t>–</w:t>
            </w:r>
            <w:r>
              <w:rPr>
                <w:rFonts w:cs="Arial"/>
                <w:b w:val="0"/>
                <w:bCs w:val="0"/>
                <w:color w:val="FFFFFF"/>
                <w:szCs w:val="20"/>
              </w:rPr>
              <w:t>18</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14:paraId="0AD227E3" w14:textId="57173ECF" w:rsidR="00C24B25" w:rsidRPr="00086AB2" w:rsidRDefault="00C24B25" w:rsidP="00473F9D">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2018</w:t>
            </w:r>
            <w:r w:rsidR="004C7164" w:rsidRPr="00086AB2">
              <w:t>–</w:t>
            </w:r>
            <w:r>
              <w:rPr>
                <w:rFonts w:cs="Arial"/>
                <w:b w:val="0"/>
                <w:bCs w:val="0"/>
                <w:color w:val="FFFFFF"/>
                <w:szCs w:val="20"/>
              </w:rPr>
              <w:t>19</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14:paraId="3B50DCCC" w14:textId="73FA3EAE" w:rsidR="00C24B25" w:rsidRPr="00086AB2" w:rsidRDefault="00C24B25" w:rsidP="00473F9D">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 xml:space="preserve">5 </w:t>
            </w:r>
            <w:proofErr w:type="spellStart"/>
            <w:r>
              <w:rPr>
                <w:rFonts w:cs="Arial"/>
                <w:b w:val="0"/>
                <w:bCs w:val="0"/>
                <w:color w:val="FFFFFF"/>
                <w:szCs w:val="20"/>
              </w:rPr>
              <w:t>yr</w:t>
            </w:r>
            <w:proofErr w:type="spellEnd"/>
            <w:r>
              <w:rPr>
                <w:rFonts w:cs="Arial"/>
                <w:b w:val="0"/>
                <w:bCs w:val="0"/>
                <w:color w:val="FFFFFF"/>
                <w:szCs w:val="20"/>
              </w:rPr>
              <w:t xml:space="preserve"> Average</w:t>
            </w:r>
          </w:p>
        </w:tc>
      </w:tr>
      <w:bookmarkEnd w:id="35"/>
      <w:tr w:rsidR="00C24B25" w:rsidRPr="00086AB2" w14:paraId="53B094BC" w14:textId="77777777" w:rsidTr="00C24B2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5423BE10" w14:textId="77777777" w:rsidR="00C24B25" w:rsidRPr="00086AB2" w:rsidRDefault="00C24B25" w:rsidP="00473F9D">
            <w:pPr>
              <w:jc w:val="left"/>
              <w:rPr>
                <w:rFonts w:cs="Arial"/>
                <w:color w:val="000000"/>
                <w:szCs w:val="20"/>
              </w:rPr>
            </w:pPr>
            <w:r w:rsidRPr="00086AB2">
              <w:rPr>
                <w:rFonts w:cs="Arial"/>
                <w:color w:val="000000"/>
                <w:szCs w:val="20"/>
              </w:rPr>
              <w:t>New South Wales</w:t>
            </w:r>
          </w:p>
        </w:tc>
        <w:tc>
          <w:tcPr>
            <w:tcW w:w="1034" w:type="dxa"/>
            <w:tcBorders>
              <w:top w:val="single" w:sz="4" w:space="0" w:color="FFFFFF"/>
              <w:left w:val="nil"/>
              <w:bottom w:val="single" w:sz="4" w:space="0" w:color="FFFFFF"/>
              <w:right w:val="single" w:sz="4" w:space="0" w:color="FFFFFF"/>
            </w:tcBorders>
            <w:shd w:val="clear" w:color="000000" w:fill="EFD3D2"/>
            <w:noWrap/>
            <w:vAlign w:val="center"/>
            <w:hideMark/>
          </w:tcPr>
          <w:p w14:paraId="7A3F41AD" w14:textId="2A1904EB"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37</w:t>
            </w:r>
          </w:p>
        </w:tc>
        <w:tc>
          <w:tcPr>
            <w:tcW w:w="1035" w:type="dxa"/>
            <w:tcBorders>
              <w:top w:val="single" w:sz="4" w:space="0" w:color="FFFFFF"/>
              <w:left w:val="nil"/>
              <w:bottom w:val="single" w:sz="4" w:space="0" w:color="FFFFFF"/>
              <w:right w:val="single" w:sz="4" w:space="0" w:color="FFFFFF"/>
            </w:tcBorders>
            <w:shd w:val="clear" w:color="000000" w:fill="EFD3D2"/>
            <w:noWrap/>
            <w:vAlign w:val="center"/>
          </w:tcPr>
          <w:p w14:paraId="67C79031" w14:textId="746AE5A6"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w:t>
            </w:r>
          </w:p>
        </w:tc>
        <w:tc>
          <w:tcPr>
            <w:tcW w:w="1035" w:type="dxa"/>
            <w:tcBorders>
              <w:top w:val="single" w:sz="4" w:space="0" w:color="FFFFFF"/>
              <w:left w:val="nil"/>
              <w:bottom w:val="single" w:sz="4" w:space="0" w:color="FFFFFF"/>
              <w:right w:val="single" w:sz="4" w:space="0" w:color="FFFFFF"/>
            </w:tcBorders>
            <w:shd w:val="clear" w:color="000000" w:fill="EFD3D2"/>
            <w:noWrap/>
            <w:vAlign w:val="center"/>
          </w:tcPr>
          <w:p w14:paraId="6DF39BDD" w14:textId="4F8E1480"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1034" w:type="dxa"/>
            <w:tcBorders>
              <w:top w:val="single" w:sz="4" w:space="0" w:color="FFFFFF"/>
              <w:left w:val="nil"/>
              <w:bottom w:val="single" w:sz="4" w:space="0" w:color="FFFFFF"/>
              <w:right w:val="single" w:sz="4" w:space="0" w:color="FFFFFF"/>
            </w:tcBorders>
            <w:shd w:val="clear" w:color="000000" w:fill="EFD3D2"/>
            <w:noWrap/>
            <w:vAlign w:val="center"/>
          </w:tcPr>
          <w:p w14:paraId="35AF54FD" w14:textId="32B86918"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39</w:t>
            </w:r>
          </w:p>
        </w:tc>
        <w:tc>
          <w:tcPr>
            <w:tcW w:w="1035" w:type="dxa"/>
            <w:tcBorders>
              <w:top w:val="single" w:sz="4" w:space="0" w:color="FFFFFF"/>
              <w:left w:val="nil"/>
              <w:bottom w:val="single" w:sz="4" w:space="0" w:color="FFFFFF"/>
              <w:right w:val="single" w:sz="4" w:space="0" w:color="FFFFFF"/>
            </w:tcBorders>
            <w:shd w:val="clear" w:color="000000" w:fill="EFD3D2"/>
            <w:noWrap/>
            <w:vAlign w:val="center"/>
          </w:tcPr>
          <w:p w14:paraId="225C3060" w14:textId="2DD057B9" w:rsidR="00C24B25" w:rsidRPr="00C24B25"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EC04B3">
              <w:rPr>
                <w:rFonts w:cs="Arial"/>
                <w:bCs/>
                <w:szCs w:val="20"/>
              </w:rPr>
              <w:t>31</w:t>
            </w:r>
          </w:p>
        </w:tc>
        <w:tc>
          <w:tcPr>
            <w:tcW w:w="1035" w:type="dxa"/>
            <w:tcBorders>
              <w:top w:val="single" w:sz="4" w:space="0" w:color="FFFFFF"/>
              <w:left w:val="nil"/>
              <w:bottom w:val="single" w:sz="4" w:space="0" w:color="FFFFFF"/>
              <w:right w:val="single" w:sz="4" w:space="0" w:color="FFFFFF"/>
            </w:tcBorders>
            <w:shd w:val="clear" w:color="000000" w:fill="808080"/>
            <w:noWrap/>
            <w:vAlign w:val="center"/>
            <w:hideMark/>
          </w:tcPr>
          <w:p w14:paraId="45B88AC6" w14:textId="624394EA" w:rsidR="00C24B25" w:rsidRPr="00F8220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37</w:t>
            </w:r>
          </w:p>
        </w:tc>
      </w:tr>
      <w:tr w:rsidR="00C24B25" w:rsidRPr="00086AB2" w14:paraId="20037EAC" w14:textId="77777777" w:rsidTr="00632BF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3846E316" w14:textId="77777777" w:rsidR="00C24B25" w:rsidRPr="00086AB2" w:rsidRDefault="00C24B25" w:rsidP="00473F9D">
            <w:pPr>
              <w:jc w:val="left"/>
              <w:rPr>
                <w:rFonts w:cs="Arial"/>
                <w:color w:val="000000"/>
                <w:szCs w:val="20"/>
              </w:rPr>
            </w:pPr>
            <w:r w:rsidRPr="00086AB2">
              <w:rPr>
                <w:rFonts w:cs="Arial"/>
                <w:color w:val="000000"/>
                <w:szCs w:val="20"/>
              </w:rPr>
              <w:t>Queensland</w:t>
            </w:r>
          </w:p>
        </w:tc>
        <w:tc>
          <w:tcPr>
            <w:tcW w:w="1034" w:type="dxa"/>
            <w:tcBorders>
              <w:top w:val="nil"/>
              <w:left w:val="nil"/>
              <w:bottom w:val="single" w:sz="4" w:space="0" w:color="FFFFFF"/>
              <w:right w:val="single" w:sz="4" w:space="0" w:color="FFFFFF"/>
            </w:tcBorders>
            <w:shd w:val="clear" w:color="000000" w:fill="FFFFFF"/>
            <w:noWrap/>
            <w:vAlign w:val="center"/>
            <w:hideMark/>
          </w:tcPr>
          <w:p w14:paraId="1282A753" w14:textId="5AEEC170"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25</w:t>
            </w:r>
          </w:p>
        </w:tc>
        <w:tc>
          <w:tcPr>
            <w:tcW w:w="1035" w:type="dxa"/>
            <w:tcBorders>
              <w:top w:val="nil"/>
              <w:left w:val="nil"/>
              <w:bottom w:val="single" w:sz="4" w:space="0" w:color="FFFFFF"/>
              <w:right w:val="single" w:sz="4" w:space="0" w:color="FFFFFF"/>
            </w:tcBorders>
            <w:shd w:val="clear" w:color="000000" w:fill="FFFFFF"/>
            <w:noWrap/>
            <w:vAlign w:val="center"/>
          </w:tcPr>
          <w:p w14:paraId="3959D6F2" w14:textId="04AF8689"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34</w:t>
            </w:r>
          </w:p>
        </w:tc>
        <w:tc>
          <w:tcPr>
            <w:tcW w:w="1035" w:type="dxa"/>
            <w:tcBorders>
              <w:top w:val="nil"/>
              <w:left w:val="nil"/>
              <w:bottom w:val="single" w:sz="4" w:space="0" w:color="FFFFFF"/>
              <w:right w:val="single" w:sz="4" w:space="0" w:color="FFFFFF"/>
            </w:tcBorders>
            <w:shd w:val="clear" w:color="000000" w:fill="FFFFFF"/>
            <w:noWrap/>
            <w:vAlign w:val="center"/>
          </w:tcPr>
          <w:p w14:paraId="4697D9CE" w14:textId="24BCAFA3"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28</w:t>
            </w:r>
          </w:p>
        </w:tc>
        <w:tc>
          <w:tcPr>
            <w:tcW w:w="1034" w:type="dxa"/>
            <w:tcBorders>
              <w:top w:val="nil"/>
              <w:left w:val="nil"/>
              <w:bottom w:val="single" w:sz="4" w:space="0" w:color="FFFFFF"/>
              <w:right w:val="single" w:sz="4" w:space="0" w:color="FFFFFF"/>
            </w:tcBorders>
            <w:shd w:val="clear" w:color="000000" w:fill="FFFFFF"/>
            <w:noWrap/>
            <w:vAlign w:val="center"/>
          </w:tcPr>
          <w:p w14:paraId="4A8B9026" w14:textId="3165F758"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35" w:type="dxa"/>
            <w:tcBorders>
              <w:top w:val="nil"/>
              <w:left w:val="nil"/>
              <w:bottom w:val="single" w:sz="4" w:space="0" w:color="FFFFFF"/>
              <w:right w:val="single" w:sz="4" w:space="0" w:color="FFFFFF"/>
            </w:tcBorders>
            <w:shd w:val="clear" w:color="000000" w:fill="FFFFFF"/>
            <w:noWrap/>
            <w:vAlign w:val="center"/>
          </w:tcPr>
          <w:p w14:paraId="6725D340" w14:textId="286161E5" w:rsidR="00C24B25" w:rsidRPr="00C24B25"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sidRPr="00EC04B3">
              <w:rPr>
                <w:rFonts w:cs="Arial"/>
                <w:bCs/>
                <w:szCs w:val="20"/>
              </w:rPr>
              <w:t>38</w:t>
            </w:r>
          </w:p>
        </w:tc>
        <w:tc>
          <w:tcPr>
            <w:tcW w:w="1035" w:type="dxa"/>
            <w:tcBorders>
              <w:top w:val="nil"/>
              <w:left w:val="nil"/>
              <w:bottom w:val="single" w:sz="4" w:space="0" w:color="FFFFFF"/>
              <w:right w:val="single" w:sz="4" w:space="0" w:color="FFFFFF"/>
            </w:tcBorders>
            <w:shd w:val="clear" w:color="000000" w:fill="808080"/>
            <w:noWrap/>
            <w:vAlign w:val="center"/>
            <w:hideMark/>
          </w:tcPr>
          <w:p w14:paraId="31262919" w14:textId="55B4D103" w:rsidR="00C24B25" w:rsidRPr="00F8220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31</w:t>
            </w:r>
          </w:p>
        </w:tc>
      </w:tr>
      <w:tr w:rsidR="00C24B25" w:rsidRPr="00086AB2" w14:paraId="51290FF9" w14:textId="77777777" w:rsidTr="00632BF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411F571D" w14:textId="77777777" w:rsidR="00C24B25" w:rsidRPr="00086AB2" w:rsidRDefault="00C24B25" w:rsidP="00473F9D">
            <w:pPr>
              <w:jc w:val="left"/>
              <w:rPr>
                <w:rFonts w:cs="Arial"/>
                <w:color w:val="000000"/>
                <w:szCs w:val="20"/>
              </w:rPr>
            </w:pPr>
            <w:r w:rsidRPr="00086AB2">
              <w:rPr>
                <w:rFonts w:cs="Arial"/>
                <w:color w:val="000000"/>
                <w:szCs w:val="20"/>
              </w:rPr>
              <w:t>Victoria</w:t>
            </w:r>
          </w:p>
        </w:tc>
        <w:tc>
          <w:tcPr>
            <w:tcW w:w="1034" w:type="dxa"/>
            <w:tcBorders>
              <w:top w:val="nil"/>
              <w:left w:val="nil"/>
              <w:bottom w:val="single" w:sz="4" w:space="0" w:color="FFFFFF"/>
              <w:right w:val="single" w:sz="4" w:space="0" w:color="FFFFFF"/>
            </w:tcBorders>
            <w:shd w:val="clear" w:color="000000" w:fill="EFD3D2"/>
            <w:noWrap/>
            <w:vAlign w:val="center"/>
            <w:hideMark/>
          </w:tcPr>
          <w:p w14:paraId="6A5DCA13" w14:textId="608260F7"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25</w:t>
            </w:r>
          </w:p>
        </w:tc>
        <w:tc>
          <w:tcPr>
            <w:tcW w:w="1035" w:type="dxa"/>
            <w:tcBorders>
              <w:top w:val="nil"/>
              <w:left w:val="nil"/>
              <w:bottom w:val="single" w:sz="4" w:space="0" w:color="FFFFFF"/>
              <w:right w:val="single" w:sz="4" w:space="0" w:color="FFFFFF"/>
            </w:tcBorders>
            <w:shd w:val="clear" w:color="000000" w:fill="EFD3D2"/>
            <w:noWrap/>
            <w:vAlign w:val="center"/>
          </w:tcPr>
          <w:p w14:paraId="2B1E333D" w14:textId="09E3E05F"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38</w:t>
            </w:r>
          </w:p>
        </w:tc>
        <w:tc>
          <w:tcPr>
            <w:tcW w:w="1035" w:type="dxa"/>
            <w:tcBorders>
              <w:top w:val="nil"/>
              <w:left w:val="nil"/>
              <w:bottom w:val="single" w:sz="4" w:space="0" w:color="FFFFFF"/>
              <w:right w:val="single" w:sz="4" w:space="0" w:color="FFFFFF"/>
            </w:tcBorders>
            <w:shd w:val="clear" w:color="000000" w:fill="EFD3D2"/>
            <w:noWrap/>
            <w:vAlign w:val="center"/>
          </w:tcPr>
          <w:p w14:paraId="40A07A0F" w14:textId="12EBB828"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1034" w:type="dxa"/>
            <w:tcBorders>
              <w:top w:val="nil"/>
              <w:left w:val="nil"/>
              <w:bottom w:val="single" w:sz="4" w:space="0" w:color="FFFFFF"/>
              <w:right w:val="single" w:sz="4" w:space="0" w:color="FFFFFF"/>
            </w:tcBorders>
            <w:shd w:val="clear" w:color="000000" w:fill="EFD3D2"/>
            <w:noWrap/>
            <w:vAlign w:val="center"/>
          </w:tcPr>
          <w:p w14:paraId="6777758D" w14:textId="60D34489"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24</w:t>
            </w:r>
          </w:p>
        </w:tc>
        <w:tc>
          <w:tcPr>
            <w:tcW w:w="1035" w:type="dxa"/>
            <w:tcBorders>
              <w:top w:val="nil"/>
              <w:left w:val="nil"/>
              <w:bottom w:val="single" w:sz="4" w:space="0" w:color="FFFFFF"/>
              <w:right w:val="single" w:sz="4" w:space="0" w:color="FFFFFF"/>
            </w:tcBorders>
            <w:shd w:val="clear" w:color="000000" w:fill="EFD3D2"/>
            <w:noWrap/>
            <w:vAlign w:val="center"/>
          </w:tcPr>
          <w:p w14:paraId="6CE595D6" w14:textId="6ECFDB8F" w:rsidR="00C24B25" w:rsidRPr="00C24B25"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EC04B3">
              <w:rPr>
                <w:rFonts w:cs="Arial"/>
                <w:bCs/>
                <w:szCs w:val="20"/>
              </w:rPr>
              <w:t>2</w:t>
            </w:r>
            <w:r w:rsidR="00C5258B">
              <w:rPr>
                <w:rFonts w:cs="Arial"/>
                <w:bCs/>
                <w:szCs w:val="20"/>
              </w:rPr>
              <w:t>5</w:t>
            </w:r>
          </w:p>
        </w:tc>
        <w:tc>
          <w:tcPr>
            <w:tcW w:w="1035" w:type="dxa"/>
            <w:tcBorders>
              <w:top w:val="nil"/>
              <w:left w:val="nil"/>
              <w:bottom w:val="single" w:sz="4" w:space="0" w:color="FFFFFF"/>
              <w:right w:val="single" w:sz="4" w:space="0" w:color="FFFFFF"/>
            </w:tcBorders>
            <w:shd w:val="clear" w:color="000000" w:fill="808080"/>
            <w:noWrap/>
            <w:vAlign w:val="center"/>
            <w:hideMark/>
          </w:tcPr>
          <w:p w14:paraId="3EB216FF" w14:textId="14C35189" w:rsidR="00C24B25" w:rsidRPr="00F8220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27</w:t>
            </w:r>
          </w:p>
        </w:tc>
      </w:tr>
      <w:tr w:rsidR="00C24B25" w:rsidRPr="00086AB2" w14:paraId="52BFC31B" w14:textId="77777777" w:rsidTr="00632BF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F56AD68" w14:textId="77777777" w:rsidR="00C24B25" w:rsidRPr="00086AB2" w:rsidRDefault="00C24B25" w:rsidP="00473F9D">
            <w:pPr>
              <w:jc w:val="left"/>
              <w:rPr>
                <w:rFonts w:cs="Arial"/>
                <w:color w:val="000000"/>
                <w:szCs w:val="20"/>
              </w:rPr>
            </w:pPr>
            <w:r w:rsidRPr="00086AB2">
              <w:rPr>
                <w:rFonts w:cs="Arial"/>
                <w:color w:val="000000"/>
                <w:szCs w:val="20"/>
              </w:rPr>
              <w:t>Western Australia</w:t>
            </w:r>
          </w:p>
        </w:tc>
        <w:tc>
          <w:tcPr>
            <w:tcW w:w="1034" w:type="dxa"/>
            <w:tcBorders>
              <w:top w:val="nil"/>
              <w:left w:val="nil"/>
              <w:bottom w:val="single" w:sz="4" w:space="0" w:color="FFFFFF"/>
              <w:right w:val="single" w:sz="4" w:space="0" w:color="FFFFFF"/>
            </w:tcBorders>
            <w:shd w:val="clear" w:color="000000" w:fill="FFFFFF"/>
            <w:noWrap/>
            <w:vAlign w:val="center"/>
            <w:hideMark/>
          </w:tcPr>
          <w:p w14:paraId="2B47427A" w14:textId="7682B248"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c>
          <w:tcPr>
            <w:tcW w:w="1035" w:type="dxa"/>
            <w:tcBorders>
              <w:top w:val="nil"/>
              <w:left w:val="nil"/>
              <w:bottom w:val="single" w:sz="4" w:space="0" w:color="FFFFFF"/>
              <w:right w:val="single" w:sz="4" w:space="0" w:color="FFFFFF"/>
            </w:tcBorders>
            <w:shd w:val="clear" w:color="000000" w:fill="FFFFFF"/>
            <w:noWrap/>
            <w:vAlign w:val="center"/>
          </w:tcPr>
          <w:p w14:paraId="67CE1809" w14:textId="532A3A83"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c>
          <w:tcPr>
            <w:tcW w:w="1035" w:type="dxa"/>
            <w:tcBorders>
              <w:top w:val="nil"/>
              <w:left w:val="nil"/>
              <w:bottom w:val="single" w:sz="4" w:space="0" w:color="FFFFFF"/>
              <w:right w:val="single" w:sz="4" w:space="0" w:color="FFFFFF"/>
            </w:tcBorders>
            <w:shd w:val="clear" w:color="000000" w:fill="FFFFFF"/>
            <w:noWrap/>
            <w:vAlign w:val="center"/>
          </w:tcPr>
          <w:p w14:paraId="687D09AD" w14:textId="08E31297"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34" w:type="dxa"/>
            <w:tcBorders>
              <w:top w:val="nil"/>
              <w:left w:val="nil"/>
              <w:bottom w:val="single" w:sz="4" w:space="0" w:color="FFFFFF"/>
              <w:right w:val="single" w:sz="4" w:space="0" w:color="FFFFFF"/>
            </w:tcBorders>
            <w:shd w:val="clear" w:color="000000" w:fill="FFFFFF"/>
            <w:noWrap/>
            <w:vAlign w:val="center"/>
          </w:tcPr>
          <w:p w14:paraId="1FE92E15" w14:textId="43EB7E2D"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35" w:type="dxa"/>
            <w:tcBorders>
              <w:top w:val="nil"/>
              <w:left w:val="nil"/>
              <w:bottom w:val="single" w:sz="4" w:space="0" w:color="FFFFFF"/>
              <w:right w:val="single" w:sz="4" w:space="0" w:color="FFFFFF"/>
            </w:tcBorders>
            <w:shd w:val="clear" w:color="000000" w:fill="FFFFFF"/>
            <w:noWrap/>
            <w:vAlign w:val="center"/>
          </w:tcPr>
          <w:p w14:paraId="4F999540" w14:textId="0E012E58" w:rsidR="00C24B25" w:rsidRPr="00C24B25"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sidRPr="00EC04B3">
              <w:rPr>
                <w:rFonts w:cs="Arial"/>
                <w:bCs/>
                <w:szCs w:val="20"/>
              </w:rPr>
              <w:t>13</w:t>
            </w:r>
          </w:p>
        </w:tc>
        <w:tc>
          <w:tcPr>
            <w:tcW w:w="1035" w:type="dxa"/>
            <w:tcBorders>
              <w:top w:val="nil"/>
              <w:left w:val="nil"/>
              <w:bottom w:val="single" w:sz="4" w:space="0" w:color="FFFFFF"/>
              <w:right w:val="single" w:sz="4" w:space="0" w:color="FFFFFF"/>
            </w:tcBorders>
            <w:shd w:val="clear" w:color="000000" w:fill="808080"/>
            <w:noWrap/>
            <w:vAlign w:val="center"/>
            <w:hideMark/>
          </w:tcPr>
          <w:p w14:paraId="51FF85E0" w14:textId="241BA866" w:rsidR="00C24B25" w:rsidRPr="00F8220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16</w:t>
            </w:r>
          </w:p>
        </w:tc>
      </w:tr>
      <w:tr w:rsidR="00C24B25" w:rsidRPr="00086AB2" w14:paraId="757CF431" w14:textId="77777777" w:rsidTr="00632BF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1ACCFC2" w14:textId="77777777" w:rsidR="00C24B25" w:rsidRPr="00086AB2" w:rsidRDefault="00C24B25" w:rsidP="00473F9D">
            <w:pPr>
              <w:jc w:val="left"/>
              <w:rPr>
                <w:rFonts w:cs="Arial"/>
                <w:color w:val="000000"/>
                <w:szCs w:val="20"/>
              </w:rPr>
            </w:pPr>
            <w:r w:rsidRPr="00086AB2">
              <w:rPr>
                <w:rFonts w:cs="Arial"/>
                <w:color w:val="000000"/>
                <w:szCs w:val="20"/>
              </w:rPr>
              <w:t>South Australia</w:t>
            </w:r>
          </w:p>
        </w:tc>
        <w:tc>
          <w:tcPr>
            <w:tcW w:w="1034" w:type="dxa"/>
            <w:tcBorders>
              <w:top w:val="nil"/>
              <w:left w:val="nil"/>
              <w:bottom w:val="single" w:sz="4" w:space="0" w:color="FFFFFF"/>
              <w:right w:val="single" w:sz="4" w:space="0" w:color="FFFFFF"/>
            </w:tcBorders>
            <w:shd w:val="clear" w:color="000000" w:fill="EFD3D2"/>
            <w:noWrap/>
            <w:vAlign w:val="center"/>
            <w:hideMark/>
          </w:tcPr>
          <w:p w14:paraId="7DAAFCFF" w14:textId="2C265E5C"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35" w:type="dxa"/>
            <w:tcBorders>
              <w:top w:val="nil"/>
              <w:left w:val="nil"/>
              <w:bottom w:val="single" w:sz="4" w:space="0" w:color="FFFFFF"/>
              <w:right w:val="single" w:sz="4" w:space="0" w:color="FFFFFF"/>
            </w:tcBorders>
            <w:shd w:val="clear" w:color="000000" w:fill="EFD3D2"/>
            <w:noWrap/>
            <w:vAlign w:val="center"/>
          </w:tcPr>
          <w:p w14:paraId="23B8B355" w14:textId="03D5AB0C"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w:t>
            </w:r>
          </w:p>
        </w:tc>
        <w:tc>
          <w:tcPr>
            <w:tcW w:w="1035" w:type="dxa"/>
            <w:tcBorders>
              <w:top w:val="nil"/>
              <w:left w:val="nil"/>
              <w:bottom w:val="single" w:sz="4" w:space="0" w:color="FFFFFF"/>
              <w:right w:val="single" w:sz="4" w:space="0" w:color="FFFFFF"/>
            </w:tcBorders>
            <w:shd w:val="clear" w:color="000000" w:fill="EFD3D2"/>
            <w:noWrap/>
            <w:vAlign w:val="center"/>
          </w:tcPr>
          <w:p w14:paraId="7FC47E8B" w14:textId="6CBAB002"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34" w:type="dxa"/>
            <w:tcBorders>
              <w:top w:val="nil"/>
              <w:left w:val="nil"/>
              <w:bottom w:val="single" w:sz="4" w:space="0" w:color="FFFFFF"/>
              <w:right w:val="single" w:sz="4" w:space="0" w:color="FFFFFF"/>
            </w:tcBorders>
            <w:shd w:val="clear" w:color="000000" w:fill="EFD3D2"/>
            <w:noWrap/>
            <w:vAlign w:val="center"/>
          </w:tcPr>
          <w:p w14:paraId="3037A351" w14:textId="67C08B96"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035" w:type="dxa"/>
            <w:tcBorders>
              <w:top w:val="nil"/>
              <w:left w:val="nil"/>
              <w:bottom w:val="single" w:sz="4" w:space="0" w:color="FFFFFF"/>
              <w:right w:val="single" w:sz="4" w:space="0" w:color="FFFFFF"/>
            </w:tcBorders>
            <w:shd w:val="clear" w:color="000000" w:fill="EFD3D2"/>
            <w:noWrap/>
            <w:vAlign w:val="center"/>
          </w:tcPr>
          <w:p w14:paraId="618127FA" w14:textId="0B18A8AE" w:rsidR="00C24B25" w:rsidRPr="00C24B25"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EC04B3">
              <w:rPr>
                <w:rFonts w:cs="Arial"/>
                <w:bCs/>
                <w:szCs w:val="20"/>
              </w:rPr>
              <w:t>6</w:t>
            </w:r>
          </w:p>
        </w:tc>
        <w:tc>
          <w:tcPr>
            <w:tcW w:w="1035" w:type="dxa"/>
            <w:tcBorders>
              <w:top w:val="nil"/>
              <w:left w:val="nil"/>
              <w:bottom w:val="single" w:sz="4" w:space="0" w:color="FFFFFF"/>
              <w:right w:val="single" w:sz="4" w:space="0" w:color="FFFFFF"/>
            </w:tcBorders>
            <w:shd w:val="clear" w:color="000000" w:fill="808080"/>
            <w:noWrap/>
            <w:vAlign w:val="center"/>
            <w:hideMark/>
          </w:tcPr>
          <w:p w14:paraId="32E77B96" w14:textId="7A5E7A9E" w:rsidR="00C24B25" w:rsidRPr="00F8220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9</w:t>
            </w:r>
          </w:p>
        </w:tc>
      </w:tr>
      <w:tr w:rsidR="00C24B25" w:rsidRPr="00086AB2" w14:paraId="7B3D6FF7" w14:textId="77777777" w:rsidTr="00632BF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55B0FFAC" w14:textId="77777777" w:rsidR="00C24B25" w:rsidRPr="00086AB2" w:rsidRDefault="00C24B25" w:rsidP="00473F9D">
            <w:pPr>
              <w:jc w:val="left"/>
              <w:rPr>
                <w:rFonts w:cs="Arial"/>
                <w:color w:val="000000"/>
                <w:szCs w:val="20"/>
              </w:rPr>
            </w:pPr>
            <w:r w:rsidRPr="00086AB2">
              <w:rPr>
                <w:rFonts w:cs="Arial"/>
                <w:color w:val="000000"/>
                <w:szCs w:val="20"/>
              </w:rPr>
              <w:t>Tasmania</w:t>
            </w:r>
          </w:p>
        </w:tc>
        <w:tc>
          <w:tcPr>
            <w:tcW w:w="1034" w:type="dxa"/>
            <w:tcBorders>
              <w:top w:val="nil"/>
              <w:left w:val="nil"/>
              <w:bottom w:val="single" w:sz="4" w:space="0" w:color="FFFFFF"/>
              <w:right w:val="single" w:sz="4" w:space="0" w:color="FFFFFF"/>
            </w:tcBorders>
            <w:shd w:val="clear" w:color="000000" w:fill="FFFFFF"/>
            <w:noWrap/>
            <w:vAlign w:val="center"/>
            <w:hideMark/>
          </w:tcPr>
          <w:p w14:paraId="024D5DB4" w14:textId="6587F67A"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1035" w:type="dxa"/>
            <w:tcBorders>
              <w:top w:val="nil"/>
              <w:left w:val="nil"/>
              <w:bottom w:val="single" w:sz="4" w:space="0" w:color="FFFFFF"/>
              <w:right w:val="single" w:sz="4" w:space="0" w:color="FFFFFF"/>
            </w:tcBorders>
            <w:shd w:val="clear" w:color="000000" w:fill="FFFFFF"/>
            <w:noWrap/>
            <w:vAlign w:val="center"/>
          </w:tcPr>
          <w:p w14:paraId="6D106B4D" w14:textId="36F1D4E3"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035" w:type="dxa"/>
            <w:tcBorders>
              <w:top w:val="nil"/>
              <w:left w:val="nil"/>
              <w:bottom w:val="single" w:sz="4" w:space="0" w:color="FFFFFF"/>
              <w:right w:val="single" w:sz="4" w:space="0" w:color="FFFFFF"/>
            </w:tcBorders>
            <w:shd w:val="clear" w:color="000000" w:fill="FFFFFF"/>
            <w:noWrap/>
            <w:vAlign w:val="center"/>
          </w:tcPr>
          <w:p w14:paraId="29F1498F" w14:textId="471DD709"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34" w:type="dxa"/>
            <w:tcBorders>
              <w:top w:val="nil"/>
              <w:left w:val="nil"/>
              <w:bottom w:val="single" w:sz="4" w:space="0" w:color="FFFFFF"/>
              <w:right w:val="single" w:sz="4" w:space="0" w:color="FFFFFF"/>
            </w:tcBorders>
            <w:shd w:val="clear" w:color="000000" w:fill="FFFFFF"/>
            <w:noWrap/>
            <w:vAlign w:val="center"/>
          </w:tcPr>
          <w:p w14:paraId="289FC29A" w14:textId="547DFC9D"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p>
        </w:tc>
        <w:tc>
          <w:tcPr>
            <w:tcW w:w="1035" w:type="dxa"/>
            <w:tcBorders>
              <w:top w:val="nil"/>
              <w:left w:val="nil"/>
              <w:bottom w:val="single" w:sz="4" w:space="0" w:color="FFFFFF"/>
              <w:right w:val="single" w:sz="4" w:space="0" w:color="FFFFFF"/>
            </w:tcBorders>
            <w:shd w:val="clear" w:color="000000" w:fill="FFFFFF"/>
            <w:noWrap/>
            <w:vAlign w:val="center"/>
          </w:tcPr>
          <w:p w14:paraId="13F944A5" w14:textId="3FB26FF9" w:rsidR="00C24B25" w:rsidRPr="00C24B25"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sidRPr="00EC04B3">
              <w:rPr>
                <w:rFonts w:cs="Arial"/>
                <w:bCs/>
                <w:szCs w:val="20"/>
              </w:rPr>
              <w:t>2</w:t>
            </w:r>
          </w:p>
        </w:tc>
        <w:tc>
          <w:tcPr>
            <w:tcW w:w="1035" w:type="dxa"/>
            <w:tcBorders>
              <w:top w:val="nil"/>
              <w:left w:val="nil"/>
              <w:bottom w:val="single" w:sz="4" w:space="0" w:color="FFFFFF"/>
              <w:right w:val="single" w:sz="4" w:space="0" w:color="FFFFFF"/>
            </w:tcBorders>
            <w:shd w:val="clear" w:color="000000" w:fill="808080"/>
            <w:noWrap/>
            <w:vAlign w:val="center"/>
            <w:hideMark/>
          </w:tcPr>
          <w:p w14:paraId="5CCB3858" w14:textId="7DF2F42A" w:rsidR="00C24B25" w:rsidRPr="00F8220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4</w:t>
            </w:r>
          </w:p>
        </w:tc>
      </w:tr>
      <w:tr w:rsidR="00C24B25" w:rsidRPr="00086AB2" w14:paraId="12D1FA9C" w14:textId="77777777" w:rsidTr="00632BF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7EFD5B6D" w14:textId="77777777" w:rsidR="00C24B25" w:rsidRPr="00086AB2" w:rsidRDefault="00C24B25" w:rsidP="00473F9D">
            <w:pPr>
              <w:jc w:val="left"/>
              <w:rPr>
                <w:rFonts w:cs="Arial"/>
                <w:color w:val="000000"/>
                <w:szCs w:val="20"/>
              </w:rPr>
            </w:pPr>
            <w:r w:rsidRPr="00086AB2">
              <w:rPr>
                <w:rFonts w:cs="Arial"/>
                <w:color w:val="000000"/>
                <w:szCs w:val="20"/>
              </w:rPr>
              <w:t>Northern Territory</w:t>
            </w:r>
          </w:p>
        </w:tc>
        <w:tc>
          <w:tcPr>
            <w:tcW w:w="1034" w:type="dxa"/>
            <w:tcBorders>
              <w:top w:val="nil"/>
              <w:left w:val="nil"/>
              <w:bottom w:val="single" w:sz="4" w:space="0" w:color="FFFFFF"/>
              <w:right w:val="single" w:sz="4" w:space="0" w:color="FFFFFF"/>
            </w:tcBorders>
            <w:shd w:val="clear" w:color="000000" w:fill="EFD3D2"/>
            <w:noWrap/>
            <w:vAlign w:val="center"/>
            <w:hideMark/>
          </w:tcPr>
          <w:p w14:paraId="58A958CF" w14:textId="4AE16C66"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p>
        </w:tc>
        <w:tc>
          <w:tcPr>
            <w:tcW w:w="1035" w:type="dxa"/>
            <w:tcBorders>
              <w:top w:val="nil"/>
              <w:left w:val="nil"/>
              <w:bottom w:val="single" w:sz="4" w:space="0" w:color="FFFFFF"/>
              <w:right w:val="single" w:sz="4" w:space="0" w:color="FFFFFF"/>
            </w:tcBorders>
            <w:shd w:val="clear" w:color="000000" w:fill="EFD3D2"/>
            <w:noWrap/>
            <w:vAlign w:val="center"/>
          </w:tcPr>
          <w:p w14:paraId="73C0F2E9" w14:textId="6DF0C011"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35" w:type="dxa"/>
            <w:tcBorders>
              <w:top w:val="nil"/>
              <w:left w:val="nil"/>
              <w:bottom w:val="single" w:sz="4" w:space="0" w:color="FFFFFF"/>
              <w:right w:val="single" w:sz="4" w:space="0" w:color="FFFFFF"/>
            </w:tcBorders>
            <w:shd w:val="clear" w:color="000000" w:fill="EFD3D2"/>
            <w:noWrap/>
            <w:vAlign w:val="center"/>
          </w:tcPr>
          <w:p w14:paraId="4C33BC32" w14:textId="0C7E4BF0"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34" w:type="dxa"/>
            <w:tcBorders>
              <w:top w:val="nil"/>
              <w:left w:val="nil"/>
              <w:bottom w:val="single" w:sz="4" w:space="0" w:color="FFFFFF"/>
              <w:right w:val="single" w:sz="4" w:space="0" w:color="FFFFFF"/>
            </w:tcBorders>
            <w:shd w:val="clear" w:color="000000" w:fill="EFD3D2"/>
            <w:noWrap/>
            <w:vAlign w:val="center"/>
          </w:tcPr>
          <w:p w14:paraId="77C7A533" w14:textId="39E22A8A"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035" w:type="dxa"/>
            <w:tcBorders>
              <w:top w:val="nil"/>
              <w:left w:val="nil"/>
              <w:bottom w:val="single" w:sz="4" w:space="0" w:color="FFFFFF"/>
              <w:right w:val="single" w:sz="4" w:space="0" w:color="FFFFFF"/>
            </w:tcBorders>
            <w:shd w:val="clear" w:color="000000" w:fill="EFD3D2"/>
            <w:noWrap/>
            <w:vAlign w:val="center"/>
          </w:tcPr>
          <w:p w14:paraId="411989F7" w14:textId="2F336755" w:rsidR="00C24B25" w:rsidRPr="008F29A3"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4866F8">
              <w:rPr>
                <w:rFonts w:cs="Arial"/>
                <w:szCs w:val="20"/>
              </w:rPr>
              <w:t>4</w:t>
            </w:r>
          </w:p>
        </w:tc>
        <w:tc>
          <w:tcPr>
            <w:tcW w:w="1035" w:type="dxa"/>
            <w:tcBorders>
              <w:top w:val="nil"/>
              <w:left w:val="nil"/>
              <w:bottom w:val="single" w:sz="4" w:space="0" w:color="FFFFFF"/>
              <w:right w:val="single" w:sz="4" w:space="0" w:color="FFFFFF"/>
            </w:tcBorders>
            <w:shd w:val="clear" w:color="000000" w:fill="808080"/>
            <w:noWrap/>
            <w:vAlign w:val="center"/>
            <w:hideMark/>
          </w:tcPr>
          <w:p w14:paraId="0BCEAD10" w14:textId="199AB2FA" w:rsidR="00C24B25" w:rsidRPr="00F8220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3</w:t>
            </w:r>
          </w:p>
        </w:tc>
      </w:tr>
      <w:tr w:rsidR="00C24B25" w:rsidRPr="00086AB2" w14:paraId="2A843886" w14:textId="77777777" w:rsidTr="00632BF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1C87E434" w14:textId="77777777" w:rsidR="00C24B25" w:rsidRPr="00086AB2" w:rsidRDefault="00C24B25" w:rsidP="00473F9D">
            <w:pPr>
              <w:jc w:val="left"/>
              <w:rPr>
                <w:rFonts w:cs="Arial"/>
                <w:color w:val="000000"/>
                <w:szCs w:val="20"/>
              </w:rPr>
            </w:pPr>
            <w:r w:rsidRPr="00086AB2">
              <w:rPr>
                <w:rFonts w:cs="Arial"/>
                <w:color w:val="000000"/>
                <w:szCs w:val="20"/>
              </w:rPr>
              <w:t>Australian Capital Territory</w:t>
            </w:r>
          </w:p>
        </w:tc>
        <w:tc>
          <w:tcPr>
            <w:tcW w:w="1034" w:type="dxa"/>
            <w:tcBorders>
              <w:top w:val="nil"/>
              <w:left w:val="nil"/>
              <w:bottom w:val="single" w:sz="4" w:space="0" w:color="FFFFFF"/>
              <w:right w:val="single" w:sz="4" w:space="0" w:color="FFFFFF"/>
            </w:tcBorders>
            <w:shd w:val="clear" w:color="000000" w:fill="FFFFFF"/>
            <w:noWrap/>
            <w:vAlign w:val="center"/>
            <w:hideMark/>
          </w:tcPr>
          <w:p w14:paraId="244A54D7" w14:textId="13AA223F" w:rsidR="00C24B25" w:rsidRPr="00086AB2" w:rsidRDefault="00F76693"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035" w:type="dxa"/>
            <w:tcBorders>
              <w:top w:val="nil"/>
              <w:left w:val="nil"/>
              <w:bottom w:val="single" w:sz="4" w:space="0" w:color="FFFFFF"/>
              <w:right w:val="single" w:sz="4" w:space="0" w:color="FFFFFF"/>
            </w:tcBorders>
            <w:shd w:val="clear" w:color="000000" w:fill="FFFFFF"/>
            <w:noWrap/>
            <w:vAlign w:val="center"/>
          </w:tcPr>
          <w:p w14:paraId="52A58D8D" w14:textId="2817E5D6" w:rsidR="00C24B25" w:rsidRPr="00086AB2" w:rsidRDefault="00F76693"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035" w:type="dxa"/>
            <w:tcBorders>
              <w:top w:val="nil"/>
              <w:left w:val="nil"/>
              <w:bottom w:val="single" w:sz="4" w:space="0" w:color="FFFFFF"/>
              <w:right w:val="single" w:sz="4" w:space="0" w:color="FFFFFF"/>
            </w:tcBorders>
            <w:shd w:val="clear" w:color="000000" w:fill="FFFFFF"/>
            <w:noWrap/>
            <w:vAlign w:val="center"/>
          </w:tcPr>
          <w:p w14:paraId="34344512" w14:textId="003FE78C" w:rsidR="00C24B25" w:rsidRPr="00086AB2"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34" w:type="dxa"/>
            <w:tcBorders>
              <w:top w:val="nil"/>
              <w:left w:val="nil"/>
              <w:bottom w:val="single" w:sz="4" w:space="0" w:color="FFFFFF"/>
              <w:right w:val="single" w:sz="4" w:space="0" w:color="FFFFFF"/>
            </w:tcBorders>
            <w:shd w:val="clear" w:color="000000" w:fill="FFFFFF"/>
            <w:noWrap/>
            <w:vAlign w:val="center"/>
          </w:tcPr>
          <w:p w14:paraId="544A9E20" w14:textId="19C0DBA4" w:rsidR="00C24B25" w:rsidRPr="00086AB2" w:rsidRDefault="00F76693" w:rsidP="00473F9D">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035" w:type="dxa"/>
            <w:tcBorders>
              <w:top w:val="nil"/>
              <w:left w:val="nil"/>
              <w:bottom w:val="single" w:sz="4" w:space="0" w:color="FFFFFF"/>
              <w:right w:val="single" w:sz="4" w:space="0" w:color="FFFFFF"/>
            </w:tcBorders>
            <w:shd w:val="clear" w:color="000000" w:fill="FFFFFF"/>
            <w:noWrap/>
            <w:vAlign w:val="center"/>
          </w:tcPr>
          <w:p w14:paraId="4DA1229E" w14:textId="6573750F" w:rsidR="00C24B25" w:rsidRPr="008F29A3" w:rsidRDefault="00C24B25" w:rsidP="00473F9D">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sidRPr="004866F8">
              <w:rPr>
                <w:rFonts w:cs="Arial"/>
                <w:szCs w:val="20"/>
              </w:rPr>
              <w:t>1</w:t>
            </w:r>
          </w:p>
        </w:tc>
        <w:tc>
          <w:tcPr>
            <w:tcW w:w="1035" w:type="dxa"/>
            <w:tcBorders>
              <w:top w:val="nil"/>
              <w:left w:val="nil"/>
              <w:bottom w:val="single" w:sz="4" w:space="0" w:color="FFFFFF"/>
              <w:right w:val="single" w:sz="4" w:space="0" w:color="FFFFFF"/>
            </w:tcBorders>
            <w:shd w:val="clear" w:color="000000" w:fill="808080"/>
            <w:noWrap/>
            <w:vAlign w:val="center"/>
            <w:hideMark/>
          </w:tcPr>
          <w:p w14:paraId="39B9DDF1" w14:textId="3C321AEA" w:rsidR="00C24B25" w:rsidRPr="00F82202" w:rsidRDefault="00F44D85" w:rsidP="00473F9D">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&lt;</w:t>
            </w:r>
            <w:r w:rsidR="00C24B25">
              <w:rPr>
                <w:rFonts w:cs="Arial"/>
                <w:b/>
                <w:bCs/>
                <w:color w:val="FFFFFF"/>
                <w:szCs w:val="20"/>
              </w:rPr>
              <w:t>1</w:t>
            </w:r>
          </w:p>
        </w:tc>
      </w:tr>
      <w:tr w:rsidR="00C24B25" w:rsidRPr="00086AB2" w14:paraId="307BCC6F" w14:textId="77777777" w:rsidTr="00632BF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shd w:val="clear" w:color="auto" w:fill="808080" w:themeFill="background1" w:themeFillShade="80"/>
            <w:noWrap/>
            <w:hideMark/>
          </w:tcPr>
          <w:p w14:paraId="2D793B95" w14:textId="77777777" w:rsidR="00C24B25" w:rsidRPr="00086AB2" w:rsidRDefault="00C24B25" w:rsidP="00473F9D">
            <w:pPr>
              <w:jc w:val="left"/>
              <w:rPr>
                <w:rFonts w:cs="Arial"/>
                <w:bCs w:val="0"/>
                <w:color w:val="FFFFFF" w:themeColor="background1"/>
                <w:szCs w:val="20"/>
              </w:rPr>
            </w:pPr>
            <w:r w:rsidRPr="00086AB2">
              <w:rPr>
                <w:rFonts w:cs="Arial"/>
                <w:bCs w:val="0"/>
                <w:color w:val="FFFFFF" w:themeColor="background1"/>
                <w:szCs w:val="20"/>
              </w:rPr>
              <w:t>Australian total</w:t>
            </w:r>
          </w:p>
        </w:tc>
        <w:tc>
          <w:tcPr>
            <w:tcW w:w="1034" w:type="dxa"/>
            <w:tcBorders>
              <w:top w:val="nil"/>
              <w:left w:val="nil"/>
              <w:bottom w:val="single" w:sz="4" w:space="0" w:color="FFFFFF"/>
              <w:right w:val="single" w:sz="4" w:space="0" w:color="FFFFFF"/>
            </w:tcBorders>
            <w:shd w:val="clear" w:color="000000" w:fill="808080"/>
            <w:noWrap/>
            <w:vAlign w:val="center"/>
            <w:hideMark/>
          </w:tcPr>
          <w:p w14:paraId="1EEF80DF" w14:textId="6B4E2258"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124</w:t>
            </w:r>
          </w:p>
        </w:tc>
        <w:tc>
          <w:tcPr>
            <w:tcW w:w="1035" w:type="dxa"/>
            <w:tcBorders>
              <w:top w:val="nil"/>
              <w:left w:val="nil"/>
              <w:bottom w:val="single" w:sz="4" w:space="0" w:color="FFFFFF"/>
              <w:right w:val="single" w:sz="4" w:space="0" w:color="FFFFFF"/>
            </w:tcBorders>
            <w:shd w:val="clear" w:color="000000" w:fill="808080"/>
            <w:noWrap/>
            <w:vAlign w:val="center"/>
          </w:tcPr>
          <w:p w14:paraId="652FB843" w14:textId="2240E1B8"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148</w:t>
            </w:r>
          </w:p>
        </w:tc>
        <w:tc>
          <w:tcPr>
            <w:tcW w:w="1035" w:type="dxa"/>
            <w:tcBorders>
              <w:top w:val="nil"/>
              <w:left w:val="nil"/>
              <w:bottom w:val="single" w:sz="4" w:space="0" w:color="FFFFFF"/>
              <w:right w:val="single" w:sz="4" w:space="0" w:color="FFFFFF"/>
            </w:tcBorders>
            <w:shd w:val="clear" w:color="000000" w:fill="808080"/>
            <w:noWrap/>
            <w:vAlign w:val="center"/>
          </w:tcPr>
          <w:p w14:paraId="72BCC697" w14:textId="1FA775E2"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122</w:t>
            </w:r>
          </w:p>
        </w:tc>
        <w:tc>
          <w:tcPr>
            <w:tcW w:w="1034" w:type="dxa"/>
            <w:tcBorders>
              <w:top w:val="nil"/>
              <w:left w:val="nil"/>
              <w:bottom w:val="single" w:sz="4" w:space="0" w:color="FFFFFF"/>
              <w:right w:val="single" w:sz="4" w:space="0" w:color="FFFFFF"/>
            </w:tcBorders>
            <w:shd w:val="clear" w:color="000000" w:fill="808080"/>
            <w:noWrap/>
            <w:vAlign w:val="center"/>
          </w:tcPr>
          <w:p w14:paraId="4F1B9068" w14:textId="2CDC9904" w:rsidR="00C24B25" w:rsidRPr="00086AB2"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123</w:t>
            </w:r>
          </w:p>
        </w:tc>
        <w:tc>
          <w:tcPr>
            <w:tcW w:w="1035" w:type="dxa"/>
            <w:tcBorders>
              <w:top w:val="nil"/>
              <w:left w:val="nil"/>
              <w:bottom w:val="single" w:sz="4" w:space="0" w:color="FFFFFF"/>
              <w:right w:val="single" w:sz="4" w:space="0" w:color="FFFFFF"/>
            </w:tcBorders>
            <w:shd w:val="clear" w:color="000000" w:fill="808080"/>
            <w:noWrap/>
            <w:vAlign w:val="center"/>
          </w:tcPr>
          <w:p w14:paraId="6F7FC1DE" w14:textId="2775E21D" w:rsidR="00C24B25" w:rsidRPr="00535E4C" w:rsidRDefault="00C24B25" w:rsidP="00473F9D">
            <w:pPr>
              <w:jc w:val="center"/>
              <w:cnfStyle w:val="000000100000" w:firstRow="0" w:lastRow="0" w:firstColumn="0" w:lastColumn="0" w:oddVBand="0" w:evenVBand="0" w:oddHBand="1" w:evenHBand="0" w:firstRowFirstColumn="0" w:firstRowLastColumn="0" w:lastRowFirstColumn="0" w:lastRowLastColumn="0"/>
              <w:rPr>
                <w:rFonts w:cs="Arial"/>
                <w:b/>
                <w:bCs/>
                <w:color w:val="FF0000"/>
                <w:szCs w:val="20"/>
              </w:rPr>
            </w:pPr>
            <w:r>
              <w:rPr>
                <w:rFonts w:cs="Arial"/>
                <w:b/>
                <w:bCs/>
                <w:color w:val="FFFFFF"/>
                <w:szCs w:val="20"/>
              </w:rPr>
              <w:t>120</w:t>
            </w:r>
          </w:p>
        </w:tc>
        <w:tc>
          <w:tcPr>
            <w:tcW w:w="1035" w:type="dxa"/>
            <w:tcBorders>
              <w:top w:val="nil"/>
              <w:left w:val="nil"/>
              <w:bottom w:val="single" w:sz="4" w:space="0" w:color="FFFFFF"/>
              <w:right w:val="single" w:sz="4" w:space="0" w:color="FFFFFF"/>
            </w:tcBorders>
            <w:shd w:val="clear" w:color="000000" w:fill="808080"/>
            <w:noWrap/>
            <w:vAlign w:val="center"/>
            <w:hideMark/>
          </w:tcPr>
          <w:p w14:paraId="133D448F" w14:textId="626BCD89" w:rsidR="00C24B25" w:rsidRPr="00F82202" w:rsidRDefault="00F44D85" w:rsidP="00473F9D">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127</w:t>
            </w:r>
          </w:p>
        </w:tc>
      </w:tr>
    </w:tbl>
    <w:p w14:paraId="185E97CB" w14:textId="486F92B4" w:rsidR="00F21CB1" w:rsidRPr="00086AB2" w:rsidRDefault="00F21CB1" w:rsidP="00042B7A">
      <w:pPr>
        <w:pStyle w:val="SWATableheader"/>
        <w:keepLines/>
      </w:pPr>
      <w:bookmarkStart w:id="36" w:name="_Hlk56772472"/>
      <w:bookmarkStart w:id="37" w:name="_Hlk50027059"/>
      <w:bookmarkEnd w:id="34"/>
      <w:r w:rsidRPr="00086AB2">
        <w:lastRenderedPageBreak/>
        <w:t xml:space="preserve">Indicator </w:t>
      </w:r>
      <w:r w:rsidR="00937113" w:rsidRPr="00086AB2">
        <w:t>7</w:t>
      </w:r>
      <w:r w:rsidRPr="00086AB2">
        <w:t xml:space="preserve">b </w:t>
      </w:r>
      <w:r w:rsidR="00E76BFC" w:rsidRPr="00086AB2">
        <w:t>–</w:t>
      </w:r>
      <w:r w:rsidR="00500E11" w:rsidRPr="00086AB2">
        <w:t xml:space="preserve"> Traumatic injury fatalities: </w:t>
      </w:r>
      <w:r w:rsidRPr="00086AB2">
        <w:t>incidence rate per 100</w:t>
      </w:r>
      <w:r w:rsidR="008E3FEF" w:rsidRPr="00086AB2">
        <w:t>,</w:t>
      </w:r>
      <w:r w:rsidRPr="00086AB2">
        <w:t>000 workers for incidents not on a public road, by state of death</w:t>
      </w:r>
      <w:r w:rsidR="00617EB4">
        <w:t xml:space="preserve"> </w:t>
      </w:r>
    </w:p>
    <w:bookmarkEnd w:id="36"/>
    <w:tbl>
      <w:tblPr>
        <w:tblStyle w:val="LightShading-Accent2"/>
        <w:tblW w:w="9067" w:type="dxa"/>
        <w:tblLayout w:type="fixed"/>
        <w:tblLook w:val="04A0" w:firstRow="1" w:lastRow="0" w:firstColumn="1" w:lastColumn="0" w:noHBand="0" w:noVBand="1"/>
        <w:tblCaption w:val="ndicator 7b - Incidence rate of Traumatic injury fatality incidents not on a public road, by state of death"/>
        <w:tblDescription w:val="This Table shows incidence rate of traumatic injury fatalities occurring not on a public road between 2014-15 and 2018-19 by state of death. Please refer to body text for more details."/>
      </w:tblPr>
      <w:tblGrid>
        <w:gridCol w:w="2830"/>
        <w:gridCol w:w="1049"/>
        <w:gridCol w:w="1049"/>
        <w:gridCol w:w="1049"/>
        <w:gridCol w:w="1049"/>
        <w:gridCol w:w="1049"/>
        <w:gridCol w:w="992"/>
      </w:tblGrid>
      <w:tr w:rsidR="00823C73" w:rsidRPr="00086AB2" w14:paraId="027408F1" w14:textId="77777777" w:rsidTr="004C7164">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7FF1F593" w14:textId="73C91B47" w:rsidR="00F44D85" w:rsidRPr="00086AB2" w:rsidRDefault="00F44D85" w:rsidP="00246940">
            <w:pPr>
              <w:keepNext/>
              <w:keepLines/>
              <w:jc w:val="center"/>
              <w:rPr>
                <w:rFonts w:cs="Arial"/>
                <w:szCs w:val="20"/>
              </w:rPr>
            </w:pPr>
          </w:p>
        </w:tc>
        <w:tc>
          <w:tcPr>
            <w:tcW w:w="1049" w:type="dxa"/>
            <w:tcBorders>
              <w:top w:val="single" w:sz="4" w:space="0" w:color="FFFFFF"/>
              <w:left w:val="nil"/>
              <w:bottom w:val="single" w:sz="4" w:space="0" w:color="FFFFFF"/>
              <w:right w:val="single" w:sz="4" w:space="0" w:color="FFFFFF"/>
            </w:tcBorders>
            <w:shd w:val="clear" w:color="000000" w:fill="AF1E2D"/>
            <w:noWrap/>
            <w:vAlign w:val="center"/>
          </w:tcPr>
          <w:p w14:paraId="0066F667" w14:textId="494EE01B" w:rsidR="00F44D85" w:rsidRPr="00086AB2" w:rsidRDefault="00F44D85" w:rsidP="0024694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2014</w:t>
            </w:r>
            <w:r w:rsidR="004C7164" w:rsidRPr="00086AB2">
              <w:t>–</w:t>
            </w:r>
            <w:r>
              <w:rPr>
                <w:rFonts w:cs="Arial"/>
                <w:b w:val="0"/>
                <w:bCs w:val="0"/>
                <w:color w:val="FFFFFF"/>
                <w:szCs w:val="20"/>
              </w:rPr>
              <w:t>15</w:t>
            </w:r>
          </w:p>
        </w:tc>
        <w:tc>
          <w:tcPr>
            <w:tcW w:w="1049" w:type="dxa"/>
            <w:tcBorders>
              <w:top w:val="single" w:sz="4" w:space="0" w:color="FFFFFF"/>
              <w:left w:val="nil"/>
              <w:bottom w:val="single" w:sz="4" w:space="0" w:color="FFFFFF"/>
              <w:right w:val="single" w:sz="4" w:space="0" w:color="FFFFFF"/>
            </w:tcBorders>
            <w:shd w:val="clear" w:color="000000" w:fill="AF1E2D"/>
            <w:noWrap/>
            <w:vAlign w:val="center"/>
          </w:tcPr>
          <w:p w14:paraId="09077369" w14:textId="5D83583E" w:rsidR="00F44D85" w:rsidRPr="00086AB2" w:rsidRDefault="00F44D85" w:rsidP="0024694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2015</w:t>
            </w:r>
            <w:r w:rsidR="004C7164" w:rsidRPr="00086AB2">
              <w:t>–</w:t>
            </w:r>
            <w:r>
              <w:rPr>
                <w:rFonts w:cs="Arial"/>
                <w:b w:val="0"/>
                <w:bCs w:val="0"/>
                <w:color w:val="FFFFFF"/>
                <w:szCs w:val="20"/>
              </w:rPr>
              <w:t>16</w:t>
            </w:r>
          </w:p>
        </w:tc>
        <w:tc>
          <w:tcPr>
            <w:tcW w:w="1049" w:type="dxa"/>
            <w:tcBorders>
              <w:top w:val="single" w:sz="4" w:space="0" w:color="FFFFFF"/>
              <w:left w:val="nil"/>
              <w:bottom w:val="single" w:sz="4" w:space="0" w:color="FFFFFF"/>
              <w:right w:val="single" w:sz="4" w:space="0" w:color="FFFFFF"/>
            </w:tcBorders>
            <w:shd w:val="clear" w:color="000000" w:fill="AF1E2D"/>
            <w:noWrap/>
            <w:vAlign w:val="center"/>
          </w:tcPr>
          <w:p w14:paraId="7DE33A24" w14:textId="4803288B" w:rsidR="00F44D85" w:rsidRPr="00086AB2" w:rsidRDefault="00F44D85" w:rsidP="0024694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2016</w:t>
            </w:r>
            <w:r w:rsidR="004C7164" w:rsidRPr="00086AB2">
              <w:t>–</w:t>
            </w:r>
            <w:r>
              <w:rPr>
                <w:rFonts w:cs="Arial"/>
                <w:b w:val="0"/>
                <w:bCs w:val="0"/>
                <w:color w:val="FFFFFF"/>
                <w:szCs w:val="20"/>
              </w:rPr>
              <w:t>17</w:t>
            </w:r>
          </w:p>
        </w:tc>
        <w:tc>
          <w:tcPr>
            <w:tcW w:w="1049" w:type="dxa"/>
            <w:tcBorders>
              <w:top w:val="single" w:sz="4" w:space="0" w:color="FFFFFF"/>
              <w:left w:val="nil"/>
              <w:bottom w:val="single" w:sz="4" w:space="0" w:color="FFFFFF"/>
              <w:right w:val="single" w:sz="4" w:space="0" w:color="FFFFFF"/>
            </w:tcBorders>
            <w:shd w:val="clear" w:color="000000" w:fill="AF1E2D"/>
            <w:noWrap/>
            <w:vAlign w:val="center"/>
          </w:tcPr>
          <w:p w14:paraId="113A6BBC" w14:textId="2CA25920" w:rsidR="00F44D85" w:rsidRPr="00086AB2" w:rsidRDefault="00F44D85" w:rsidP="0024694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2017</w:t>
            </w:r>
            <w:r w:rsidR="004C7164" w:rsidRPr="00086AB2">
              <w:t>–</w:t>
            </w:r>
            <w:r>
              <w:rPr>
                <w:rFonts w:cs="Arial"/>
                <w:b w:val="0"/>
                <w:bCs w:val="0"/>
                <w:color w:val="FFFFFF"/>
                <w:szCs w:val="20"/>
              </w:rPr>
              <w:t>18</w:t>
            </w:r>
          </w:p>
        </w:tc>
        <w:tc>
          <w:tcPr>
            <w:tcW w:w="1049" w:type="dxa"/>
            <w:tcBorders>
              <w:top w:val="single" w:sz="4" w:space="0" w:color="FFFFFF"/>
              <w:left w:val="nil"/>
              <w:bottom w:val="single" w:sz="4" w:space="0" w:color="FFFFFF"/>
              <w:right w:val="single" w:sz="4" w:space="0" w:color="FFFFFF"/>
            </w:tcBorders>
            <w:shd w:val="clear" w:color="000000" w:fill="AF1E2D"/>
            <w:noWrap/>
            <w:vAlign w:val="center"/>
          </w:tcPr>
          <w:p w14:paraId="0943CED0" w14:textId="5847718C" w:rsidR="00F44D85" w:rsidRPr="00086AB2" w:rsidRDefault="00F44D85" w:rsidP="0024694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2018</w:t>
            </w:r>
            <w:r w:rsidR="004C7164" w:rsidRPr="00086AB2">
              <w:t>–</w:t>
            </w:r>
            <w:r>
              <w:rPr>
                <w:rFonts w:cs="Arial"/>
                <w:b w:val="0"/>
                <w:bCs w:val="0"/>
                <w:color w:val="FFFFFF"/>
                <w:szCs w:val="20"/>
              </w:rPr>
              <w:t>19</w:t>
            </w:r>
          </w:p>
        </w:tc>
        <w:tc>
          <w:tcPr>
            <w:tcW w:w="992" w:type="dxa"/>
            <w:tcBorders>
              <w:top w:val="single" w:sz="4" w:space="0" w:color="FFFFFF"/>
              <w:left w:val="nil"/>
              <w:bottom w:val="single" w:sz="4" w:space="0" w:color="FFFFFF"/>
              <w:right w:val="single" w:sz="4" w:space="0" w:color="FFFFFF"/>
            </w:tcBorders>
            <w:shd w:val="clear" w:color="000000" w:fill="AF1E2D"/>
            <w:noWrap/>
            <w:vAlign w:val="center"/>
          </w:tcPr>
          <w:p w14:paraId="0961A7EE" w14:textId="3BC117AC" w:rsidR="00F44D85" w:rsidRPr="00086AB2" w:rsidRDefault="00123749" w:rsidP="00246940">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5</w:t>
            </w:r>
            <w:r w:rsidR="00F44D85">
              <w:rPr>
                <w:rFonts w:cs="Arial"/>
                <w:b w:val="0"/>
                <w:bCs w:val="0"/>
                <w:color w:val="FFFFFF"/>
                <w:szCs w:val="20"/>
              </w:rPr>
              <w:t xml:space="preserve"> </w:t>
            </w:r>
            <w:proofErr w:type="spellStart"/>
            <w:r w:rsidR="00F44D85">
              <w:rPr>
                <w:rFonts w:cs="Arial"/>
                <w:b w:val="0"/>
                <w:bCs w:val="0"/>
                <w:color w:val="FFFFFF"/>
                <w:szCs w:val="20"/>
              </w:rPr>
              <w:t>yr</w:t>
            </w:r>
            <w:proofErr w:type="spellEnd"/>
            <w:r w:rsidR="00F44D85">
              <w:rPr>
                <w:rFonts w:cs="Arial"/>
                <w:b w:val="0"/>
                <w:bCs w:val="0"/>
                <w:color w:val="FFFFFF"/>
                <w:szCs w:val="20"/>
              </w:rPr>
              <w:t xml:space="preserve"> Average</w:t>
            </w:r>
          </w:p>
        </w:tc>
      </w:tr>
      <w:tr w:rsidR="00823C73" w:rsidRPr="00086AB2" w14:paraId="5EA11FA3" w14:textId="77777777" w:rsidTr="004C716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87B0DC" w14:textId="77777777" w:rsidR="00F44D85" w:rsidRPr="00086AB2" w:rsidRDefault="00F44D85" w:rsidP="00473F9D">
            <w:pPr>
              <w:keepNext/>
              <w:keepLines/>
              <w:jc w:val="left"/>
              <w:rPr>
                <w:rFonts w:cs="Arial"/>
                <w:color w:val="000000"/>
                <w:szCs w:val="20"/>
              </w:rPr>
            </w:pPr>
            <w:r w:rsidRPr="00086AB2">
              <w:rPr>
                <w:rFonts w:cs="Arial"/>
                <w:color w:val="000000"/>
                <w:szCs w:val="20"/>
              </w:rPr>
              <w:t>New South Wales</w:t>
            </w:r>
          </w:p>
        </w:tc>
        <w:tc>
          <w:tcPr>
            <w:tcW w:w="1049" w:type="dxa"/>
            <w:tcBorders>
              <w:top w:val="single" w:sz="4" w:space="0" w:color="FFFFFF"/>
              <w:left w:val="nil"/>
              <w:bottom w:val="single" w:sz="4" w:space="0" w:color="FFFFFF"/>
              <w:right w:val="single" w:sz="4" w:space="0" w:color="FFFFFF"/>
            </w:tcBorders>
            <w:shd w:val="clear" w:color="000000" w:fill="EFD3D2"/>
            <w:noWrap/>
            <w:vAlign w:val="center"/>
            <w:hideMark/>
          </w:tcPr>
          <w:p w14:paraId="4898C150" w14:textId="6E5A7F5E"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9" w:type="dxa"/>
            <w:tcBorders>
              <w:top w:val="single" w:sz="4" w:space="0" w:color="FFFFFF"/>
              <w:left w:val="nil"/>
              <w:bottom w:val="single" w:sz="4" w:space="0" w:color="FFFFFF"/>
              <w:right w:val="single" w:sz="4" w:space="0" w:color="FFFFFF"/>
            </w:tcBorders>
            <w:shd w:val="clear" w:color="000000" w:fill="EFD3D2"/>
            <w:noWrap/>
            <w:vAlign w:val="center"/>
            <w:hideMark/>
          </w:tcPr>
          <w:p w14:paraId="273CFF4B" w14:textId="2BCA28B1"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9" w:type="dxa"/>
            <w:tcBorders>
              <w:top w:val="single" w:sz="4" w:space="0" w:color="FFFFFF"/>
              <w:left w:val="nil"/>
              <w:bottom w:val="single" w:sz="4" w:space="0" w:color="FFFFFF"/>
              <w:right w:val="single" w:sz="4" w:space="0" w:color="FFFFFF"/>
            </w:tcBorders>
            <w:shd w:val="clear" w:color="000000" w:fill="EFD3D2"/>
            <w:noWrap/>
            <w:vAlign w:val="center"/>
            <w:hideMark/>
          </w:tcPr>
          <w:p w14:paraId="6A1AA2EE" w14:textId="44BFD9DA"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9" w:type="dxa"/>
            <w:tcBorders>
              <w:top w:val="single" w:sz="4" w:space="0" w:color="FFFFFF"/>
              <w:left w:val="nil"/>
              <w:bottom w:val="single" w:sz="4" w:space="0" w:color="FFFFFF"/>
              <w:right w:val="single" w:sz="4" w:space="0" w:color="FFFFFF"/>
            </w:tcBorders>
            <w:shd w:val="clear" w:color="000000" w:fill="EFD3D2"/>
            <w:noWrap/>
            <w:vAlign w:val="center"/>
            <w:hideMark/>
          </w:tcPr>
          <w:p w14:paraId="1AE977A1" w14:textId="41A1B7A4"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9" w:type="dxa"/>
            <w:tcBorders>
              <w:top w:val="single" w:sz="4" w:space="0" w:color="FFFFFF"/>
              <w:left w:val="nil"/>
              <w:bottom w:val="single" w:sz="4" w:space="0" w:color="FFFFFF"/>
              <w:right w:val="single" w:sz="4" w:space="0" w:color="FFFFFF"/>
            </w:tcBorders>
            <w:shd w:val="clear" w:color="000000" w:fill="EFD3D2"/>
            <w:noWrap/>
            <w:vAlign w:val="center"/>
            <w:hideMark/>
          </w:tcPr>
          <w:p w14:paraId="099F15F0" w14:textId="7892DE16" w:rsidR="00F44D85" w:rsidRPr="00535E4C"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b/>
                <w:bCs/>
                <w:szCs w:val="20"/>
              </w:rPr>
              <w:t>0.8</w:t>
            </w:r>
          </w:p>
        </w:tc>
        <w:tc>
          <w:tcPr>
            <w:tcW w:w="992" w:type="dxa"/>
            <w:tcBorders>
              <w:top w:val="single" w:sz="4" w:space="0" w:color="FFFFFF"/>
              <w:left w:val="nil"/>
              <w:bottom w:val="single" w:sz="4" w:space="0" w:color="FFFFFF"/>
              <w:right w:val="single" w:sz="4" w:space="0" w:color="FFFFFF"/>
            </w:tcBorders>
            <w:shd w:val="clear" w:color="000000" w:fill="808080"/>
            <w:noWrap/>
            <w:vAlign w:val="center"/>
            <w:hideMark/>
          </w:tcPr>
          <w:p w14:paraId="37193F60" w14:textId="15C08273" w:rsidR="00F44D85" w:rsidRPr="00CA0AEE"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1.0</w:t>
            </w:r>
          </w:p>
        </w:tc>
      </w:tr>
      <w:tr w:rsidR="00823C73" w:rsidRPr="00086AB2" w14:paraId="7B6438B7" w14:textId="77777777" w:rsidTr="004C716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47A148" w14:textId="77777777" w:rsidR="00F44D85" w:rsidRPr="00086AB2" w:rsidRDefault="00F44D85" w:rsidP="00473F9D">
            <w:pPr>
              <w:keepNext/>
              <w:keepLines/>
              <w:jc w:val="left"/>
              <w:rPr>
                <w:rFonts w:cs="Arial"/>
                <w:color w:val="000000"/>
                <w:szCs w:val="20"/>
              </w:rPr>
            </w:pPr>
            <w:r w:rsidRPr="00086AB2">
              <w:rPr>
                <w:rFonts w:cs="Arial"/>
                <w:color w:val="000000"/>
                <w:szCs w:val="20"/>
              </w:rPr>
              <w:t>Queensland</w:t>
            </w:r>
          </w:p>
        </w:tc>
        <w:tc>
          <w:tcPr>
            <w:tcW w:w="1049" w:type="dxa"/>
            <w:tcBorders>
              <w:top w:val="nil"/>
              <w:left w:val="nil"/>
              <w:bottom w:val="single" w:sz="4" w:space="0" w:color="FFFFFF"/>
              <w:right w:val="single" w:sz="4" w:space="0" w:color="FFFFFF"/>
            </w:tcBorders>
            <w:shd w:val="clear" w:color="000000" w:fill="FFFFFF"/>
            <w:noWrap/>
            <w:vAlign w:val="center"/>
            <w:hideMark/>
          </w:tcPr>
          <w:p w14:paraId="650324AA" w14:textId="2C5E7CD7"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49" w:type="dxa"/>
            <w:tcBorders>
              <w:top w:val="nil"/>
              <w:left w:val="nil"/>
              <w:bottom w:val="single" w:sz="4" w:space="0" w:color="FFFFFF"/>
              <w:right w:val="single" w:sz="4" w:space="0" w:color="FFFFFF"/>
            </w:tcBorders>
            <w:shd w:val="clear" w:color="000000" w:fill="FFFFFF"/>
            <w:noWrap/>
            <w:vAlign w:val="center"/>
            <w:hideMark/>
          </w:tcPr>
          <w:p w14:paraId="44A281F9" w14:textId="4381A4BD"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49" w:type="dxa"/>
            <w:tcBorders>
              <w:top w:val="nil"/>
              <w:left w:val="nil"/>
              <w:bottom w:val="single" w:sz="4" w:space="0" w:color="FFFFFF"/>
              <w:right w:val="single" w:sz="4" w:space="0" w:color="FFFFFF"/>
            </w:tcBorders>
            <w:shd w:val="clear" w:color="000000" w:fill="FFFFFF"/>
            <w:noWrap/>
            <w:vAlign w:val="center"/>
            <w:hideMark/>
          </w:tcPr>
          <w:p w14:paraId="2960FCBC" w14:textId="26A07583"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49" w:type="dxa"/>
            <w:tcBorders>
              <w:top w:val="nil"/>
              <w:left w:val="nil"/>
              <w:bottom w:val="single" w:sz="4" w:space="0" w:color="FFFFFF"/>
              <w:right w:val="single" w:sz="4" w:space="0" w:color="FFFFFF"/>
            </w:tcBorders>
            <w:shd w:val="clear" w:color="000000" w:fill="FFFFFF"/>
            <w:noWrap/>
            <w:vAlign w:val="center"/>
            <w:hideMark/>
          </w:tcPr>
          <w:p w14:paraId="08CC7285" w14:textId="5BE24CA4"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49" w:type="dxa"/>
            <w:tcBorders>
              <w:top w:val="nil"/>
              <w:left w:val="nil"/>
              <w:bottom w:val="single" w:sz="4" w:space="0" w:color="FFFFFF"/>
              <w:right w:val="single" w:sz="4" w:space="0" w:color="FFFFFF"/>
            </w:tcBorders>
            <w:shd w:val="clear" w:color="000000" w:fill="FFFFFF"/>
            <w:noWrap/>
            <w:vAlign w:val="center"/>
            <w:hideMark/>
          </w:tcPr>
          <w:p w14:paraId="265210F7" w14:textId="752AEBCF" w:rsidR="00F44D85" w:rsidRPr="00535E4C"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b/>
                <w:bCs/>
                <w:szCs w:val="20"/>
              </w:rPr>
              <w:t>1.5</w:t>
            </w:r>
          </w:p>
        </w:tc>
        <w:tc>
          <w:tcPr>
            <w:tcW w:w="992" w:type="dxa"/>
            <w:tcBorders>
              <w:top w:val="nil"/>
              <w:left w:val="nil"/>
              <w:bottom w:val="single" w:sz="4" w:space="0" w:color="FFFFFF"/>
              <w:right w:val="single" w:sz="4" w:space="0" w:color="FFFFFF"/>
            </w:tcBorders>
            <w:shd w:val="clear" w:color="000000" w:fill="808080"/>
            <w:noWrap/>
            <w:vAlign w:val="center"/>
            <w:hideMark/>
          </w:tcPr>
          <w:p w14:paraId="3561937F" w14:textId="79B5E6A4" w:rsidR="00F44D85" w:rsidRPr="00CA0AEE"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r w:rsidR="002A4994">
              <w:rPr>
                <w:rFonts w:cs="Arial"/>
                <w:b/>
                <w:bCs/>
                <w:color w:val="FFFFFF"/>
                <w:szCs w:val="20"/>
              </w:rPr>
              <w:t>3</w:t>
            </w:r>
          </w:p>
        </w:tc>
      </w:tr>
      <w:tr w:rsidR="00823C73" w:rsidRPr="00086AB2" w14:paraId="1EF26F8D" w14:textId="77777777" w:rsidTr="004C716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EE0AC8E" w14:textId="77777777" w:rsidR="00F44D85" w:rsidRPr="00086AB2" w:rsidRDefault="00F44D85" w:rsidP="00473F9D">
            <w:pPr>
              <w:keepNext/>
              <w:keepLines/>
              <w:jc w:val="left"/>
              <w:rPr>
                <w:rFonts w:cs="Arial"/>
                <w:color w:val="000000"/>
                <w:szCs w:val="20"/>
              </w:rPr>
            </w:pPr>
            <w:r w:rsidRPr="00086AB2">
              <w:rPr>
                <w:rFonts w:cs="Arial"/>
                <w:color w:val="000000"/>
                <w:szCs w:val="20"/>
              </w:rPr>
              <w:t>Victoria</w:t>
            </w:r>
          </w:p>
        </w:tc>
        <w:tc>
          <w:tcPr>
            <w:tcW w:w="1049" w:type="dxa"/>
            <w:tcBorders>
              <w:top w:val="nil"/>
              <w:left w:val="nil"/>
              <w:bottom w:val="single" w:sz="4" w:space="0" w:color="FFFFFF"/>
              <w:right w:val="single" w:sz="4" w:space="0" w:color="FFFFFF"/>
            </w:tcBorders>
            <w:shd w:val="clear" w:color="000000" w:fill="EFD3D2"/>
            <w:noWrap/>
            <w:vAlign w:val="center"/>
            <w:hideMark/>
          </w:tcPr>
          <w:p w14:paraId="1C48A8F7" w14:textId="6DD700CB"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0.9</w:t>
            </w:r>
          </w:p>
        </w:tc>
        <w:tc>
          <w:tcPr>
            <w:tcW w:w="1049" w:type="dxa"/>
            <w:tcBorders>
              <w:top w:val="nil"/>
              <w:left w:val="nil"/>
              <w:bottom w:val="single" w:sz="4" w:space="0" w:color="FFFFFF"/>
              <w:right w:val="single" w:sz="4" w:space="0" w:color="FFFFFF"/>
            </w:tcBorders>
            <w:shd w:val="clear" w:color="000000" w:fill="EFD3D2"/>
            <w:noWrap/>
            <w:vAlign w:val="center"/>
            <w:hideMark/>
          </w:tcPr>
          <w:p w14:paraId="2A86DC5B" w14:textId="5FAEB43D"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49" w:type="dxa"/>
            <w:tcBorders>
              <w:top w:val="nil"/>
              <w:left w:val="nil"/>
              <w:bottom w:val="single" w:sz="4" w:space="0" w:color="FFFFFF"/>
              <w:right w:val="single" w:sz="4" w:space="0" w:color="FFFFFF"/>
            </w:tcBorders>
            <w:shd w:val="clear" w:color="000000" w:fill="EFD3D2"/>
            <w:noWrap/>
            <w:vAlign w:val="center"/>
            <w:hideMark/>
          </w:tcPr>
          <w:p w14:paraId="12C0539F" w14:textId="20204565"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49" w:type="dxa"/>
            <w:tcBorders>
              <w:top w:val="nil"/>
              <w:left w:val="nil"/>
              <w:bottom w:val="single" w:sz="4" w:space="0" w:color="FFFFFF"/>
              <w:right w:val="single" w:sz="4" w:space="0" w:color="FFFFFF"/>
            </w:tcBorders>
            <w:shd w:val="clear" w:color="000000" w:fill="EFD3D2"/>
            <w:noWrap/>
            <w:vAlign w:val="center"/>
            <w:hideMark/>
          </w:tcPr>
          <w:p w14:paraId="7754B5F4" w14:textId="1E54E19F"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49" w:type="dxa"/>
            <w:tcBorders>
              <w:top w:val="nil"/>
              <w:left w:val="nil"/>
              <w:bottom w:val="single" w:sz="4" w:space="0" w:color="FFFFFF"/>
              <w:right w:val="single" w:sz="4" w:space="0" w:color="FFFFFF"/>
            </w:tcBorders>
            <w:shd w:val="clear" w:color="000000" w:fill="EFD3D2"/>
            <w:noWrap/>
            <w:vAlign w:val="center"/>
            <w:hideMark/>
          </w:tcPr>
          <w:p w14:paraId="07D53E84" w14:textId="3FCD0B50" w:rsidR="00F44D85" w:rsidRPr="00535E4C"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b/>
                <w:bCs/>
                <w:szCs w:val="20"/>
              </w:rPr>
              <w:t>0.7</w:t>
            </w:r>
          </w:p>
        </w:tc>
        <w:tc>
          <w:tcPr>
            <w:tcW w:w="992" w:type="dxa"/>
            <w:tcBorders>
              <w:top w:val="nil"/>
              <w:left w:val="nil"/>
              <w:bottom w:val="single" w:sz="4" w:space="0" w:color="FFFFFF"/>
              <w:right w:val="single" w:sz="4" w:space="0" w:color="FFFFFF"/>
            </w:tcBorders>
            <w:shd w:val="clear" w:color="000000" w:fill="808080"/>
            <w:noWrap/>
            <w:vAlign w:val="center"/>
            <w:hideMark/>
          </w:tcPr>
          <w:p w14:paraId="1ACBFE96" w14:textId="4EFF28A5" w:rsidR="00F44D85" w:rsidRPr="00CA0AEE"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0.9</w:t>
            </w:r>
          </w:p>
        </w:tc>
      </w:tr>
      <w:tr w:rsidR="00823C73" w:rsidRPr="00086AB2" w14:paraId="322DFD53" w14:textId="77777777" w:rsidTr="004C716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5AE2A65" w14:textId="77777777" w:rsidR="00F44D85" w:rsidRPr="00086AB2" w:rsidRDefault="00F44D85" w:rsidP="00473F9D">
            <w:pPr>
              <w:keepNext/>
              <w:keepLines/>
              <w:jc w:val="left"/>
              <w:rPr>
                <w:rFonts w:cs="Arial"/>
                <w:color w:val="000000"/>
                <w:szCs w:val="20"/>
              </w:rPr>
            </w:pPr>
            <w:r w:rsidRPr="00086AB2">
              <w:rPr>
                <w:rFonts w:cs="Arial"/>
                <w:color w:val="000000"/>
                <w:szCs w:val="20"/>
              </w:rPr>
              <w:t>Western Australia</w:t>
            </w:r>
          </w:p>
        </w:tc>
        <w:tc>
          <w:tcPr>
            <w:tcW w:w="1049" w:type="dxa"/>
            <w:tcBorders>
              <w:top w:val="nil"/>
              <w:left w:val="nil"/>
              <w:bottom w:val="single" w:sz="4" w:space="0" w:color="FFFFFF"/>
              <w:right w:val="single" w:sz="4" w:space="0" w:color="FFFFFF"/>
            </w:tcBorders>
            <w:shd w:val="clear" w:color="000000" w:fill="FFFFFF"/>
            <w:noWrap/>
            <w:vAlign w:val="center"/>
            <w:hideMark/>
          </w:tcPr>
          <w:p w14:paraId="159D4B0C" w14:textId="59D80343"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49" w:type="dxa"/>
            <w:tcBorders>
              <w:top w:val="nil"/>
              <w:left w:val="nil"/>
              <w:bottom w:val="single" w:sz="4" w:space="0" w:color="FFFFFF"/>
              <w:right w:val="single" w:sz="4" w:space="0" w:color="FFFFFF"/>
            </w:tcBorders>
            <w:shd w:val="clear" w:color="000000" w:fill="FFFFFF"/>
            <w:noWrap/>
            <w:vAlign w:val="center"/>
            <w:hideMark/>
          </w:tcPr>
          <w:p w14:paraId="4E54C37B" w14:textId="1AA35EA9"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1.8</w:t>
            </w:r>
          </w:p>
        </w:tc>
        <w:tc>
          <w:tcPr>
            <w:tcW w:w="1049" w:type="dxa"/>
            <w:tcBorders>
              <w:top w:val="nil"/>
              <w:left w:val="nil"/>
              <w:bottom w:val="single" w:sz="4" w:space="0" w:color="FFFFFF"/>
              <w:right w:val="single" w:sz="4" w:space="0" w:color="FFFFFF"/>
            </w:tcBorders>
            <w:shd w:val="clear" w:color="000000" w:fill="FFFFFF"/>
            <w:noWrap/>
            <w:vAlign w:val="center"/>
            <w:hideMark/>
          </w:tcPr>
          <w:p w14:paraId="24DC2166" w14:textId="47DD5E0B"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49" w:type="dxa"/>
            <w:tcBorders>
              <w:top w:val="nil"/>
              <w:left w:val="nil"/>
              <w:bottom w:val="single" w:sz="4" w:space="0" w:color="FFFFFF"/>
              <w:right w:val="single" w:sz="4" w:space="0" w:color="FFFFFF"/>
            </w:tcBorders>
            <w:shd w:val="clear" w:color="000000" w:fill="FFFFFF"/>
            <w:noWrap/>
            <w:vAlign w:val="center"/>
            <w:hideMark/>
          </w:tcPr>
          <w:p w14:paraId="2BFA061F" w14:textId="12B0DDBB"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49" w:type="dxa"/>
            <w:tcBorders>
              <w:top w:val="nil"/>
              <w:left w:val="nil"/>
              <w:bottom w:val="single" w:sz="4" w:space="0" w:color="FFFFFF"/>
              <w:right w:val="single" w:sz="4" w:space="0" w:color="FFFFFF"/>
            </w:tcBorders>
            <w:shd w:val="clear" w:color="000000" w:fill="FFFFFF"/>
            <w:noWrap/>
            <w:vAlign w:val="center"/>
            <w:hideMark/>
          </w:tcPr>
          <w:p w14:paraId="31C9925A" w14:textId="25CC1A2F" w:rsidR="00F44D85" w:rsidRPr="00535E4C"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b/>
                <w:bCs/>
                <w:szCs w:val="20"/>
              </w:rPr>
              <w:t>1.0</w:t>
            </w:r>
          </w:p>
        </w:tc>
        <w:tc>
          <w:tcPr>
            <w:tcW w:w="992" w:type="dxa"/>
            <w:tcBorders>
              <w:top w:val="nil"/>
              <w:left w:val="nil"/>
              <w:bottom w:val="single" w:sz="4" w:space="0" w:color="FFFFFF"/>
              <w:right w:val="single" w:sz="4" w:space="0" w:color="FFFFFF"/>
            </w:tcBorders>
            <w:shd w:val="clear" w:color="000000" w:fill="808080"/>
            <w:noWrap/>
            <w:vAlign w:val="center"/>
            <w:hideMark/>
          </w:tcPr>
          <w:p w14:paraId="1D005E4A" w14:textId="525E1484" w:rsidR="00F44D85" w:rsidRPr="00CA0AEE"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r w:rsidR="002A4994">
              <w:rPr>
                <w:rFonts w:cs="Arial"/>
                <w:b/>
                <w:bCs/>
                <w:color w:val="FFFFFF"/>
                <w:szCs w:val="20"/>
              </w:rPr>
              <w:t>2</w:t>
            </w:r>
          </w:p>
        </w:tc>
      </w:tr>
      <w:tr w:rsidR="00823C73" w:rsidRPr="00086AB2" w14:paraId="6A7FD94E" w14:textId="77777777" w:rsidTr="004C716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95C14B9" w14:textId="77777777" w:rsidR="00F44D85" w:rsidRPr="00086AB2" w:rsidRDefault="00F44D85" w:rsidP="00473F9D">
            <w:pPr>
              <w:keepNext/>
              <w:keepLines/>
              <w:jc w:val="left"/>
              <w:rPr>
                <w:rFonts w:cs="Arial"/>
                <w:color w:val="000000"/>
                <w:szCs w:val="20"/>
              </w:rPr>
            </w:pPr>
            <w:r w:rsidRPr="00086AB2">
              <w:rPr>
                <w:rFonts w:cs="Arial"/>
                <w:color w:val="000000"/>
                <w:szCs w:val="20"/>
              </w:rPr>
              <w:t>South Australia</w:t>
            </w:r>
          </w:p>
        </w:tc>
        <w:tc>
          <w:tcPr>
            <w:tcW w:w="1049" w:type="dxa"/>
            <w:tcBorders>
              <w:top w:val="nil"/>
              <w:left w:val="nil"/>
              <w:bottom w:val="single" w:sz="4" w:space="0" w:color="FFFFFF"/>
              <w:right w:val="single" w:sz="4" w:space="0" w:color="FFFFFF"/>
            </w:tcBorders>
            <w:shd w:val="clear" w:color="000000" w:fill="EFD3D2"/>
            <w:noWrap/>
            <w:vAlign w:val="center"/>
            <w:hideMark/>
          </w:tcPr>
          <w:p w14:paraId="4C93C031" w14:textId="58FFDBF0"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w:t>
            </w:r>
          </w:p>
        </w:tc>
        <w:tc>
          <w:tcPr>
            <w:tcW w:w="1049" w:type="dxa"/>
            <w:tcBorders>
              <w:top w:val="nil"/>
              <w:left w:val="nil"/>
              <w:bottom w:val="single" w:sz="4" w:space="0" w:color="FFFFFF"/>
              <w:right w:val="single" w:sz="4" w:space="0" w:color="FFFFFF"/>
            </w:tcBorders>
            <w:shd w:val="clear" w:color="000000" w:fill="EFD3D2"/>
            <w:noWrap/>
            <w:vAlign w:val="center"/>
            <w:hideMark/>
          </w:tcPr>
          <w:p w14:paraId="5B410079" w14:textId="66C06E6F"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9" w:type="dxa"/>
            <w:tcBorders>
              <w:top w:val="nil"/>
              <w:left w:val="nil"/>
              <w:bottom w:val="single" w:sz="4" w:space="0" w:color="FFFFFF"/>
              <w:right w:val="single" w:sz="4" w:space="0" w:color="FFFFFF"/>
            </w:tcBorders>
            <w:shd w:val="clear" w:color="000000" w:fill="EFD3D2"/>
            <w:noWrap/>
            <w:vAlign w:val="center"/>
            <w:hideMark/>
          </w:tcPr>
          <w:p w14:paraId="67BC18A4" w14:textId="2A90CC7A"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1049" w:type="dxa"/>
            <w:tcBorders>
              <w:top w:val="nil"/>
              <w:left w:val="nil"/>
              <w:bottom w:val="single" w:sz="4" w:space="0" w:color="FFFFFF"/>
              <w:right w:val="single" w:sz="4" w:space="0" w:color="FFFFFF"/>
            </w:tcBorders>
            <w:shd w:val="clear" w:color="000000" w:fill="EFD3D2"/>
            <w:noWrap/>
            <w:vAlign w:val="center"/>
            <w:hideMark/>
          </w:tcPr>
          <w:p w14:paraId="360A40FE" w14:textId="177EA1D1"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9" w:type="dxa"/>
            <w:tcBorders>
              <w:top w:val="nil"/>
              <w:left w:val="nil"/>
              <w:bottom w:val="single" w:sz="4" w:space="0" w:color="FFFFFF"/>
              <w:right w:val="single" w:sz="4" w:space="0" w:color="FFFFFF"/>
            </w:tcBorders>
            <w:shd w:val="clear" w:color="000000" w:fill="EFD3D2"/>
            <w:noWrap/>
            <w:vAlign w:val="center"/>
            <w:hideMark/>
          </w:tcPr>
          <w:p w14:paraId="426C1BF4" w14:textId="10B44002" w:rsidR="00F44D85" w:rsidRPr="00535E4C"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b/>
                <w:bCs/>
                <w:szCs w:val="20"/>
              </w:rPr>
              <w:t>0.7</w:t>
            </w:r>
          </w:p>
        </w:tc>
        <w:tc>
          <w:tcPr>
            <w:tcW w:w="992" w:type="dxa"/>
            <w:tcBorders>
              <w:top w:val="nil"/>
              <w:left w:val="nil"/>
              <w:bottom w:val="single" w:sz="4" w:space="0" w:color="FFFFFF"/>
              <w:right w:val="single" w:sz="4" w:space="0" w:color="FFFFFF"/>
            </w:tcBorders>
            <w:shd w:val="clear" w:color="000000" w:fill="808080"/>
            <w:noWrap/>
            <w:vAlign w:val="center"/>
            <w:hideMark/>
          </w:tcPr>
          <w:p w14:paraId="487924A6" w14:textId="4DFB57E8" w:rsidR="00F44D85" w:rsidRPr="00CA0AEE"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1.1</w:t>
            </w:r>
          </w:p>
        </w:tc>
      </w:tr>
      <w:tr w:rsidR="00823C73" w:rsidRPr="00086AB2" w14:paraId="124F2151" w14:textId="77777777" w:rsidTr="004C716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5C07FD8" w14:textId="77777777" w:rsidR="00F44D85" w:rsidRPr="00086AB2" w:rsidRDefault="00F44D85" w:rsidP="00473F9D">
            <w:pPr>
              <w:keepNext/>
              <w:keepLines/>
              <w:jc w:val="left"/>
              <w:rPr>
                <w:rFonts w:cs="Arial"/>
                <w:color w:val="000000"/>
                <w:szCs w:val="20"/>
              </w:rPr>
            </w:pPr>
            <w:r w:rsidRPr="00086AB2">
              <w:rPr>
                <w:rFonts w:cs="Arial"/>
                <w:color w:val="000000"/>
                <w:szCs w:val="20"/>
              </w:rPr>
              <w:t>Tasmania</w:t>
            </w:r>
          </w:p>
        </w:tc>
        <w:tc>
          <w:tcPr>
            <w:tcW w:w="1049" w:type="dxa"/>
            <w:tcBorders>
              <w:top w:val="nil"/>
              <w:left w:val="nil"/>
              <w:bottom w:val="single" w:sz="4" w:space="0" w:color="FFFFFF"/>
              <w:right w:val="single" w:sz="4" w:space="0" w:color="FFFFFF"/>
            </w:tcBorders>
            <w:shd w:val="clear" w:color="000000" w:fill="FFFFFF"/>
            <w:noWrap/>
            <w:vAlign w:val="center"/>
            <w:hideMark/>
          </w:tcPr>
          <w:p w14:paraId="04F55AA3" w14:textId="56779E2E"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49" w:type="dxa"/>
            <w:tcBorders>
              <w:top w:val="nil"/>
              <w:left w:val="nil"/>
              <w:bottom w:val="single" w:sz="4" w:space="0" w:color="FFFFFF"/>
              <w:right w:val="single" w:sz="4" w:space="0" w:color="FFFFFF"/>
            </w:tcBorders>
            <w:shd w:val="clear" w:color="000000" w:fill="FFFFFF"/>
            <w:noWrap/>
            <w:vAlign w:val="center"/>
            <w:hideMark/>
          </w:tcPr>
          <w:p w14:paraId="53A2D889" w14:textId="796E54B6"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2.1</w:t>
            </w:r>
          </w:p>
        </w:tc>
        <w:tc>
          <w:tcPr>
            <w:tcW w:w="1049" w:type="dxa"/>
            <w:tcBorders>
              <w:top w:val="nil"/>
              <w:left w:val="nil"/>
              <w:bottom w:val="single" w:sz="4" w:space="0" w:color="FFFFFF"/>
              <w:right w:val="single" w:sz="4" w:space="0" w:color="FFFFFF"/>
            </w:tcBorders>
            <w:shd w:val="clear" w:color="000000" w:fill="FFFFFF"/>
            <w:noWrap/>
            <w:vAlign w:val="center"/>
            <w:hideMark/>
          </w:tcPr>
          <w:p w14:paraId="2959D7E3" w14:textId="6C88A91A"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49" w:type="dxa"/>
            <w:tcBorders>
              <w:top w:val="nil"/>
              <w:left w:val="nil"/>
              <w:bottom w:val="single" w:sz="4" w:space="0" w:color="FFFFFF"/>
              <w:right w:val="single" w:sz="4" w:space="0" w:color="FFFFFF"/>
            </w:tcBorders>
            <w:shd w:val="clear" w:color="000000" w:fill="FFFFFF"/>
            <w:noWrap/>
            <w:vAlign w:val="center"/>
            <w:hideMark/>
          </w:tcPr>
          <w:p w14:paraId="76BBEA51" w14:textId="20BB2922"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49" w:type="dxa"/>
            <w:tcBorders>
              <w:top w:val="nil"/>
              <w:left w:val="nil"/>
              <w:bottom w:val="single" w:sz="4" w:space="0" w:color="FFFFFF"/>
              <w:right w:val="single" w:sz="4" w:space="0" w:color="FFFFFF"/>
            </w:tcBorders>
            <w:shd w:val="clear" w:color="000000" w:fill="FFFFFF"/>
            <w:noWrap/>
            <w:vAlign w:val="center"/>
            <w:hideMark/>
          </w:tcPr>
          <w:p w14:paraId="221910E0" w14:textId="0CC99D82" w:rsidR="00F44D85" w:rsidRPr="00535E4C"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b/>
                <w:bCs/>
                <w:szCs w:val="20"/>
              </w:rPr>
              <w:t>0.8</w:t>
            </w:r>
          </w:p>
        </w:tc>
        <w:tc>
          <w:tcPr>
            <w:tcW w:w="992" w:type="dxa"/>
            <w:tcBorders>
              <w:top w:val="nil"/>
              <w:left w:val="nil"/>
              <w:bottom w:val="single" w:sz="4" w:space="0" w:color="FFFFFF"/>
              <w:right w:val="single" w:sz="4" w:space="0" w:color="FFFFFF"/>
            </w:tcBorders>
            <w:shd w:val="clear" w:color="000000" w:fill="808080"/>
            <w:noWrap/>
            <w:vAlign w:val="center"/>
            <w:hideMark/>
          </w:tcPr>
          <w:p w14:paraId="36A92722" w14:textId="7E45FE5D" w:rsidR="00F44D85" w:rsidRPr="00CA0AEE"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r w:rsidR="002A4994">
              <w:rPr>
                <w:rFonts w:cs="Arial"/>
                <w:b/>
                <w:bCs/>
                <w:color w:val="FFFFFF"/>
                <w:szCs w:val="20"/>
              </w:rPr>
              <w:t>6</w:t>
            </w:r>
          </w:p>
        </w:tc>
      </w:tr>
      <w:tr w:rsidR="00823C73" w:rsidRPr="00086AB2" w14:paraId="7CDB8A53" w14:textId="77777777" w:rsidTr="004C716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BDCB5D" w14:textId="77777777" w:rsidR="00F44D85" w:rsidRPr="00086AB2" w:rsidRDefault="00F44D85" w:rsidP="00473F9D">
            <w:pPr>
              <w:keepNext/>
              <w:keepLines/>
              <w:jc w:val="left"/>
              <w:rPr>
                <w:rFonts w:cs="Arial"/>
                <w:color w:val="000000"/>
                <w:szCs w:val="20"/>
              </w:rPr>
            </w:pPr>
            <w:r w:rsidRPr="00086AB2">
              <w:rPr>
                <w:rFonts w:cs="Arial"/>
                <w:color w:val="000000"/>
                <w:szCs w:val="20"/>
              </w:rPr>
              <w:t>Northern Territory</w:t>
            </w:r>
          </w:p>
        </w:tc>
        <w:tc>
          <w:tcPr>
            <w:tcW w:w="1049" w:type="dxa"/>
            <w:tcBorders>
              <w:top w:val="nil"/>
              <w:left w:val="nil"/>
              <w:bottom w:val="single" w:sz="4" w:space="0" w:color="FFFFFF"/>
              <w:right w:val="single" w:sz="4" w:space="0" w:color="FFFFFF"/>
            </w:tcBorders>
            <w:shd w:val="clear" w:color="000000" w:fill="EFD3D2"/>
            <w:noWrap/>
            <w:vAlign w:val="center"/>
            <w:hideMark/>
          </w:tcPr>
          <w:p w14:paraId="0C2F6556" w14:textId="00F21058"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49" w:type="dxa"/>
            <w:tcBorders>
              <w:top w:val="nil"/>
              <w:left w:val="nil"/>
              <w:bottom w:val="single" w:sz="4" w:space="0" w:color="FFFFFF"/>
              <w:right w:val="single" w:sz="4" w:space="0" w:color="FFFFFF"/>
            </w:tcBorders>
            <w:shd w:val="clear" w:color="000000" w:fill="EFD3D2"/>
            <w:noWrap/>
            <w:vAlign w:val="center"/>
          </w:tcPr>
          <w:p w14:paraId="114F50B7" w14:textId="2C4E7E19"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1049" w:type="dxa"/>
            <w:tcBorders>
              <w:top w:val="nil"/>
              <w:left w:val="nil"/>
              <w:bottom w:val="single" w:sz="4" w:space="0" w:color="FFFFFF"/>
              <w:right w:val="single" w:sz="4" w:space="0" w:color="FFFFFF"/>
            </w:tcBorders>
            <w:shd w:val="clear" w:color="000000" w:fill="EFD3D2"/>
            <w:noWrap/>
            <w:vAlign w:val="center"/>
          </w:tcPr>
          <w:p w14:paraId="2AD82B80" w14:textId="21D67ECB"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1049" w:type="dxa"/>
            <w:tcBorders>
              <w:top w:val="nil"/>
              <w:left w:val="nil"/>
              <w:bottom w:val="single" w:sz="4" w:space="0" w:color="FFFFFF"/>
              <w:right w:val="single" w:sz="4" w:space="0" w:color="FFFFFF"/>
            </w:tcBorders>
            <w:shd w:val="clear" w:color="000000" w:fill="EFD3D2"/>
            <w:noWrap/>
            <w:vAlign w:val="center"/>
          </w:tcPr>
          <w:p w14:paraId="4209935F" w14:textId="50DF3553" w:rsidR="00F44D85" w:rsidRPr="00535E4C"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4.4</w:t>
            </w:r>
          </w:p>
        </w:tc>
        <w:tc>
          <w:tcPr>
            <w:tcW w:w="1049" w:type="dxa"/>
            <w:tcBorders>
              <w:top w:val="nil"/>
              <w:left w:val="nil"/>
              <w:bottom w:val="single" w:sz="4" w:space="0" w:color="FFFFFF"/>
              <w:right w:val="single" w:sz="4" w:space="0" w:color="FFFFFF"/>
            </w:tcBorders>
            <w:shd w:val="clear" w:color="000000" w:fill="EFD3D2"/>
            <w:noWrap/>
            <w:vAlign w:val="center"/>
          </w:tcPr>
          <w:p w14:paraId="046778BF" w14:textId="08A5836F" w:rsidR="00F44D85" w:rsidRPr="00535E4C"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b/>
                <w:bCs/>
                <w:szCs w:val="20"/>
              </w:rPr>
              <w:t>3.0</w:t>
            </w:r>
          </w:p>
        </w:tc>
        <w:tc>
          <w:tcPr>
            <w:tcW w:w="992" w:type="dxa"/>
            <w:tcBorders>
              <w:top w:val="nil"/>
              <w:left w:val="nil"/>
              <w:bottom w:val="single" w:sz="4" w:space="0" w:color="FFFFFF"/>
              <w:right w:val="single" w:sz="4" w:space="0" w:color="FFFFFF"/>
            </w:tcBorders>
            <w:shd w:val="clear" w:color="000000" w:fill="808080"/>
            <w:noWrap/>
            <w:vAlign w:val="center"/>
            <w:hideMark/>
          </w:tcPr>
          <w:p w14:paraId="108FEF49" w14:textId="5E3C43FF" w:rsidR="00F44D85" w:rsidRPr="00CA0AEE"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2.</w:t>
            </w:r>
            <w:r w:rsidR="002A4994">
              <w:rPr>
                <w:rFonts w:cs="Arial"/>
                <w:b/>
                <w:bCs/>
                <w:color w:val="FFFFFF"/>
                <w:szCs w:val="20"/>
              </w:rPr>
              <w:t>2</w:t>
            </w:r>
          </w:p>
        </w:tc>
      </w:tr>
      <w:tr w:rsidR="00823C73" w:rsidRPr="00086AB2" w14:paraId="6DBE5AA2" w14:textId="77777777" w:rsidTr="004C716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D5684F2" w14:textId="77777777" w:rsidR="00F44D85" w:rsidRPr="00086AB2" w:rsidRDefault="00F44D85" w:rsidP="00473F9D">
            <w:pPr>
              <w:keepNext/>
              <w:keepLines/>
              <w:jc w:val="left"/>
              <w:rPr>
                <w:rFonts w:cs="Arial"/>
                <w:bCs w:val="0"/>
                <w:color w:val="FFFFFF" w:themeColor="background1"/>
                <w:szCs w:val="20"/>
              </w:rPr>
            </w:pPr>
            <w:r w:rsidRPr="00086AB2">
              <w:rPr>
                <w:rFonts w:cs="Arial"/>
                <w:color w:val="000000"/>
                <w:szCs w:val="20"/>
              </w:rPr>
              <w:t>Australian Capital Territory</w:t>
            </w:r>
          </w:p>
        </w:tc>
        <w:tc>
          <w:tcPr>
            <w:tcW w:w="1049" w:type="dxa"/>
            <w:tcBorders>
              <w:top w:val="nil"/>
              <w:left w:val="nil"/>
              <w:bottom w:val="single" w:sz="4" w:space="0" w:color="FFFFFF"/>
              <w:right w:val="single" w:sz="4" w:space="0" w:color="FFFFFF"/>
            </w:tcBorders>
            <w:shd w:val="clear" w:color="000000" w:fill="FFFFFF"/>
            <w:noWrap/>
            <w:vAlign w:val="center"/>
            <w:hideMark/>
          </w:tcPr>
          <w:p w14:paraId="4B36F5E1" w14:textId="2BDFD916" w:rsidR="00F44D85" w:rsidRPr="00086AB2" w:rsidRDefault="00F76693"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0.0</w:t>
            </w:r>
          </w:p>
        </w:tc>
        <w:tc>
          <w:tcPr>
            <w:tcW w:w="1049" w:type="dxa"/>
            <w:tcBorders>
              <w:top w:val="nil"/>
              <w:left w:val="nil"/>
              <w:bottom w:val="single" w:sz="4" w:space="0" w:color="FFFFFF"/>
              <w:right w:val="single" w:sz="4" w:space="0" w:color="FFFFFF"/>
            </w:tcBorders>
            <w:shd w:val="clear" w:color="000000" w:fill="FFFFFF"/>
            <w:noWrap/>
            <w:vAlign w:val="center"/>
          </w:tcPr>
          <w:p w14:paraId="16839AE6" w14:textId="41230CF8" w:rsidR="00F44D85" w:rsidRPr="00086AB2" w:rsidRDefault="00F76693"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0.0</w:t>
            </w:r>
          </w:p>
        </w:tc>
        <w:tc>
          <w:tcPr>
            <w:tcW w:w="1049" w:type="dxa"/>
            <w:tcBorders>
              <w:top w:val="nil"/>
              <w:left w:val="nil"/>
              <w:bottom w:val="single" w:sz="4" w:space="0" w:color="FFFFFF"/>
              <w:right w:val="single" w:sz="4" w:space="0" w:color="FFFFFF"/>
            </w:tcBorders>
            <w:shd w:val="clear" w:color="000000" w:fill="FFFFFF"/>
            <w:noWrap/>
            <w:vAlign w:val="center"/>
          </w:tcPr>
          <w:p w14:paraId="51DA1B15" w14:textId="4C232955" w:rsidR="00F44D85" w:rsidRPr="00086AB2"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0.9</w:t>
            </w:r>
          </w:p>
        </w:tc>
        <w:tc>
          <w:tcPr>
            <w:tcW w:w="1049" w:type="dxa"/>
            <w:tcBorders>
              <w:top w:val="nil"/>
              <w:left w:val="nil"/>
              <w:bottom w:val="single" w:sz="4" w:space="0" w:color="FFFFFF"/>
              <w:right w:val="single" w:sz="4" w:space="0" w:color="FFFFFF"/>
            </w:tcBorders>
            <w:shd w:val="clear" w:color="000000" w:fill="FFFFFF"/>
            <w:noWrap/>
            <w:vAlign w:val="center"/>
          </w:tcPr>
          <w:p w14:paraId="374DD0F1" w14:textId="39E7D456" w:rsidR="00F44D85" w:rsidRPr="00535E4C" w:rsidRDefault="00F76693"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0000"/>
                <w:szCs w:val="20"/>
              </w:rPr>
            </w:pPr>
            <w:r>
              <w:rPr>
                <w:rFonts w:cs="Arial"/>
                <w:color w:val="000000"/>
                <w:szCs w:val="20"/>
              </w:rPr>
              <w:t>0.0</w:t>
            </w:r>
          </w:p>
        </w:tc>
        <w:tc>
          <w:tcPr>
            <w:tcW w:w="1049" w:type="dxa"/>
            <w:tcBorders>
              <w:top w:val="nil"/>
              <w:left w:val="nil"/>
              <w:bottom w:val="single" w:sz="4" w:space="0" w:color="FFFFFF"/>
              <w:right w:val="single" w:sz="4" w:space="0" w:color="FFFFFF"/>
            </w:tcBorders>
            <w:shd w:val="clear" w:color="000000" w:fill="FFFFFF"/>
            <w:noWrap/>
            <w:vAlign w:val="center"/>
          </w:tcPr>
          <w:p w14:paraId="3F557F00" w14:textId="5ED7023F" w:rsidR="00F44D85" w:rsidRPr="00535E4C"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0000"/>
                <w:szCs w:val="20"/>
              </w:rPr>
            </w:pPr>
            <w:r>
              <w:rPr>
                <w:rFonts w:cs="Arial"/>
                <w:b/>
                <w:bCs/>
                <w:szCs w:val="20"/>
              </w:rPr>
              <w:t>0.4</w:t>
            </w:r>
          </w:p>
        </w:tc>
        <w:tc>
          <w:tcPr>
            <w:tcW w:w="992" w:type="dxa"/>
            <w:tcBorders>
              <w:top w:val="nil"/>
              <w:left w:val="nil"/>
              <w:bottom w:val="single" w:sz="4" w:space="0" w:color="FFFFFF"/>
              <w:right w:val="single" w:sz="4" w:space="0" w:color="FFFFFF"/>
            </w:tcBorders>
            <w:shd w:val="clear" w:color="000000" w:fill="808080"/>
            <w:noWrap/>
            <w:vAlign w:val="center"/>
            <w:hideMark/>
          </w:tcPr>
          <w:p w14:paraId="4DF5E77C" w14:textId="5CCCF84E" w:rsidR="00F44D85" w:rsidRPr="00CA0AEE" w:rsidRDefault="00F44D85" w:rsidP="00473F9D">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szCs w:val="20"/>
              </w:rPr>
              <w:t>0.</w:t>
            </w:r>
            <w:r w:rsidR="00F90579">
              <w:rPr>
                <w:rFonts w:cs="Arial"/>
                <w:b/>
                <w:bCs/>
                <w:color w:val="FFFFFF"/>
                <w:szCs w:val="20"/>
              </w:rPr>
              <w:t>5</w:t>
            </w:r>
          </w:p>
        </w:tc>
      </w:tr>
      <w:tr w:rsidR="00823C73" w:rsidRPr="00086AB2" w14:paraId="3F24CE51" w14:textId="77777777" w:rsidTr="004C716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808080" w:themeFill="background1" w:themeFillShade="80"/>
            <w:noWrap/>
          </w:tcPr>
          <w:p w14:paraId="3AA7E9D8" w14:textId="5A2A995B" w:rsidR="00F44D85" w:rsidRPr="00086AB2" w:rsidRDefault="00F44D85" w:rsidP="00473F9D">
            <w:pPr>
              <w:keepNext/>
              <w:keepLines/>
              <w:jc w:val="left"/>
              <w:rPr>
                <w:rFonts w:cs="Arial"/>
                <w:bCs w:val="0"/>
                <w:color w:val="FFFFFF" w:themeColor="background1"/>
                <w:szCs w:val="20"/>
              </w:rPr>
            </w:pPr>
            <w:r w:rsidRPr="00086AB2">
              <w:rPr>
                <w:rFonts w:cs="Arial"/>
                <w:bCs w:val="0"/>
                <w:color w:val="FFFFFF" w:themeColor="background1"/>
                <w:szCs w:val="20"/>
              </w:rPr>
              <w:t>Australian total</w:t>
            </w:r>
          </w:p>
        </w:tc>
        <w:tc>
          <w:tcPr>
            <w:tcW w:w="1049" w:type="dxa"/>
            <w:tcBorders>
              <w:top w:val="nil"/>
              <w:left w:val="nil"/>
              <w:bottom w:val="single" w:sz="4" w:space="0" w:color="FFFFFF"/>
              <w:right w:val="single" w:sz="4" w:space="0" w:color="FFFFFF"/>
            </w:tcBorders>
            <w:shd w:val="clear" w:color="000000" w:fill="808080"/>
            <w:noWrap/>
            <w:vAlign w:val="center"/>
          </w:tcPr>
          <w:p w14:paraId="56C2DA03" w14:textId="7E0A33AB"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1.1</w:t>
            </w:r>
          </w:p>
        </w:tc>
        <w:tc>
          <w:tcPr>
            <w:tcW w:w="1049" w:type="dxa"/>
            <w:tcBorders>
              <w:top w:val="nil"/>
              <w:left w:val="nil"/>
              <w:bottom w:val="single" w:sz="4" w:space="0" w:color="FFFFFF"/>
              <w:right w:val="single" w:sz="4" w:space="0" w:color="FFFFFF"/>
            </w:tcBorders>
            <w:shd w:val="clear" w:color="000000" w:fill="808080"/>
            <w:noWrap/>
            <w:vAlign w:val="center"/>
          </w:tcPr>
          <w:p w14:paraId="0C327711" w14:textId="409B551A"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w:t>
            </w:r>
          </w:p>
        </w:tc>
        <w:tc>
          <w:tcPr>
            <w:tcW w:w="1049" w:type="dxa"/>
            <w:tcBorders>
              <w:top w:val="nil"/>
              <w:left w:val="nil"/>
              <w:bottom w:val="single" w:sz="4" w:space="0" w:color="FFFFFF"/>
              <w:right w:val="single" w:sz="4" w:space="0" w:color="FFFFFF"/>
            </w:tcBorders>
            <w:shd w:val="clear" w:color="000000" w:fill="808080"/>
            <w:noWrap/>
            <w:vAlign w:val="center"/>
          </w:tcPr>
          <w:p w14:paraId="070E6FB7" w14:textId="4190E76C"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1.0</w:t>
            </w:r>
          </w:p>
        </w:tc>
        <w:tc>
          <w:tcPr>
            <w:tcW w:w="1049" w:type="dxa"/>
            <w:tcBorders>
              <w:top w:val="nil"/>
              <w:left w:val="nil"/>
              <w:bottom w:val="single" w:sz="4" w:space="0" w:color="FFFFFF"/>
              <w:right w:val="single" w:sz="4" w:space="0" w:color="FFFFFF"/>
            </w:tcBorders>
            <w:shd w:val="clear" w:color="000000" w:fill="808080"/>
            <w:noWrap/>
            <w:vAlign w:val="center"/>
          </w:tcPr>
          <w:p w14:paraId="4FE07D39" w14:textId="10D53F00" w:rsidR="00F44D85" w:rsidRPr="00086AB2"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1.0</w:t>
            </w:r>
          </w:p>
        </w:tc>
        <w:tc>
          <w:tcPr>
            <w:tcW w:w="1049" w:type="dxa"/>
            <w:tcBorders>
              <w:top w:val="nil"/>
              <w:left w:val="nil"/>
              <w:bottom w:val="single" w:sz="4" w:space="0" w:color="FFFFFF"/>
              <w:right w:val="single" w:sz="4" w:space="0" w:color="FFFFFF"/>
            </w:tcBorders>
            <w:shd w:val="clear" w:color="000000" w:fill="808080"/>
            <w:noWrap/>
            <w:vAlign w:val="center"/>
          </w:tcPr>
          <w:p w14:paraId="7230C0F5" w14:textId="7CE2EE16" w:rsidR="00F44D85" w:rsidRPr="00535E4C"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0000"/>
                <w:szCs w:val="20"/>
              </w:rPr>
            </w:pPr>
            <w:r>
              <w:rPr>
                <w:rFonts w:cs="Arial"/>
                <w:b/>
                <w:bCs/>
                <w:color w:val="FFFFFF"/>
                <w:szCs w:val="20"/>
              </w:rPr>
              <w:t>0.9</w:t>
            </w:r>
          </w:p>
        </w:tc>
        <w:tc>
          <w:tcPr>
            <w:tcW w:w="992" w:type="dxa"/>
            <w:tcBorders>
              <w:top w:val="nil"/>
              <w:left w:val="nil"/>
              <w:bottom w:val="single" w:sz="4" w:space="0" w:color="FFFFFF"/>
              <w:right w:val="single" w:sz="4" w:space="0" w:color="FFFFFF"/>
            </w:tcBorders>
            <w:shd w:val="clear" w:color="000000" w:fill="808080"/>
            <w:noWrap/>
            <w:vAlign w:val="center"/>
          </w:tcPr>
          <w:p w14:paraId="53675B42" w14:textId="066EA6D3" w:rsidR="00F44D85" w:rsidRPr="00CA0AEE" w:rsidRDefault="00F44D85" w:rsidP="00473F9D">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w:t>
            </w:r>
            <w:r w:rsidR="00206AD9">
              <w:rPr>
                <w:rFonts w:cs="Arial"/>
                <w:b/>
                <w:bCs/>
                <w:color w:val="FFFFFF"/>
                <w:szCs w:val="20"/>
              </w:rPr>
              <w:t>0</w:t>
            </w:r>
          </w:p>
        </w:tc>
      </w:tr>
    </w:tbl>
    <w:p w14:paraId="175EEFCA" w14:textId="5F06FF39" w:rsidR="006926E8" w:rsidRPr="00086AB2" w:rsidRDefault="00333A32" w:rsidP="00B51041">
      <w:pPr>
        <w:pStyle w:val="SWASectionnum2"/>
      </w:pPr>
      <w:bookmarkStart w:id="38" w:name="_Toc55294233"/>
      <w:bookmarkStart w:id="39" w:name="_Toc55294234"/>
      <w:bookmarkStart w:id="40" w:name="_Hlk56610302"/>
      <w:bookmarkEnd w:id="37"/>
      <w:bookmarkEnd w:id="38"/>
      <w:r w:rsidRPr="00086AB2">
        <w:t>Work-related disease fatalities</w:t>
      </w:r>
      <w:bookmarkEnd w:id="39"/>
      <w:r w:rsidR="00B331F4">
        <w:t xml:space="preserve"> </w:t>
      </w:r>
    </w:p>
    <w:p w14:paraId="3021C7BE" w14:textId="59AE8005" w:rsidR="00333A32" w:rsidRPr="00086AB2" w:rsidRDefault="00333A32" w:rsidP="00333A32">
      <w:r w:rsidRPr="00086AB2">
        <w:t>Workers’ compensation data contain</w:t>
      </w:r>
      <w:r w:rsidR="00DD528E">
        <w:t>s</w:t>
      </w:r>
      <w:r w:rsidRPr="00086AB2">
        <w:t xml:space="preserve"> some information on disease-related fatalities</w:t>
      </w:r>
      <w:r w:rsidR="001C0B29">
        <w:t xml:space="preserve">, </w:t>
      </w:r>
      <w:r w:rsidRPr="00086AB2">
        <w:t>but</w:t>
      </w:r>
      <w:r w:rsidR="001C0B29">
        <w:t xml:space="preserve"> this data is</w:t>
      </w:r>
      <w:r w:rsidRPr="00086AB2">
        <w:t xml:space="preserve"> known to understate th</w:t>
      </w:r>
      <w:r w:rsidR="00B773DE" w:rsidRPr="00086AB2">
        <w:t>e</w:t>
      </w:r>
      <w:r w:rsidRPr="00086AB2">
        <w:t xml:space="preserve"> number of fatalities from work-related </w:t>
      </w:r>
      <w:r w:rsidR="00EA1A19">
        <w:t>diseases</w:t>
      </w:r>
      <w:r w:rsidRPr="00086AB2">
        <w:t>. It can be difficult to associate a disease that becomes evident later in life after exposure to a chemical or substance that occurred many years earlier while at work. Some occupational diseases such as asbestosis and mesothelioma are</w:t>
      </w:r>
      <w:r w:rsidR="001C0B29">
        <w:t xml:space="preserve"> also</w:t>
      </w:r>
      <w:r w:rsidRPr="00086AB2">
        <w:t xml:space="preserve"> compensated through separate mechanisms</w:t>
      </w:r>
      <w:r w:rsidR="001C0B29">
        <w:t>,</w:t>
      </w:r>
      <w:r w:rsidRPr="00086AB2">
        <w:t xml:space="preserve"> while many other diseases go unreported and/or uncompensated.</w:t>
      </w:r>
    </w:p>
    <w:p w14:paraId="1AF886B6" w14:textId="056A8D3C" w:rsidR="00F05D0E" w:rsidRDefault="00475C85" w:rsidP="00333A32">
      <w:r>
        <w:t>Indicator 8 shows that i</w:t>
      </w:r>
      <w:r w:rsidR="00974471" w:rsidRPr="00086AB2">
        <w:t>n 201</w:t>
      </w:r>
      <w:r w:rsidR="00AF36A8">
        <w:t>8</w:t>
      </w:r>
      <w:r w:rsidR="00974471" w:rsidRPr="00086AB2">
        <w:t>–1</w:t>
      </w:r>
      <w:r w:rsidR="00AF36A8">
        <w:t>9</w:t>
      </w:r>
      <w:r w:rsidR="00EA1A19">
        <w:t>p</w:t>
      </w:r>
      <w:r w:rsidR="00333A32" w:rsidRPr="00086AB2">
        <w:t xml:space="preserve"> there were </w:t>
      </w:r>
      <w:r w:rsidR="001E50CF">
        <w:t>51</w:t>
      </w:r>
      <w:r w:rsidR="00333A32" w:rsidRPr="00086AB2">
        <w:t xml:space="preserve"> accepted workers’ compensation claims</w:t>
      </w:r>
      <w:r w:rsidR="001C0B29">
        <w:t xml:space="preserve"> for </w:t>
      </w:r>
      <w:r w:rsidR="00333A32" w:rsidRPr="00086AB2">
        <w:t>work</w:t>
      </w:r>
      <w:r w:rsidR="00012363" w:rsidRPr="00086AB2">
        <w:noBreakHyphen/>
      </w:r>
      <w:r w:rsidR="00333A32" w:rsidRPr="00086AB2">
        <w:t>related fatalit</w:t>
      </w:r>
      <w:r w:rsidR="00012363" w:rsidRPr="00086AB2">
        <w:t>ies</w:t>
      </w:r>
      <w:r w:rsidR="00333A32" w:rsidRPr="00086AB2">
        <w:t xml:space="preserve"> involving an occupational disease in Australia. Th</w:t>
      </w:r>
      <w:r w:rsidR="008C7FAD">
        <w:t>e above</w:t>
      </w:r>
      <w:r w:rsidR="00333A32" w:rsidRPr="00086AB2">
        <w:t xml:space="preserve"> number is expected to rise as more claims lodged in </w:t>
      </w:r>
      <w:r w:rsidR="00974471" w:rsidRPr="00086AB2">
        <w:t>201</w:t>
      </w:r>
      <w:r w:rsidR="00AF36A8">
        <w:t>8</w:t>
      </w:r>
      <w:r w:rsidR="00974471" w:rsidRPr="00086AB2">
        <w:t>–1</w:t>
      </w:r>
      <w:r w:rsidR="00AF36A8">
        <w:t>9</w:t>
      </w:r>
      <w:r w:rsidR="00333A32" w:rsidRPr="00086AB2">
        <w:t xml:space="preserve"> are accepted.</w:t>
      </w:r>
      <w:r w:rsidR="00AF36A8">
        <w:t xml:space="preserve"> </w:t>
      </w:r>
      <w:r w:rsidR="00333A32" w:rsidRPr="00086AB2">
        <w:t>There w</w:t>
      </w:r>
      <w:r w:rsidR="00C63B88" w:rsidRPr="00086AB2">
        <w:t>as a substantial decrease</w:t>
      </w:r>
      <w:r w:rsidR="008C7FAD">
        <w:t xml:space="preserve"> </w:t>
      </w:r>
      <w:r w:rsidR="00C63B88" w:rsidRPr="00086AB2">
        <w:t>(down </w:t>
      </w:r>
      <w:r w:rsidR="008C7FAD">
        <w:t>17</w:t>
      </w:r>
      <w:r w:rsidR="003C4F76">
        <w:t>%</w:t>
      </w:r>
      <w:r w:rsidR="00333A32" w:rsidRPr="00086AB2">
        <w:t xml:space="preserve">) in the number of </w:t>
      </w:r>
      <w:r w:rsidR="00012363" w:rsidRPr="00086AB2">
        <w:t xml:space="preserve">compensated </w:t>
      </w:r>
      <w:r w:rsidR="00333A32" w:rsidRPr="00086AB2">
        <w:t xml:space="preserve">fatalities related to occupational diseases in Australia from </w:t>
      </w:r>
      <w:r w:rsidR="00974471" w:rsidRPr="00086AB2">
        <w:t>201</w:t>
      </w:r>
      <w:r w:rsidR="00C31798">
        <w:t>3</w:t>
      </w:r>
      <w:r w:rsidR="00974471" w:rsidRPr="00086AB2">
        <w:t>–1</w:t>
      </w:r>
      <w:r w:rsidR="00C31798">
        <w:t>4</w:t>
      </w:r>
      <w:r w:rsidR="00974471" w:rsidRPr="00086AB2">
        <w:t xml:space="preserve"> to 201</w:t>
      </w:r>
      <w:r w:rsidR="00AF36A8">
        <w:t>7</w:t>
      </w:r>
      <w:r w:rsidR="00974471" w:rsidRPr="00086AB2">
        <w:t>–1</w:t>
      </w:r>
      <w:r w:rsidR="00AF36A8">
        <w:t>8</w:t>
      </w:r>
      <w:r w:rsidR="00F05D0E">
        <w:t>.</w:t>
      </w:r>
    </w:p>
    <w:p w14:paraId="235D7B8C" w14:textId="24F58ADA" w:rsidR="002A4994" w:rsidRDefault="00333A32" w:rsidP="00333A32">
      <w:r w:rsidRPr="00086AB2">
        <w:t>Fatalities recorded in the N</w:t>
      </w:r>
      <w:r w:rsidR="00B47075" w:rsidRPr="00086AB2">
        <w:t xml:space="preserve">ational </w:t>
      </w:r>
      <w:r w:rsidRPr="00086AB2">
        <w:t>D</w:t>
      </w:r>
      <w:r w:rsidR="00B47075" w:rsidRPr="00086AB2">
        <w:t xml:space="preserve">ataset for </w:t>
      </w:r>
      <w:r w:rsidR="001E4110" w:rsidRPr="00086AB2">
        <w:t>Compensation-</w:t>
      </w:r>
      <w:r w:rsidR="00B47075" w:rsidRPr="00086AB2">
        <w:t xml:space="preserve">based </w:t>
      </w:r>
      <w:r w:rsidR="001E4110" w:rsidRPr="00086AB2">
        <w:t>S</w:t>
      </w:r>
      <w:r w:rsidR="00B47075" w:rsidRPr="00086AB2">
        <w:t xml:space="preserve">tatistics </w:t>
      </w:r>
      <w:r w:rsidR="002A4994">
        <w:t xml:space="preserve">are </w:t>
      </w:r>
      <w:r w:rsidR="00B47075" w:rsidRPr="00086AB2">
        <w:t>a</w:t>
      </w:r>
      <w:r w:rsidRPr="00086AB2">
        <w:t xml:space="preserve">gainst the date of </w:t>
      </w:r>
      <w:r w:rsidR="00AD11A7" w:rsidRPr="00086AB2">
        <w:t>lodgement</w:t>
      </w:r>
      <w:r w:rsidRPr="00086AB2">
        <w:t xml:space="preserve"> of the claim, not the date of death.</w:t>
      </w:r>
      <w:r w:rsidR="002A4994">
        <w:t xml:space="preserve"> Data revisions from previous years may occur due to time lags between lodgement of the claim, acceptance and/or the date of death (e.g. when there is time between diagnosis leading to a claim being lodged and the date of death). </w:t>
      </w:r>
    </w:p>
    <w:p w14:paraId="0D79D82F" w14:textId="77777777" w:rsidR="00C63B88" w:rsidRPr="00086AB2" w:rsidRDefault="00C63B88" w:rsidP="00C63B88">
      <w:r w:rsidRPr="00086AB2">
        <w:t>The Australian Mesothelioma Registry reports annually on mesothelioma incidence which is available on its</w:t>
      </w:r>
      <w:r w:rsidR="00974471" w:rsidRPr="002E5FC6">
        <w:rPr>
          <w:rStyle w:val="SWALinkChar"/>
          <w:u w:val="none"/>
        </w:rPr>
        <w:t xml:space="preserve"> </w:t>
      </w:r>
      <w:hyperlink r:id="rId31" w:history="1">
        <w:r w:rsidR="00974471" w:rsidRPr="00E5660F">
          <w:rPr>
            <w:rStyle w:val="Hyperlink"/>
            <w:color w:val="auto"/>
          </w:rPr>
          <w:t>reports and publications webpage</w:t>
        </w:r>
        <w:r w:rsidRPr="00E5660F">
          <w:rPr>
            <w:rStyle w:val="Hyperlink"/>
            <w:color w:val="auto"/>
          </w:rPr>
          <w:t>.</w:t>
        </w:r>
      </w:hyperlink>
    </w:p>
    <w:bookmarkEnd w:id="40"/>
    <w:p w14:paraId="0046A01E" w14:textId="77777777" w:rsidR="00145827" w:rsidRDefault="00145827">
      <w:pPr>
        <w:spacing w:after="200" w:line="276" w:lineRule="auto"/>
        <w:jc w:val="left"/>
        <w:rPr>
          <w:rFonts w:eastAsiaTheme="majorEastAsia" w:cstheme="majorBidi"/>
          <w:b/>
          <w:color w:val="AF1E2D"/>
          <w:spacing w:val="-3"/>
          <w:szCs w:val="22"/>
          <w:lang w:eastAsia="en-US"/>
        </w:rPr>
      </w:pPr>
      <w:r>
        <w:br w:type="page"/>
      </w:r>
    </w:p>
    <w:p w14:paraId="0ECD261B" w14:textId="5F7BB29D" w:rsidR="00333A32" w:rsidRPr="00570AF1" w:rsidRDefault="00333A32" w:rsidP="00DD1296">
      <w:pPr>
        <w:pStyle w:val="SWATableheader"/>
        <w:keepLines/>
        <w:rPr>
          <w:color w:val="00B050"/>
        </w:rPr>
      </w:pPr>
      <w:bookmarkStart w:id="41" w:name="_Toc56603299"/>
      <w:bookmarkStart w:id="42" w:name="_Toc56772234"/>
      <w:bookmarkStart w:id="43" w:name="_Hlk55208381"/>
      <w:r w:rsidRPr="00774ED0">
        <w:lastRenderedPageBreak/>
        <w:t xml:space="preserve">Indicator </w:t>
      </w:r>
      <w:r w:rsidR="00772B12">
        <w:fldChar w:fldCharType="begin"/>
      </w:r>
      <w:r w:rsidR="00772B12">
        <w:instrText xml:space="preserve"> SEQ Indicator \* ARABIC </w:instrText>
      </w:r>
      <w:r w:rsidR="00772B12">
        <w:fldChar w:fldCharType="separate"/>
      </w:r>
      <w:r w:rsidR="00772B12">
        <w:rPr>
          <w:noProof/>
        </w:rPr>
        <w:t>8</w:t>
      </w:r>
      <w:r w:rsidR="00772B12">
        <w:rPr>
          <w:noProof/>
        </w:rPr>
        <w:fldChar w:fldCharType="end"/>
      </w:r>
      <w:r w:rsidRPr="00774ED0">
        <w:t xml:space="preserve"> </w:t>
      </w:r>
      <w:r w:rsidR="00E76BFC" w:rsidRPr="00774ED0">
        <w:t>–</w:t>
      </w:r>
      <w:r w:rsidRPr="00774ED0">
        <w:t xml:space="preserve"> Compensated fatalities involving occupational diseases by jurisdiction</w:t>
      </w:r>
      <w:bookmarkEnd w:id="41"/>
      <w:bookmarkEnd w:id="42"/>
      <w:r w:rsidR="00AD165B" w:rsidRPr="00086AB2">
        <w:t xml:space="preserve"> </w:t>
      </w:r>
    </w:p>
    <w:tbl>
      <w:tblPr>
        <w:tblStyle w:val="LightShading-Accent2"/>
        <w:tblW w:w="9776" w:type="dxa"/>
        <w:tblLayout w:type="fixed"/>
        <w:tblLook w:val="04A0" w:firstRow="1" w:lastRow="0" w:firstColumn="1" w:lastColumn="0" w:noHBand="0" w:noVBand="1"/>
        <w:tblCaption w:val="Indicator 8– Compensated fatalities involving occupational diseases by jurisdiction."/>
        <w:tblDescription w:val="This Table shows number of compensated fatalities involving occupational diseases and five year average for each jurisdiction between 2014-15 and 2018-19. Please refer to body text for more details."/>
      </w:tblPr>
      <w:tblGrid>
        <w:gridCol w:w="1940"/>
        <w:gridCol w:w="1119"/>
        <w:gridCol w:w="1119"/>
        <w:gridCol w:w="1120"/>
        <w:gridCol w:w="1119"/>
        <w:gridCol w:w="1120"/>
        <w:gridCol w:w="1119"/>
        <w:gridCol w:w="1120"/>
      </w:tblGrid>
      <w:tr w:rsidR="008048C3" w:rsidRPr="00086AB2" w14:paraId="5358ADFD" w14:textId="77777777" w:rsidTr="00206AD9">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14:paraId="6F3BA482" w14:textId="77777777" w:rsidR="00473F9D" w:rsidRPr="00086AB2" w:rsidRDefault="00473F9D" w:rsidP="00473F9D">
            <w:pPr>
              <w:keepNext/>
              <w:keepLines/>
              <w:jc w:val="left"/>
              <w:rPr>
                <w:rFonts w:cs="Arial"/>
                <w:bCs w:val="0"/>
                <w:szCs w:val="20"/>
              </w:rPr>
            </w:pPr>
            <w:bookmarkStart w:id="44" w:name="_Hlk55208235"/>
            <w:bookmarkStart w:id="45" w:name="_Hlk55208219"/>
            <w:bookmarkEnd w:id="43"/>
            <w:r w:rsidRPr="00086AB2">
              <w:rPr>
                <w:rFonts w:cs="Arial"/>
                <w:bCs w:val="0"/>
                <w:szCs w:val="20"/>
              </w:rPr>
              <w:t>Jurisdiction</w:t>
            </w:r>
          </w:p>
        </w:tc>
        <w:tc>
          <w:tcPr>
            <w:tcW w:w="1119" w:type="dxa"/>
            <w:tcBorders>
              <w:top w:val="single" w:sz="4" w:space="0" w:color="FFFFFF"/>
              <w:left w:val="single" w:sz="4" w:space="0" w:color="FFFFFF"/>
              <w:bottom w:val="single" w:sz="4" w:space="0" w:color="FFFFFF"/>
              <w:right w:val="single" w:sz="4" w:space="0" w:color="FFFFFF"/>
            </w:tcBorders>
            <w:shd w:val="clear" w:color="000000" w:fill="AF1E2D"/>
            <w:vAlign w:val="center"/>
          </w:tcPr>
          <w:p w14:paraId="7116E598" w14:textId="5A1DCAE5" w:rsidR="00473F9D" w:rsidRDefault="00473F9D"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b w:val="0"/>
                <w:bCs w:val="0"/>
                <w:color w:val="FFFFFF"/>
                <w:szCs w:val="20"/>
              </w:rPr>
              <w:t>2013</w:t>
            </w:r>
            <w:r w:rsidR="004C7164" w:rsidRPr="00086AB2">
              <w:t>–</w:t>
            </w:r>
            <w:r>
              <w:rPr>
                <w:rFonts w:cs="Arial"/>
                <w:b w:val="0"/>
                <w:bCs w:val="0"/>
                <w:color w:val="FFFFFF"/>
                <w:szCs w:val="20"/>
              </w:rPr>
              <w:t>14</w:t>
            </w:r>
          </w:p>
        </w:tc>
        <w:tc>
          <w:tcPr>
            <w:tcW w:w="1119" w:type="dxa"/>
            <w:tcBorders>
              <w:top w:val="single" w:sz="4" w:space="0" w:color="FFFFFF"/>
              <w:left w:val="nil"/>
              <w:bottom w:val="single" w:sz="4" w:space="0" w:color="FFFFFF"/>
              <w:right w:val="single" w:sz="4" w:space="0" w:color="FFFFFF"/>
            </w:tcBorders>
            <w:shd w:val="clear" w:color="000000" w:fill="AF1E2D"/>
            <w:vAlign w:val="center"/>
            <w:hideMark/>
          </w:tcPr>
          <w:p w14:paraId="5E231319" w14:textId="743A397E" w:rsidR="00473F9D" w:rsidRPr="00086AB2" w:rsidRDefault="00473F9D"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2014</w:t>
            </w:r>
            <w:r w:rsidR="004C7164" w:rsidRPr="00086AB2">
              <w:t>–</w:t>
            </w:r>
            <w:r>
              <w:rPr>
                <w:rFonts w:cs="Arial"/>
                <w:b w:val="0"/>
                <w:bCs w:val="0"/>
                <w:color w:val="FFFFFF"/>
                <w:szCs w:val="20"/>
              </w:rPr>
              <w:t>15</w:t>
            </w:r>
          </w:p>
        </w:tc>
        <w:tc>
          <w:tcPr>
            <w:tcW w:w="1120" w:type="dxa"/>
            <w:tcBorders>
              <w:top w:val="single" w:sz="4" w:space="0" w:color="FFFFFF"/>
              <w:left w:val="nil"/>
              <w:bottom w:val="single" w:sz="4" w:space="0" w:color="FFFFFF"/>
              <w:right w:val="single" w:sz="4" w:space="0" w:color="FFFFFF"/>
            </w:tcBorders>
            <w:shd w:val="clear" w:color="000000" w:fill="AF1E2D"/>
            <w:vAlign w:val="center"/>
          </w:tcPr>
          <w:p w14:paraId="02A09A4D" w14:textId="7612A553" w:rsidR="00473F9D" w:rsidRPr="00086AB2" w:rsidRDefault="00473F9D"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2015</w:t>
            </w:r>
            <w:r w:rsidR="004C7164" w:rsidRPr="00086AB2">
              <w:t>–</w:t>
            </w:r>
            <w:r>
              <w:rPr>
                <w:rFonts w:cs="Arial"/>
                <w:b w:val="0"/>
                <w:bCs w:val="0"/>
                <w:color w:val="FFFFFF"/>
                <w:szCs w:val="20"/>
              </w:rPr>
              <w:t>16</w:t>
            </w:r>
          </w:p>
        </w:tc>
        <w:tc>
          <w:tcPr>
            <w:tcW w:w="1119" w:type="dxa"/>
            <w:tcBorders>
              <w:top w:val="single" w:sz="4" w:space="0" w:color="FFFFFF"/>
              <w:left w:val="nil"/>
              <w:bottom w:val="single" w:sz="4" w:space="0" w:color="FFFFFF"/>
              <w:right w:val="single" w:sz="4" w:space="0" w:color="FFFFFF"/>
            </w:tcBorders>
            <w:shd w:val="clear" w:color="000000" w:fill="AF1E2D"/>
            <w:vAlign w:val="center"/>
          </w:tcPr>
          <w:p w14:paraId="664C24E2" w14:textId="4D8F3041" w:rsidR="00473F9D" w:rsidRPr="00086AB2" w:rsidRDefault="00473F9D"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2016</w:t>
            </w:r>
            <w:r w:rsidR="004C7164" w:rsidRPr="00086AB2">
              <w:t>–</w:t>
            </w:r>
            <w:r>
              <w:rPr>
                <w:rFonts w:cs="Arial"/>
                <w:b w:val="0"/>
                <w:bCs w:val="0"/>
                <w:color w:val="FFFFFF"/>
                <w:szCs w:val="20"/>
              </w:rPr>
              <w:t>17</w:t>
            </w:r>
          </w:p>
        </w:tc>
        <w:tc>
          <w:tcPr>
            <w:tcW w:w="1120" w:type="dxa"/>
            <w:tcBorders>
              <w:top w:val="single" w:sz="4" w:space="0" w:color="FFFFFF"/>
              <w:left w:val="nil"/>
              <w:bottom w:val="single" w:sz="4" w:space="0" w:color="FFFFFF"/>
              <w:right w:val="single" w:sz="4" w:space="0" w:color="FFFFFF"/>
            </w:tcBorders>
            <w:shd w:val="clear" w:color="000000" w:fill="AF1E2D"/>
            <w:vAlign w:val="center"/>
          </w:tcPr>
          <w:p w14:paraId="122FD2B1" w14:textId="37EA66B4" w:rsidR="00473F9D" w:rsidRPr="00086AB2" w:rsidRDefault="00473F9D"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2017</w:t>
            </w:r>
            <w:r w:rsidR="004C7164" w:rsidRPr="00086AB2">
              <w:t>–</w:t>
            </w:r>
            <w:r>
              <w:rPr>
                <w:rFonts w:cs="Arial"/>
                <w:b w:val="0"/>
                <w:bCs w:val="0"/>
                <w:color w:val="FFFFFF"/>
                <w:szCs w:val="20"/>
              </w:rPr>
              <w:t>18</w:t>
            </w:r>
          </w:p>
        </w:tc>
        <w:tc>
          <w:tcPr>
            <w:tcW w:w="1119" w:type="dxa"/>
            <w:tcBorders>
              <w:top w:val="single" w:sz="4" w:space="0" w:color="FFFFFF"/>
              <w:left w:val="nil"/>
              <w:bottom w:val="single" w:sz="4" w:space="0" w:color="FFFFFF"/>
              <w:right w:val="single" w:sz="4" w:space="0" w:color="FFFFFF"/>
            </w:tcBorders>
            <w:shd w:val="clear" w:color="000000" w:fill="AF1E2D"/>
            <w:vAlign w:val="center"/>
          </w:tcPr>
          <w:p w14:paraId="4FB27996" w14:textId="6D93E47F" w:rsidR="00473F9D" w:rsidRPr="00086AB2" w:rsidRDefault="00473F9D"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2018</w:t>
            </w:r>
            <w:r w:rsidR="004C7164" w:rsidRPr="00086AB2">
              <w:t>–</w:t>
            </w:r>
            <w:r>
              <w:rPr>
                <w:rFonts w:cs="Arial"/>
                <w:b w:val="0"/>
                <w:bCs w:val="0"/>
                <w:color w:val="FFFFFF"/>
                <w:szCs w:val="20"/>
              </w:rPr>
              <w:t>19p</w:t>
            </w:r>
          </w:p>
        </w:tc>
        <w:tc>
          <w:tcPr>
            <w:tcW w:w="1120" w:type="dxa"/>
            <w:tcBorders>
              <w:top w:val="single" w:sz="4" w:space="0" w:color="FFFFFF"/>
              <w:left w:val="nil"/>
              <w:bottom w:val="single" w:sz="4" w:space="0" w:color="FFFFFF"/>
              <w:right w:val="single" w:sz="4" w:space="0" w:color="FFFFFF"/>
            </w:tcBorders>
            <w:shd w:val="clear" w:color="000000" w:fill="AF1E2D"/>
            <w:vAlign w:val="center"/>
            <w:hideMark/>
          </w:tcPr>
          <w:p w14:paraId="0CEF4C8E" w14:textId="5E830AAE" w:rsidR="00473F9D" w:rsidRPr="00774ED0" w:rsidRDefault="00E1664F" w:rsidP="00473F9D">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iCs/>
                <w:szCs w:val="20"/>
              </w:rPr>
            </w:pPr>
            <w:r>
              <w:rPr>
                <w:rFonts w:cs="Arial"/>
                <w:b w:val="0"/>
                <w:bCs w:val="0"/>
                <w:szCs w:val="20"/>
              </w:rPr>
              <w:t>6</w:t>
            </w:r>
            <w:r w:rsidR="00473F9D" w:rsidRPr="00451318">
              <w:rPr>
                <w:rFonts w:cs="Arial"/>
                <w:b w:val="0"/>
                <w:bCs w:val="0"/>
                <w:szCs w:val="20"/>
              </w:rPr>
              <w:t>yr Average</w:t>
            </w:r>
            <w:r w:rsidR="00206AD9">
              <w:rPr>
                <w:rFonts w:cs="Arial"/>
                <w:b w:val="0"/>
                <w:bCs w:val="0"/>
                <w:szCs w:val="20"/>
              </w:rPr>
              <w:t>*</w:t>
            </w:r>
          </w:p>
        </w:tc>
      </w:tr>
      <w:bookmarkEnd w:id="44"/>
      <w:tr w:rsidR="008048C3" w:rsidRPr="00086AB2" w14:paraId="1181A0AB" w14:textId="77777777" w:rsidTr="00206A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3109DAC2" w14:textId="3143FC52" w:rsidR="008048C3" w:rsidRPr="00086AB2" w:rsidRDefault="008048C3" w:rsidP="008048C3">
            <w:pPr>
              <w:keepNext/>
              <w:keepLines/>
              <w:jc w:val="left"/>
              <w:rPr>
                <w:rFonts w:cs="Arial"/>
                <w:color w:val="000000"/>
                <w:szCs w:val="20"/>
              </w:rPr>
            </w:pPr>
            <w:r w:rsidRPr="00201931">
              <w:t>New South Wales</w:t>
            </w:r>
          </w:p>
        </w:tc>
        <w:tc>
          <w:tcPr>
            <w:tcW w:w="1119" w:type="dxa"/>
          </w:tcPr>
          <w:p w14:paraId="621A0F1A" w14:textId="104797C9" w:rsidR="008048C3" w:rsidRDefault="008048C3" w:rsidP="008048C3">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9</w:t>
            </w:r>
          </w:p>
        </w:tc>
        <w:tc>
          <w:tcPr>
            <w:tcW w:w="1119" w:type="dxa"/>
            <w:hideMark/>
          </w:tcPr>
          <w:p w14:paraId="1CC2555A" w14:textId="232B548C" w:rsidR="008048C3" w:rsidRDefault="008048C3" w:rsidP="008048C3">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12</w:t>
            </w:r>
          </w:p>
        </w:tc>
        <w:tc>
          <w:tcPr>
            <w:tcW w:w="1120" w:type="dxa"/>
          </w:tcPr>
          <w:p w14:paraId="66512FAA" w14:textId="41182687"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13</w:t>
            </w:r>
          </w:p>
        </w:tc>
        <w:tc>
          <w:tcPr>
            <w:tcW w:w="1119" w:type="dxa"/>
          </w:tcPr>
          <w:p w14:paraId="539E8205" w14:textId="2A0EFFB0"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8</w:t>
            </w:r>
          </w:p>
        </w:tc>
        <w:tc>
          <w:tcPr>
            <w:tcW w:w="1120" w:type="dxa"/>
          </w:tcPr>
          <w:p w14:paraId="02EEDDED" w14:textId="21AAA9D5"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9</w:t>
            </w:r>
          </w:p>
        </w:tc>
        <w:tc>
          <w:tcPr>
            <w:tcW w:w="1119" w:type="dxa"/>
          </w:tcPr>
          <w:p w14:paraId="20C473FD" w14:textId="21525AF0"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8</w:t>
            </w:r>
          </w:p>
        </w:tc>
        <w:tc>
          <w:tcPr>
            <w:tcW w:w="1120" w:type="dxa"/>
            <w:shd w:val="clear" w:color="auto" w:fill="808080" w:themeFill="background1" w:themeFillShade="80"/>
            <w:hideMark/>
          </w:tcPr>
          <w:p w14:paraId="2BA26ECE" w14:textId="225B4EE8" w:rsidR="008048C3" w:rsidRPr="00774ED0"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451318">
              <w:rPr>
                <w:color w:val="FFFFFF" w:themeColor="background1"/>
              </w:rPr>
              <w:t>10</w:t>
            </w:r>
          </w:p>
        </w:tc>
      </w:tr>
      <w:tr w:rsidR="008048C3" w:rsidRPr="00086AB2" w14:paraId="592E3D27" w14:textId="77777777" w:rsidTr="00206AD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34FD6CB4" w14:textId="0ED959DB" w:rsidR="008048C3" w:rsidRPr="00086AB2" w:rsidRDefault="008048C3" w:rsidP="008048C3">
            <w:pPr>
              <w:keepNext/>
              <w:keepLines/>
              <w:jc w:val="left"/>
              <w:rPr>
                <w:rFonts w:cs="Arial"/>
                <w:color w:val="000000"/>
                <w:szCs w:val="20"/>
              </w:rPr>
            </w:pPr>
            <w:r w:rsidRPr="00201931">
              <w:t>Victoria</w:t>
            </w:r>
          </w:p>
        </w:tc>
        <w:tc>
          <w:tcPr>
            <w:tcW w:w="1119" w:type="dxa"/>
          </w:tcPr>
          <w:p w14:paraId="79401226" w14:textId="4705E2F8"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13</w:t>
            </w:r>
          </w:p>
        </w:tc>
        <w:tc>
          <w:tcPr>
            <w:tcW w:w="1119" w:type="dxa"/>
            <w:hideMark/>
          </w:tcPr>
          <w:p w14:paraId="2A053710" w14:textId="201B6475"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19</w:t>
            </w:r>
          </w:p>
        </w:tc>
        <w:tc>
          <w:tcPr>
            <w:tcW w:w="1120" w:type="dxa"/>
          </w:tcPr>
          <w:p w14:paraId="251E3303" w14:textId="006A1223"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25</w:t>
            </w:r>
          </w:p>
        </w:tc>
        <w:tc>
          <w:tcPr>
            <w:tcW w:w="1119" w:type="dxa"/>
          </w:tcPr>
          <w:p w14:paraId="1297B789" w14:textId="2D19BE53"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10</w:t>
            </w:r>
          </w:p>
        </w:tc>
        <w:tc>
          <w:tcPr>
            <w:tcW w:w="1120" w:type="dxa"/>
          </w:tcPr>
          <w:p w14:paraId="6168B425" w14:textId="610C2CE2"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9</w:t>
            </w:r>
          </w:p>
        </w:tc>
        <w:tc>
          <w:tcPr>
            <w:tcW w:w="1119" w:type="dxa"/>
          </w:tcPr>
          <w:p w14:paraId="08D3E42F" w14:textId="6D07BA1A"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6</w:t>
            </w:r>
          </w:p>
        </w:tc>
        <w:tc>
          <w:tcPr>
            <w:tcW w:w="1120" w:type="dxa"/>
            <w:shd w:val="clear" w:color="auto" w:fill="808080" w:themeFill="background1" w:themeFillShade="80"/>
            <w:hideMark/>
          </w:tcPr>
          <w:p w14:paraId="43E59266" w14:textId="23EED40E" w:rsidR="008048C3" w:rsidRPr="00774ED0"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451318">
              <w:rPr>
                <w:color w:val="FFFFFF" w:themeColor="background1"/>
              </w:rPr>
              <w:t>15</w:t>
            </w:r>
          </w:p>
        </w:tc>
      </w:tr>
      <w:tr w:rsidR="008048C3" w:rsidRPr="00086AB2" w14:paraId="20398BA9" w14:textId="77777777" w:rsidTr="00206A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5DECE2CC" w14:textId="221B3D93" w:rsidR="008048C3" w:rsidRPr="00086AB2" w:rsidRDefault="008048C3" w:rsidP="008048C3">
            <w:pPr>
              <w:jc w:val="left"/>
              <w:rPr>
                <w:rFonts w:cs="Arial"/>
                <w:color w:val="000000"/>
                <w:szCs w:val="20"/>
              </w:rPr>
            </w:pPr>
            <w:r w:rsidRPr="00201931">
              <w:t>Queensland</w:t>
            </w:r>
            <w:r>
              <w:t>*</w:t>
            </w:r>
            <w:r w:rsidR="00206AD9">
              <w:t>*</w:t>
            </w:r>
          </w:p>
        </w:tc>
        <w:tc>
          <w:tcPr>
            <w:tcW w:w="1119" w:type="dxa"/>
          </w:tcPr>
          <w:p w14:paraId="63C59FF2" w14:textId="406E9865"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18</w:t>
            </w:r>
          </w:p>
        </w:tc>
        <w:tc>
          <w:tcPr>
            <w:tcW w:w="1119" w:type="dxa"/>
            <w:hideMark/>
          </w:tcPr>
          <w:p w14:paraId="2F960013" w14:textId="42B260B4"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23</w:t>
            </w:r>
          </w:p>
        </w:tc>
        <w:tc>
          <w:tcPr>
            <w:tcW w:w="1120" w:type="dxa"/>
          </w:tcPr>
          <w:p w14:paraId="288DA7BB" w14:textId="13229535"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14</w:t>
            </w:r>
          </w:p>
        </w:tc>
        <w:tc>
          <w:tcPr>
            <w:tcW w:w="1119" w:type="dxa"/>
          </w:tcPr>
          <w:p w14:paraId="5D6867B4" w14:textId="3EDCFDEE"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14</w:t>
            </w:r>
          </w:p>
        </w:tc>
        <w:tc>
          <w:tcPr>
            <w:tcW w:w="1120" w:type="dxa"/>
          </w:tcPr>
          <w:p w14:paraId="095F5C21" w14:textId="71F5932A"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16</w:t>
            </w:r>
          </w:p>
        </w:tc>
        <w:tc>
          <w:tcPr>
            <w:tcW w:w="1119" w:type="dxa"/>
          </w:tcPr>
          <w:p w14:paraId="2A5E1B82" w14:textId="3ECE9654"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20</w:t>
            </w:r>
          </w:p>
        </w:tc>
        <w:tc>
          <w:tcPr>
            <w:tcW w:w="1120" w:type="dxa"/>
            <w:shd w:val="clear" w:color="auto" w:fill="808080" w:themeFill="background1" w:themeFillShade="80"/>
            <w:hideMark/>
          </w:tcPr>
          <w:p w14:paraId="77520292" w14:textId="1C49D24A" w:rsidR="008048C3" w:rsidRPr="00774ED0"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451318">
              <w:rPr>
                <w:color w:val="FFFFFF" w:themeColor="background1"/>
              </w:rPr>
              <w:t>17</w:t>
            </w:r>
          </w:p>
        </w:tc>
      </w:tr>
      <w:tr w:rsidR="008048C3" w:rsidRPr="00086AB2" w14:paraId="58EC6883" w14:textId="77777777" w:rsidTr="00206AD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5AAF862B" w14:textId="542BA584" w:rsidR="008048C3" w:rsidRPr="00086AB2" w:rsidRDefault="008048C3" w:rsidP="008048C3">
            <w:pPr>
              <w:jc w:val="left"/>
              <w:rPr>
                <w:rFonts w:cs="Arial"/>
                <w:color w:val="000000"/>
                <w:szCs w:val="20"/>
              </w:rPr>
            </w:pPr>
            <w:r w:rsidRPr="00201931">
              <w:t>Western Australia</w:t>
            </w:r>
          </w:p>
        </w:tc>
        <w:tc>
          <w:tcPr>
            <w:tcW w:w="1119" w:type="dxa"/>
          </w:tcPr>
          <w:p w14:paraId="1ABB0D2B" w14:textId="39575807"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7</w:t>
            </w:r>
          </w:p>
        </w:tc>
        <w:tc>
          <w:tcPr>
            <w:tcW w:w="1119" w:type="dxa"/>
            <w:hideMark/>
          </w:tcPr>
          <w:p w14:paraId="14F4F387" w14:textId="2A05F9B2"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2</w:t>
            </w:r>
          </w:p>
        </w:tc>
        <w:tc>
          <w:tcPr>
            <w:tcW w:w="1120" w:type="dxa"/>
          </w:tcPr>
          <w:p w14:paraId="142F51C5" w14:textId="033908CF"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5</w:t>
            </w:r>
          </w:p>
        </w:tc>
        <w:tc>
          <w:tcPr>
            <w:tcW w:w="1119" w:type="dxa"/>
          </w:tcPr>
          <w:p w14:paraId="7660B03B" w14:textId="11FF3EEA"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3</w:t>
            </w:r>
          </w:p>
        </w:tc>
        <w:tc>
          <w:tcPr>
            <w:tcW w:w="1120" w:type="dxa"/>
          </w:tcPr>
          <w:p w14:paraId="7655B414" w14:textId="663B0EAA"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4</w:t>
            </w:r>
          </w:p>
        </w:tc>
        <w:tc>
          <w:tcPr>
            <w:tcW w:w="1119" w:type="dxa"/>
          </w:tcPr>
          <w:p w14:paraId="50EA4BCA" w14:textId="7D6E26B1"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4</w:t>
            </w:r>
          </w:p>
        </w:tc>
        <w:tc>
          <w:tcPr>
            <w:tcW w:w="1120" w:type="dxa"/>
            <w:shd w:val="clear" w:color="auto" w:fill="808080" w:themeFill="background1" w:themeFillShade="80"/>
            <w:hideMark/>
          </w:tcPr>
          <w:p w14:paraId="476A6D35" w14:textId="57151302" w:rsidR="008048C3" w:rsidRPr="00774ED0"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451318">
              <w:rPr>
                <w:color w:val="FFFFFF" w:themeColor="background1"/>
              </w:rPr>
              <w:t>4</w:t>
            </w:r>
          </w:p>
        </w:tc>
      </w:tr>
      <w:tr w:rsidR="008048C3" w:rsidRPr="00086AB2" w14:paraId="34C79121" w14:textId="77777777" w:rsidTr="00206A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007256C4" w14:textId="69F377B2" w:rsidR="008048C3" w:rsidRPr="00086AB2" w:rsidRDefault="008048C3" w:rsidP="008048C3">
            <w:pPr>
              <w:jc w:val="left"/>
              <w:rPr>
                <w:rFonts w:cs="Arial"/>
                <w:color w:val="000000"/>
                <w:szCs w:val="20"/>
              </w:rPr>
            </w:pPr>
            <w:r w:rsidRPr="00201931">
              <w:t>South Australia</w:t>
            </w:r>
          </w:p>
        </w:tc>
        <w:tc>
          <w:tcPr>
            <w:tcW w:w="1119" w:type="dxa"/>
          </w:tcPr>
          <w:p w14:paraId="3D774344" w14:textId="12E9AF6B"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7</w:t>
            </w:r>
          </w:p>
        </w:tc>
        <w:tc>
          <w:tcPr>
            <w:tcW w:w="1119" w:type="dxa"/>
            <w:hideMark/>
          </w:tcPr>
          <w:p w14:paraId="235C6C09" w14:textId="2D220CD6"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6</w:t>
            </w:r>
          </w:p>
        </w:tc>
        <w:tc>
          <w:tcPr>
            <w:tcW w:w="1120" w:type="dxa"/>
          </w:tcPr>
          <w:p w14:paraId="2BA95C87" w14:textId="29DA28BA"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7</w:t>
            </w:r>
          </w:p>
        </w:tc>
        <w:tc>
          <w:tcPr>
            <w:tcW w:w="1119" w:type="dxa"/>
          </w:tcPr>
          <w:p w14:paraId="1B4F76EB" w14:textId="47631400"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2</w:t>
            </w:r>
          </w:p>
        </w:tc>
        <w:tc>
          <w:tcPr>
            <w:tcW w:w="1120" w:type="dxa"/>
          </w:tcPr>
          <w:p w14:paraId="5291E0F9" w14:textId="73664C40"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2</w:t>
            </w:r>
          </w:p>
        </w:tc>
        <w:tc>
          <w:tcPr>
            <w:tcW w:w="1119" w:type="dxa"/>
          </w:tcPr>
          <w:p w14:paraId="417094DC" w14:textId="230810DB"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w:t>
            </w:r>
          </w:p>
        </w:tc>
        <w:tc>
          <w:tcPr>
            <w:tcW w:w="1120" w:type="dxa"/>
            <w:shd w:val="clear" w:color="auto" w:fill="808080" w:themeFill="background1" w:themeFillShade="80"/>
            <w:hideMark/>
          </w:tcPr>
          <w:p w14:paraId="170BA50D" w14:textId="5E87216C" w:rsidR="008048C3" w:rsidRPr="00774ED0"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451318">
              <w:rPr>
                <w:color w:val="FFFFFF" w:themeColor="background1"/>
              </w:rPr>
              <w:t>5</w:t>
            </w:r>
          </w:p>
        </w:tc>
      </w:tr>
      <w:tr w:rsidR="008048C3" w:rsidRPr="00086AB2" w14:paraId="5D3EBE12" w14:textId="77777777" w:rsidTr="00206AD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67177BAC" w14:textId="12D6E732" w:rsidR="008048C3" w:rsidRPr="00086AB2" w:rsidRDefault="008048C3" w:rsidP="008048C3">
            <w:pPr>
              <w:jc w:val="left"/>
              <w:rPr>
                <w:rFonts w:cs="Arial"/>
                <w:color w:val="000000"/>
                <w:szCs w:val="20"/>
              </w:rPr>
            </w:pPr>
            <w:r w:rsidRPr="00201931">
              <w:t>Tasmania</w:t>
            </w:r>
          </w:p>
        </w:tc>
        <w:tc>
          <w:tcPr>
            <w:tcW w:w="1119" w:type="dxa"/>
          </w:tcPr>
          <w:p w14:paraId="0AF069C7" w14:textId="3CB714DF"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19" w:type="dxa"/>
            <w:hideMark/>
          </w:tcPr>
          <w:p w14:paraId="4416A72C" w14:textId="1A912521"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20" w:type="dxa"/>
          </w:tcPr>
          <w:p w14:paraId="34181F72" w14:textId="2F779774"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19" w:type="dxa"/>
          </w:tcPr>
          <w:p w14:paraId="1C7B37CD" w14:textId="29423904"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20" w:type="dxa"/>
          </w:tcPr>
          <w:p w14:paraId="3E186FB7" w14:textId="38DF5371"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19" w:type="dxa"/>
          </w:tcPr>
          <w:p w14:paraId="4A829AD1" w14:textId="56D6BDE9"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20" w:type="dxa"/>
            <w:shd w:val="clear" w:color="auto" w:fill="808080" w:themeFill="background1" w:themeFillShade="80"/>
            <w:hideMark/>
          </w:tcPr>
          <w:p w14:paraId="0F7A2DE1" w14:textId="011A0315" w:rsidR="008048C3" w:rsidRPr="00774ED0"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451318">
              <w:rPr>
                <w:color w:val="FFFFFF" w:themeColor="background1"/>
              </w:rPr>
              <w:t>1</w:t>
            </w:r>
          </w:p>
        </w:tc>
      </w:tr>
      <w:tr w:rsidR="008048C3" w:rsidRPr="00086AB2" w14:paraId="5B1B23EA" w14:textId="77777777" w:rsidTr="00206A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4B0E8E42" w14:textId="5D01065B" w:rsidR="008048C3" w:rsidRPr="00086AB2" w:rsidRDefault="008048C3" w:rsidP="008048C3">
            <w:pPr>
              <w:jc w:val="left"/>
              <w:rPr>
                <w:rFonts w:cs="Arial"/>
                <w:color w:val="000000"/>
                <w:szCs w:val="20"/>
              </w:rPr>
            </w:pPr>
            <w:r w:rsidRPr="00201931">
              <w:t>Northern Territory</w:t>
            </w:r>
          </w:p>
        </w:tc>
        <w:tc>
          <w:tcPr>
            <w:tcW w:w="1119" w:type="dxa"/>
          </w:tcPr>
          <w:p w14:paraId="08744C07" w14:textId="282F14A7"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0</w:t>
            </w:r>
          </w:p>
        </w:tc>
        <w:tc>
          <w:tcPr>
            <w:tcW w:w="1119" w:type="dxa"/>
            <w:hideMark/>
          </w:tcPr>
          <w:p w14:paraId="7095580B" w14:textId="4FE377A9"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0</w:t>
            </w:r>
          </w:p>
        </w:tc>
        <w:tc>
          <w:tcPr>
            <w:tcW w:w="1120" w:type="dxa"/>
          </w:tcPr>
          <w:p w14:paraId="2C5FA458" w14:textId="137A5E75"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0</w:t>
            </w:r>
          </w:p>
        </w:tc>
        <w:tc>
          <w:tcPr>
            <w:tcW w:w="1119" w:type="dxa"/>
          </w:tcPr>
          <w:p w14:paraId="6C3091AB" w14:textId="353339D3"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0</w:t>
            </w:r>
          </w:p>
        </w:tc>
        <w:tc>
          <w:tcPr>
            <w:tcW w:w="1120" w:type="dxa"/>
          </w:tcPr>
          <w:p w14:paraId="1E5134D3" w14:textId="2F08679B"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w:t>
            </w:r>
          </w:p>
        </w:tc>
        <w:tc>
          <w:tcPr>
            <w:tcW w:w="1119" w:type="dxa"/>
          </w:tcPr>
          <w:p w14:paraId="2C64451E" w14:textId="4A2EC47B"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w:t>
            </w:r>
          </w:p>
        </w:tc>
        <w:tc>
          <w:tcPr>
            <w:tcW w:w="1120" w:type="dxa"/>
            <w:shd w:val="clear" w:color="auto" w:fill="808080" w:themeFill="background1" w:themeFillShade="80"/>
            <w:hideMark/>
          </w:tcPr>
          <w:p w14:paraId="1DBC47CC" w14:textId="5DF4DDBF" w:rsidR="008048C3" w:rsidRPr="00774ED0"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451318">
              <w:rPr>
                <w:color w:val="FFFFFF" w:themeColor="background1"/>
              </w:rPr>
              <w:t>0</w:t>
            </w:r>
          </w:p>
        </w:tc>
      </w:tr>
      <w:tr w:rsidR="008048C3" w:rsidRPr="00086AB2" w14:paraId="54B9D9D8" w14:textId="77777777" w:rsidTr="00206AD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3B3DBACC" w14:textId="2CD6510A" w:rsidR="008048C3" w:rsidRPr="00086AB2" w:rsidRDefault="008048C3" w:rsidP="008048C3">
            <w:pPr>
              <w:jc w:val="left"/>
              <w:rPr>
                <w:rFonts w:cs="Arial"/>
                <w:color w:val="000000"/>
                <w:szCs w:val="20"/>
              </w:rPr>
            </w:pPr>
            <w:r w:rsidRPr="00201931">
              <w:t>Australian Capital Territory</w:t>
            </w:r>
          </w:p>
        </w:tc>
        <w:tc>
          <w:tcPr>
            <w:tcW w:w="1119" w:type="dxa"/>
          </w:tcPr>
          <w:p w14:paraId="4A340870" w14:textId="6A7EC594"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19" w:type="dxa"/>
            <w:hideMark/>
          </w:tcPr>
          <w:p w14:paraId="493492D8" w14:textId="5EC68B98"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20" w:type="dxa"/>
          </w:tcPr>
          <w:p w14:paraId="00F2405D" w14:textId="7548E708"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19" w:type="dxa"/>
          </w:tcPr>
          <w:p w14:paraId="689BE5BB" w14:textId="4A551AB6"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20" w:type="dxa"/>
          </w:tcPr>
          <w:p w14:paraId="3FC92EBF" w14:textId="05BE0608"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19" w:type="dxa"/>
          </w:tcPr>
          <w:p w14:paraId="24132556" w14:textId="45DE65EC"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20" w:type="dxa"/>
            <w:shd w:val="clear" w:color="auto" w:fill="808080" w:themeFill="background1" w:themeFillShade="80"/>
            <w:hideMark/>
          </w:tcPr>
          <w:p w14:paraId="0D8C26D1" w14:textId="15EBCD2B" w:rsidR="008048C3" w:rsidRPr="00774ED0"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451318">
              <w:rPr>
                <w:color w:val="FFFFFF" w:themeColor="background1"/>
              </w:rPr>
              <w:t>1</w:t>
            </w:r>
          </w:p>
        </w:tc>
      </w:tr>
      <w:tr w:rsidR="008048C3" w:rsidRPr="00086AB2" w14:paraId="7AF82701" w14:textId="77777777" w:rsidTr="00206A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78E71CF7" w14:textId="3F785D12" w:rsidR="008048C3" w:rsidRPr="00086AB2" w:rsidRDefault="008048C3" w:rsidP="008048C3">
            <w:pPr>
              <w:jc w:val="left"/>
              <w:rPr>
                <w:rFonts w:cs="Arial"/>
                <w:color w:val="000000"/>
                <w:szCs w:val="20"/>
              </w:rPr>
            </w:pPr>
            <w:r w:rsidRPr="00201931">
              <w:t>Australian Government</w:t>
            </w:r>
          </w:p>
        </w:tc>
        <w:tc>
          <w:tcPr>
            <w:tcW w:w="1119" w:type="dxa"/>
          </w:tcPr>
          <w:p w14:paraId="554F2657" w14:textId="52BC0708"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21</w:t>
            </w:r>
          </w:p>
        </w:tc>
        <w:tc>
          <w:tcPr>
            <w:tcW w:w="1119" w:type="dxa"/>
            <w:hideMark/>
          </w:tcPr>
          <w:p w14:paraId="587EC620" w14:textId="0625BD10"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14</w:t>
            </w:r>
          </w:p>
        </w:tc>
        <w:tc>
          <w:tcPr>
            <w:tcW w:w="1120" w:type="dxa"/>
          </w:tcPr>
          <w:p w14:paraId="12839065" w14:textId="5DBCC1DA"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14</w:t>
            </w:r>
          </w:p>
        </w:tc>
        <w:tc>
          <w:tcPr>
            <w:tcW w:w="1119" w:type="dxa"/>
          </w:tcPr>
          <w:p w14:paraId="5C473334" w14:textId="2EEF05FA"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22</w:t>
            </w:r>
          </w:p>
        </w:tc>
        <w:tc>
          <w:tcPr>
            <w:tcW w:w="1120" w:type="dxa"/>
          </w:tcPr>
          <w:p w14:paraId="32843ACB" w14:textId="7EC8EC26"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19</w:t>
            </w:r>
          </w:p>
        </w:tc>
        <w:tc>
          <w:tcPr>
            <w:tcW w:w="1119" w:type="dxa"/>
          </w:tcPr>
          <w:p w14:paraId="15D03C9D" w14:textId="307109D6" w:rsidR="008048C3"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201931">
              <w:t>11</w:t>
            </w:r>
          </w:p>
        </w:tc>
        <w:tc>
          <w:tcPr>
            <w:tcW w:w="1120" w:type="dxa"/>
            <w:shd w:val="clear" w:color="auto" w:fill="808080" w:themeFill="background1" w:themeFillShade="80"/>
            <w:hideMark/>
          </w:tcPr>
          <w:p w14:paraId="70B215B8" w14:textId="122AB554" w:rsidR="008048C3" w:rsidRPr="00774ED0"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451318">
              <w:rPr>
                <w:color w:val="FFFFFF" w:themeColor="background1"/>
              </w:rPr>
              <w:t>18</w:t>
            </w:r>
          </w:p>
        </w:tc>
      </w:tr>
      <w:tr w:rsidR="008048C3" w:rsidRPr="00086AB2" w14:paraId="145B16F1" w14:textId="77777777" w:rsidTr="00206AD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1CFD589C" w14:textId="2DE87DA0" w:rsidR="008048C3" w:rsidRPr="00086AB2" w:rsidRDefault="008048C3" w:rsidP="008048C3">
            <w:pPr>
              <w:jc w:val="left"/>
              <w:rPr>
                <w:rFonts w:cs="Arial"/>
                <w:color w:val="000000"/>
                <w:szCs w:val="20"/>
              </w:rPr>
            </w:pPr>
            <w:r w:rsidRPr="00201931">
              <w:t>Seacare</w:t>
            </w:r>
          </w:p>
        </w:tc>
        <w:tc>
          <w:tcPr>
            <w:tcW w:w="1119" w:type="dxa"/>
          </w:tcPr>
          <w:p w14:paraId="3E3D2D44" w14:textId="619522F4"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19" w:type="dxa"/>
            <w:hideMark/>
          </w:tcPr>
          <w:p w14:paraId="4BFE6650" w14:textId="6998A1FD"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20" w:type="dxa"/>
          </w:tcPr>
          <w:p w14:paraId="79A7F861" w14:textId="4078A6CC"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19" w:type="dxa"/>
          </w:tcPr>
          <w:p w14:paraId="3BF0A1F7" w14:textId="74D14B96"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20" w:type="dxa"/>
          </w:tcPr>
          <w:p w14:paraId="19825CF8" w14:textId="6D862BA6"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1</w:t>
            </w:r>
          </w:p>
        </w:tc>
        <w:tc>
          <w:tcPr>
            <w:tcW w:w="1119" w:type="dxa"/>
          </w:tcPr>
          <w:p w14:paraId="39356093" w14:textId="36A42249"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0</w:t>
            </w:r>
          </w:p>
        </w:tc>
        <w:tc>
          <w:tcPr>
            <w:tcW w:w="1120" w:type="dxa"/>
            <w:shd w:val="clear" w:color="auto" w:fill="808080" w:themeFill="background1" w:themeFillShade="80"/>
            <w:hideMark/>
          </w:tcPr>
          <w:p w14:paraId="4FC6B002" w14:textId="4BAE4ADE" w:rsidR="008048C3" w:rsidRPr="00774ED0"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451318">
              <w:rPr>
                <w:color w:val="FFFFFF" w:themeColor="background1"/>
              </w:rPr>
              <w:t>0</w:t>
            </w:r>
          </w:p>
        </w:tc>
      </w:tr>
      <w:tr w:rsidR="008048C3" w:rsidRPr="006803D3" w14:paraId="15446FDB" w14:textId="77777777" w:rsidTr="00206A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shd w:val="clear" w:color="auto" w:fill="808080" w:themeFill="background1" w:themeFillShade="80"/>
            <w:hideMark/>
          </w:tcPr>
          <w:p w14:paraId="058BE9B4" w14:textId="7E1ECBF9" w:rsidR="008048C3" w:rsidRPr="000B6868" w:rsidRDefault="008048C3" w:rsidP="008048C3">
            <w:pPr>
              <w:jc w:val="left"/>
              <w:rPr>
                <w:rFonts w:cs="Arial"/>
                <w:bCs w:val="0"/>
                <w:color w:val="FFFFFF" w:themeColor="background1"/>
                <w:szCs w:val="20"/>
              </w:rPr>
            </w:pPr>
            <w:r w:rsidRPr="001E50CF">
              <w:rPr>
                <w:color w:val="FFFFFF" w:themeColor="background1"/>
              </w:rPr>
              <w:t>Australian total</w:t>
            </w:r>
          </w:p>
        </w:tc>
        <w:tc>
          <w:tcPr>
            <w:tcW w:w="1119" w:type="dxa"/>
            <w:shd w:val="clear" w:color="auto" w:fill="808080" w:themeFill="background1" w:themeFillShade="80"/>
          </w:tcPr>
          <w:p w14:paraId="6391632C" w14:textId="297C6D9C" w:rsidR="008048C3" w:rsidRPr="001E50CF"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E50CF">
              <w:rPr>
                <w:color w:val="FFFFFF" w:themeColor="background1"/>
              </w:rPr>
              <w:t>75</w:t>
            </w:r>
          </w:p>
        </w:tc>
        <w:tc>
          <w:tcPr>
            <w:tcW w:w="1119" w:type="dxa"/>
            <w:shd w:val="clear" w:color="auto" w:fill="808080" w:themeFill="background1" w:themeFillShade="80"/>
            <w:hideMark/>
          </w:tcPr>
          <w:p w14:paraId="5B968572" w14:textId="1A15DA01" w:rsidR="008048C3" w:rsidRPr="001E50CF"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E50CF">
              <w:rPr>
                <w:color w:val="FFFFFF" w:themeColor="background1"/>
              </w:rPr>
              <w:t>78</w:t>
            </w:r>
          </w:p>
        </w:tc>
        <w:tc>
          <w:tcPr>
            <w:tcW w:w="1120" w:type="dxa"/>
            <w:shd w:val="clear" w:color="auto" w:fill="808080" w:themeFill="background1" w:themeFillShade="80"/>
            <w:hideMark/>
          </w:tcPr>
          <w:p w14:paraId="388A46EC" w14:textId="1E9A5591" w:rsidR="008048C3" w:rsidRPr="001E50CF"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E50CF">
              <w:rPr>
                <w:color w:val="FFFFFF" w:themeColor="background1"/>
              </w:rPr>
              <w:t>81</w:t>
            </w:r>
          </w:p>
        </w:tc>
        <w:tc>
          <w:tcPr>
            <w:tcW w:w="1119" w:type="dxa"/>
            <w:shd w:val="clear" w:color="auto" w:fill="808080" w:themeFill="background1" w:themeFillShade="80"/>
            <w:hideMark/>
          </w:tcPr>
          <w:p w14:paraId="2BCFA3C7" w14:textId="786B7F17" w:rsidR="008048C3" w:rsidRPr="001E50CF"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E50CF">
              <w:rPr>
                <w:color w:val="FFFFFF" w:themeColor="background1"/>
              </w:rPr>
              <w:t>60</w:t>
            </w:r>
          </w:p>
        </w:tc>
        <w:tc>
          <w:tcPr>
            <w:tcW w:w="1120" w:type="dxa"/>
            <w:shd w:val="clear" w:color="auto" w:fill="808080" w:themeFill="background1" w:themeFillShade="80"/>
            <w:hideMark/>
          </w:tcPr>
          <w:p w14:paraId="57CACD2D" w14:textId="0CCF4E14" w:rsidR="008048C3" w:rsidRPr="001E50CF"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E50CF">
              <w:rPr>
                <w:color w:val="FFFFFF" w:themeColor="background1"/>
              </w:rPr>
              <w:t>62</w:t>
            </w:r>
          </w:p>
        </w:tc>
        <w:tc>
          <w:tcPr>
            <w:tcW w:w="1119" w:type="dxa"/>
            <w:shd w:val="clear" w:color="auto" w:fill="808080" w:themeFill="background1" w:themeFillShade="80"/>
            <w:hideMark/>
          </w:tcPr>
          <w:p w14:paraId="1A2E26EB" w14:textId="0FEB667C" w:rsidR="008048C3" w:rsidRPr="001E50CF"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E50CF">
              <w:rPr>
                <w:color w:val="FFFFFF" w:themeColor="background1"/>
              </w:rPr>
              <w:t>51</w:t>
            </w:r>
          </w:p>
        </w:tc>
        <w:tc>
          <w:tcPr>
            <w:tcW w:w="1120" w:type="dxa"/>
            <w:shd w:val="clear" w:color="auto" w:fill="808080" w:themeFill="background1" w:themeFillShade="80"/>
            <w:hideMark/>
          </w:tcPr>
          <w:p w14:paraId="7797CA9A" w14:textId="0AEE5D9D" w:rsidR="008048C3" w:rsidRPr="00774ED0" w:rsidRDefault="008048C3" w:rsidP="008048C3">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451318">
              <w:rPr>
                <w:color w:val="FFFFFF" w:themeColor="background1"/>
              </w:rPr>
              <w:t>71</w:t>
            </w:r>
          </w:p>
        </w:tc>
      </w:tr>
      <w:tr w:rsidR="008048C3" w:rsidRPr="00086AB2" w14:paraId="273EC346" w14:textId="77777777" w:rsidTr="00206AD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40" w:type="dxa"/>
            <w:hideMark/>
          </w:tcPr>
          <w:p w14:paraId="7D83EC69" w14:textId="1DCC9839" w:rsidR="008048C3" w:rsidRPr="00086AB2" w:rsidRDefault="008048C3" w:rsidP="008048C3">
            <w:pPr>
              <w:jc w:val="left"/>
              <w:rPr>
                <w:rFonts w:cs="Arial"/>
                <w:color w:val="000000"/>
                <w:szCs w:val="20"/>
              </w:rPr>
            </w:pPr>
            <w:r w:rsidRPr="00201931">
              <w:t>New Zealand</w:t>
            </w:r>
          </w:p>
        </w:tc>
        <w:tc>
          <w:tcPr>
            <w:tcW w:w="1119" w:type="dxa"/>
          </w:tcPr>
          <w:p w14:paraId="49117FC4" w14:textId="72EBF9F8"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35</w:t>
            </w:r>
          </w:p>
        </w:tc>
        <w:tc>
          <w:tcPr>
            <w:tcW w:w="1119" w:type="dxa"/>
            <w:hideMark/>
          </w:tcPr>
          <w:p w14:paraId="3F5F535A" w14:textId="23E323D0"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45</w:t>
            </w:r>
          </w:p>
        </w:tc>
        <w:tc>
          <w:tcPr>
            <w:tcW w:w="1120" w:type="dxa"/>
            <w:hideMark/>
          </w:tcPr>
          <w:p w14:paraId="470D72AB" w14:textId="79C9DDD8"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31</w:t>
            </w:r>
          </w:p>
        </w:tc>
        <w:tc>
          <w:tcPr>
            <w:tcW w:w="1119" w:type="dxa"/>
            <w:hideMark/>
          </w:tcPr>
          <w:p w14:paraId="69F4F531" w14:textId="3E49452B"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42</w:t>
            </w:r>
          </w:p>
        </w:tc>
        <w:tc>
          <w:tcPr>
            <w:tcW w:w="1120" w:type="dxa"/>
            <w:hideMark/>
          </w:tcPr>
          <w:p w14:paraId="756F484B" w14:textId="4A1C7CA2"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35</w:t>
            </w:r>
          </w:p>
        </w:tc>
        <w:tc>
          <w:tcPr>
            <w:tcW w:w="1119" w:type="dxa"/>
            <w:hideMark/>
          </w:tcPr>
          <w:p w14:paraId="493549E0" w14:textId="3502C2D9" w:rsidR="008048C3"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201931">
              <w:t>28</w:t>
            </w:r>
          </w:p>
        </w:tc>
        <w:tc>
          <w:tcPr>
            <w:tcW w:w="1120" w:type="dxa"/>
            <w:shd w:val="clear" w:color="auto" w:fill="808080" w:themeFill="background1" w:themeFillShade="80"/>
            <w:hideMark/>
          </w:tcPr>
          <w:p w14:paraId="1C5FEE1E" w14:textId="7589F8F1" w:rsidR="008048C3" w:rsidRPr="00774ED0" w:rsidRDefault="008048C3" w:rsidP="008048C3">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451318">
              <w:rPr>
                <w:color w:val="FFFFFF" w:themeColor="background1"/>
              </w:rPr>
              <w:t>38</w:t>
            </w:r>
          </w:p>
        </w:tc>
      </w:tr>
    </w:tbl>
    <w:bookmarkEnd w:id="45"/>
    <w:p w14:paraId="7E7FB444" w14:textId="00E63F27" w:rsidR="00206AD9" w:rsidRPr="00206AD9" w:rsidRDefault="00206AD9" w:rsidP="00CD15AB">
      <w:pPr>
        <w:pStyle w:val="Footnote"/>
      </w:pPr>
      <w:r>
        <w:t xml:space="preserve">* The </w:t>
      </w:r>
      <w:proofErr w:type="gramStart"/>
      <w:r w:rsidR="00E1664F">
        <w:t xml:space="preserve">six </w:t>
      </w:r>
      <w:r>
        <w:t>year</w:t>
      </w:r>
      <w:proofErr w:type="gramEnd"/>
      <w:r>
        <w:t xml:space="preserve"> average includes compensated fatalities between 2013</w:t>
      </w:r>
      <w:r w:rsidR="004C7164" w:rsidRPr="00086AB2">
        <w:t>–</w:t>
      </w:r>
      <w:r>
        <w:t>14 to 2018-19p.</w:t>
      </w:r>
    </w:p>
    <w:p w14:paraId="271E7452" w14:textId="54D5E10B" w:rsidR="00333A32" w:rsidRPr="00086AB2" w:rsidRDefault="00206AD9" w:rsidP="00CD15AB">
      <w:pPr>
        <w:pStyle w:val="Footnote"/>
      </w:pPr>
      <w:r>
        <w:t>**</w:t>
      </w:r>
      <w:r w:rsidR="00333A32" w:rsidRPr="00086AB2">
        <w:t xml:space="preserve"> </w:t>
      </w:r>
      <w:proofErr w:type="gramStart"/>
      <w:r w:rsidR="00333A32" w:rsidRPr="00086AB2">
        <w:t>The majority of</w:t>
      </w:r>
      <w:proofErr w:type="gramEnd"/>
      <w:r w:rsidR="00333A32" w:rsidRPr="00086AB2">
        <w:t xml:space="preserve"> compensated fatalities for occupational diseases in Queensland and the Australian Government are due to mesothelioma or asbestosis. Queensland compensates more of these fatalities through its scheme than is the case in other jurisdictions where compensation is more often sought through separate mechanisms including common law.</w:t>
      </w:r>
    </w:p>
    <w:p w14:paraId="39DE46F9" w14:textId="77777777" w:rsidR="00145827" w:rsidRDefault="00145827">
      <w:pPr>
        <w:spacing w:after="200" w:line="276" w:lineRule="auto"/>
        <w:jc w:val="left"/>
        <w:rPr>
          <w:rFonts w:eastAsiaTheme="majorEastAsia" w:cs="Arial"/>
          <w:b/>
          <w:color w:val="AF1E2D"/>
          <w:sz w:val="34"/>
          <w:szCs w:val="22"/>
        </w:rPr>
      </w:pPr>
      <w:bookmarkStart w:id="46" w:name="_Hlk46239793"/>
      <w:r>
        <w:br w:type="page"/>
      </w:r>
    </w:p>
    <w:p w14:paraId="56614501" w14:textId="307955D3" w:rsidR="00692B9C" w:rsidRDefault="0036373C" w:rsidP="00692B9C">
      <w:pPr>
        <w:pStyle w:val="SWASectionnumberingheading"/>
      </w:pPr>
      <w:bookmarkStart w:id="47" w:name="_Toc55294235"/>
      <w:r w:rsidRPr="00086AB2">
        <w:lastRenderedPageBreak/>
        <w:t>Claims by size of business (in the private sector)</w:t>
      </w:r>
      <w:bookmarkEnd w:id="47"/>
      <w:r w:rsidR="00C95003">
        <w:t xml:space="preserve"> </w:t>
      </w:r>
    </w:p>
    <w:p w14:paraId="1BCDF8CC" w14:textId="6A3ECE9C" w:rsidR="002A4994" w:rsidRDefault="0009576A" w:rsidP="00FA067D">
      <w:pPr>
        <w:rPr>
          <w:b/>
        </w:rPr>
      </w:pPr>
      <w:r w:rsidRPr="00692B9C">
        <w:t>Indicator 9 compares the incidence of serious workers’ compensation claims by size of business in 201</w:t>
      </w:r>
      <w:r w:rsidR="00546811">
        <w:t>3</w:t>
      </w:r>
      <w:r w:rsidRPr="00692B9C">
        <w:t>–1</w:t>
      </w:r>
      <w:r w:rsidR="00546811">
        <w:t>4</w:t>
      </w:r>
      <w:r w:rsidRPr="00692B9C">
        <w:t xml:space="preserve"> and 201</w:t>
      </w:r>
      <w:r w:rsidR="000C1C05">
        <w:t>8</w:t>
      </w:r>
      <w:r w:rsidRPr="00692B9C">
        <w:t>–1</w:t>
      </w:r>
      <w:r w:rsidR="000C1C05">
        <w:t>9</w:t>
      </w:r>
      <w:r w:rsidR="00EA1A19">
        <w:t>p</w:t>
      </w:r>
      <w:r w:rsidRPr="00692B9C">
        <w:t>. Six Australian jurisdictions collect compensation data by size of business. Queensland, South Australia and Seacare have been excluded as 201</w:t>
      </w:r>
      <w:r w:rsidR="000C1C05">
        <w:t>8</w:t>
      </w:r>
      <w:r w:rsidRPr="00692B9C">
        <w:t>–1</w:t>
      </w:r>
      <w:r w:rsidR="000C1C05">
        <w:t>9</w:t>
      </w:r>
      <w:r w:rsidR="00EA1A19">
        <w:t>p</w:t>
      </w:r>
      <w:r w:rsidRPr="00692B9C">
        <w:t xml:space="preserve"> data breakdown by size of business </w:t>
      </w:r>
      <w:r w:rsidR="002A4994">
        <w:t xml:space="preserve">is unavailable. </w:t>
      </w:r>
    </w:p>
    <w:p w14:paraId="7C962D1B" w14:textId="073BCA56" w:rsidR="0009576A" w:rsidRPr="00692B9C" w:rsidRDefault="0009576A" w:rsidP="00FA067D">
      <w:pPr>
        <w:rPr>
          <w:b/>
        </w:rPr>
      </w:pPr>
      <w:r w:rsidRPr="00692B9C">
        <w:t>There are differences in the methodologies used by schemes to collect this information and therefore caution should be exercised when making jurisdictional comparisons. This indicator reports on the private sector only and excludes those industry sectors that are wholly or substantially public sector industries (i.e. Public administration and safety, Health care and social assistance, Education and training and Financial and insurance services).</w:t>
      </w:r>
    </w:p>
    <w:p w14:paraId="284D72CD" w14:textId="6C5EF805" w:rsidR="00664DEE" w:rsidRPr="00692B9C" w:rsidRDefault="0009576A" w:rsidP="00FA067D">
      <w:pPr>
        <w:rPr>
          <w:b/>
        </w:rPr>
      </w:pPr>
      <w:r w:rsidRPr="00692B9C">
        <w:t>In 201</w:t>
      </w:r>
      <w:r w:rsidR="000C1C05">
        <w:t>8</w:t>
      </w:r>
      <w:r w:rsidRPr="00692B9C">
        <w:t>–1</w:t>
      </w:r>
      <w:r w:rsidR="000C1C05">
        <w:t>9</w:t>
      </w:r>
      <w:r w:rsidR="00EA1A19">
        <w:t>p</w:t>
      </w:r>
      <w:r w:rsidRPr="00692B9C">
        <w:t>, Australian businesses with 200 or more employees recorded the lowest incidence rate of serious claims (</w:t>
      </w:r>
      <w:r w:rsidR="00361F8E">
        <w:t>6.4</w:t>
      </w:r>
      <w:r w:rsidRPr="00692B9C">
        <w:t xml:space="preserve"> claims per 1,000 employees). With the exception of the Northern Territory, all jurisdictions recorded the highest incidence rate in businesses with 20−199 employees in 201</w:t>
      </w:r>
      <w:r w:rsidR="000C1C05">
        <w:t>8</w:t>
      </w:r>
      <w:r w:rsidRPr="00692B9C">
        <w:t>–1</w:t>
      </w:r>
      <w:r w:rsidR="000C1C05">
        <w:t>9</w:t>
      </w:r>
      <w:r w:rsidR="00EA1A19">
        <w:t>p.</w:t>
      </w:r>
      <w:r w:rsidRPr="00692B9C">
        <w:t xml:space="preserve"> Overall, the incidence rate of serious claims in all three business size groups decreased by </w:t>
      </w:r>
      <w:r w:rsidR="00361F8E">
        <w:t>31</w:t>
      </w:r>
      <w:r w:rsidRPr="00692B9C">
        <w:t xml:space="preserve">, </w:t>
      </w:r>
      <w:r w:rsidR="00546811">
        <w:t>1</w:t>
      </w:r>
      <w:r w:rsidR="00361F8E">
        <w:t>9</w:t>
      </w:r>
      <w:r w:rsidRPr="00692B9C">
        <w:t xml:space="preserve"> and </w:t>
      </w:r>
      <w:r w:rsidR="00361F8E">
        <w:t>17</w:t>
      </w:r>
      <w:r w:rsidR="003C4F76">
        <w:t>%</w:t>
      </w:r>
      <w:r w:rsidRPr="00692B9C">
        <w:t xml:space="preserve"> respectively between 201</w:t>
      </w:r>
      <w:r w:rsidR="00546811">
        <w:t>3</w:t>
      </w:r>
      <w:r w:rsidRPr="00692B9C">
        <w:t>–1</w:t>
      </w:r>
      <w:r w:rsidR="00546811">
        <w:t>4</w:t>
      </w:r>
      <w:r w:rsidRPr="00692B9C">
        <w:t xml:space="preserve"> and 201</w:t>
      </w:r>
      <w:r w:rsidR="000C1C05">
        <w:t>8</w:t>
      </w:r>
      <w:r w:rsidRPr="00692B9C">
        <w:t>–1</w:t>
      </w:r>
      <w:r w:rsidR="000C1C05">
        <w:t>9</w:t>
      </w:r>
      <w:r w:rsidR="00EA1A19">
        <w:t>p.</w:t>
      </w:r>
    </w:p>
    <w:p w14:paraId="4D080EFB" w14:textId="6199D7CA" w:rsidR="00546B67" w:rsidRPr="00086AB2" w:rsidRDefault="00546B67" w:rsidP="00546B67">
      <w:pPr>
        <w:pStyle w:val="SWATableheader"/>
      </w:pPr>
      <w:bookmarkStart w:id="48" w:name="_Toc56603300"/>
      <w:bookmarkStart w:id="49" w:name="_Toc56772235"/>
      <w:r w:rsidRPr="00086AB2">
        <w:t xml:space="preserve">Indicator </w:t>
      </w:r>
      <w:r w:rsidR="00772B12">
        <w:fldChar w:fldCharType="begin"/>
      </w:r>
      <w:r w:rsidR="00772B12">
        <w:instrText xml:space="preserve"> SEQ Indicator \* ARABIC </w:instrText>
      </w:r>
      <w:r w:rsidR="00772B12">
        <w:fldChar w:fldCharType="separate"/>
      </w:r>
      <w:r w:rsidR="00772B12">
        <w:rPr>
          <w:noProof/>
        </w:rPr>
        <w:t>9</w:t>
      </w:r>
      <w:r w:rsidR="00772B12">
        <w:rPr>
          <w:noProof/>
        </w:rPr>
        <w:fldChar w:fldCharType="end"/>
      </w:r>
      <w:r w:rsidRPr="00086AB2">
        <w:t xml:space="preserve"> </w:t>
      </w:r>
      <w:r w:rsidR="00E76BFC" w:rsidRPr="00086AB2">
        <w:t>–</w:t>
      </w:r>
      <w:r w:rsidRPr="00086AB2">
        <w:t xml:space="preserve"> </w:t>
      </w:r>
      <w:r w:rsidR="00256C01" w:rsidRPr="00086AB2">
        <w:t xml:space="preserve">Size of business: incidence rates (claims per 1,000 employees) of serious claims by jurisdiction (private sector </w:t>
      </w:r>
      <w:proofErr w:type="gramStart"/>
      <w:r w:rsidR="00256C01" w:rsidRPr="00086AB2">
        <w:t>only)</w:t>
      </w:r>
      <w:r w:rsidR="00256C01" w:rsidRPr="00086AB2">
        <w:rPr>
          <w:vertAlign w:val="superscript"/>
        </w:rPr>
        <w:t>*</w:t>
      </w:r>
      <w:bookmarkEnd w:id="48"/>
      <w:bookmarkEnd w:id="49"/>
      <w:proofErr w:type="gramEnd"/>
      <w:r w:rsidR="000C1C05">
        <w:rPr>
          <w:vertAlign w:val="superscript"/>
        </w:rPr>
        <w:t xml:space="preserve">  </w:t>
      </w:r>
    </w:p>
    <w:tbl>
      <w:tblPr>
        <w:tblStyle w:val="LightShading-Accent2"/>
        <w:tblW w:w="4980" w:type="pct"/>
        <w:tblLayout w:type="fixed"/>
        <w:tblCellMar>
          <w:left w:w="113" w:type="dxa"/>
          <w:right w:w="113" w:type="dxa"/>
        </w:tblCellMar>
        <w:tblLook w:val="04A0" w:firstRow="1" w:lastRow="0" w:firstColumn="1" w:lastColumn="0" w:noHBand="0" w:noVBand="1"/>
        <w:tblCaption w:val="Indicator 9 - Table showing incidence rates of serious claims by jurisdiction of Size of business for private sector only"/>
        <w:tblDescription w:val="This table shows incidence rates of serious claims by size of business groups and jurisdiction at two points in time, namely 2014-15 and 2018-19p. "/>
      </w:tblPr>
      <w:tblGrid>
        <w:gridCol w:w="2830"/>
        <w:gridCol w:w="1276"/>
        <w:gridCol w:w="1558"/>
        <w:gridCol w:w="1420"/>
        <w:gridCol w:w="1701"/>
      </w:tblGrid>
      <w:tr w:rsidR="00400136" w:rsidRPr="00086AB2" w14:paraId="5CD76AC6" w14:textId="77777777" w:rsidTr="003E5581">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611" w:type="pct"/>
            <w:tcBorders>
              <w:bottom w:val="dashSmallGap" w:sz="4" w:space="0" w:color="FFFFFF" w:themeColor="background1"/>
            </w:tcBorders>
            <w:noWrap/>
            <w:hideMark/>
          </w:tcPr>
          <w:p w14:paraId="49339BDC" w14:textId="77777777" w:rsidR="00400136" w:rsidRPr="00086AB2" w:rsidRDefault="00400136" w:rsidP="00546B67">
            <w:pPr>
              <w:jc w:val="center"/>
              <w:rPr>
                <w:rFonts w:cs="Arial"/>
                <w:bCs w:val="0"/>
                <w:szCs w:val="20"/>
              </w:rPr>
            </w:pPr>
          </w:p>
        </w:tc>
        <w:tc>
          <w:tcPr>
            <w:tcW w:w="726" w:type="pct"/>
            <w:tcBorders>
              <w:bottom w:val="dashSmallGap" w:sz="4" w:space="0" w:color="FFFFFF" w:themeColor="background1"/>
            </w:tcBorders>
          </w:tcPr>
          <w:p w14:paraId="5BEF173E" w14:textId="30AA71CD" w:rsidR="00400136" w:rsidRPr="00546E30" w:rsidRDefault="00400136" w:rsidP="00546E30">
            <w:pPr>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Cs w:val="0"/>
                <w:sz w:val="18"/>
                <w:szCs w:val="18"/>
              </w:rPr>
              <w:t>1</w:t>
            </w:r>
            <w:r w:rsidR="00557E06" w:rsidRPr="00546E30">
              <w:rPr>
                <w:rFonts w:cs="Arial"/>
                <w:bCs w:val="0"/>
                <w:sz w:val="18"/>
                <w:szCs w:val="18"/>
              </w:rPr>
              <w:t>–</w:t>
            </w:r>
            <w:r>
              <w:rPr>
                <w:rFonts w:cs="Arial"/>
                <w:bCs w:val="0"/>
                <w:sz w:val="18"/>
                <w:szCs w:val="18"/>
              </w:rPr>
              <w:t>19</w:t>
            </w:r>
            <w:r w:rsidRPr="00546E30">
              <w:rPr>
                <w:rFonts w:cs="Arial"/>
                <w:bCs w:val="0"/>
                <w:sz w:val="18"/>
                <w:szCs w:val="18"/>
              </w:rPr>
              <w:t xml:space="preserve"> employees</w:t>
            </w:r>
          </w:p>
        </w:tc>
        <w:tc>
          <w:tcPr>
            <w:tcW w:w="887" w:type="pct"/>
            <w:tcBorders>
              <w:bottom w:val="dashSmallGap" w:sz="4" w:space="0" w:color="FFFFFF" w:themeColor="background1"/>
            </w:tcBorders>
            <w:noWrap/>
            <w:hideMark/>
          </w:tcPr>
          <w:p w14:paraId="7E5B9AEF" w14:textId="77777777" w:rsidR="00400136" w:rsidRPr="00546E30" w:rsidRDefault="00400136" w:rsidP="00546B6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Pr>
                <w:rFonts w:cs="Arial"/>
                <w:bCs w:val="0"/>
                <w:sz w:val="18"/>
                <w:szCs w:val="18"/>
              </w:rPr>
              <w:t>20</w:t>
            </w:r>
            <w:r w:rsidRPr="00546E30">
              <w:rPr>
                <w:rFonts w:cs="Arial"/>
                <w:bCs w:val="0"/>
                <w:sz w:val="18"/>
                <w:szCs w:val="18"/>
              </w:rPr>
              <w:t>–19</w:t>
            </w:r>
            <w:r>
              <w:rPr>
                <w:rFonts w:cs="Arial"/>
                <w:bCs w:val="0"/>
                <w:sz w:val="18"/>
                <w:szCs w:val="18"/>
              </w:rPr>
              <w:t>9</w:t>
            </w:r>
            <w:r w:rsidRPr="00546E30">
              <w:rPr>
                <w:rFonts w:cs="Arial"/>
                <w:bCs w:val="0"/>
                <w:sz w:val="18"/>
                <w:szCs w:val="18"/>
              </w:rPr>
              <w:t xml:space="preserve"> employees</w:t>
            </w:r>
          </w:p>
        </w:tc>
        <w:tc>
          <w:tcPr>
            <w:tcW w:w="808" w:type="pct"/>
            <w:tcBorders>
              <w:bottom w:val="dashSmallGap" w:sz="4" w:space="0" w:color="FFFFFF" w:themeColor="background1"/>
            </w:tcBorders>
            <w:noWrap/>
            <w:hideMark/>
          </w:tcPr>
          <w:p w14:paraId="1B53B4DE" w14:textId="77777777" w:rsidR="00400136" w:rsidRPr="00546E30" w:rsidRDefault="00400136" w:rsidP="00546B6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546E30">
              <w:rPr>
                <w:rFonts w:cs="Arial"/>
                <w:bCs w:val="0"/>
                <w:sz w:val="18"/>
                <w:szCs w:val="18"/>
              </w:rPr>
              <w:t>20</w:t>
            </w:r>
            <w:r>
              <w:rPr>
                <w:rFonts w:cs="Arial"/>
                <w:bCs w:val="0"/>
                <w:sz w:val="18"/>
                <w:szCs w:val="18"/>
              </w:rPr>
              <w:t>0 or more</w:t>
            </w:r>
            <w:r w:rsidRPr="00546E30">
              <w:rPr>
                <w:rFonts w:cs="Arial"/>
                <w:bCs w:val="0"/>
                <w:sz w:val="18"/>
                <w:szCs w:val="18"/>
              </w:rPr>
              <w:t xml:space="preserve"> employees</w:t>
            </w:r>
          </w:p>
        </w:tc>
        <w:tc>
          <w:tcPr>
            <w:tcW w:w="968" w:type="pct"/>
            <w:tcBorders>
              <w:bottom w:val="dashSmallGap" w:sz="4" w:space="0" w:color="FFFFFF" w:themeColor="background1"/>
            </w:tcBorders>
            <w:noWrap/>
            <w:hideMark/>
          </w:tcPr>
          <w:p w14:paraId="754E6DCE" w14:textId="77777777" w:rsidR="00400136" w:rsidRPr="00546E30" w:rsidRDefault="00400136" w:rsidP="00546B6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546E30">
              <w:rPr>
                <w:rFonts w:cs="Arial"/>
                <w:bCs w:val="0"/>
                <w:sz w:val="18"/>
                <w:szCs w:val="18"/>
              </w:rPr>
              <w:t>All employees</w:t>
            </w:r>
          </w:p>
        </w:tc>
      </w:tr>
      <w:tr w:rsidR="00400136" w:rsidRPr="00086AB2" w14:paraId="1B0B8BB3"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tcBorders>
              <w:right w:val="nil"/>
            </w:tcBorders>
            <w:shd w:val="clear" w:color="auto" w:fill="auto"/>
            <w:noWrap/>
          </w:tcPr>
          <w:p w14:paraId="4F282058" w14:textId="66D6A0C9" w:rsidR="00400136" w:rsidRPr="00086AB2" w:rsidRDefault="00400136" w:rsidP="00F00D34">
            <w:pPr>
              <w:jc w:val="left"/>
              <w:rPr>
                <w:rFonts w:cs="Arial"/>
                <w:color w:val="000000"/>
                <w:szCs w:val="20"/>
              </w:rPr>
            </w:pPr>
            <w:r w:rsidRPr="00086AB2">
              <w:rPr>
                <w:rFonts w:cs="Arial"/>
                <w:color w:val="000000"/>
                <w:szCs w:val="20"/>
              </w:rPr>
              <w:t>201</w:t>
            </w:r>
            <w:r w:rsidR="00854B05">
              <w:rPr>
                <w:rFonts w:cs="Arial"/>
                <w:color w:val="000000"/>
                <w:szCs w:val="20"/>
              </w:rPr>
              <w:t>3</w:t>
            </w:r>
            <w:r w:rsidRPr="00086AB2">
              <w:rPr>
                <w:rFonts w:cs="Arial"/>
                <w:color w:val="000000"/>
                <w:szCs w:val="20"/>
              </w:rPr>
              <w:t>–1</w:t>
            </w:r>
            <w:r w:rsidR="00854B05">
              <w:rPr>
                <w:rFonts w:cs="Arial"/>
                <w:color w:val="000000"/>
                <w:szCs w:val="20"/>
              </w:rPr>
              <w:t>4</w:t>
            </w:r>
          </w:p>
        </w:tc>
        <w:tc>
          <w:tcPr>
            <w:tcW w:w="726" w:type="pct"/>
            <w:tcBorders>
              <w:right w:val="nil"/>
            </w:tcBorders>
            <w:shd w:val="clear" w:color="auto" w:fill="auto"/>
          </w:tcPr>
          <w:p w14:paraId="516DB7D2" w14:textId="77777777" w:rsidR="00400136" w:rsidRPr="00086AB2" w:rsidRDefault="00400136"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87" w:type="pct"/>
            <w:tcBorders>
              <w:left w:val="nil"/>
              <w:right w:val="nil"/>
            </w:tcBorders>
            <w:shd w:val="clear" w:color="auto" w:fill="auto"/>
            <w:noWrap/>
          </w:tcPr>
          <w:p w14:paraId="7931C3AF" w14:textId="77777777" w:rsidR="00400136" w:rsidRPr="00086AB2" w:rsidRDefault="00400136"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08" w:type="pct"/>
            <w:tcBorders>
              <w:left w:val="nil"/>
              <w:right w:val="nil"/>
            </w:tcBorders>
            <w:shd w:val="clear" w:color="auto" w:fill="auto"/>
            <w:noWrap/>
          </w:tcPr>
          <w:p w14:paraId="052D0CF6" w14:textId="77777777" w:rsidR="00400136" w:rsidRPr="00086AB2" w:rsidRDefault="00400136" w:rsidP="00F00D34">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968" w:type="pct"/>
            <w:tcBorders>
              <w:left w:val="nil"/>
            </w:tcBorders>
            <w:shd w:val="clear" w:color="auto" w:fill="auto"/>
            <w:noWrap/>
          </w:tcPr>
          <w:p w14:paraId="2C56DA90" w14:textId="77777777" w:rsidR="00400136" w:rsidRPr="00086AB2" w:rsidRDefault="00400136" w:rsidP="00F00D34">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400136" w:rsidRPr="00086AB2" w14:paraId="493771E3"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EFD3D2"/>
            <w:noWrap/>
            <w:hideMark/>
          </w:tcPr>
          <w:p w14:paraId="24FB0D26" w14:textId="77777777" w:rsidR="00400136" w:rsidRPr="00086AB2" w:rsidRDefault="00400136" w:rsidP="00F00D34">
            <w:pPr>
              <w:jc w:val="left"/>
              <w:rPr>
                <w:rFonts w:cs="Arial"/>
                <w:color w:val="000000"/>
                <w:szCs w:val="20"/>
              </w:rPr>
            </w:pPr>
            <w:r w:rsidRPr="00086AB2">
              <w:rPr>
                <w:rFonts w:cs="Arial"/>
                <w:color w:val="000000"/>
                <w:szCs w:val="20"/>
              </w:rPr>
              <w:t>New South Wales</w:t>
            </w:r>
          </w:p>
        </w:tc>
        <w:tc>
          <w:tcPr>
            <w:tcW w:w="726" w:type="pct"/>
            <w:shd w:val="clear" w:color="auto" w:fill="EFD3D2"/>
          </w:tcPr>
          <w:p w14:paraId="4E342A58" w14:textId="50AD60F8" w:rsidR="00400136" w:rsidRDefault="00256C01"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854B05">
              <w:rPr>
                <w:rFonts w:cs="Arial"/>
                <w:color w:val="000000"/>
                <w:szCs w:val="20"/>
              </w:rPr>
              <w:t>3</w:t>
            </w:r>
            <w:r>
              <w:rPr>
                <w:rFonts w:cs="Arial"/>
                <w:color w:val="000000"/>
                <w:szCs w:val="20"/>
              </w:rPr>
              <w:t>.</w:t>
            </w:r>
            <w:r w:rsidR="00854B05">
              <w:rPr>
                <w:rFonts w:cs="Arial"/>
                <w:color w:val="000000"/>
                <w:szCs w:val="20"/>
              </w:rPr>
              <w:t>4</w:t>
            </w:r>
          </w:p>
        </w:tc>
        <w:tc>
          <w:tcPr>
            <w:tcW w:w="887" w:type="pct"/>
            <w:shd w:val="clear" w:color="auto" w:fill="EFD3D2"/>
            <w:noWrap/>
            <w:hideMark/>
          </w:tcPr>
          <w:p w14:paraId="42494D02" w14:textId="60CAA661" w:rsidR="00400136" w:rsidRPr="00086AB2" w:rsidRDefault="00256C01"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854B05">
              <w:rPr>
                <w:rFonts w:cs="Arial"/>
                <w:color w:val="000000"/>
                <w:szCs w:val="20"/>
              </w:rPr>
              <w:t>2.1</w:t>
            </w:r>
          </w:p>
        </w:tc>
        <w:tc>
          <w:tcPr>
            <w:tcW w:w="808" w:type="pct"/>
            <w:shd w:val="clear" w:color="auto" w:fill="EFD3D2"/>
            <w:noWrap/>
            <w:hideMark/>
          </w:tcPr>
          <w:p w14:paraId="111C13CE" w14:textId="77777777" w:rsidR="00400136" w:rsidRPr="00086AB2" w:rsidRDefault="00D61318" w:rsidP="00F00D34">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6.4</w:t>
            </w:r>
          </w:p>
        </w:tc>
        <w:tc>
          <w:tcPr>
            <w:tcW w:w="968" w:type="pct"/>
            <w:shd w:val="clear" w:color="auto" w:fill="EFD3D2"/>
            <w:noWrap/>
            <w:hideMark/>
          </w:tcPr>
          <w:p w14:paraId="7D3083A6" w14:textId="16B72A65" w:rsidR="00400136" w:rsidRPr="00086AB2" w:rsidRDefault="00D61318" w:rsidP="00F00D34">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w:t>
            </w:r>
            <w:r w:rsidR="000925F1">
              <w:rPr>
                <w:rFonts w:cs="Arial"/>
                <w:color w:val="000000"/>
                <w:szCs w:val="20"/>
              </w:rPr>
              <w:t>5</w:t>
            </w:r>
          </w:p>
        </w:tc>
      </w:tr>
      <w:tr w:rsidR="00400136" w:rsidRPr="00086AB2" w14:paraId="0965A8C4"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auto"/>
            <w:noWrap/>
            <w:hideMark/>
          </w:tcPr>
          <w:p w14:paraId="6F18F198" w14:textId="77777777" w:rsidR="00400136" w:rsidRPr="00086AB2" w:rsidRDefault="00400136" w:rsidP="00F00D34">
            <w:pPr>
              <w:jc w:val="left"/>
              <w:rPr>
                <w:rFonts w:cs="Arial"/>
                <w:color w:val="000000"/>
                <w:szCs w:val="20"/>
              </w:rPr>
            </w:pPr>
            <w:r w:rsidRPr="00086AB2">
              <w:rPr>
                <w:rFonts w:cs="Arial"/>
                <w:color w:val="000000"/>
                <w:szCs w:val="20"/>
              </w:rPr>
              <w:t>Victoria</w:t>
            </w:r>
          </w:p>
        </w:tc>
        <w:tc>
          <w:tcPr>
            <w:tcW w:w="726" w:type="pct"/>
            <w:shd w:val="clear" w:color="auto" w:fill="auto"/>
          </w:tcPr>
          <w:p w14:paraId="2AF95625" w14:textId="0F54FACE" w:rsidR="00400136" w:rsidRDefault="000925F1"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6.7</w:t>
            </w:r>
          </w:p>
        </w:tc>
        <w:tc>
          <w:tcPr>
            <w:tcW w:w="887" w:type="pct"/>
            <w:shd w:val="clear" w:color="auto" w:fill="auto"/>
            <w:noWrap/>
            <w:hideMark/>
          </w:tcPr>
          <w:p w14:paraId="3A6AA215" w14:textId="4C0E2CD1" w:rsidR="00400136" w:rsidRPr="00086AB2" w:rsidRDefault="00256C01"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0925F1">
              <w:rPr>
                <w:rFonts w:cs="Arial"/>
                <w:color w:val="000000"/>
                <w:szCs w:val="20"/>
              </w:rPr>
              <w:t>2.5</w:t>
            </w:r>
          </w:p>
        </w:tc>
        <w:tc>
          <w:tcPr>
            <w:tcW w:w="808" w:type="pct"/>
            <w:shd w:val="clear" w:color="auto" w:fill="auto"/>
            <w:noWrap/>
            <w:hideMark/>
          </w:tcPr>
          <w:p w14:paraId="27D8D4E6" w14:textId="0B063270" w:rsidR="00400136" w:rsidRPr="00086AB2" w:rsidRDefault="00D61318" w:rsidP="00F00D34">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r w:rsidR="000925F1">
              <w:rPr>
                <w:rFonts w:cs="Arial"/>
                <w:color w:val="000000"/>
                <w:szCs w:val="20"/>
              </w:rPr>
              <w:t>1</w:t>
            </w:r>
          </w:p>
        </w:tc>
        <w:tc>
          <w:tcPr>
            <w:tcW w:w="968" w:type="pct"/>
            <w:shd w:val="clear" w:color="auto" w:fill="auto"/>
            <w:noWrap/>
            <w:hideMark/>
          </w:tcPr>
          <w:p w14:paraId="446C4A28" w14:textId="5ED0013B" w:rsidR="00400136" w:rsidRPr="00086AB2" w:rsidRDefault="00D61318" w:rsidP="00F00D34">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r w:rsidR="000925F1">
              <w:rPr>
                <w:rFonts w:cs="Arial"/>
                <w:color w:val="000000"/>
                <w:szCs w:val="20"/>
              </w:rPr>
              <w:t>9</w:t>
            </w:r>
          </w:p>
        </w:tc>
      </w:tr>
      <w:tr w:rsidR="00400136" w:rsidRPr="00086AB2" w14:paraId="37C4711E"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EFD3D2"/>
            <w:noWrap/>
            <w:hideMark/>
          </w:tcPr>
          <w:p w14:paraId="1C081E94" w14:textId="77777777" w:rsidR="00400136" w:rsidRPr="00086AB2" w:rsidRDefault="00400136" w:rsidP="00F00D34">
            <w:pPr>
              <w:jc w:val="left"/>
              <w:rPr>
                <w:rFonts w:cs="Arial"/>
                <w:color w:val="000000"/>
                <w:szCs w:val="20"/>
              </w:rPr>
            </w:pPr>
            <w:r w:rsidRPr="00086AB2">
              <w:rPr>
                <w:rFonts w:cs="Arial"/>
                <w:color w:val="000000"/>
                <w:szCs w:val="20"/>
              </w:rPr>
              <w:t>Western Australia</w:t>
            </w:r>
          </w:p>
        </w:tc>
        <w:tc>
          <w:tcPr>
            <w:tcW w:w="726" w:type="pct"/>
            <w:shd w:val="clear" w:color="auto" w:fill="EFD3D2"/>
          </w:tcPr>
          <w:p w14:paraId="7E89D028" w14:textId="79961BD0" w:rsidR="00400136" w:rsidRDefault="000925F1"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9.9</w:t>
            </w:r>
          </w:p>
        </w:tc>
        <w:tc>
          <w:tcPr>
            <w:tcW w:w="887" w:type="pct"/>
            <w:shd w:val="clear" w:color="auto" w:fill="EFD3D2"/>
            <w:noWrap/>
            <w:hideMark/>
          </w:tcPr>
          <w:p w14:paraId="080377CF" w14:textId="75EC2853" w:rsidR="00400136" w:rsidRPr="00086AB2" w:rsidRDefault="00D61318"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r w:rsidR="000925F1">
              <w:rPr>
                <w:rFonts w:cs="Arial"/>
                <w:color w:val="000000"/>
                <w:szCs w:val="20"/>
              </w:rPr>
              <w:t>5</w:t>
            </w:r>
          </w:p>
        </w:tc>
        <w:tc>
          <w:tcPr>
            <w:tcW w:w="808" w:type="pct"/>
            <w:shd w:val="clear" w:color="auto" w:fill="EFD3D2"/>
            <w:noWrap/>
            <w:hideMark/>
          </w:tcPr>
          <w:p w14:paraId="0817FB9F" w14:textId="3E849AB4" w:rsidR="00400136" w:rsidRPr="00086AB2" w:rsidRDefault="000925F1" w:rsidP="00F00D34">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10.0</w:t>
            </w:r>
          </w:p>
        </w:tc>
        <w:tc>
          <w:tcPr>
            <w:tcW w:w="968" w:type="pct"/>
            <w:shd w:val="clear" w:color="auto" w:fill="EFD3D2"/>
            <w:noWrap/>
            <w:hideMark/>
          </w:tcPr>
          <w:p w14:paraId="1B1CB7D0" w14:textId="306068F7" w:rsidR="00400136" w:rsidRPr="00086AB2" w:rsidRDefault="000925F1" w:rsidP="00F00D34">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10.6</w:t>
            </w:r>
          </w:p>
        </w:tc>
      </w:tr>
      <w:tr w:rsidR="00400136" w:rsidRPr="00086AB2" w14:paraId="7B5402AA"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auto"/>
            <w:noWrap/>
            <w:hideMark/>
          </w:tcPr>
          <w:p w14:paraId="06345B7A" w14:textId="77777777" w:rsidR="00400136" w:rsidRPr="00086AB2" w:rsidRDefault="00400136" w:rsidP="00F00D34">
            <w:pPr>
              <w:jc w:val="left"/>
              <w:rPr>
                <w:rFonts w:cs="Arial"/>
                <w:color w:val="000000"/>
                <w:szCs w:val="20"/>
              </w:rPr>
            </w:pPr>
            <w:r w:rsidRPr="00086AB2">
              <w:rPr>
                <w:rFonts w:cs="Arial"/>
                <w:color w:val="000000"/>
                <w:szCs w:val="20"/>
              </w:rPr>
              <w:t>Tasmania</w:t>
            </w:r>
          </w:p>
        </w:tc>
        <w:tc>
          <w:tcPr>
            <w:tcW w:w="726" w:type="pct"/>
            <w:shd w:val="clear" w:color="auto" w:fill="auto"/>
          </w:tcPr>
          <w:p w14:paraId="21A6070D" w14:textId="159574FB" w:rsidR="00400136" w:rsidRDefault="000925F1"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10.9</w:t>
            </w:r>
          </w:p>
        </w:tc>
        <w:tc>
          <w:tcPr>
            <w:tcW w:w="887" w:type="pct"/>
            <w:shd w:val="clear" w:color="auto" w:fill="auto"/>
            <w:noWrap/>
            <w:hideMark/>
          </w:tcPr>
          <w:p w14:paraId="79694C3F" w14:textId="47738B80" w:rsidR="00400136" w:rsidRPr="00086AB2" w:rsidRDefault="000925F1"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16.5</w:t>
            </w:r>
          </w:p>
        </w:tc>
        <w:tc>
          <w:tcPr>
            <w:tcW w:w="808" w:type="pct"/>
            <w:shd w:val="clear" w:color="auto" w:fill="auto"/>
            <w:noWrap/>
            <w:hideMark/>
          </w:tcPr>
          <w:p w14:paraId="579EF483" w14:textId="794E9426" w:rsidR="00400136" w:rsidRPr="00086AB2" w:rsidRDefault="000925F1" w:rsidP="00F00D34">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10.6</w:t>
            </w:r>
          </w:p>
        </w:tc>
        <w:tc>
          <w:tcPr>
            <w:tcW w:w="968" w:type="pct"/>
            <w:shd w:val="clear" w:color="auto" w:fill="auto"/>
            <w:noWrap/>
            <w:hideMark/>
          </w:tcPr>
          <w:p w14:paraId="08172786" w14:textId="71139B29" w:rsidR="00400136" w:rsidRPr="00086AB2" w:rsidRDefault="000925F1" w:rsidP="00F00D34">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12.3</w:t>
            </w:r>
          </w:p>
        </w:tc>
      </w:tr>
      <w:tr w:rsidR="00400136" w:rsidRPr="00086AB2" w14:paraId="3038F6CB"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EFD3D2"/>
            <w:noWrap/>
            <w:hideMark/>
          </w:tcPr>
          <w:p w14:paraId="60F71C6E" w14:textId="77777777" w:rsidR="00400136" w:rsidRPr="00086AB2" w:rsidRDefault="00400136" w:rsidP="00F00D34">
            <w:pPr>
              <w:jc w:val="left"/>
              <w:rPr>
                <w:rFonts w:cs="Arial"/>
                <w:color w:val="000000"/>
                <w:szCs w:val="20"/>
              </w:rPr>
            </w:pPr>
            <w:r w:rsidRPr="00086AB2">
              <w:rPr>
                <w:rFonts w:cs="Arial"/>
                <w:color w:val="000000"/>
                <w:szCs w:val="20"/>
              </w:rPr>
              <w:t>Northern Territory</w:t>
            </w:r>
          </w:p>
        </w:tc>
        <w:tc>
          <w:tcPr>
            <w:tcW w:w="726" w:type="pct"/>
            <w:shd w:val="clear" w:color="auto" w:fill="EFD3D2"/>
          </w:tcPr>
          <w:p w14:paraId="030A9EBA" w14:textId="143DBF1B" w:rsidR="00400136" w:rsidRDefault="000925F1"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23.2</w:t>
            </w:r>
          </w:p>
        </w:tc>
        <w:tc>
          <w:tcPr>
            <w:tcW w:w="887" w:type="pct"/>
            <w:shd w:val="clear" w:color="auto" w:fill="EFD3D2"/>
            <w:noWrap/>
            <w:hideMark/>
          </w:tcPr>
          <w:p w14:paraId="4977F539" w14:textId="6764236E" w:rsidR="00400136" w:rsidRPr="00086AB2" w:rsidRDefault="00D61318"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r w:rsidR="000925F1">
              <w:rPr>
                <w:rFonts w:cs="Arial"/>
                <w:color w:val="000000"/>
                <w:szCs w:val="20"/>
              </w:rPr>
              <w:t>6</w:t>
            </w:r>
          </w:p>
        </w:tc>
        <w:tc>
          <w:tcPr>
            <w:tcW w:w="808" w:type="pct"/>
            <w:shd w:val="clear" w:color="auto" w:fill="EFD3D2"/>
            <w:noWrap/>
            <w:hideMark/>
          </w:tcPr>
          <w:p w14:paraId="1A0779A2" w14:textId="4ECDABD3" w:rsidR="00400136" w:rsidRPr="00086AB2" w:rsidRDefault="000925F1" w:rsidP="00F00D34">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c>
          <w:tcPr>
            <w:tcW w:w="968" w:type="pct"/>
            <w:shd w:val="clear" w:color="auto" w:fill="EFD3D2"/>
            <w:noWrap/>
            <w:hideMark/>
          </w:tcPr>
          <w:p w14:paraId="2BD1F1E0" w14:textId="7F5A2D6E" w:rsidR="00400136" w:rsidRPr="00086AB2" w:rsidRDefault="000925F1" w:rsidP="00F00D34">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13.2</w:t>
            </w:r>
          </w:p>
        </w:tc>
      </w:tr>
      <w:tr w:rsidR="00400136" w:rsidRPr="00086AB2" w14:paraId="5118B2AE"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auto"/>
            <w:noWrap/>
            <w:hideMark/>
          </w:tcPr>
          <w:p w14:paraId="14608A1D" w14:textId="77777777" w:rsidR="00400136" w:rsidRPr="00086AB2" w:rsidRDefault="00400136" w:rsidP="00F00D34">
            <w:pPr>
              <w:jc w:val="left"/>
              <w:rPr>
                <w:rFonts w:cs="Arial"/>
                <w:color w:val="000000"/>
                <w:szCs w:val="20"/>
              </w:rPr>
            </w:pPr>
            <w:r w:rsidRPr="00086AB2">
              <w:rPr>
                <w:rFonts w:cs="Arial"/>
                <w:color w:val="000000"/>
                <w:szCs w:val="20"/>
              </w:rPr>
              <w:t>Australian Capital Territory</w:t>
            </w:r>
          </w:p>
        </w:tc>
        <w:tc>
          <w:tcPr>
            <w:tcW w:w="726" w:type="pct"/>
            <w:shd w:val="clear" w:color="auto" w:fill="auto"/>
          </w:tcPr>
          <w:p w14:paraId="569F2F22" w14:textId="44E5D051" w:rsidR="00400136" w:rsidRDefault="000925F1"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9.2</w:t>
            </w:r>
          </w:p>
        </w:tc>
        <w:tc>
          <w:tcPr>
            <w:tcW w:w="887" w:type="pct"/>
            <w:shd w:val="clear" w:color="auto" w:fill="auto"/>
            <w:noWrap/>
            <w:hideMark/>
          </w:tcPr>
          <w:p w14:paraId="33E018D3" w14:textId="21BB5CF0" w:rsidR="00400136" w:rsidRPr="00086AB2" w:rsidRDefault="000925F1"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15.9</w:t>
            </w:r>
          </w:p>
        </w:tc>
        <w:tc>
          <w:tcPr>
            <w:tcW w:w="808" w:type="pct"/>
            <w:shd w:val="clear" w:color="auto" w:fill="auto"/>
            <w:noWrap/>
            <w:hideMark/>
          </w:tcPr>
          <w:p w14:paraId="37251897" w14:textId="3F1E20A5" w:rsidR="00400136" w:rsidRPr="00086AB2" w:rsidRDefault="000925F1" w:rsidP="00F00D34">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4.9</w:t>
            </w:r>
          </w:p>
        </w:tc>
        <w:tc>
          <w:tcPr>
            <w:tcW w:w="968" w:type="pct"/>
            <w:shd w:val="clear" w:color="auto" w:fill="auto"/>
            <w:noWrap/>
            <w:hideMark/>
          </w:tcPr>
          <w:p w14:paraId="252D2CB4" w14:textId="14509DAE" w:rsidR="00400136" w:rsidRPr="00086AB2" w:rsidRDefault="000925F1" w:rsidP="00F00D34">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9.6</w:t>
            </w:r>
          </w:p>
        </w:tc>
      </w:tr>
      <w:tr w:rsidR="00400136" w:rsidRPr="00086AB2" w14:paraId="2DAD83EC"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808080" w:themeFill="background1" w:themeFillShade="80"/>
            <w:noWrap/>
            <w:hideMark/>
          </w:tcPr>
          <w:p w14:paraId="3B8BAD61" w14:textId="77777777" w:rsidR="00400136" w:rsidRPr="00086AB2" w:rsidRDefault="00400136" w:rsidP="00F00D34">
            <w:pPr>
              <w:jc w:val="left"/>
              <w:rPr>
                <w:rFonts w:cs="Arial"/>
                <w:bCs w:val="0"/>
                <w:color w:val="FFFFFF" w:themeColor="background1"/>
                <w:szCs w:val="20"/>
              </w:rPr>
            </w:pPr>
            <w:r w:rsidRPr="00086AB2">
              <w:rPr>
                <w:rFonts w:cs="Arial"/>
                <w:bCs w:val="0"/>
                <w:color w:val="FFFFFF" w:themeColor="background1"/>
                <w:szCs w:val="20"/>
              </w:rPr>
              <w:t>Australia</w:t>
            </w:r>
            <w:r w:rsidRPr="00086AB2">
              <w:rPr>
                <w:rFonts w:cs="Arial"/>
                <w:bCs w:val="0"/>
                <w:color w:val="FFFFFF" w:themeColor="background1"/>
                <w:szCs w:val="20"/>
                <w:vertAlign w:val="superscript"/>
              </w:rPr>
              <w:t>**</w:t>
            </w:r>
          </w:p>
        </w:tc>
        <w:tc>
          <w:tcPr>
            <w:tcW w:w="726" w:type="pct"/>
            <w:shd w:val="clear" w:color="auto" w:fill="808080" w:themeFill="background1" w:themeFillShade="80"/>
          </w:tcPr>
          <w:p w14:paraId="788738DA" w14:textId="1A30DB72" w:rsidR="00400136" w:rsidRDefault="000925F1"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10.5</w:t>
            </w:r>
          </w:p>
        </w:tc>
        <w:tc>
          <w:tcPr>
            <w:tcW w:w="887" w:type="pct"/>
            <w:shd w:val="clear" w:color="auto" w:fill="808080" w:themeFill="background1" w:themeFillShade="80"/>
            <w:noWrap/>
            <w:hideMark/>
          </w:tcPr>
          <w:p w14:paraId="769D027F" w14:textId="7FD1F438" w:rsidR="00400136" w:rsidRPr="00086AB2" w:rsidRDefault="000925F1" w:rsidP="00F00D34">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12.6</w:t>
            </w:r>
          </w:p>
        </w:tc>
        <w:tc>
          <w:tcPr>
            <w:tcW w:w="808" w:type="pct"/>
            <w:shd w:val="clear" w:color="auto" w:fill="808080" w:themeFill="background1" w:themeFillShade="80"/>
            <w:noWrap/>
            <w:hideMark/>
          </w:tcPr>
          <w:p w14:paraId="0075B35C" w14:textId="07D2B393" w:rsidR="00400136" w:rsidRPr="00086AB2" w:rsidRDefault="00DE0924" w:rsidP="00F00D34">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7.</w:t>
            </w:r>
            <w:r w:rsidR="000925F1">
              <w:rPr>
                <w:rFonts w:cs="Arial"/>
                <w:b/>
                <w:bCs/>
                <w:color w:val="FFFFFF" w:themeColor="background1"/>
                <w:szCs w:val="20"/>
              </w:rPr>
              <w:t>7</w:t>
            </w:r>
          </w:p>
        </w:tc>
        <w:tc>
          <w:tcPr>
            <w:tcW w:w="968" w:type="pct"/>
            <w:shd w:val="clear" w:color="auto" w:fill="808080" w:themeFill="background1" w:themeFillShade="80"/>
            <w:noWrap/>
            <w:hideMark/>
          </w:tcPr>
          <w:p w14:paraId="3E6E6F38" w14:textId="66E8E20F" w:rsidR="00400136" w:rsidRPr="00086AB2" w:rsidRDefault="000925F1" w:rsidP="00F00D34">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10.0</w:t>
            </w:r>
          </w:p>
        </w:tc>
      </w:tr>
      <w:tr w:rsidR="00400136" w:rsidRPr="00086AB2" w14:paraId="3838D763" w14:textId="77777777" w:rsidTr="003E558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11" w:type="pct"/>
            <w:tcBorders>
              <w:right w:val="nil"/>
            </w:tcBorders>
            <w:noWrap/>
          </w:tcPr>
          <w:p w14:paraId="74AACC19" w14:textId="77777777" w:rsidR="00400136" w:rsidRPr="00086AB2" w:rsidRDefault="00400136" w:rsidP="00F00D34">
            <w:pPr>
              <w:jc w:val="left"/>
              <w:rPr>
                <w:rFonts w:cs="Arial"/>
                <w:color w:val="000000"/>
                <w:szCs w:val="20"/>
              </w:rPr>
            </w:pPr>
            <w:r w:rsidRPr="00086AB2">
              <w:rPr>
                <w:rFonts w:cs="Arial"/>
                <w:color w:val="000000"/>
                <w:szCs w:val="20"/>
              </w:rPr>
              <w:t>201</w:t>
            </w:r>
            <w:r>
              <w:rPr>
                <w:rFonts w:cs="Arial"/>
                <w:color w:val="000000"/>
                <w:szCs w:val="20"/>
              </w:rPr>
              <w:t>8</w:t>
            </w:r>
            <w:r w:rsidRPr="00086AB2">
              <w:rPr>
                <w:rFonts w:cs="Arial"/>
                <w:color w:val="000000"/>
                <w:szCs w:val="20"/>
              </w:rPr>
              <w:t>–1</w:t>
            </w:r>
            <w:r>
              <w:rPr>
                <w:rFonts w:cs="Arial"/>
                <w:color w:val="000000"/>
                <w:szCs w:val="20"/>
              </w:rPr>
              <w:t>9</w:t>
            </w:r>
            <w:r w:rsidRPr="00086AB2">
              <w:rPr>
                <w:rFonts w:cs="Arial"/>
                <w:color w:val="000000"/>
                <w:szCs w:val="20"/>
              </w:rPr>
              <w:t>p</w:t>
            </w:r>
          </w:p>
        </w:tc>
        <w:tc>
          <w:tcPr>
            <w:tcW w:w="726" w:type="pct"/>
            <w:tcBorders>
              <w:right w:val="nil"/>
            </w:tcBorders>
          </w:tcPr>
          <w:p w14:paraId="5764D357" w14:textId="77777777" w:rsidR="00400136" w:rsidRPr="00086AB2" w:rsidRDefault="00400136"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87" w:type="pct"/>
            <w:tcBorders>
              <w:left w:val="nil"/>
              <w:right w:val="nil"/>
            </w:tcBorders>
            <w:noWrap/>
          </w:tcPr>
          <w:p w14:paraId="520C9EF9" w14:textId="77777777" w:rsidR="00400136" w:rsidRPr="00086AB2" w:rsidRDefault="00400136" w:rsidP="00F00D34">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08" w:type="pct"/>
            <w:tcBorders>
              <w:left w:val="nil"/>
              <w:right w:val="nil"/>
            </w:tcBorders>
            <w:noWrap/>
          </w:tcPr>
          <w:p w14:paraId="493BA5A6" w14:textId="77777777" w:rsidR="00400136" w:rsidRPr="00086AB2" w:rsidRDefault="00400136" w:rsidP="00F00D34">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968" w:type="pct"/>
            <w:tcBorders>
              <w:left w:val="nil"/>
            </w:tcBorders>
            <w:noWrap/>
          </w:tcPr>
          <w:p w14:paraId="104EC06D" w14:textId="77777777" w:rsidR="00400136" w:rsidRPr="00086AB2" w:rsidRDefault="00400136" w:rsidP="00F00D34">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143FC3" w:rsidRPr="00086AB2" w14:paraId="3C18789A"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noWrap/>
            <w:hideMark/>
          </w:tcPr>
          <w:p w14:paraId="77ABB6DF" w14:textId="77777777" w:rsidR="00143FC3" w:rsidRPr="00086AB2" w:rsidRDefault="00143FC3" w:rsidP="00143FC3">
            <w:pPr>
              <w:jc w:val="left"/>
              <w:rPr>
                <w:rFonts w:cs="Arial"/>
                <w:color w:val="000000"/>
                <w:szCs w:val="20"/>
              </w:rPr>
            </w:pPr>
            <w:bookmarkStart w:id="50" w:name="_Hlk46145491"/>
            <w:r w:rsidRPr="00086AB2">
              <w:rPr>
                <w:rFonts w:cs="Arial"/>
                <w:color w:val="000000"/>
                <w:szCs w:val="20"/>
              </w:rPr>
              <w:t>New South Wales</w:t>
            </w:r>
          </w:p>
        </w:tc>
        <w:tc>
          <w:tcPr>
            <w:tcW w:w="726" w:type="pct"/>
          </w:tcPr>
          <w:p w14:paraId="119374E9" w14:textId="15DC9A98" w:rsidR="00143FC3" w:rsidRPr="00571202"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pPr>
            <w:r w:rsidRPr="007174EF">
              <w:t>9.4</w:t>
            </w:r>
          </w:p>
        </w:tc>
        <w:tc>
          <w:tcPr>
            <w:tcW w:w="887" w:type="pct"/>
            <w:noWrap/>
            <w:hideMark/>
          </w:tcPr>
          <w:p w14:paraId="60F8D7B3" w14:textId="4B2379E2" w:rsidR="00143FC3" w:rsidRPr="00086AB2"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7174EF">
              <w:t>9.8</w:t>
            </w:r>
          </w:p>
        </w:tc>
        <w:tc>
          <w:tcPr>
            <w:tcW w:w="808" w:type="pct"/>
            <w:noWrap/>
            <w:hideMark/>
          </w:tcPr>
          <w:p w14:paraId="4577CBB0" w14:textId="2B07A393" w:rsidR="00143FC3" w:rsidRPr="00086AB2" w:rsidRDefault="00143FC3" w:rsidP="00143FC3">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7174EF">
              <w:t>5.8</w:t>
            </w:r>
          </w:p>
        </w:tc>
        <w:tc>
          <w:tcPr>
            <w:tcW w:w="968" w:type="pct"/>
            <w:noWrap/>
            <w:hideMark/>
          </w:tcPr>
          <w:p w14:paraId="1FCDFABA" w14:textId="5F1B1B63" w:rsidR="00143FC3" w:rsidRPr="00086AB2" w:rsidRDefault="00143FC3" w:rsidP="00143FC3">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7174EF">
              <w:t>8.4</w:t>
            </w:r>
          </w:p>
        </w:tc>
      </w:tr>
      <w:bookmarkEnd w:id="50"/>
      <w:tr w:rsidR="00143FC3" w:rsidRPr="00086AB2" w14:paraId="67B28EBB"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noWrap/>
            <w:hideMark/>
          </w:tcPr>
          <w:p w14:paraId="11D78D48" w14:textId="77777777" w:rsidR="00143FC3" w:rsidRPr="00086AB2" w:rsidRDefault="00143FC3" w:rsidP="00143FC3">
            <w:pPr>
              <w:jc w:val="left"/>
              <w:rPr>
                <w:rFonts w:cs="Arial"/>
                <w:color w:val="000000"/>
                <w:szCs w:val="20"/>
              </w:rPr>
            </w:pPr>
            <w:r w:rsidRPr="00086AB2">
              <w:rPr>
                <w:rFonts w:cs="Arial"/>
                <w:color w:val="000000"/>
                <w:szCs w:val="20"/>
              </w:rPr>
              <w:t>Victoria</w:t>
            </w:r>
          </w:p>
        </w:tc>
        <w:tc>
          <w:tcPr>
            <w:tcW w:w="726" w:type="pct"/>
          </w:tcPr>
          <w:p w14:paraId="1553B4C3" w14:textId="2DF68EC4" w:rsidR="00143FC3" w:rsidRPr="00571202" w:rsidRDefault="00143FC3" w:rsidP="00143FC3">
            <w:pPr>
              <w:tabs>
                <w:tab w:val="decimal" w:pos="601"/>
              </w:tabs>
              <w:jc w:val="left"/>
              <w:cnfStyle w:val="000000100000" w:firstRow="0" w:lastRow="0" w:firstColumn="0" w:lastColumn="0" w:oddVBand="0" w:evenVBand="0" w:oddHBand="1" w:evenHBand="0" w:firstRowFirstColumn="0" w:firstRowLastColumn="0" w:lastRowFirstColumn="0" w:lastRowLastColumn="0"/>
            </w:pPr>
            <w:r w:rsidRPr="007174EF">
              <w:t>4.6</w:t>
            </w:r>
          </w:p>
        </w:tc>
        <w:tc>
          <w:tcPr>
            <w:tcW w:w="887" w:type="pct"/>
            <w:noWrap/>
            <w:hideMark/>
          </w:tcPr>
          <w:p w14:paraId="474A59C2" w14:textId="66CFBAF6" w:rsidR="00143FC3" w:rsidRPr="00086AB2" w:rsidRDefault="00143FC3" w:rsidP="00143FC3">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7174EF">
              <w:t>10.3</w:t>
            </w:r>
          </w:p>
        </w:tc>
        <w:tc>
          <w:tcPr>
            <w:tcW w:w="808" w:type="pct"/>
            <w:noWrap/>
            <w:hideMark/>
          </w:tcPr>
          <w:p w14:paraId="0A6234CE" w14:textId="4A444D54" w:rsidR="00143FC3" w:rsidRPr="00086AB2" w:rsidRDefault="00143FC3" w:rsidP="00143FC3">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7174EF">
              <w:t>6.3</w:t>
            </w:r>
          </w:p>
        </w:tc>
        <w:tc>
          <w:tcPr>
            <w:tcW w:w="968" w:type="pct"/>
            <w:noWrap/>
            <w:hideMark/>
          </w:tcPr>
          <w:p w14:paraId="749087B1" w14:textId="395760D0" w:rsidR="00143FC3" w:rsidRPr="00086AB2" w:rsidRDefault="00143FC3" w:rsidP="00143FC3">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7174EF">
              <w:t>6.7</w:t>
            </w:r>
          </w:p>
        </w:tc>
      </w:tr>
      <w:tr w:rsidR="00143FC3" w:rsidRPr="00086AB2" w14:paraId="0D4DCDF2"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noWrap/>
            <w:hideMark/>
          </w:tcPr>
          <w:p w14:paraId="481A7878" w14:textId="77777777" w:rsidR="00143FC3" w:rsidRPr="00086AB2" w:rsidRDefault="00143FC3" w:rsidP="00143FC3">
            <w:pPr>
              <w:jc w:val="left"/>
              <w:rPr>
                <w:rFonts w:cs="Arial"/>
                <w:color w:val="000000"/>
                <w:szCs w:val="20"/>
              </w:rPr>
            </w:pPr>
            <w:r w:rsidRPr="00086AB2">
              <w:rPr>
                <w:rFonts w:cs="Arial"/>
                <w:color w:val="000000"/>
                <w:szCs w:val="20"/>
              </w:rPr>
              <w:t>Western Australia</w:t>
            </w:r>
          </w:p>
        </w:tc>
        <w:tc>
          <w:tcPr>
            <w:tcW w:w="726" w:type="pct"/>
          </w:tcPr>
          <w:p w14:paraId="3A8C79F2" w14:textId="6829E879" w:rsidR="00143FC3" w:rsidRPr="00571202"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pPr>
            <w:r w:rsidRPr="007174EF">
              <w:t>6.8</w:t>
            </w:r>
          </w:p>
        </w:tc>
        <w:tc>
          <w:tcPr>
            <w:tcW w:w="887" w:type="pct"/>
            <w:noWrap/>
            <w:hideMark/>
          </w:tcPr>
          <w:p w14:paraId="3A2F1766" w14:textId="2AC84CCA" w:rsidR="00143FC3" w:rsidRPr="00086AB2"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7174EF">
              <w:t>9.3</w:t>
            </w:r>
          </w:p>
        </w:tc>
        <w:tc>
          <w:tcPr>
            <w:tcW w:w="808" w:type="pct"/>
            <w:noWrap/>
            <w:hideMark/>
          </w:tcPr>
          <w:p w14:paraId="3BA17FC4" w14:textId="6136AB43" w:rsidR="00143FC3" w:rsidRPr="00086AB2" w:rsidRDefault="00143FC3" w:rsidP="00143FC3">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7174EF">
              <w:t>8.5</w:t>
            </w:r>
          </w:p>
        </w:tc>
        <w:tc>
          <w:tcPr>
            <w:tcW w:w="968" w:type="pct"/>
            <w:noWrap/>
            <w:hideMark/>
          </w:tcPr>
          <w:p w14:paraId="3DAF68A1" w14:textId="095506EE" w:rsidR="00143FC3" w:rsidRPr="00086AB2" w:rsidRDefault="00143FC3" w:rsidP="00143FC3">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7174EF">
              <w:t>8.0</w:t>
            </w:r>
          </w:p>
        </w:tc>
      </w:tr>
      <w:tr w:rsidR="00143FC3" w:rsidRPr="00086AB2" w14:paraId="11895A22"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noWrap/>
            <w:hideMark/>
          </w:tcPr>
          <w:p w14:paraId="7CE26E23" w14:textId="77777777" w:rsidR="00143FC3" w:rsidRPr="00086AB2" w:rsidRDefault="00143FC3" w:rsidP="00143FC3">
            <w:pPr>
              <w:jc w:val="left"/>
              <w:rPr>
                <w:rFonts w:cs="Arial"/>
                <w:color w:val="000000"/>
                <w:szCs w:val="20"/>
              </w:rPr>
            </w:pPr>
            <w:r w:rsidRPr="00086AB2">
              <w:rPr>
                <w:rFonts w:cs="Arial"/>
                <w:color w:val="000000"/>
                <w:szCs w:val="20"/>
              </w:rPr>
              <w:t>Tasmania</w:t>
            </w:r>
          </w:p>
        </w:tc>
        <w:tc>
          <w:tcPr>
            <w:tcW w:w="726" w:type="pct"/>
          </w:tcPr>
          <w:p w14:paraId="15A841E2" w14:textId="1DF786EB" w:rsidR="00143FC3" w:rsidRPr="00571202" w:rsidRDefault="00143FC3" w:rsidP="00143FC3">
            <w:pPr>
              <w:tabs>
                <w:tab w:val="decimal" w:pos="601"/>
              </w:tabs>
              <w:jc w:val="left"/>
              <w:cnfStyle w:val="000000100000" w:firstRow="0" w:lastRow="0" w:firstColumn="0" w:lastColumn="0" w:oddVBand="0" w:evenVBand="0" w:oddHBand="1" w:evenHBand="0" w:firstRowFirstColumn="0" w:firstRowLastColumn="0" w:lastRowFirstColumn="0" w:lastRowLastColumn="0"/>
            </w:pPr>
            <w:r w:rsidRPr="00E12840">
              <w:t>8.1</w:t>
            </w:r>
          </w:p>
        </w:tc>
        <w:tc>
          <w:tcPr>
            <w:tcW w:w="887" w:type="pct"/>
            <w:noWrap/>
            <w:hideMark/>
          </w:tcPr>
          <w:p w14:paraId="72F436AB" w14:textId="3BFFB086" w:rsidR="00143FC3" w:rsidRPr="00086AB2" w:rsidRDefault="00143FC3" w:rsidP="00143FC3">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12840">
              <w:t>18.3</w:t>
            </w:r>
          </w:p>
        </w:tc>
        <w:tc>
          <w:tcPr>
            <w:tcW w:w="808" w:type="pct"/>
            <w:noWrap/>
            <w:hideMark/>
          </w:tcPr>
          <w:p w14:paraId="1DE22779" w14:textId="5B23E5A3" w:rsidR="00143FC3" w:rsidRPr="00086AB2" w:rsidRDefault="00143FC3" w:rsidP="00143FC3">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12840">
              <w:t>10.9</w:t>
            </w:r>
          </w:p>
        </w:tc>
        <w:tc>
          <w:tcPr>
            <w:tcW w:w="968" w:type="pct"/>
            <w:noWrap/>
            <w:hideMark/>
          </w:tcPr>
          <w:p w14:paraId="08110F6C" w14:textId="0B2D79B5" w:rsidR="00143FC3" w:rsidRPr="00086AB2" w:rsidRDefault="00143FC3" w:rsidP="00143FC3">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12840">
              <w:t>11.7</w:t>
            </w:r>
          </w:p>
        </w:tc>
      </w:tr>
      <w:tr w:rsidR="00143FC3" w:rsidRPr="00086AB2" w14:paraId="65369021"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noWrap/>
            <w:hideMark/>
          </w:tcPr>
          <w:p w14:paraId="5D539128" w14:textId="77777777" w:rsidR="00143FC3" w:rsidRPr="00086AB2" w:rsidRDefault="00143FC3" w:rsidP="00143FC3">
            <w:pPr>
              <w:jc w:val="left"/>
              <w:rPr>
                <w:rFonts w:cs="Arial"/>
                <w:color w:val="000000"/>
                <w:szCs w:val="20"/>
              </w:rPr>
            </w:pPr>
            <w:r w:rsidRPr="00086AB2">
              <w:rPr>
                <w:rFonts w:cs="Arial"/>
                <w:color w:val="000000"/>
                <w:szCs w:val="20"/>
              </w:rPr>
              <w:t>Northern Territory</w:t>
            </w:r>
          </w:p>
        </w:tc>
        <w:tc>
          <w:tcPr>
            <w:tcW w:w="726" w:type="pct"/>
          </w:tcPr>
          <w:p w14:paraId="69F49E52" w14:textId="6AA2BFE9" w:rsidR="00143FC3" w:rsidRPr="00571202"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pPr>
            <w:r w:rsidRPr="00E12840">
              <w:t>11.6</w:t>
            </w:r>
          </w:p>
        </w:tc>
        <w:tc>
          <w:tcPr>
            <w:tcW w:w="887" w:type="pct"/>
            <w:noWrap/>
            <w:hideMark/>
          </w:tcPr>
          <w:p w14:paraId="686A941E" w14:textId="00A93F77" w:rsidR="00143FC3" w:rsidRPr="00086AB2"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E12840">
              <w:t>8.3</w:t>
            </w:r>
          </w:p>
        </w:tc>
        <w:tc>
          <w:tcPr>
            <w:tcW w:w="808" w:type="pct"/>
            <w:noWrap/>
            <w:hideMark/>
          </w:tcPr>
          <w:p w14:paraId="5BC1250E" w14:textId="77F46855" w:rsidR="00143FC3" w:rsidRPr="00086AB2" w:rsidRDefault="00143FC3" w:rsidP="00143FC3">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E12840">
              <w:t>0.7</w:t>
            </w:r>
          </w:p>
        </w:tc>
        <w:tc>
          <w:tcPr>
            <w:tcW w:w="968" w:type="pct"/>
            <w:noWrap/>
            <w:hideMark/>
          </w:tcPr>
          <w:p w14:paraId="1BB761FB" w14:textId="7653763E" w:rsidR="00143FC3" w:rsidRPr="00086AB2" w:rsidRDefault="00143FC3" w:rsidP="00143FC3">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E12840">
              <w:t>7.3</w:t>
            </w:r>
          </w:p>
        </w:tc>
      </w:tr>
      <w:tr w:rsidR="00143FC3" w:rsidRPr="00086AB2" w14:paraId="0A529355" w14:textId="77777777" w:rsidTr="003E55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noWrap/>
            <w:hideMark/>
          </w:tcPr>
          <w:p w14:paraId="794439CC" w14:textId="77777777" w:rsidR="00143FC3" w:rsidRPr="00086AB2" w:rsidRDefault="00143FC3" w:rsidP="00143FC3">
            <w:pPr>
              <w:jc w:val="left"/>
              <w:rPr>
                <w:rFonts w:cs="Arial"/>
                <w:color w:val="000000"/>
                <w:szCs w:val="20"/>
              </w:rPr>
            </w:pPr>
            <w:r w:rsidRPr="00086AB2">
              <w:rPr>
                <w:rFonts w:cs="Arial"/>
                <w:color w:val="000000"/>
                <w:szCs w:val="20"/>
              </w:rPr>
              <w:t>Australian Capital Territory</w:t>
            </w:r>
          </w:p>
        </w:tc>
        <w:tc>
          <w:tcPr>
            <w:tcW w:w="726" w:type="pct"/>
          </w:tcPr>
          <w:p w14:paraId="496A31F5" w14:textId="7AEC2D85" w:rsidR="00143FC3" w:rsidRPr="00571202" w:rsidRDefault="00143FC3" w:rsidP="00143FC3">
            <w:pPr>
              <w:tabs>
                <w:tab w:val="decimal" w:pos="601"/>
              </w:tabs>
              <w:jc w:val="left"/>
              <w:cnfStyle w:val="000000100000" w:firstRow="0" w:lastRow="0" w:firstColumn="0" w:lastColumn="0" w:oddVBand="0" w:evenVBand="0" w:oddHBand="1" w:evenHBand="0" w:firstRowFirstColumn="0" w:firstRowLastColumn="0" w:lastRowFirstColumn="0" w:lastRowLastColumn="0"/>
            </w:pPr>
            <w:r w:rsidRPr="00E12840">
              <w:t>5.7</w:t>
            </w:r>
          </w:p>
        </w:tc>
        <w:tc>
          <w:tcPr>
            <w:tcW w:w="887" w:type="pct"/>
            <w:noWrap/>
            <w:hideMark/>
          </w:tcPr>
          <w:p w14:paraId="0A0B5EBF" w14:textId="519B310A" w:rsidR="00143FC3" w:rsidRPr="00086AB2" w:rsidRDefault="00143FC3" w:rsidP="00143FC3">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12840">
              <w:t>12.5</w:t>
            </w:r>
          </w:p>
        </w:tc>
        <w:tc>
          <w:tcPr>
            <w:tcW w:w="808" w:type="pct"/>
            <w:noWrap/>
            <w:hideMark/>
          </w:tcPr>
          <w:p w14:paraId="713E7796" w14:textId="49B531DC" w:rsidR="00143FC3" w:rsidRPr="00086AB2" w:rsidRDefault="00143FC3" w:rsidP="00143FC3">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12840">
              <w:t>4.8</w:t>
            </w:r>
          </w:p>
        </w:tc>
        <w:tc>
          <w:tcPr>
            <w:tcW w:w="968" w:type="pct"/>
            <w:noWrap/>
            <w:hideMark/>
          </w:tcPr>
          <w:p w14:paraId="047EAA29" w14:textId="4746ADF9" w:rsidR="00143FC3" w:rsidRPr="00086AB2" w:rsidRDefault="00143FC3" w:rsidP="00143FC3">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12840">
              <w:t>7.4</w:t>
            </w:r>
          </w:p>
        </w:tc>
      </w:tr>
      <w:tr w:rsidR="00143FC3" w:rsidRPr="00FD33C3" w14:paraId="5D9A90C9" w14:textId="77777777" w:rsidTr="003E55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1" w:type="pct"/>
            <w:shd w:val="clear" w:color="auto" w:fill="808080" w:themeFill="background1" w:themeFillShade="80"/>
            <w:noWrap/>
          </w:tcPr>
          <w:p w14:paraId="1CEACC58" w14:textId="77777777" w:rsidR="00143FC3" w:rsidRPr="00F60444" w:rsidRDefault="00143FC3" w:rsidP="00143FC3">
            <w:pPr>
              <w:jc w:val="left"/>
              <w:rPr>
                <w:rFonts w:cs="Arial"/>
                <w:color w:val="FFFFFF" w:themeColor="background1"/>
                <w:szCs w:val="20"/>
              </w:rPr>
            </w:pPr>
            <w:bookmarkStart w:id="51" w:name="_Hlk46145439"/>
            <w:r w:rsidRPr="00EC7FD1">
              <w:rPr>
                <w:rFonts w:cs="Arial"/>
                <w:bCs w:val="0"/>
                <w:color w:val="FFFFFF" w:themeColor="background1"/>
                <w:szCs w:val="20"/>
              </w:rPr>
              <w:t>Australia</w:t>
            </w:r>
            <w:r w:rsidRPr="00EC7FD1">
              <w:rPr>
                <w:rFonts w:cs="Arial"/>
                <w:bCs w:val="0"/>
                <w:color w:val="FFFFFF" w:themeColor="background1"/>
                <w:szCs w:val="20"/>
                <w:vertAlign w:val="superscript"/>
              </w:rPr>
              <w:t>**</w:t>
            </w:r>
          </w:p>
        </w:tc>
        <w:tc>
          <w:tcPr>
            <w:tcW w:w="726" w:type="pct"/>
            <w:shd w:val="clear" w:color="auto" w:fill="808080" w:themeFill="background1" w:themeFillShade="80"/>
          </w:tcPr>
          <w:p w14:paraId="76AE02BD" w14:textId="7D8CF641" w:rsidR="00143FC3" w:rsidRPr="00001159"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001159">
              <w:rPr>
                <w:b/>
                <w:bCs/>
                <w:color w:val="FFFFFF" w:themeColor="background1"/>
              </w:rPr>
              <w:t>7.2</w:t>
            </w:r>
          </w:p>
        </w:tc>
        <w:tc>
          <w:tcPr>
            <w:tcW w:w="887" w:type="pct"/>
            <w:shd w:val="clear" w:color="auto" w:fill="808080" w:themeFill="background1" w:themeFillShade="80"/>
            <w:noWrap/>
          </w:tcPr>
          <w:p w14:paraId="0CAC0466" w14:textId="23D022C9" w:rsidR="00143FC3" w:rsidRPr="00001159" w:rsidRDefault="00143FC3" w:rsidP="00143FC3">
            <w:pPr>
              <w:tabs>
                <w:tab w:val="decimal" w:pos="601"/>
              </w:tabs>
              <w:jc w:val="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001159">
              <w:rPr>
                <w:b/>
                <w:bCs/>
                <w:color w:val="FFFFFF" w:themeColor="background1"/>
              </w:rPr>
              <w:t>10.2</w:t>
            </w:r>
          </w:p>
        </w:tc>
        <w:tc>
          <w:tcPr>
            <w:tcW w:w="808" w:type="pct"/>
            <w:shd w:val="clear" w:color="auto" w:fill="808080" w:themeFill="background1" w:themeFillShade="80"/>
            <w:noWrap/>
          </w:tcPr>
          <w:p w14:paraId="3E317AB9" w14:textId="02D34693" w:rsidR="00143FC3" w:rsidRPr="00001159" w:rsidRDefault="00143FC3" w:rsidP="00143FC3">
            <w:pPr>
              <w:tabs>
                <w:tab w:val="decimal" w:pos="655"/>
              </w:tabs>
              <w:jc w:val="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001159">
              <w:rPr>
                <w:b/>
                <w:bCs/>
                <w:color w:val="FFFFFF" w:themeColor="background1"/>
              </w:rPr>
              <w:t>6.4</w:t>
            </w:r>
          </w:p>
        </w:tc>
        <w:tc>
          <w:tcPr>
            <w:tcW w:w="968" w:type="pct"/>
            <w:shd w:val="clear" w:color="auto" w:fill="808080" w:themeFill="background1" w:themeFillShade="80"/>
            <w:noWrap/>
          </w:tcPr>
          <w:p w14:paraId="0B3DD17E" w14:textId="7E4728CD" w:rsidR="00143FC3" w:rsidRPr="00001159" w:rsidRDefault="00143FC3" w:rsidP="00143FC3">
            <w:pPr>
              <w:tabs>
                <w:tab w:val="decimal" w:pos="680"/>
              </w:tabs>
              <w:jc w:val="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001159">
              <w:rPr>
                <w:b/>
                <w:bCs/>
                <w:color w:val="FFFFFF" w:themeColor="background1"/>
              </w:rPr>
              <w:t>7.8</w:t>
            </w:r>
          </w:p>
        </w:tc>
      </w:tr>
    </w:tbl>
    <w:bookmarkEnd w:id="51"/>
    <w:p w14:paraId="0DB149D6" w14:textId="77777777" w:rsidR="00546B67" w:rsidRPr="00086AB2" w:rsidRDefault="00546B67" w:rsidP="007F5071">
      <w:pPr>
        <w:pStyle w:val="SWACaptionstyle"/>
      </w:pPr>
      <w:r w:rsidRPr="00086AB2">
        <w:t>* This indicator shows patterns at two points in time. Selecting different points may show a different pattern.</w:t>
      </w:r>
    </w:p>
    <w:p w14:paraId="656A4FE9" w14:textId="77777777" w:rsidR="0036373C" w:rsidRPr="00086AB2" w:rsidRDefault="00546B67" w:rsidP="007F5071">
      <w:pPr>
        <w:pStyle w:val="SWACaptionstyle"/>
      </w:pPr>
      <w:r w:rsidRPr="00086AB2">
        <w:t>** Excluding Queensland</w:t>
      </w:r>
      <w:r w:rsidR="001036CC" w:rsidRPr="00086AB2">
        <w:t>,</w:t>
      </w:r>
      <w:r w:rsidR="00664DEE" w:rsidRPr="00086AB2">
        <w:t xml:space="preserve"> </w:t>
      </w:r>
      <w:r w:rsidR="00D61318">
        <w:t xml:space="preserve">Commonwealth, ACT Gov, South Australia and </w:t>
      </w:r>
      <w:r w:rsidR="00664DEE" w:rsidRPr="00086AB2">
        <w:t>Seacare</w:t>
      </w:r>
    </w:p>
    <w:p w14:paraId="3A888E30" w14:textId="0F7FEE5D" w:rsidR="00546B67" w:rsidRPr="00086AB2" w:rsidRDefault="000E0F9F" w:rsidP="00B24501">
      <w:pPr>
        <w:pStyle w:val="SWASectionnumberingheading"/>
      </w:pPr>
      <w:bookmarkStart w:id="52" w:name="_Toc55294236"/>
      <w:bookmarkEnd w:id="46"/>
      <w:r w:rsidRPr="00086AB2">
        <w:lastRenderedPageBreak/>
        <w:t>Claims by mechanism of incident</w:t>
      </w:r>
      <w:bookmarkEnd w:id="52"/>
      <w:r w:rsidR="00905393">
        <w:t xml:space="preserve"> </w:t>
      </w:r>
    </w:p>
    <w:p w14:paraId="23C39A89" w14:textId="20872AA4" w:rsidR="000E0F9F" w:rsidRPr="00086AB2" w:rsidRDefault="000E0F9F" w:rsidP="00B24501">
      <w:pPr>
        <w:keepNext/>
        <w:keepLines/>
      </w:pPr>
      <w:r w:rsidRPr="00086AB2">
        <w:t>Claim patterns can be analysed using the Type of Occurrence Classification System (TOOCS), which contains</w:t>
      </w:r>
      <w:r w:rsidR="008D1ED3" w:rsidRPr="00086AB2">
        <w:t xml:space="preserve"> a</w:t>
      </w:r>
      <w:r w:rsidRPr="00086AB2">
        <w:t xml:space="preserve"> series of codes providing information on the cause of the incident and the type of injury or dis</w:t>
      </w:r>
      <w:r w:rsidR="00AF7807" w:rsidRPr="00086AB2">
        <w:t>ease. Coding for the m</w:t>
      </w:r>
      <w:r w:rsidRPr="00086AB2">
        <w:t>echanism of incident is intended to identify the overall action, exposure or event that best describes the circumstances that resulted in the most serious injury or disease. More info</w:t>
      </w:r>
      <w:r w:rsidR="00B773DE" w:rsidRPr="00086AB2">
        <w:t>rmation on TOOCS can be found on</w:t>
      </w:r>
      <w:r w:rsidRPr="00086AB2">
        <w:t xml:space="preserve"> the </w:t>
      </w:r>
      <w:hyperlink r:id="rId32" w:history="1">
        <w:r w:rsidRPr="00086AB2">
          <w:rPr>
            <w:rStyle w:val="SWALinkChar"/>
          </w:rPr>
          <w:t>Safe Work Australia</w:t>
        </w:r>
      </w:hyperlink>
      <w:r w:rsidRPr="00086AB2">
        <w:t xml:space="preserve"> website. </w:t>
      </w:r>
    </w:p>
    <w:p w14:paraId="220C3E1B" w14:textId="2A96CBCB" w:rsidR="000E0F9F" w:rsidRPr="00086AB2" w:rsidRDefault="00CD15AB" w:rsidP="00B24501">
      <w:pPr>
        <w:keepNext/>
        <w:keepLines/>
      </w:pPr>
      <w:r w:rsidRPr="00086AB2">
        <w:t>Indicator 10</w:t>
      </w:r>
      <w:r w:rsidR="000E0F9F" w:rsidRPr="00086AB2">
        <w:t xml:space="preserve"> shows the proportion of</w:t>
      </w:r>
      <w:r w:rsidR="00AF7807" w:rsidRPr="00086AB2">
        <w:t xml:space="preserve"> serious claims by the m</w:t>
      </w:r>
      <w:r w:rsidR="000E0F9F" w:rsidRPr="00086AB2">
        <w:t xml:space="preserve">echanism of incident over the past </w:t>
      </w:r>
      <w:r w:rsidR="00190DC8">
        <w:t>six</w:t>
      </w:r>
      <w:r w:rsidR="000E0F9F" w:rsidRPr="00086AB2">
        <w:t xml:space="preserve"> years. Body stressing accounted for </w:t>
      </w:r>
      <w:r w:rsidR="00190DC8">
        <w:t>36.2</w:t>
      </w:r>
      <w:r w:rsidR="003C4F76">
        <w:t>%</w:t>
      </w:r>
      <w:r w:rsidR="000E0F9F" w:rsidRPr="00086AB2">
        <w:t xml:space="preserve"> of the </w:t>
      </w:r>
      <w:r w:rsidR="00D835A5" w:rsidRPr="00086AB2">
        <w:t>1</w:t>
      </w:r>
      <w:r w:rsidR="004E27C6">
        <w:t>14</w:t>
      </w:r>
      <w:r w:rsidR="00D835A5" w:rsidRPr="00086AB2">
        <w:t>,</w:t>
      </w:r>
      <w:r w:rsidR="004E27C6">
        <w:t>4</w:t>
      </w:r>
      <w:r w:rsidR="005612B6">
        <w:t>35</w:t>
      </w:r>
      <w:r w:rsidR="000E0F9F" w:rsidRPr="00086AB2">
        <w:t xml:space="preserve"> serious claims in </w:t>
      </w:r>
      <w:r w:rsidR="00D835A5" w:rsidRPr="00086AB2">
        <w:t>201</w:t>
      </w:r>
      <w:r w:rsidR="004E27C6">
        <w:t>8</w:t>
      </w:r>
      <w:r w:rsidR="00D835A5" w:rsidRPr="00086AB2">
        <w:t>–1</w:t>
      </w:r>
      <w:r w:rsidR="004E27C6">
        <w:t>9</w:t>
      </w:r>
      <w:r w:rsidR="005A15FC">
        <w:t xml:space="preserve">p </w:t>
      </w:r>
      <w:r w:rsidR="00475C85">
        <w:t>(41,395 claims)</w:t>
      </w:r>
      <w:r w:rsidR="000E0F9F" w:rsidRPr="00086AB2">
        <w:t xml:space="preserve">. Claims due to Mental stress accounted for </w:t>
      </w:r>
      <w:r w:rsidR="00190DC8">
        <w:t>8.3</w:t>
      </w:r>
      <w:r w:rsidR="003C4F76">
        <w:t>%</w:t>
      </w:r>
      <w:r w:rsidR="000E0F9F" w:rsidRPr="00086AB2">
        <w:t xml:space="preserve"> of claims</w:t>
      </w:r>
      <w:r w:rsidR="00475C85">
        <w:t xml:space="preserve"> (9,510 claims)</w:t>
      </w:r>
      <w:r w:rsidR="000E0F9F" w:rsidRPr="00086AB2">
        <w:t xml:space="preserve">, while claims due to Falls, slips and trips of a person accounted for </w:t>
      </w:r>
      <w:r w:rsidR="00190DC8">
        <w:t>22.7</w:t>
      </w:r>
      <w:r w:rsidR="003C4F76">
        <w:t>%</w:t>
      </w:r>
      <w:r w:rsidR="00475C85">
        <w:t xml:space="preserve"> of claims (26,000 claims)</w:t>
      </w:r>
      <w:r w:rsidR="000E0F9F" w:rsidRPr="00086AB2">
        <w:t>.</w:t>
      </w:r>
    </w:p>
    <w:p w14:paraId="4AB75E76" w14:textId="1B80ECA8" w:rsidR="000E0F9F" w:rsidRPr="00086AB2" w:rsidRDefault="000E0F9F" w:rsidP="00B24501">
      <w:pPr>
        <w:keepNext/>
        <w:keepLines/>
      </w:pPr>
      <w:r w:rsidRPr="00086AB2">
        <w:t xml:space="preserve">Claims due to </w:t>
      </w:r>
      <w:r w:rsidR="008048C3" w:rsidRPr="00086AB2">
        <w:t xml:space="preserve">Body stressing (down </w:t>
      </w:r>
      <w:r w:rsidR="008048C3">
        <w:t>13%</w:t>
      </w:r>
      <w:r w:rsidR="008048C3" w:rsidRPr="00086AB2">
        <w:t>)</w:t>
      </w:r>
      <w:r w:rsidR="007C232B" w:rsidRPr="007C232B">
        <w:t xml:space="preserve"> </w:t>
      </w:r>
      <w:r w:rsidR="007C232B" w:rsidRPr="00086AB2">
        <w:t>showed the highest reduction in claims between the period 201</w:t>
      </w:r>
      <w:r w:rsidR="00190DC8">
        <w:t>3</w:t>
      </w:r>
      <w:r w:rsidR="007C232B" w:rsidRPr="00086AB2">
        <w:t>–1</w:t>
      </w:r>
      <w:r w:rsidR="00190DC8">
        <w:t>4</w:t>
      </w:r>
      <w:r w:rsidR="007C232B" w:rsidRPr="00086AB2">
        <w:t xml:space="preserve"> and 201</w:t>
      </w:r>
      <w:r w:rsidR="004E27C6">
        <w:t>7</w:t>
      </w:r>
      <w:r w:rsidR="007C232B" w:rsidRPr="00086AB2">
        <w:t>–1</w:t>
      </w:r>
      <w:r w:rsidR="004E27C6">
        <w:t>8</w:t>
      </w:r>
      <w:r w:rsidR="00FB6E7D">
        <w:t>.</w:t>
      </w:r>
      <w:r w:rsidR="000D6509">
        <w:t xml:space="preserve"> </w:t>
      </w:r>
      <w:r w:rsidR="00FB6E7D">
        <w:t xml:space="preserve">However, </w:t>
      </w:r>
      <w:r w:rsidR="000D6509">
        <w:t xml:space="preserve">Mental stress claims increased by </w:t>
      </w:r>
      <w:r w:rsidR="004E27C6">
        <w:t>2</w:t>
      </w:r>
      <w:r w:rsidR="00557E06">
        <w:t>6</w:t>
      </w:r>
      <w:r w:rsidR="003C4F76">
        <w:t>%</w:t>
      </w:r>
      <w:r w:rsidR="000D6509">
        <w:t xml:space="preserve"> during the same reference period.</w:t>
      </w:r>
    </w:p>
    <w:p w14:paraId="77AFA7BC" w14:textId="6D8D970C" w:rsidR="000E0F9F" w:rsidRPr="00086AB2" w:rsidRDefault="000E0F9F" w:rsidP="00B24501">
      <w:pPr>
        <w:pStyle w:val="SWATableheader"/>
        <w:keepLines/>
      </w:pPr>
      <w:bookmarkStart w:id="53" w:name="_Toc56603301"/>
      <w:bookmarkStart w:id="54" w:name="_Toc56772236"/>
      <w:r w:rsidRPr="00086AB2">
        <w:t xml:space="preserve">Indicator </w:t>
      </w:r>
      <w:r w:rsidR="00772B12">
        <w:fldChar w:fldCharType="begin"/>
      </w:r>
      <w:r w:rsidR="00772B12">
        <w:instrText xml:space="preserve"> SEQ Indicator \* ARABIC </w:instrText>
      </w:r>
      <w:r w:rsidR="00772B12">
        <w:fldChar w:fldCharType="separate"/>
      </w:r>
      <w:r w:rsidR="00772B12">
        <w:rPr>
          <w:noProof/>
        </w:rPr>
        <w:t>10</w:t>
      </w:r>
      <w:r w:rsidR="00772B12">
        <w:rPr>
          <w:noProof/>
        </w:rPr>
        <w:fldChar w:fldCharType="end"/>
      </w:r>
      <w:r w:rsidRPr="00086AB2">
        <w:t xml:space="preserve"> – Proportion of s</w:t>
      </w:r>
      <w:bookmarkStart w:id="55" w:name="_Hlk61873528"/>
      <w:r w:rsidRPr="00086AB2">
        <w:t>erious claims by mechanism of incident</w:t>
      </w:r>
      <w:bookmarkEnd w:id="53"/>
      <w:bookmarkEnd w:id="54"/>
      <w:r w:rsidR="00EB37ED">
        <w:t xml:space="preserve"> </w:t>
      </w:r>
    </w:p>
    <w:bookmarkEnd w:id="55"/>
    <w:p w14:paraId="28C2D374" w14:textId="40DB9336" w:rsidR="000E0F9F" w:rsidRPr="00086AB2" w:rsidRDefault="000E0F9F" w:rsidP="007F5071"/>
    <w:p w14:paraId="60986BA5" w14:textId="67498A49" w:rsidR="00EC7FD1" w:rsidRDefault="00557E06" w:rsidP="00EC7FD1">
      <w:pPr>
        <w:pStyle w:val="SWACaptionstyle"/>
        <w:jc w:val="center"/>
      </w:pPr>
      <w:r>
        <w:rPr>
          <w:noProof/>
        </w:rPr>
        <w:drawing>
          <wp:inline distT="0" distB="0" distL="0" distR="0" wp14:anchorId="0E82AB8D" wp14:editId="097DA51E">
            <wp:extent cx="4781550" cy="2939915"/>
            <wp:effectExtent l="0" t="0" r="0" b="0"/>
            <wp:docPr id="2" name="Picture 2" descr="Indicator 10 – Proportion of serious claims by mechanism of incident&#10;&#10;This bar chart compares the proportion of serious claims by mechanism of incident between the years 2013-14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2004" cy="2952491"/>
                    </a:xfrm>
                    <a:prstGeom prst="rect">
                      <a:avLst/>
                    </a:prstGeom>
                    <a:noFill/>
                  </pic:spPr>
                </pic:pic>
              </a:graphicData>
            </a:graphic>
          </wp:inline>
        </w:drawing>
      </w:r>
    </w:p>
    <w:p w14:paraId="5536E23B" w14:textId="7AB40981" w:rsidR="000E0F9F" w:rsidRPr="00086AB2" w:rsidRDefault="000E0F9F" w:rsidP="007F5071">
      <w:pPr>
        <w:pStyle w:val="SWACaptionstyle"/>
      </w:pPr>
      <w:r w:rsidRPr="00086AB2">
        <w:t xml:space="preserve">* Other mechanisms of incident include </w:t>
      </w:r>
      <w:r w:rsidR="008048C3">
        <w:t xml:space="preserve">Chemicals and other substances, Biological factors, </w:t>
      </w:r>
      <w:r w:rsidRPr="00086AB2">
        <w:t>Sound and pressure, Other multiple mechanisms of incident, Roll over, Slide or cave-in and Unspecified mechanisms of incident.</w:t>
      </w:r>
    </w:p>
    <w:p w14:paraId="3591CA26" w14:textId="77777777" w:rsidR="00905154" w:rsidRPr="00086AB2" w:rsidRDefault="00905154" w:rsidP="00905154"/>
    <w:p w14:paraId="3504F00B" w14:textId="77777777" w:rsidR="000E0F9F" w:rsidRPr="00086AB2" w:rsidRDefault="000E0F9F" w:rsidP="007C232B">
      <w:pPr>
        <w:pStyle w:val="SWASectionnum2"/>
      </w:pPr>
      <w:bookmarkStart w:id="56" w:name="_Toc464737161"/>
      <w:bookmarkStart w:id="57" w:name="_Toc464737591"/>
      <w:bookmarkStart w:id="58" w:name="_Toc491086614"/>
      <w:bookmarkStart w:id="59" w:name="_Toc55294237"/>
      <w:r w:rsidRPr="00086AB2">
        <w:lastRenderedPageBreak/>
        <w:t>Claims by mechanism of incident and jurisdiction</w:t>
      </w:r>
      <w:bookmarkEnd w:id="56"/>
      <w:bookmarkEnd w:id="57"/>
      <w:bookmarkEnd w:id="58"/>
      <w:bookmarkEnd w:id="59"/>
    </w:p>
    <w:p w14:paraId="1979A07A" w14:textId="40E70651" w:rsidR="000E0F9F" w:rsidRPr="00086AB2" w:rsidRDefault="000E0F9F" w:rsidP="007C232B">
      <w:pPr>
        <w:keepNext/>
        <w:keepLines/>
      </w:pPr>
      <w:r w:rsidRPr="00086AB2">
        <w:t>Presented below is a comparison of the proportion of</w:t>
      </w:r>
      <w:r w:rsidR="00A279FF">
        <w:t xml:space="preserve"> serious</w:t>
      </w:r>
      <w:r w:rsidRPr="00086AB2">
        <w:t xml:space="preserve"> claims across the Australian jurisdictions for the eight different mechanism of incident</w:t>
      </w:r>
      <w:r w:rsidR="009773E2">
        <w:t xml:space="preserve"> groups</w:t>
      </w:r>
      <w:r w:rsidRPr="00086AB2">
        <w:t xml:space="preserve">. Due to the differences in the total number of serious claims across jurisdictions, proportions are a better measure for direct comparison between jurisdictions. Hence, the data reported here are comparisons of </w:t>
      </w:r>
      <w:r w:rsidR="00D7210C" w:rsidRPr="00086AB2">
        <w:t xml:space="preserve">the proportion of </w:t>
      </w:r>
      <w:r w:rsidRPr="00086AB2">
        <w:t>claims for each mechanism of incident across different jurisdictions.</w:t>
      </w:r>
      <w:r w:rsidR="001E4110" w:rsidRPr="00086AB2">
        <w:t xml:space="preserve"> The industry and occupation composition of each jurisdiction</w:t>
      </w:r>
      <w:r w:rsidR="0034620F">
        <w:t xml:space="preserve"> </w:t>
      </w:r>
      <w:r w:rsidR="001E4110" w:rsidRPr="00086AB2">
        <w:t xml:space="preserve">can influence the proportion </w:t>
      </w:r>
      <w:r w:rsidR="008902C4" w:rsidRPr="00086AB2">
        <w:t>of claims due to different mechanisms</w:t>
      </w:r>
      <w:r w:rsidR="0034620F">
        <w:t xml:space="preserve">. This may </w:t>
      </w:r>
      <w:r w:rsidR="008902C4" w:rsidRPr="00086AB2">
        <w:t>explain some of the differences between jurisdictions.</w:t>
      </w:r>
    </w:p>
    <w:p w14:paraId="6A0E30EC" w14:textId="2548DB5F" w:rsidR="000E0F9F" w:rsidRPr="00086AB2" w:rsidRDefault="000E0F9F" w:rsidP="007C232B">
      <w:pPr>
        <w:pStyle w:val="Heading1"/>
        <w:keepLines/>
      </w:pPr>
      <w:r w:rsidRPr="00086AB2">
        <w:t>Body stressing</w:t>
      </w:r>
      <w:r w:rsidR="002E1736">
        <w:t xml:space="preserve"> </w:t>
      </w:r>
    </w:p>
    <w:p w14:paraId="3D77CE50" w14:textId="5FDEA91D" w:rsidR="000E0F9F" w:rsidRPr="00086AB2" w:rsidRDefault="000E0F9F" w:rsidP="007C232B">
      <w:pPr>
        <w:keepNext/>
        <w:keepLines/>
      </w:pPr>
      <w:r w:rsidRPr="00086AB2">
        <w:t xml:space="preserve">Body stressing was the leading mechanism of incident for serious claims between </w:t>
      </w:r>
      <w:r w:rsidR="00343325" w:rsidRPr="00086AB2">
        <w:t>201</w:t>
      </w:r>
      <w:r w:rsidR="00A47F72">
        <w:t>3</w:t>
      </w:r>
      <w:r w:rsidR="00343325" w:rsidRPr="00086AB2">
        <w:t>–1</w:t>
      </w:r>
      <w:r w:rsidR="00A47F72">
        <w:t>4</w:t>
      </w:r>
      <w:r w:rsidRPr="00086AB2">
        <w:t xml:space="preserve"> and </w:t>
      </w:r>
      <w:r w:rsidR="00343325" w:rsidRPr="00086AB2">
        <w:t>201</w:t>
      </w:r>
      <w:r w:rsidR="00A47F72">
        <w:t>8</w:t>
      </w:r>
      <w:r w:rsidR="00343325" w:rsidRPr="00086AB2">
        <w:t>–1</w:t>
      </w:r>
      <w:r w:rsidR="00A47F72">
        <w:t>9</w:t>
      </w:r>
      <w:r w:rsidR="005A15FC">
        <w:t>p</w:t>
      </w:r>
      <w:r w:rsidR="009804A7" w:rsidRPr="00086AB2">
        <w:t>,</w:t>
      </w:r>
      <w:r w:rsidRPr="00086AB2">
        <w:t xml:space="preserve"> accounting for </w:t>
      </w:r>
      <w:r w:rsidR="0000657D" w:rsidRPr="00086AB2">
        <w:t>3</w:t>
      </w:r>
      <w:r w:rsidR="00187C51">
        <w:t>6</w:t>
      </w:r>
      <w:r w:rsidR="009804A7" w:rsidRPr="00086AB2">
        <w:t>.</w:t>
      </w:r>
      <w:r w:rsidR="00CE7D48">
        <w:t>2</w:t>
      </w:r>
      <w:r w:rsidR="003C4F76">
        <w:t>%</w:t>
      </w:r>
      <w:r w:rsidRPr="00086AB2">
        <w:t xml:space="preserve"> of the </w:t>
      </w:r>
      <w:r w:rsidR="00343325" w:rsidRPr="00086AB2">
        <w:t>1</w:t>
      </w:r>
      <w:r w:rsidR="00CE7D48">
        <w:t>14,435</w:t>
      </w:r>
      <w:r w:rsidRPr="00086AB2">
        <w:t xml:space="preserve"> serious claims in </w:t>
      </w:r>
      <w:r w:rsidR="009C2254" w:rsidRPr="00086AB2">
        <w:t>201</w:t>
      </w:r>
      <w:r w:rsidR="00D850AC">
        <w:t>8</w:t>
      </w:r>
      <w:r w:rsidR="009C2254" w:rsidRPr="00086AB2">
        <w:t>–1</w:t>
      </w:r>
      <w:r w:rsidR="00D850AC">
        <w:t>9</w:t>
      </w:r>
      <w:r w:rsidR="003E69EC">
        <w:t xml:space="preserve"> (Indicator 10a)</w:t>
      </w:r>
      <w:r w:rsidRPr="00086AB2">
        <w:t>.</w:t>
      </w:r>
    </w:p>
    <w:p w14:paraId="3832A137" w14:textId="0C006F42" w:rsidR="000E0F9F" w:rsidRPr="00086AB2" w:rsidRDefault="00CE7D48" w:rsidP="007C232B">
      <w:pPr>
        <w:keepNext/>
        <w:keepLines/>
      </w:pPr>
      <w:r>
        <w:t>I</w:t>
      </w:r>
      <w:r w:rsidR="000E0F9F" w:rsidRPr="00086AB2">
        <w:t xml:space="preserve">n </w:t>
      </w:r>
      <w:r w:rsidR="009C2254" w:rsidRPr="00086AB2">
        <w:t>201</w:t>
      </w:r>
      <w:r w:rsidR="00A47F72">
        <w:t>8</w:t>
      </w:r>
      <w:r w:rsidR="009C2254" w:rsidRPr="00086AB2">
        <w:t>–1</w:t>
      </w:r>
      <w:r w:rsidR="00A47F72">
        <w:t>9</w:t>
      </w:r>
      <w:r w:rsidR="0000770D">
        <w:t>,</w:t>
      </w:r>
      <w:r w:rsidR="000E0F9F" w:rsidRPr="00086AB2">
        <w:t xml:space="preserve"> </w:t>
      </w:r>
      <w:r>
        <w:t>South Australia</w:t>
      </w:r>
      <w:r w:rsidR="00AF4B6B" w:rsidRPr="00086AB2">
        <w:t xml:space="preserve"> </w:t>
      </w:r>
      <w:r w:rsidR="000E0F9F" w:rsidRPr="00086AB2">
        <w:t>had the highest proportion of claims (</w:t>
      </w:r>
      <w:r w:rsidR="009C2254" w:rsidRPr="00086AB2">
        <w:t>4</w:t>
      </w:r>
      <w:r>
        <w:t>3.8</w:t>
      </w:r>
      <w:r w:rsidR="003C4F76">
        <w:t>%</w:t>
      </w:r>
      <w:r w:rsidR="000E0F9F" w:rsidRPr="00086AB2">
        <w:t xml:space="preserve">) involving Body stressing, followed by </w:t>
      </w:r>
      <w:r w:rsidR="00AF4B6B" w:rsidRPr="00086AB2">
        <w:t xml:space="preserve">the Australian </w:t>
      </w:r>
      <w:r w:rsidR="009B60EF" w:rsidRPr="00086AB2">
        <w:t>Government</w:t>
      </w:r>
      <w:r w:rsidR="00AF4B6B" w:rsidRPr="00086AB2">
        <w:t xml:space="preserve"> </w:t>
      </w:r>
      <w:r w:rsidR="009C2254" w:rsidRPr="00086AB2">
        <w:t>(</w:t>
      </w:r>
      <w:r w:rsidR="00AF4B6B" w:rsidRPr="00086AB2">
        <w:t>4</w:t>
      </w:r>
      <w:r>
        <w:t>2</w:t>
      </w:r>
      <w:r w:rsidR="00AF4B6B" w:rsidRPr="00086AB2">
        <w:t>.</w:t>
      </w:r>
      <w:r>
        <w:t>7</w:t>
      </w:r>
      <w:r w:rsidR="003C4F76">
        <w:t>%</w:t>
      </w:r>
      <w:r w:rsidR="009C2254" w:rsidRPr="00086AB2">
        <w:t>)</w:t>
      </w:r>
      <w:r w:rsidR="000E0F9F" w:rsidRPr="00086AB2">
        <w:t xml:space="preserve">, </w:t>
      </w:r>
      <w:r>
        <w:t>Seacare</w:t>
      </w:r>
      <w:r w:rsidR="00AF4B6B" w:rsidRPr="00086AB2">
        <w:t xml:space="preserve"> </w:t>
      </w:r>
      <w:r w:rsidR="000E0F9F" w:rsidRPr="00086AB2">
        <w:t>(</w:t>
      </w:r>
      <w:r>
        <w:t>41.9</w:t>
      </w:r>
      <w:r w:rsidR="003C4F76">
        <w:t>%</w:t>
      </w:r>
      <w:r w:rsidR="000E0F9F" w:rsidRPr="00086AB2">
        <w:t>)</w:t>
      </w:r>
      <w:r w:rsidR="009C2254" w:rsidRPr="00086AB2">
        <w:t xml:space="preserve">, </w:t>
      </w:r>
      <w:r w:rsidR="00AF4B6B" w:rsidRPr="00086AB2">
        <w:t xml:space="preserve">and </w:t>
      </w:r>
      <w:r>
        <w:t>Tasmania</w:t>
      </w:r>
      <w:r w:rsidR="00AF4B6B" w:rsidRPr="00086AB2">
        <w:t xml:space="preserve"> </w:t>
      </w:r>
      <w:r w:rsidR="009C2254" w:rsidRPr="00086AB2">
        <w:t>(</w:t>
      </w:r>
      <w:r w:rsidR="00187C51">
        <w:t>3</w:t>
      </w:r>
      <w:r>
        <w:t>9</w:t>
      </w:r>
      <w:r w:rsidR="00187C51">
        <w:t>.</w:t>
      </w:r>
      <w:r>
        <w:t>6</w:t>
      </w:r>
      <w:r w:rsidR="003C4F76">
        <w:t>%</w:t>
      </w:r>
      <w:r w:rsidR="009C2254" w:rsidRPr="00086AB2">
        <w:t>)</w:t>
      </w:r>
      <w:r w:rsidR="000E0F9F" w:rsidRPr="00086AB2">
        <w:t xml:space="preserve">. </w:t>
      </w:r>
      <w:r>
        <w:t>The Northern Territory had the lowest proportion</w:t>
      </w:r>
      <w:r w:rsidR="000E0F9F" w:rsidRPr="00086AB2">
        <w:t xml:space="preserve"> of claims (</w:t>
      </w:r>
      <w:r w:rsidR="00187C51">
        <w:t>3</w:t>
      </w:r>
      <w:r>
        <w:t>2.7</w:t>
      </w:r>
      <w:r w:rsidR="003C4F76">
        <w:t>%</w:t>
      </w:r>
      <w:r w:rsidR="000E0F9F" w:rsidRPr="00086AB2">
        <w:t xml:space="preserve">) involving Body stressing in </w:t>
      </w:r>
      <w:r w:rsidR="0000657D" w:rsidRPr="00086AB2">
        <w:t>201</w:t>
      </w:r>
      <w:r>
        <w:t>8</w:t>
      </w:r>
      <w:r w:rsidR="0000657D" w:rsidRPr="00086AB2">
        <w:t>–1</w:t>
      </w:r>
      <w:r>
        <w:t>9</w:t>
      </w:r>
      <w:r w:rsidR="000E0F9F" w:rsidRPr="00086AB2">
        <w:t>.</w:t>
      </w:r>
      <w:r w:rsidR="002306DE">
        <w:t xml:space="preserve"> </w:t>
      </w:r>
    </w:p>
    <w:p w14:paraId="095F7FC5" w14:textId="2232B425" w:rsidR="000E0F9F" w:rsidRPr="000B15CF" w:rsidRDefault="000E0F9F" w:rsidP="000E0F9F">
      <w:pPr>
        <w:pStyle w:val="SWATableheader"/>
        <w:rPr>
          <w:color w:val="00B050"/>
        </w:rPr>
      </w:pPr>
      <w:bookmarkStart w:id="60" w:name="_Hlk56772510"/>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a</w:t>
      </w:r>
      <w:r w:rsidR="006F0762" w:rsidRPr="00086AB2">
        <w:rPr>
          <w:noProof/>
        </w:rPr>
        <w:fldChar w:fldCharType="end"/>
      </w:r>
      <w:r w:rsidRPr="00086AB2">
        <w:t xml:space="preserve"> – Proportion of serious clai</w:t>
      </w:r>
      <w:r w:rsidR="00A65046" w:rsidRPr="00086AB2">
        <w:t xml:space="preserve">ms involving </w:t>
      </w:r>
      <w:r w:rsidR="009D46FF" w:rsidRPr="00086AB2">
        <w:t>B</w:t>
      </w:r>
      <w:r w:rsidR="00512BD0" w:rsidRPr="00086AB2">
        <w:t>ody stressing by jurisdiction</w:t>
      </w:r>
      <w:r w:rsidR="000B15CF">
        <w:t xml:space="preserve"> </w:t>
      </w:r>
    </w:p>
    <w:bookmarkEnd w:id="60"/>
    <w:p w14:paraId="2FB5524E" w14:textId="1A84FFEE" w:rsidR="000E0F9F" w:rsidRDefault="00D64A2A" w:rsidP="00C458AC">
      <w:pPr>
        <w:jc w:val="center"/>
      </w:pPr>
      <w:r>
        <w:rPr>
          <w:noProof/>
        </w:rPr>
        <w:drawing>
          <wp:inline distT="0" distB="0" distL="0" distR="0" wp14:anchorId="2B62776F" wp14:editId="58DA59AA">
            <wp:extent cx="4983364" cy="2990850"/>
            <wp:effectExtent l="0" t="0" r="8255" b="0"/>
            <wp:docPr id="19" name="Picture 19" descr="Indicator 10a – Proportion of serious claims involving Body stressing by jurisdiction&#10;&#10;This chart shows the proportion of serious claims for Body stressing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3364" cy="2990850"/>
                    </a:xfrm>
                    <a:prstGeom prst="rect">
                      <a:avLst/>
                    </a:prstGeom>
                    <a:noFill/>
                  </pic:spPr>
                </pic:pic>
              </a:graphicData>
            </a:graphic>
          </wp:inline>
        </w:drawing>
      </w:r>
    </w:p>
    <w:p w14:paraId="04CA11BC" w14:textId="77777777" w:rsidR="003E69EC" w:rsidRDefault="003E69EC">
      <w:pPr>
        <w:spacing w:after="200" w:line="276" w:lineRule="auto"/>
        <w:jc w:val="left"/>
        <w:rPr>
          <w:rFonts w:ascii="Arial Bold" w:eastAsiaTheme="majorEastAsia" w:hAnsi="Arial Bold" w:cs="Arial"/>
          <w:b/>
          <w:kern w:val="32"/>
          <w:sz w:val="28"/>
          <w:szCs w:val="22"/>
        </w:rPr>
      </w:pPr>
      <w:r>
        <w:br w:type="page"/>
      </w:r>
    </w:p>
    <w:p w14:paraId="0F279487" w14:textId="611F31E5" w:rsidR="008F29A3" w:rsidRPr="00A55D5B" w:rsidRDefault="008F29A3" w:rsidP="004F6BA7">
      <w:pPr>
        <w:pStyle w:val="Heading1"/>
        <w:spacing w:before="120"/>
        <w:rPr>
          <w:color w:val="00B050"/>
          <w:sz w:val="16"/>
          <w:szCs w:val="16"/>
        </w:rPr>
      </w:pPr>
      <w:r w:rsidRPr="00086AB2">
        <w:lastRenderedPageBreak/>
        <w:t>Falls, trips and slips of a person</w:t>
      </w:r>
      <w:r>
        <w:t xml:space="preserve"> </w:t>
      </w:r>
    </w:p>
    <w:p w14:paraId="17B7F01D" w14:textId="3C039A69" w:rsidR="008F29A3" w:rsidRPr="00086AB2" w:rsidRDefault="008F29A3" w:rsidP="004F6BA7">
      <w:pPr>
        <w:keepNext/>
        <w:keepLines/>
        <w:jc w:val="left"/>
      </w:pPr>
      <w:r w:rsidRPr="00086AB2">
        <w:t>Falls, trips and slips of a person accounted for 2</w:t>
      </w:r>
      <w:r>
        <w:t>2.7%</w:t>
      </w:r>
      <w:r w:rsidRPr="00086AB2">
        <w:t xml:space="preserve"> of serious claims in Australia in</w:t>
      </w:r>
      <w:r>
        <w:t xml:space="preserve"> </w:t>
      </w:r>
      <w:r w:rsidRPr="00086AB2">
        <w:t>201</w:t>
      </w:r>
      <w:r>
        <w:t>8</w:t>
      </w:r>
      <w:r w:rsidR="00557E06" w:rsidRPr="00086AB2">
        <w:t>–</w:t>
      </w:r>
      <w:r w:rsidRPr="00086AB2">
        <w:t>1</w:t>
      </w:r>
      <w:r>
        <w:t>9</w:t>
      </w:r>
      <w:r w:rsidR="00E4483A">
        <w:t>p.</w:t>
      </w:r>
      <w:r>
        <w:t xml:space="preserve"> </w:t>
      </w:r>
      <w:r w:rsidRPr="00086AB2">
        <w:t xml:space="preserve">This mechanism of incident was the second leading cause </w:t>
      </w:r>
      <w:r>
        <w:t xml:space="preserve">of </w:t>
      </w:r>
      <w:r w:rsidRPr="00086AB2">
        <w:t xml:space="preserve">serious claims across jurisdictions. </w:t>
      </w:r>
      <w:r>
        <w:t>Seacare</w:t>
      </w:r>
      <w:r w:rsidRPr="00086AB2">
        <w:t xml:space="preserve"> recorded the highest proportion of claims (</w:t>
      </w:r>
      <w:r>
        <w:t>30.6%</w:t>
      </w:r>
      <w:r w:rsidRPr="00086AB2">
        <w:t>) in 201</w:t>
      </w:r>
      <w:r>
        <w:t>8</w:t>
      </w:r>
      <w:r w:rsidRPr="00086AB2">
        <w:t>–1</w:t>
      </w:r>
      <w:r>
        <w:t>9</w:t>
      </w:r>
      <w:r w:rsidR="00E4483A">
        <w:t>p</w:t>
      </w:r>
      <w:r w:rsidRPr="00086AB2">
        <w:t xml:space="preserve"> for this mechanism, followed by </w:t>
      </w:r>
      <w:r>
        <w:t>Western Australia</w:t>
      </w:r>
      <w:r w:rsidRPr="00086AB2">
        <w:t xml:space="preserve"> (25.</w:t>
      </w:r>
      <w:r>
        <w:t>1%</w:t>
      </w:r>
      <w:r w:rsidRPr="00086AB2">
        <w:t xml:space="preserve">). </w:t>
      </w:r>
      <w:r>
        <w:t>South Australia</w:t>
      </w:r>
      <w:r w:rsidRPr="00086AB2">
        <w:t xml:space="preserve"> </w:t>
      </w:r>
      <w:r>
        <w:t xml:space="preserve">and Tasmania </w:t>
      </w:r>
      <w:r w:rsidRPr="00086AB2">
        <w:t>recorded the lowest proportion of claims (</w:t>
      </w:r>
      <w:r>
        <w:t>20.2% each</w:t>
      </w:r>
      <w:r w:rsidRPr="00086AB2">
        <w:t>) for this mechanism</w:t>
      </w:r>
      <w:r>
        <w:t>.</w:t>
      </w:r>
    </w:p>
    <w:p w14:paraId="4E66455A" w14:textId="75DEC0EB" w:rsidR="000E0F9F" w:rsidRPr="000B15CF" w:rsidRDefault="000E0F9F" w:rsidP="004F6BA7">
      <w:pPr>
        <w:pStyle w:val="SWATableheader"/>
        <w:spacing w:after="0"/>
        <w:rPr>
          <w:color w:val="00B050"/>
        </w:rPr>
      </w:pPr>
      <w:bookmarkStart w:id="61" w:name="_Hlk56772521"/>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b</w:t>
      </w:r>
      <w:r w:rsidR="006F0762" w:rsidRPr="00086AB2">
        <w:rPr>
          <w:noProof/>
        </w:rPr>
        <w:fldChar w:fldCharType="end"/>
      </w:r>
      <w:r w:rsidRPr="00086AB2">
        <w:t xml:space="preserve"> </w:t>
      </w:r>
      <w:r w:rsidR="00E76BFC" w:rsidRPr="00086AB2">
        <w:t>–</w:t>
      </w:r>
      <w:r w:rsidRPr="00086AB2">
        <w:t xml:space="preserve"> Proportion of serious claims involving </w:t>
      </w:r>
      <w:r w:rsidR="009D46FF" w:rsidRPr="00086AB2">
        <w:t>F</w:t>
      </w:r>
      <w:r w:rsidRPr="00086AB2">
        <w:t>alls, trips and slips of a person by</w:t>
      </w:r>
      <w:r w:rsidR="00E76BFC" w:rsidRPr="00086AB2">
        <w:t> </w:t>
      </w:r>
      <w:r w:rsidRPr="00086AB2">
        <w:t>jurisdiction</w:t>
      </w:r>
      <w:r w:rsidR="000B15CF">
        <w:t xml:space="preserve"> </w:t>
      </w:r>
    </w:p>
    <w:bookmarkEnd w:id="61"/>
    <w:p w14:paraId="441EFC86" w14:textId="6B58C0EE" w:rsidR="00187A2D" w:rsidRDefault="00557E06" w:rsidP="004F6BA7">
      <w:pPr>
        <w:spacing w:after="0"/>
        <w:jc w:val="center"/>
      </w:pPr>
      <w:r>
        <w:rPr>
          <w:noProof/>
        </w:rPr>
        <w:drawing>
          <wp:inline distT="0" distB="0" distL="0" distR="0" wp14:anchorId="6FE5DD19" wp14:editId="03FC8C00">
            <wp:extent cx="4772025" cy="2849692"/>
            <wp:effectExtent l="0" t="0" r="0" b="8255"/>
            <wp:docPr id="6" name="Picture 6" descr="Indicator 10b – Proportion of serious claims involving Falls, trips and slips of a person by jurisdiction&#10;&#10;This chart shows the proportion of serious claims for Falls, trips and slips of a person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705" cy="2897274"/>
                    </a:xfrm>
                    <a:prstGeom prst="rect">
                      <a:avLst/>
                    </a:prstGeom>
                    <a:noFill/>
                  </pic:spPr>
                </pic:pic>
              </a:graphicData>
            </a:graphic>
          </wp:inline>
        </w:drawing>
      </w:r>
    </w:p>
    <w:p w14:paraId="6A693D9F" w14:textId="77777777" w:rsidR="006705DB" w:rsidRPr="00086AB2" w:rsidRDefault="006705DB" w:rsidP="004F6BA7">
      <w:pPr>
        <w:pStyle w:val="Heading1"/>
        <w:spacing w:before="120"/>
      </w:pPr>
      <w:r w:rsidRPr="00086AB2">
        <w:t>Being hit by moving objects</w:t>
      </w:r>
      <w:r w:rsidR="002E1736">
        <w:t xml:space="preserve"> </w:t>
      </w:r>
    </w:p>
    <w:p w14:paraId="626DF83E" w14:textId="71477C84" w:rsidR="009773E2" w:rsidRDefault="003269D8" w:rsidP="00905154">
      <w:pPr>
        <w:keepNext/>
        <w:keepLines/>
      </w:pPr>
      <w:r>
        <w:t xml:space="preserve">In </w:t>
      </w:r>
      <w:r w:rsidRPr="00086AB2">
        <w:t>201</w:t>
      </w:r>
      <w:r>
        <w:t>8</w:t>
      </w:r>
      <w:r w:rsidRPr="00086AB2">
        <w:t>–1</w:t>
      </w:r>
      <w:r>
        <w:t>9</w:t>
      </w:r>
      <w:r w:rsidR="00E4483A">
        <w:t>p</w:t>
      </w:r>
      <w:r>
        <w:t xml:space="preserve"> </w:t>
      </w:r>
      <w:r w:rsidR="00E4483A">
        <w:t>B</w:t>
      </w:r>
      <w:r w:rsidR="00384890" w:rsidRPr="00086AB2">
        <w:t>eing</w:t>
      </w:r>
      <w:r w:rsidR="009773E2" w:rsidRPr="00086AB2">
        <w:t xml:space="preserve"> hit by moving objects </w:t>
      </w:r>
      <w:r w:rsidR="005C3890">
        <w:t xml:space="preserve">accounted for </w:t>
      </w:r>
      <w:r w:rsidR="009773E2">
        <w:t>16.0</w:t>
      </w:r>
      <w:r w:rsidR="003C4F76">
        <w:t>%</w:t>
      </w:r>
      <w:r w:rsidR="009773E2" w:rsidRPr="00086AB2">
        <w:t xml:space="preserve"> </w:t>
      </w:r>
      <w:r w:rsidR="009773E2">
        <w:t xml:space="preserve">of serious claims </w:t>
      </w:r>
      <w:r w:rsidR="003E69EC">
        <w:t>(Indicator 10c)</w:t>
      </w:r>
      <w:r w:rsidR="009773E2" w:rsidRPr="00086AB2">
        <w:t xml:space="preserve">. </w:t>
      </w:r>
    </w:p>
    <w:p w14:paraId="2FD9498D" w14:textId="6773F2A0" w:rsidR="006705DB" w:rsidRPr="00086AB2" w:rsidRDefault="006705DB" w:rsidP="00905154">
      <w:pPr>
        <w:keepNext/>
        <w:keepLines/>
      </w:pPr>
      <w:r w:rsidRPr="00086AB2">
        <w:t>The Northern Territory had the highest proportion of serious claims (</w:t>
      </w:r>
      <w:r w:rsidR="00252805">
        <w:t>2</w:t>
      </w:r>
      <w:r w:rsidR="004454BD">
        <w:t>6.2</w:t>
      </w:r>
      <w:r w:rsidR="003C4F76">
        <w:t>%</w:t>
      </w:r>
      <w:r w:rsidRPr="00086AB2">
        <w:t xml:space="preserve">) in </w:t>
      </w:r>
      <w:r w:rsidR="000A105F" w:rsidRPr="00086AB2">
        <w:t>201</w:t>
      </w:r>
      <w:r w:rsidR="004454BD">
        <w:t>8</w:t>
      </w:r>
      <w:r w:rsidR="000A105F" w:rsidRPr="00086AB2">
        <w:t>–1</w:t>
      </w:r>
      <w:r w:rsidR="004454BD">
        <w:t>9</w:t>
      </w:r>
      <w:r w:rsidRPr="00086AB2">
        <w:t xml:space="preserve"> arising from Being hit by moving objects</w:t>
      </w:r>
      <w:r w:rsidR="00824488" w:rsidRPr="00086AB2">
        <w:t>,</w:t>
      </w:r>
      <w:r w:rsidRPr="00086AB2">
        <w:t xml:space="preserve"> followed by Western Australia (</w:t>
      </w:r>
      <w:r w:rsidR="00252805">
        <w:t>20.</w:t>
      </w:r>
      <w:r w:rsidR="004454BD">
        <w:t>3</w:t>
      </w:r>
      <w:r w:rsidR="003C4F76">
        <w:t>%</w:t>
      </w:r>
      <w:r w:rsidRPr="00086AB2">
        <w:t>), and Victoria (</w:t>
      </w:r>
      <w:r w:rsidR="000A105F" w:rsidRPr="00086AB2">
        <w:t>1</w:t>
      </w:r>
      <w:r w:rsidR="00824488" w:rsidRPr="00086AB2">
        <w:t>8.</w:t>
      </w:r>
      <w:r w:rsidR="004454BD">
        <w:t>1</w:t>
      </w:r>
      <w:r w:rsidR="003C4F76">
        <w:t>%</w:t>
      </w:r>
      <w:r w:rsidRPr="00086AB2">
        <w:t xml:space="preserve">). </w:t>
      </w:r>
      <w:r w:rsidR="004454BD">
        <w:t>The Australian Government</w:t>
      </w:r>
      <w:r w:rsidRPr="00086AB2">
        <w:t xml:space="preserve"> had the lowest proportion </w:t>
      </w:r>
      <w:r w:rsidR="009773E2" w:rsidRPr="00086AB2">
        <w:t>(</w:t>
      </w:r>
      <w:r w:rsidR="004454BD">
        <w:t>8.3</w:t>
      </w:r>
      <w:r w:rsidR="003C4F76">
        <w:t>%</w:t>
      </w:r>
      <w:r w:rsidR="009773E2" w:rsidRPr="00086AB2">
        <w:t>)</w:t>
      </w:r>
      <w:r w:rsidR="009773E2">
        <w:t xml:space="preserve"> </w:t>
      </w:r>
      <w:r w:rsidRPr="00086AB2">
        <w:t xml:space="preserve">of serious claims involving this mechanism of incident </w:t>
      </w:r>
      <w:r w:rsidR="00FA3010" w:rsidRPr="00086AB2">
        <w:t>in 201</w:t>
      </w:r>
      <w:r w:rsidR="004454BD">
        <w:t>8</w:t>
      </w:r>
      <w:r w:rsidR="00FA3010" w:rsidRPr="00086AB2">
        <w:t>–1</w:t>
      </w:r>
      <w:r w:rsidR="004454BD">
        <w:t>9</w:t>
      </w:r>
      <w:r w:rsidR="00E4483A">
        <w:t>p</w:t>
      </w:r>
      <w:r w:rsidR="001070E5">
        <w:t xml:space="preserve">, followed </w:t>
      </w:r>
      <w:r w:rsidR="004A2CA3">
        <w:t xml:space="preserve">by </w:t>
      </w:r>
      <w:r w:rsidR="004454BD">
        <w:t>Seacare</w:t>
      </w:r>
      <w:r w:rsidR="001070E5">
        <w:t xml:space="preserve"> (</w:t>
      </w:r>
      <w:r w:rsidR="004454BD">
        <w:t>12.9</w:t>
      </w:r>
      <w:r w:rsidR="003C4F76">
        <w:t>%</w:t>
      </w:r>
      <w:r w:rsidR="001070E5">
        <w:t>)</w:t>
      </w:r>
      <w:r w:rsidR="004454BD">
        <w:t>.</w:t>
      </w:r>
    </w:p>
    <w:p w14:paraId="3DE776B2" w14:textId="2216E184" w:rsidR="006705DB" w:rsidRPr="00086AB2" w:rsidRDefault="006705DB" w:rsidP="004F6BA7">
      <w:pPr>
        <w:pStyle w:val="SWATableheader"/>
        <w:spacing w:after="0"/>
      </w:pPr>
      <w:bookmarkStart w:id="62" w:name="_Hlk56772782"/>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c</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B</w:t>
      </w:r>
      <w:r w:rsidRPr="00086AB2">
        <w:t>eing hit by moving objects by</w:t>
      </w:r>
      <w:r w:rsidR="00581656" w:rsidRPr="00086AB2">
        <w:t> </w:t>
      </w:r>
      <w:r w:rsidRPr="00086AB2">
        <w:t>jurisdiction</w:t>
      </w:r>
      <w:r w:rsidR="00473E21">
        <w:t xml:space="preserve"> </w:t>
      </w:r>
    </w:p>
    <w:bookmarkEnd w:id="62"/>
    <w:p w14:paraId="5DB2351A" w14:textId="51B77D44" w:rsidR="00944A50" w:rsidRPr="00086AB2" w:rsidRDefault="00D64A2A" w:rsidP="00944A50">
      <w:pPr>
        <w:spacing w:after="0"/>
        <w:jc w:val="center"/>
        <w:rPr>
          <w:rFonts w:eastAsiaTheme="majorEastAsia"/>
        </w:rPr>
      </w:pPr>
      <w:r>
        <w:rPr>
          <w:rFonts w:eastAsiaTheme="majorEastAsia"/>
          <w:noProof/>
        </w:rPr>
        <w:drawing>
          <wp:inline distT="0" distB="0" distL="0" distR="0" wp14:anchorId="1C45CC0E" wp14:editId="2068A8FB">
            <wp:extent cx="4791075" cy="2874823"/>
            <wp:effectExtent l="0" t="0" r="0" b="1905"/>
            <wp:docPr id="22" name="Picture 22" descr="Indicator 10c – Proportion of serious claims involving Being hit by moving objects by jurisdiction&#10;&#10;This chart shows the proportion of serious claims for Being hit by moving objects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8275" cy="2927146"/>
                    </a:xfrm>
                    <a:prstGeom prst="rect">
                      <a:avLst/>
                    </a:prstGeom>
                    <a:noFill/>
                  </pic:spPr>
                </pic:pic>
              </a:graphicData>
            </a:graphic>
          </wp:inline>
        </w:drawing>
      </w:r>
    </w:p>
    <w:p w14:paraId="18AC1292" w14:textId="6ADD9D3C" w:rsidR="00944A50" w:rsidRPr="00086AB2" w:rsidRDefault="00944A50" w:rsidP="00944A50">
      <w:pPr>
        <w:pStyle w:val="Heading1"/>
        <w:spacing w:before="0"/>
      </w:pPr>
      <w:r w:rsidRPr="00086AB2">
        <w:lastRenderedPageBreak/>
        <w:t>Hitting objects with a part of the body</w:t>
      </w:r>
      <w:r w:rsidR="002E1736">
        <w:t xml:space="preserve"> </w:t>
      </w:r>
    </w:p>
    <w:p w14:paraId="1C5122A3" w14:textId="374660C6" w:rsidR="00944A50" w:rsidRPr="00086AB2" w:rsidRDefault="00824488" w:rsidP="00944A50">
      <w:pPr>
        <w:keepNext/>
        <w:keepLines/>
      </w:pPr>
      <w:r w:rsidRPr="00086AB2">
        <w:t xml:space="preserve">The mechanism of Hitting objects with a part of the body </w:t>
      </w:r>
      <w:r w:rsidR="00944A50" w:rsidRPr="00086AB2">
        <w:t xml:space="preserve">includes </w:t>
      </w:r>
      <w:r w:rsidR="00596128" w:rsidRPr="00086AB2">
        <w:t xml:space="preserve">incidents </w:t>
      </w:r>
      <w:r w:rsidR="00944A50" w:rsidRPr="00086AB2">
        <w:t>where the motion of a person results in hitting (including bumping, cutting, striking, grasping etc.) stationary and</w:t>
      </w:r>
      <w:r w:rsidR="00596128" w:rsidRPr="00086AB2">
        <w:t>/or</w:t>
      </w:r>
      <w:r w:rsidR="00944A50" w:rsidRPr="00086AB2">
        <w:t xml:space="preserve"> moving objects (including machines, vehicles, equipment, tools etc.). </w:t>
      </w:r>
      <w:r w:rsidR="00187A2D">
        <w:t>Indicator 10d shows t</w:t>
      </w:r>
      <w:r w:rsidR="005D2190">
        <w:t xml:space="preserve">he Australian Capital Territory </w:t>
      </w:r>
      <w:r w:rsidR="00944A50" w:rsidRPr="00086AB2">
        <w:t>recorded the highest proportion of serious claims (</w:t>
      </w:r>
      <w:r w:rsidR="005D2190">
        <w:t>11</w:t>
      </w:r>
      <w:r w:rsidR="000B3F36">
        <w:t>.6</w:t>
      </w:r>
      <w:r w:rsidR="003C4F76">
        <w:t>%</w:t>
      </w:r>
      <w:r w:rsidR="00944A50" w:rsidRPr="00086AB2">
        <w:t xml:space="preserve">) in </w:t>
      </w:r>
      <w:r w:rsidR="00596128" w:rsidRPr="00086AB2">
        <w:t>201</w:t>
      </w:r>
      <w:r w:rsidR="005D2190">
        <w:t>8</w:t>
      </w:r>
      <w:r w:rsidR="00596128" w:rsidRPr="00086AB2">
        <w:t>–1</w:t>
      </w:r>
      <w:r w:rsidR="005D2190">
        <w:t>9</w:t>
      </w:r>
      <w:r w:rsidR="00E4483A">
        <w:t>p</w:t>
      </w:r>
      <w:r w:rsidRPr="00086AB2">
        <w:t xml:space="preserve"> due to this mechanism, followed by Queensland (</w:t>
      </w:r>
      <w:r w:rsidR="005D2190">
        <w:t>7.6</w:t>
      </w:r>
      <w:r w:rsidR="003C4F76">
        <w:t>%</w:t>
      </w:r>
      <w:r w:rsidRPr="00086AB2">
        <w:t>)</w:t>
      </w:r>
      <w:r w:rsidR="00944A50" w:rsidRPr="00086AB2">
        <w:t xml:space="preserve">. </w:t>
      </w:r>
      <w:r w:rsidRPr="00086AB2">
        <w:t xml:space="preserve">The Australian Government </w:t>
      </w:r>
      <w:r w:rsidR="00944A50" w:rsidRPr="00086AB2">
        <w:t>recorded the lowest proportion of claims (</w:t>
      </w:r>
      <w:r w:rsidRPr="00086AB2">
        <w:t>3.</w:t>
      </w:r>
      <w:r w:rsidR="000B3F36">
        <w:t>1</w:t>
      </w:r>
      <w:r w:rsidR="003C4F76">
        <w:t>%</w:t>
      </w:r>
      <w:r w:rsidR="00944A50" w:rsidRPr="00086AB2">
        <w:t>)</w:t>
      </w:r>
      <w:r w:rsidR="00596128" w:rsidRPr="00086AB2">
        <w:t xml:space="preserve"> </w:t>
      </w:r>
      <w:r w:rsidRPr="00086AB2">
        <w:t xml:space="preserve">for this mechanism, </w:t>
      </w:r>
      <w:r w:rsidR="00944A50" w:rsidRPr="00086AB2">
        <w:t xml:space="preserve">followed by </w:t>
      </w:r>
      <w:r w:rsidRPr="00086AB2">
        <w:t xml:space="preserve">Victoria </w:t>
      </w:r>
      <w:r w:rsidR="00944A50" w:rsidRPr="00086AB2">
        <w:t>(</w:t>
      </w:r>
      <w:r w:rsidR="00F3763B">
        <w:t>4.</w:t>
      </w:r>
      <w:r w:rsidR="00604F84">
        <w:t>2</w:t>
      </w:r>
      <w:r w:rsidR="003C4F76">
        <w:t>%</w:t>
      </w:r>
      <w:r w:rsidR="00944A50" w:rsidRPr="00086AB2">
        <w:t>).</w:t>
      </w:r>
      <w:r w:rsidR="00604F84">
        <w:t xml:space="preserve"> </w:t>
      </w:r>
      <w:r w:rsidR="00F3763B">
        <w:t>Nationally,</w:t>
      </w:r>
      <w:r w:rsidR="00632BFB">
        <w:t xml:space="preserve"> </w:t>
      </w:r>
      <w:r w:rsidR="00604F84">
        <w:t>6.7</w:t>
      </w:r>
      <w:r w:rsidR="003C4F76">
        <w:t>%</w:t>
      </w:r>
      <w:r w:rsidR="00944A50" w:rsidRPr="00086AB2">
        <w:t xml:space="preserve"> of claims </w:t>
      </w:r>
      <w:r w:rsidRPr="00086AB2">
        <w:t xml:space="preserve">were due to this </w:t>
      </w:r>
      <w:r w:rsidR="00944A50" w:rsidRPr="00086AB2">
        <w:t xml:space="preserve">mechanism </w:t>
      </w:r>
      <w:r w:rsidRPr="00086AB2">
        <w:t xml:space="preserve">across Australia </w:t>
      </w:r>
      <w:r w:rsidR="00944A50" w:rsidRPr="00086AB2">
        <w:t xml:space="preserve">in </w:t>
      </w:r>
      <w:r w:rsidR="00E15FFF" w:rsidRPr="00086AB2">
        <w:t>201</w:t>
      </w:r>
      <w:r w:rsidR="00604F84">
        <w:t>8</w:t>
      </w:r>
      <w:r w:rsidR="00E15FFF" w:rsidRPr="00086AB2">
        <w:t>–1</w:t>
      </w:r>
      <w:r w:rsidR="00604F84">
        <w:t>9</w:t>
      </w:r>
      <w:r w:rsidR="00E4483A">
        <w:t>p</w:t>
      </w:r>
      <w:r w:rsidR="00944A50" w:rsidRPr="00086AB2">
        <w:t>.</w:t>
      </w:r>
    </w:p>
    <w:p w14:paraId="6FAA9882" w14:textId="67655B83" w:rsidR="006705DB" w:rsidRPr="00086AB2" w:rsidRDefault="006705DB" w:rsidP="004F6BA7">
      <w:pPr>
        <w:pStyle w:val="SWATableheader"/>
        <w:spacing w:after="0"/>
      </w:pPr>
      <w:bookmarkStart w:id="63" w:name="_Hlk56772789"/>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d</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H</w:t>
      </w:r>
      <w:r w:rsidRPr="00086AB2">
        <w:t>itting objects with a part of the body by</w:t>
      </w:r>
      <w:r w:rsidR="00512BD0" w:rsidRPr="00086AB2">
        <w:t> </w:t>
      </w:r>
      <w:r w:rsidRPr="00086AB2">
        <w:t>jurisdiction</w:t>
      </w:r>
      <w:r w:rsidR="00D44551">
        <w:t xml:space="preserve"> </w:t>
      </w:r>
    </w:p>
    <w:bookmarkEnd w:id="63"/>
    <w:p w14:paraId="7EA9B67F" w14:textId="20E43F58" w:rsidR="00B51041" w:rsidRDefault="00D64A2A" w:rsidP="004F6BA7">
      <w:pPr>
        <w:spacing w:after="0"/>
        <w:jc w:val="center"/>
      </w:pPr>
      <w:r>
        <w:rPr>
          <w:noProof/>
        </w:rPr>
        <w:drawing>
          <wp:inline distT="0" distB="0" distL="0" distR="0" wp14:anchorId="6C1302D8" wp14:editId="01A0BB83">
            <wp:extent cx="4486275" cy="2691930"/>
            <wp:effectExtent l="0" t="0" r="0" b="0"/>
            <wp:docPr id="21" name="Picture 21" descr="Indicator 10d – Proportion of serious claims involving Hitting objects with a part of the body by jurisdiction&#10;&#10;This chart shows the proportion of serious claims for Hitting objects with a part of the body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35113" cy="2721235"/>
                    </a:xfrm>
                    <a:prstGeom prst="rect">
                      <a:avLst/>
                    </a:prstGeom>
                    <a:noFill/>
                  </pic:spPr>
                </pic:pic>
              </a:graphicData>
            </a:graphic>
          </wp:inline>
        </w:drawing>
      </w:r>
    </w:p>
    <w:p w14:paraId="1D289CB8" w14:textId="77777777" w:rsidR="008F29A3" w:rsidRPr="00086AB2" w:rsidRDefault="008F29A3" w:rsidP="004F6BA7">
      <w:pPr>
        <w:pStyle w:val="Heading1"/>
        <w:spacing w:before="120"/>
      </w:pPr>
      <w:r w:rsidRPr="00086AB2">
        <w:t>Mental stress</w:t>
      </w:r>
      <w:r>
        <w:t xml:space="preserve"> </w:t>
      </w:r>
    </w:p>
    <w:p w14:paraId="650D33EE" w14:textId="5E80D401" w:rsidR="008F29A3" w:rsidRDefault="003269D8" w:rsidP="004F6BA7">
      <w:pPr>
        <w:keepNext/>
        <w:keepLines/>
      </w:pPr>
      <w:r>
        <w:t>Indicator 10e shows th</w:t>
      </w:r>
      <w:r w:rsidR="008F29A3" w:rsidRPr="00086AB2">
        <w:t xml:space="preserve">e proportion of serious claims due to Mental stress in Australia increased from </w:t>
      </w:r>
      <w:r w:rsidR="008F29A3">
        <w:t>5.8%</w:t>
      </w:r>
      <w:r w:rsidR="008F29A3" w:rsidRPr="00086AB2">
        <w:t xml:space="preserve"> in 201</w:t>
      </w:r>
      <w:r w:rsidR="008F29A3">
        <w:t>3</w:t>
      </w:r>
      <w:r w:rsidR="008F29A3" w:rsidRPr="00086AB2">
        <w:t>–1</w:t>
      </w:r>
      <w:r w:rsidR="008F29A3">
        <w:t>4</w:t>
      </w:r>
      <w:r w:rsidR="008F29A3" w:rsidRPr="00086AB2">
        <w:t xml:space="preserve"> to </w:t>
      </w:r>
      <w:r w:rsidR="008F29A3">
        <w:t>8.3%</w:t>
      </w:r>
      <w:r w:rsidR="008F29A3" w:rsidRPr="00086AB2">
        <w:t xml:space="preserve"> in 201</w:t>
      </w:r>
      <w:r w:rsidR="008F29A3">
        <w:t>8</w:t>
      </w:r>
      <w:r w:rsidR="008F29A3" w:rsidRPr="00086AB2">
        <w:t>–1</w:t>
      </w:r>
      <w:r w:rsidR="008F29A3">
        <w:t>9</w:t>
      </w:r>
      <w:r w:rsidR="00E4483A">
        <w:t>p.</w:t>
      </w:r>
      <w:r w:rsidR="008F29A3" w:rsidRPr="00086AB2">
        <w:t xml:space="preserve"> </w:t>
      </w:r>
      <w:r w:rsidR="008F29A3">
        <w:t>Victoria</w:t>
      </w:r>
      <w:r w:rsidR="008F29A3" w:rsidRPr="00086AB2">
        <w:t xml:space="preserve"> had the highest proportion of Mental stress claims (1</w:t>
      </w:r>
      <w:r w:rsidR="008F29A3">
        <w:t>1.1%</w:t>
      </w:r>
      <w:r w:rsidR="008F29A3" w:rsidRPr="00086AB2">
        <w:t>) in 201</w:t>
      </w:r>
      <w:r w:rsidR="008F29A3">
        <w:t>8</w:t>
      </w:r>
      <w:r w:rsidR="008F29A3" w:rsidRPr="00086AB2">
        <w:t>–1</w:t>
      </w:r>
      <w:r w:rsidR="008F29A3">
        <w:t>9</w:t>
      </w:r>
      <w:r w:rsidR="00E4483A">
        <w:t>p</w:t>
      </w:r>
      <w:r w:rsidR="008F29A3" w:rsidRPr="00086AB2">
        <w:t xml:space="preserve">, followed by </w:t>
      </w:r>
      <w:r w:rsidR="008F29A3">
        <w:t>New South Wales</w:t>
      </w:r>
      <w:r w:rsidR="008F29A3" w:rsidRPr="00086AB2">
        <w:t xml:space="preserve"> (</w:t>
      </w:r>
      <w:r w:rsidR="008F29A3">
        <w:t>10.9%</w:t>
      </w:r>
      <w:r w:rsidR="008F29A3" w:rsidRPr="00086AB2">
        <w:t xml:space="preserve">) and </w:t>
      </w:r>
      <w:r w:rsidR="008F29A3">
        <w:t>the Australian Government</w:t>
      </w:r>
      <w:r w:rsidR="008F29A3" w:rsidRPr="00086AB2">
        <w:t xml:space="preserve"> (</w:t>
      </w:r>
      <w:r w:rsidR="008F29A3">
        <w:t>10.8%</w:t>
      </w:r>
      <w:r w:rsidR="008F29A3" w:rsidRPr="00086AB2">
        <w:t xml:space="preserve">). </w:t>
      </w:r>
      <w:r w:rsidR="008F29A3">
        <w:t xml:space="preserve">Seacare recorded the lowest proportion of Mental stress claims in the same year (1.6%), followed by </w:t>
      </w:r>
      <w:r w:rsidR="008F29A3" w:rsidRPr="00086AB2">
        <w:t>Western Australia (</w:t>
      </w:r>
      <w:r w:rsidR="008F29A3">
        <w:t>3.6%</w:t>
      </w:r>
      <w:r w:rsidR="008F29A3" w:rsidRPr="00086AB2">
        <w:t>).</w:t>
      </w:r>
      <w:r w:rsidR="008F29A3">
        <w:t xml:space="preserve"> There have been </w:t>
      </w:r>
      <w:r>
        <w:t xml:space="preserve">notable </w:t>
      </w:r>
      <w:r w:rsidR="008F29A3">
        <w:t>increases in the proportion of Mental stress claims in New</w:t>
      </w:r>
      <w:r w:rsidR="00557E06">
        <w:t> </w:t>
      </w:r>
      <w:r w:rsidR="008F29A3">
        <w:t>South</w:t>
      </w:r>
      <w:r w:rsidR="00557E06">
        <w:t> </w:t>
      </w:r>
      <w:r w:rsidR="008F29A3">
        <w:t>Wales</w:t>
      </w:r>
      <w:r w:rsidR="007C63BA">
        <w:t xml:space="preserve"> (up 78%)</w:t>
      </w:r>
      <w:r w:rsidR="008F29A3">
        <w:t>, Tasmania</w:t>
      </w:r>
      <w:r w:rsidR="007C63BA">
        <w:t xml:space="preserve"> (up 25%) and</w:t>
      </w:r>
      <w:r w:rsidR="008F29A3">
        <w:t xml:space="preserve"> Victoria</w:t>
      </w:r>
      <w:r w:rsidR="007C63BA">
        <w:t xml:space="preserve"> (up 17%)</w:t>
      </w:r>
      <w:r w:rsidR="008F29A3">
        <w:t xml:space="preserve"> </w:t>
      </w:r>
      <w:r>
        <w:t>between 2013</w:t>
      </w:r>
      <w:r w:rsidRPr="00086AB2">
        <w:t>–</w:t>
      </w:r>
      <w:r>
        <w:t>14 and 201</w:t>
      </w:r>
      <w:r w:rsidR="007C63BA">
        <w:t>7</w:t>
      </w:r>
      <w:r w:rsidR="007C63BA" w:rsidRPr="00086AB2">
        <w:t>–</w:t>
      </w:r>
      <w:r w:rsidR="007C63BA">
        <w:t>18</w:t>
      </w:r>
      <w:r w:rsidR="008F29A3">
        <w:t xml:space="preserve">. </w:t>
      </w:r>
    </w:p>
    <w:p w14:paraId="769164EE" w14:textId="2B6BCBAA" w:rsidR="006705DB" w:rsidRPr="00086AB2" w:rsidRDefault="006705DB" w:rsidP="004F6BA7">
      <w:pPr>
        <w:pStyle w:val="SWATableheader"/>
        <w:keepLines/>
        <w:spacing w:after="0"/>
      </w:pPr>
      <w:bookmarkStart w:id="64" w:name="_Hlk56772798"/>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e</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M</w:t>
      </w:r>
      <w:r w:rsidRPr="00086AB2">
        <w:t>ental stress by jurisdiction</w:t>
      </w:r>
    </w:p>
    <w:bookmarkEnd w:id="64"/>
    <w:p w14:paraId="42D9F586" w14:textId="5153FC20" w:rsidR="006705DB" w:rsidRDefault="00D64A2A" w:rsidP="004F6BA7">
      <w:pPr>
        <w:spacing w:after="0"/>
        <w:jc w:val="center"/>
      </w:pPr>
      <w:r>
        <w:rPr>
          <w:noProof/>
        </w:rPr>
        <w:drawing>
          <wp:inline distT="0" distB="0" distL="0" distR="0" wp14:anchorId="326AD504" wp14:editId="1A686E4F">
            <wp:extent cx="4482465" cy="2689645"/>
            <wp:effectExtent l="0" t="0" r="0" b="0"/>
            <wp:docPr id="23" name="Picture 23" descr="Indicator 10e – Proportion of serious claims involving Mental stress by jurisdiction&#10;&#10;This chart shows the proportion of serious claims for Mental stress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4378" cy="2720795"/>
                    </a:xfrm>
                    <a:prstGeom prst="rect">
                      <a:avLst/>
                    </a:prstGeom>
                    <a:noFill/>
                  </pic:spPr>
                </pic:pic>
              </a:graphicData>
            </a:graphic>
          </wp:inline>
        </w:drawing>
      </w:r>
    </w:p>
    <w:p w14:paraId="17C34AA9" w14:textId="77777777" w:rsidR="008F29A3" w:rsidRPr="00086AB2" w:rsidRDefault="008F29A3" w:rsidP="008F29A3">
      <w:pPr>
        <w:pStyle w:val="Heading1"/>
      </w:pPr>
      <w:r w:rsidRPr="00086AB2">
        <w:lastRenderedPageBreak/>
        <w:t>Other mechanisms</w:t>
      </w:r>
      <w:r>
        <w:t xml:space="preserve"> </w:t>
      </w:r>
    </w:p>
    <w:p w14:paraId="3A13FC0D" w14:textId="77777777" w:rsidR="008F29A3" w:rsidRPr="00086AB2" w:rsidRDefault="008F29A3" w:rsidP="008F29A3">
      <w:pPr>
        <w:keepNext/>
        <w:keepLines/>
      </w:pPr>
      <w:r w:rsidRPr="00086AB2">
        <w:t xml:space="preserve">This category includes Biological factors, Chemicals and other substances, Sound and pressure, </w:t>
      </w:r>
      <w:r w:rsidRPr="00086AB2">
        <w:br/>
        <w:t>Other multiple mechanisms of incidents, Rollover, slide or cave-in and Unspecified mechanisms.</w:t>
      </w:r>
    </w:p>
    <w:p w14:paraId="2BB96394" w14:textId="66BDF48E" w:rsidR="008F29A3" w:rsidRDefault="007C63BA" w:rsidP="008F29A3">
      <w:pPr>
        <w:keepNext/>
        <w:keepLines/>
      </w:pPr>
      <w:r>
        <w:t xml:space="preserve">Indicator 10f shows </w:t>
      </w:r>
      <w:r w:rsidR="008F29A3">
        <w:t>Queensland had the highest proportion of claims (10.4%)</w:t>
      </w:r>
      <w:r w:rsidR="008F29A3" w:rsidRPr="00CE312F">
        <w:t xml:space="preserve"> </w:t>
      </w:r>
      <w:r w:rsidR="008F29A3" w:rsidRPr="00086AB2">
        <w:t>for th</w:t>
      </w:r>
      <w:r w:rsidR="008F29A3">
        <w:t>ese</w:t>
      </w:r>
      <w:r w:rsidR="008F29A3" w:rsidRPr="00086AB2">
        <w:t xml:space="preserve"> mechanism</w:t>
      </w:r>
      <w:r w:rsidR="008F29A3">
        <w:t>s</w:t>
      </w:r>
      <w:r w:rsidR="008F29A3" w:rsidRPr="00086AB2">
        <w:t xml:space="preserve"> </w:t>
      </w:r>
      <w:r w:rsidR="008F29A3">
        <w:t xml:space="preserve">in </w:t>
      </w:r>
      <w:r w:rsidR="008F29A3" w:rsidRPr="00086AB2">
        <w:t>201</w:t>
      </w:r>
      <w:r w:rsidR="008F29A3">
        <w:t>8</w:t>
      </w:r>
      <w:r w:rsidR="008F29A3" w:rsidRPr="00086AB2">
        <w:t>–1</w:t>
      </w:r>
      <w:r w:rsidR="008F29A3">
        <w:t>9</w:t>
      </w:r>
      <w:r w:rsidR="00E4483A">
        <w:t>p</w:t>
      </w:r>
      <w:r w:rsidR="008F29A3">
        <w:t>, followed by New South Wales</w:t>
      </w:r>
      <w:r w:rsidR="008F29A3" w:rsidRPr="00086AB2">
        <w:t xml:space="preserve"> (</w:t>
      </w:r>
      <w:r w:rsidR="008F29A3">
        <w:t>8.2%</w:t>
      </w:r>
      <w:r w:rsidR="008F29A3" w:rsidRPr="00086AB2">
        <w:t xml:space="preserve">) </w:t>
      </w:r>
      <w:r w:rsidR="008F29A3">
        <w:t>and Seacare</w:t>
      </w:r>
      <w:r w:rsidR="008F29A3" w:rsidRPr="00086AB2">
        <w:t xml:space="preserve"> (</w:t>
      </w:r>
      <w:r w:rsidR="008F29A3">
        <w:t>8.1%</w:t>
      </w:r>
      <w:r w:rsidR="008F29A3" w:rsidRPr="00086AB2">
        <w:t>).</w:t>
      </w:r>
      <w:r w:rsidR="008F29A3">
        <w:t xml:space="preserve"> Victoria and the Northern Territory</w:t>
      </w:r>
      <w:r w:rsidR="008F29A3" w:rsidRPr="00086AB2">
        <w:t xml:space="preserve"> recorded the lowest proportion of serious claims (</w:t>
      </w:r>
      <w:r w:rsidR="008F29A3">
        <w:t>2.1%</w:t>
      </w:r>
      <w:r w:rsidR="008F29A3" w:rsidRPr="00086AB2">
        <w:t xml:space="preserve"> for </w:t>
      </w:r>
      <w:r w:rsidR="008F29A3">
        <w:t>each</w:t>
      </w:r>
      <w:r w:rsidR="008F29A3" w:rsidRPr="00086AB2">
        <w:t>) due to th</w:t>
      </w:r>
      <w:r w:rsidR="008F29A3">
        <w:t>ese</w:t>
      </w:r>
      <w:r w:rsidR="008F29A3" w:rsidRPr="00086AB2">
        <w:t xml:space="preserve"> mechanism</w:t>
      </w:r>
      <w:r w:rsidR="008F29A3">
        <w:t>s</w:t>
      </w:r>
      <w:r w:rsidR="008F29A3" w:rsidRPr="00086AB2">
        <w:t xml:space="preserve">. On average, </w:t>
      </w:r>
      <w:r w:rsidR="008F29A3">
        <w:t>6.3%</w:t>
      </w:r>
      <w:r w:rsidR="008F29A3" w:rsidRPr="00086AB2">
        <w:t xml:space="preserve"> of serious claims across Australia in 201</w:t>
      </w:r>
      <w:r w:rsidR="008F29A3">
        <w:t>8</w:t>
      </w:r>
      <w:r w:rsidR="008F29A3" w:rsidRPr="00086AB2">
        <w:t>–1</w:t>
      </w:r>
      <w:r w:rsidR="008F29A3">
        <w:t>9</w:t>
      </w:r>
      <w:r w:rsidR="00E4483A">
        <w:t>p</w:t>
      </w:r>
      <w:r w:rsidR="008F29A3" w:rsidRPr="00086AB2">
        <w:t xml:space="preserve"> were due to th</w:t>
      </w:r>
      <w:r w:rsidR="008F29A3">
        <w:t>ese</w:t>
      </w:r>
      <w:r w:rsidR="008F29A3" w:rsidRPr="00086AB2">
        <w:t xml:space="preserve"> mechanism</w:t>
      </w:r>
      <w:r w:rsidR="008F29A3">
        <w:t>s</w:t>
      </w:r>
      <w:r w:rsidR="008F29A3" w:rsidRPr="00086AB2">
        <w:t>.</w:t>
      </w:r>
      <w:r w:rsidR="008F29A3" w:rsidRPr="00CE312F">
        <w:t xml:space="preserve"> </w:t>
      </w:r>
    </w:p>
    <w:p w14:paraId="022DEAFA" w14:textId="5B9FFF65" w:rsidR="008F29A3" w:rsidRPr="00086AB2" w:rsidRDefault="008F29A3" w:rsidP="008F29A3">
      <w:pPr>
        <w:keepNext/>
        <w:keepLines/>
      </w:pPr>
      <w:r>
        <w:t xml:space="preserve">South Australia recorded a substantial increase in the proportion of serious claims due to these mechanisms in </w:t>
      </w:r>
      <w:r w:rsidRPr="00086AB2">
        <w:t>201</w:t>
      </w:r>
      <w:r>
        <w:t>5</w:t>
      </w:r>
      <w:r w:rsidRPr="00086AB2">
        <w:t>–1</w:t>
      </w:r>
      <w:r>
        <w:t xml:space="preserve">6 and </w:t>
      </w:r>
      <w:r w:rsidRPr="00086AB2">
        <w:t>201</w:t>
      </w:r>
      <w:r>
        <w:t>7</w:t>
      </w:r>
      <w:r w:rsidRPr="00086AB2">
        <w:t>–1</w:t>
      </w:r>
      <w:r>
        <w:t xml:space="preserve">8. Tasmania recorded substantial decreases since </w:t>
      </w:r>
      <w:r w:rsidRPr="00086AB2">
        <w:t>201</w:t>
      </w:r>
      <w:r>
        <w:t>4</w:t>
      </w:r>
      <w:r w:rsidR="00557E06" w:rsidRPr="00086AB2">
        <w:t>–</w:t>
      </w:r>
      <w:r w:rsidRPr="00086AB2">
        <w:t>1</w:t>
      </w:r>
      <w:r>
        <w:t xml:space="preserve">5. These substantial changes in proportions can be related to the fluctuations in the number of serious claims coded to “Unspecified mechanisms of incident” in these years and may therefore reflect issues with coding rather than significant increases or decreases in serious claims related to the specific issues noted above.  </w:t>
      </w:r>
    </w:p>
    <w:p w14:paraId="1FA2852C" w14:textId="15B70607" w:rsidR="00F51F06" w:rsidRPr="00086AB2" w:rsidRDefault="00F51F06" w:rsidP="00930562">
      <w:pPr>
        <w:pStyle w:val="SWATableheader"/>
        <w:spacing w:before="120"/>
      </w:pPr>
      <w:bookmarkStart w:id="65" w:name="_Hlk56772807"/>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f</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O</w:t>
      </w:r>
      <w:r w:rsidRPr="00086AB2">
        <w:t>ther mechanisms by jurisdiction</w:t>
      </w:r>
      <w:r w:rsidR="00FF022B">
        <w:t xml:space="preserve"> </w:t>
      </w:r>
    </w:p>
    <w:bookmarkEnd w:id="65"/>
    <w:p w14:paraId="38DBB6E9" w14:textId="7D26D1BD" w:rsidR="00905154" w:rsidRPr="00086AB2" w:rsidRDefault="00F60444" w:rsidP="00A97199">
      <w:pPr>
        <w:spacing w:after="0"/>
        <w:jc w:val="center"/>
      </w:pPr>
      <w:r>
        <w:rPr>
          <w:noProof/>
        </w:rPr>
        <w:drawing>
          <wp:inline distT="0" distB="0" distL="0" distR="0" wp14:anchorId="569DCEC1" wp14:editId="20CFB815">
            <wp:extent cx="5067300" cy="3042104"/>
            <wp:effectExtent l="0" t="0" r="0" b="6350"/>
            <wp:docPr id="17" name="Picture 17" descr="Indicator 10f – Proportion of serious claims involving Other mechanisms by jurisdiction&#10;&#10;This chart shows the proportion of serious claims for Other mechanisms of incident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3042104"/>
                    </a:xfrm>
                    <a:prstGeom prst="rect">
                      <a:avLst/>
                    </a:prstGeom>
                    <a:noFill/>
                    <a:ln>
                      <a:noFill/>
                    </a:ln>
                  </pic:spPr>
                </pic:pic>
              </a:graphicData>
            </a:graphic>
          </wp:inline>
        </w:drawing>
      </w:r>
    </w:p>
    <w:p w14:paraId="52D1F4B8" w14:textId="77777777" w:rsidR="007C63BA" w:rsidRDefault="007C63BA">
      <w:pPr>
        <w:spacing w:after="200" w:line="276" w:lineRule="auto"/>
        <w:jc w:val="left"/>
        <w:rPr>
          <w:rFonts w:ascii="Arial Bold" w:eastAsiaTheme="majorEastAsia" w:hAnsi="Arial Bold" w:cs="Arial"/>
          <w:b/>
          <w:kern w:val="32"/>
          <w:sz w:val="28"/>
          <w:szCs w:val="22"/>
        </w:rPr>
      </w:pPr>
      <w:r>
        <w:br w:type="page"/>
      </w:r>
    </w:p>
    <w:p w14:paraId="6004DEE3" w14:textId="01486EDE" w:rsidR="005F2FC4" w:rsidRPr="00086AB2" w:rsidRDefault="005F2FC4" w:rsidP="004F6BA7">
      <w:pPr>
        <w:pStyle w:val="Heading1"/>
        <w:spacing w:before="120"/>
      </w:pPr>
      <w:r w:rsidRPr="00086AB2">
        <w:lastRenderedPageBreak/>
        <w:t>Vehicle incidents</w:t>
      </w:r>
      <w:r w:rsidR="002E1736">
        <w:t xml:space="preserve"> </w:t>
      </w:r>
    </w:p>
    <w:p w14:paraId="35E786ED" w14:textId="205BD2C4" w:rsidR="005F2FC4" w:rsidRPr="00086AB2" w:rsidRDefault="005F2FC4" w:rsidP="00930562">
      <w:r w:rsidRPr="00086AB2">
        <w:t>In</w:t>
      </w:r>
      <w:r w:rsidR="00557FCC" w:rsidRPr="00086AB2">
        <w:t xml:space="preserve"> 201</w:t>
      </w:r>
      <w:r w:rsidR="00140956">
        <w:t>8</w:t>
      </w:r>
      <w:r w:rsidR="00557FCC" w:rsidRPr="00086AB2">
        <w:t>–1</w:t>
      </w:r>
      <w:r w:rsidR="00140956">
        <w:t>9</w:t>
      </w:r>
      <w:r w:rsidR="00E4483A">
        <w:t>p</w:t>
      </w:r>
      <w:r w:rsidRPr="00086AB2">
        <w:t xml:space="preserve">, </w:t>
      </w:r>
      <w:r w:rsidR="00557FCC" w:rsidRPr="00086AB2">
        <w:t>2.</w:t>
      </w:r>
      <w:r w:rsidR="00140956">
        <w:t>3</w:t>
      </w:r>
      <w:r w:rsidR="003C4F76">
        <w:t>%</w:t>
      </w:r>
      <w:r w:rsidRPr="00086AB2">
        <w:t xml:space="preserve"> of all serious claims across Australian jurisdictions were due to Vehicle incidents as shown in Indicator 10g. </w:t>
      </w:r>
      <w:r w:rsidR="00036775" w:rsidRPr="00086AB2">
        <w:t xml:space="preserve">Serious claims due to vehicle incidents cover all claims lodged and accepted for compensation where </w:t>
      </w:r>
      <w:r w:rsidR="00ED2224" w:rsidRPr="00086AB2">
        <w:t xml:space="preserve">a </w:t>
      </w:r>
      <w:r w:rsidR="00036775" w:rsidRPr="00086AB2">
        <w:t>vehicle</w:t>
      </w:r>
      <w:r w:rsidR="00ED2224" w:rsidRPr="00086AB2">
        <w:t xml:space="preserve"> collision was </w:t>
      </w:r>
      <w:r w:rsidR="00036775" w:rsidRPr="00086AB2">
        <w:t xml:space="preserve">involved in </w:t>
      </w:r>
      <w:r w:rsidR="00ED2224" w:rsidRPr="00086AB2">
        <w:t xml:space="preserve">leading to the </w:t>
      </w:r>
      <w:r w:rsidR="00036775" w:rsidRPr="00086AB2">
        <w:t>injuries</w:t>
      </w:r>
      <w:r w:rsidR="00E85147" w:rsidRPr="00086AB2">
        <w:t>.</w:t>
      </w:r>
    </w:p>
    <w:p w14:paraId="0E30117C" w14:textId="7DB1613F" w:rsidR="00F51F06" w:rsidRPr="00086AB2" w:rsidRDefault="005F2FC4" w:rsidP="00930562">
      <w:r w:rsidRPr="00086AB2">
        <w:t xml:space="preserve">The Australian Government </w:t>
      </w:r>
      <w:r w:rsidR="00ED2224" w:rsidRPr="00086AB2">
        <w:t xml:space="preserve">recorded </w:t>
      </w:r>
      <w:r w:rsidRPr="00086AB2">
        <w:t xml:space="preserve">the highest proportion of serious claims </w:t>
      </w:r>
      <w:r w:rsidR="00ED2224" w:rsidRPr="00086AB2">
        <w:t>(</w:t>
      </w:r>
      <w:r w:rsidR="00140956">
        <w:t>10.8</w:t>
      </w:r>
      <w:r w:rsidR="003C4F76">
        <w:t>%</w:t>
      </w:r>
      <w:r w:rsidR="00ED2224" w:rsidRPr="00086AB2">
        <w:t xml:space="preserve">) </w:t>
      </w:r>
      <w:r w:rsidRPr="00086AB2">
        <w:t xml:space="preserve">due to this mechanism </w:t>
      </w:r>
      <w:r w:rsidR="00FA3010" w:rsidRPr="00086AB2">
        <w:t>in</w:t>
      </w:r>
      <w:r w:rsidRPr="00086AB2">
        <w:t xml:space="preserve"> </w:t>
      </w:r>
      <w:r w:rsidR="00557FCC" w:rsidRPr="00086AB2">
        <w:t>201</w:t>
      </w:r>
      <w:r w:rsidR="00140956">
        <w:t>8</w:t>
      </w:r>
      <w:r w:rsidR="00557FCC" w:rsidRPr="00086AB2">
        <w:t>–1</w:t>
      </w:r>
      <w:r w:rsidR="00140956">
        <w:t>9</w:t>
      </w:r>
      <w:r w:rsidR="00E4483A">
        <w:t>p</w:t>
      </w:r>
      <w:r w:rsidRPr="00086AB2">
        <w:t>, which was</w:t>
      </w:r>
      <w:r w:rsidR="00522E61" w:rsidRPr="00086AB2">
        <w:t xml:space="preserve"> </w:t>
      </w:r>
      <w:r w:rsidR="00140956">
        <w:t>five</w:t>
      </w:r>
      <w:r w:rsidRPr="00086AB2">
        <w:t xml:space="preserve"> times the Australian average. </w:t>
      </w:r>
      <w:r w:rsidR="004F7AAA" w:rsidRPr="00086AB2">
        <w:t>This</w:t>
      </w:r>
      <w:r w:rsidR="008902C4" w:rsidRPr="00086AB2">
        <w:t xml:space="preserve"> may</w:t>
      </w:r>
      <w:r w:rsidR="00ED2224" w:rsidRPr="00086AB2">
        <w:t>,</w:t>
      </w:r>
      <w:r w:rsidR="008902C4" w:rsidRPr="00086AB2">
        <w:t xml:space="preserve"> in part</w:t>
      </w:r>
      <w:r w:rsidR="00ED2224" w:rsidRPr="00086AB2">
        <w:t>,</w:t>
      </w:r>
      <w:r w:rsidR="008902C4" w:rsidRPr="00086AB2">
        <w:t xml:space="preserve"> be explained by the composition of this jurisdiction leading to lower proportions of claims </w:t>
      </w:r>
      <w:r w:rsidR="00557FCC" w:rsidRPr="00086AB2">
        <w:t xml:space="preserve">for </w:t>
      </w:r>
      <w:r w:rsidR="008902C4" w:rsidRPr="00086AB2">
        <w:t>other mechanisms</w:t>
      </w:r>
      <w:r w:rsidR="004F7AAA" w:rsidRPr="00086AB2">
        <w:t xml:space="preserve">. </w:t>
      </w:r>
      <w:r w:rsidRPr="00086AB2">
        <w:t>Tasmania had the lowest proportion of claims (1.</w:t>
      </w:r>
      <w:r w:rsidR="00140956">
        <w:t>5</w:t>
      </w:r>
      <w:r w:rsidR="003C4F76">
        <w:t>%</w:t>
      </w:r>
      <w:r w:rsidRPr="00086AB2">
        <w:t xml:space="preserve">), followed by </w:t>
      </w:r>
      <w:r w:rsidR="006135D1">
        <w:t>South Australia</w:t>
      </w:r>
      <w:r w:rsidRPr="00086AB2">
        <w:t xml:space="preserve"> (</w:t>
      </w:r>
      <w:r w:rsidR="006135D1">
        <w:t>1.</w:t>
      </w:r>
      <w:r w:rsidR="00140956">
        <w:t>6</w:t>
      </w:r>
      <w:r w:rsidR="003C4F76">
        <w:t>%</w:t>
      </w:r>
      <w:r w:rsidR="00522E61" w:rsidRPr="00086AB2">
        <w:t>)</w:t>
      </w:r>
      <w:r w:rsidRPr="00086AB2">
        <w:t xml:space="preserve">. Seacare </w:t>
      </w:r>
      <w:r w:rsidR="00CE312F">
        <w:t xml:space="preserve">did </w:t>
      </w:r>
      <w:r w:rsidRPr="00086AB2">
        <w:t xml:space="preserve">not report any Vehicle incident related claims </w:t>
      </w:r>
      <w:r w:rsidR="006135D1">
        <w:t>in the period.</w:t>
      </w:r>
    </w:p>
    <w:p w14:paraId="651B7E4A" w14:textId="0255E8AA" w:rsidR="005F2FC4" w:rsidRPr="00086AB2" w:rsidRDefault="005F2FC4" w:rsidP="004F6BA7">
      <w:pPr>
        <w:pStyle w:val="SWATableheader"/>
        <w:spacing w:after="0"/>
      </w:pPr>
      <w:bookmarkStart w:id="66" w:name="_Hlk56772813"/>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g</w:t>
      </w:r>
      <w:r w:rsidR="006F0762" w:rsidRPr="00086AB2">
        <w:rPr>
          <w:noProof/>
        </w:rPr>
        <w:fldChar w:fldCharType="end"/>
      </w:r>
      <w:r w:rsidRPr="00086AB2">
        <w:t xml:space="preserve"> </w:t>
      </w:r>
      <w:r w:rsidR="007C1D0C" w:rsidRPr="00086AB2">
        <w:t>–</w:t>
      </w:r>
      <w:r w:rsidRPr="00086AB2">
        <w:t xml:space="preserve"> Proportion of serious claims involving </w:t>
      </w:r>
      <w:r w:rsidR="009D46FF" w:rsidRPr="00086AB2">
        <w:t>V</w:t>
      </w:r>
      <w:r w:rsidRPr="00086AB2">
        <w:t>ehicle incidents by jurisdiction</w:t>
      </w:r>
      <w:r w:rsidR="00FF022B">
        <w:t xml:space="preserve"> </w:t>
      </w:r>
    </w:p>
    <w:bookmarkEnd w:id="66"/>
    <w:p w14:paraId="6AC8B838" w14:textId="2E7DF7B1" w:rsidR="005F2FC4" w:rsidRPr="00086AB2" w:rsidRDefault="00A90C6E" w:rsidP="00A90C6E">
      <w:pPr>
        <w:jc w:val="center"/>
      </w:pPr>
      <w:r>
        <w:rPr>
          <w:noProof/>
        </w:rPr>
        <w:drawing>
          <wp:inline distT="0" distB="0" distL="0" distR="0" wp14:anchorId="44CA95F9" wp14:editId="41AA0186">
            <wp:extent cx="4254238" cy="2552700"/>
            <wp:effectExtent l="0" t="0" r="0" b="0"/>
            <wp:docPr id="55" name="Picture 55" descr="Indicator 10g – Proportion of serious claims involving Vehicle incidents by jurisdiction&#10;&#10;This chart shows the proportion of serious claims for Vehicle incidents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7362" cy="2572576"/>
                    </a:xfrm>
                    <a:prstGeom prst="rect">
                      <a:avLst/>
                    </a:prstGeom>
                    <a:noFill/>
                  </pic:spPr>
                </pic:pic>
              </a:graphicData>
            </a:graphic>
          </wp:inline>
        </w:drawing>
      </w:r>
    </w:p>
    <w:p w14:paraId="3150264B" w14:textId="3F203343" w:rsidR="005F2FC4" w:rsidRPr="00086AB2" w:rsidRDefault="005F2FC4" w:rsidP="004F6BA7">
      <w:pPr>
        <w:pStyle w:val="Heading1"/>
        <w:spacing w:before="120"/>
      </w:pPr>
      <w:r w:rsidRPr="00086AB2">
        <w:t>Heat, electricity and other environmental factors</w:t>
      </w:r>
      <w:r w:rsidR="002E1736">
        <w:t xml:space="preserve"> </w:t>
      </w:r>
    </w:p>
    <w:p w14:paraId="6AD9DF17" w14:textId="18ECA8FF" w:rsidR="005F2FC4" w:rsidRPr="00086AB2" w:rsidRDefault="005F2FC4" w:rsidP="008902C4">
      <w:pPr>
        <w:keepNext/>
        <w:keepLines/>
      </w:pPr>
      <w:r w:rsidRPr="00086AB2">
        <w:t>Of</w:t>
      </w:r>
      <w:r w:rsidR="00D8013D" w:rsidRPr="00086AB2">
        <w:t xml:space="preserve"> all the mechanisms of incident</w:t>
      </w:r>
      <w:r w:rsidRPr="00086AB2">
        <w:t xml:space="preserve">, claims associated with Heat, electricity and other environmental factors </w:t>
      </w:r>
      <w:r w:rsidR="00D8013D" w:rsidRPr="00086AB2">
        <w:t>accounted for</w:t>
      </w:r>
      <w:r w:rsidRPr="00086AB2">
        <w:t xml:space="preserve"> the lowest proportion (1.4</w:t>
      </w:r>
      <w:r w:rsidR="003C4F76">
        <w:t>%</w:t>
      </w:r>
      <w:r w:rsidR="006C5CAB" w:rsidRPr="00086AB2">
        <w:t>) of serious claims in 201</w:t>
      </w:r>
      <w:r w:rsidR="00375544">
        <w:t>8</w:t>
      </w:r>
      <w:r w:rsidR="006C5CAB" w:rsidRPr="00086AB2">
        <w:t>–1</w:t>
      </w:r>
      <w:r w:rsidR="00375544">
        <w:t>9</w:t>
      </w:r>
      <w:r w:rsidR="00E4483A">
        <w:t>p</w:t>
      </w:r>
      <w:r w:rsidR="007C63BA">
        <w:t xml:space="preserve"> (Indicator 10h)</w:t>
      </w:r>
      <w:r w:rsidRPr="00086AB2">
        <w:t xml:space="preserve">. </w:t>
      </w:r>
      <w:r w:rsidR="007C63BA">
        <w:t>T</w:t>
      </w:r>
      <w:r w:rsidRPr="00086AB2">
        <w:t xml:space="preserve">he proportion of claims has </w:t>
      </w:r>
      <w:r w:rsidR="00D8013D" w:rsidRPr="00086AB2">
        <w:t>been</w:t>
      </w:r>
      <w:r w:rsidR="006C5CAB" w:rsidRPr="00086AB2">
        <w:t xml:space="preserve"> stable since 201</w:t>
      </w:r>
      <w:r w:rsidR="002E4350">
        <w:t>3</w:t>
      </w:r>
      <w:r w:rsidR="006C5CAB" w:rsidRPr="00086AB2">
        <w:t>–1</w:t>
      </w:r>
      <w:r w:rsidR="002E4350">
        <w:t>4</w:t>
      </w:r>
      <w:r w:rsidRPr="00086AB2">
        <w:t xml:space="preserve"> at </w:t>
      </w:r>
      <w:r w:rsidR="007C63BA">
        <w:t xml:space="preserve">around </w:t>
      </w:r>
      <w:r w:rsidRPr="00086AB2">
        <w:t>1.4</w:t>
      </w:r>
      <w:r w:rsidR="003C4F76">
        <w:t>%</w:t>
      </w:r>
      <w:r w:rsidRPr="00086AB2">
        <w:t>.</w:t>
      </w:r>
    </w:p>
    <w:p w14:paraId="43505903" w14:textId="0F52148A" w:rsidR="005F2FC4" w:rsidRPr="00086AB2" w:rsidRDefault="002E4350" w:rsidP="008902C4">
      <w:pPr>
        <w:keepNext/>
        <w:keepLines/>
      </w:pPr>
      <w:r>
        <w:t>Western Australia</w:t>
      </w:r>
      <w:r w:rsidR="000A4B8E">
        <w:t xml:space="preserve"> </w:t>
      </w:r>
      <w:r w:rsidR="006C5CAB" w:rsidRPr="00086AB2">
        <w:t>(1.</w:t>
      </w:r>
      <w:r w:rsidR="00DA7030">
        <w:t>9</w:t>
      </w:r>
      <w:r w:rsidR="003C4F76">
        <w:t>%</w:t>
      </w:r>
      <w:r w:rsidR="006C5CAB" w:rsidRPr="00086AB2">
        <w:t xml:space="preserve">) </w:t>
      </w:r>
      <w:r w:rsidR="005F2FC4" w:rsidRPr="00086AB2">
        <w:t xml:space="preserve">had the highest proportion of claims due to this mechanism, followed by </w:t>
      </w:r>
      <w:r w:rsidR="000A4B8E">
        <w:t>Tasmania</w:t>
      </w:r>
      <w:r w:rsidR="006C5CAB" w:rsidRPr="00086AB2">
        <w:t xml:space="preserve"> (1.</w:t>
      </w:r>
      <w:r w:rsidR="00DA7030">
        <w:t>5</w:t>
      </w:r>
      <w:r w:rsidR="003C4F76">
        <w:t>%</w:t>
      </w:r>
      <w:r w:rsidR="006C5CAB" w:rsidRPr="00086AB2">
        <w:t>)</w:t>
      </w:r>
      <w:r w:rsidR="00557E06" w:rsidRPr="00557E06">
        <w:t xml:space="preserve"> </w:t>
      </w:r>
      <w:r w:rsidR="00557E06" w:rsidRPr="00086AB2">
        <w:t>in 201</w:t>
      </w:r>
      <w:r w:rsidR="00557E06">
        <w:t>8</w:t>
      </w:r>
      <w:r w:rsidR="00557E06" w:rsidRPr="00086AB2">
        <w:t>–1</w:t>
      </w:r>
      <w:r w:rsidR="00557E06">
        <w:t>9</w:t>
      </w:r>
      <w:r w:rsidR="00E4483A">
        <w:t>p</w:t>
      </w:r>
      <w:r w:rsidR="00D8013D" w:rsidRPr="00086AB2">
        <w:t xml:space="preserve">. </w:t>
      </w:r>
      <w:r w:rsidR="000A4B8E">
        <w:t>T</w:t>
      </w:r>
      <w:r w:rsidR="00D8013D" w:rsidRPr="00086AB2">
        <w:t>he lowest proportion</w:t>
      </w:r>
      <w:r w:rsidR="005F2FC4" w:rsidRPr="00086AB2">
        <w:t xml:space="preserve"> w</w:t>
      </w:r>
      <w:r w:rsidR="00EA66A0" w:rsidRPr="00086AB2">
        <w:t>as</w:t>
      </w:r>
      <w:r w:rsidR="005F2FC4" w:rsidRPr="00086AB2">
        <w:t xml:space="preserve"> reported by the Australian</w:t>
      </w:r>
      <w:r w:rsidR="00DA7030">
        <w:t xml:space="preserve"> </w:t>
      </w:r>
      <w:r w:rsidR="005F2FC4" w:rsidRPr="00086AB2">
        <w:t>Government (0.</w:t>
      </w:r>
      <w:r w:rsidR="00DA7030">
        <w:t>3</w:t>
      </w:r>
      <w:r w:rsidR="003C4F76">
        <w:t>%</w:t>
      </w:r>
      <w:r w:rsidR="005F2FC4" w:rsidRPr="00086AB2">
        <w:t>)</w:t>
      </w:r>
      <w:r w:rsidR="000A4B8E">
        <w:t xml:space="preserve">, followed by </w:t>
      </w:r>
      <w:r w:rsidR="00DA7030">
        <w:t>the Australian Capital Territory</w:t>
      </w:r>
      <w:r w:rsidR="000A4B8E">
        <w:t xml:space="preserve"> (</w:t>
      </w:r>
      <w:r w:rsidR="00DA7030">
        <w:t>0.7</w:t>
      </w:r>
      <w:r w:rsidR="003C4F76">
        <w:t>%</w:t>
      </w:r>
      <w:r w:rsidR="000A4B8E">
        <w:t xml:space="preserve">) in </w:t>
      </w:r>
      <w:r w:rsidR="00EA66A0" w:rsidRPr="00086AB2">
        <w:t>201</w:t>
      </w:r>
      <w:r w:rsidR="00DA7030">
        <w:t>8</w:t>
      </w:r>
      <w:r w:rsidR="00EA66A0" w:rsidRPr="00086AB2">
        <w:t>–1</w:t>
      </w:r>
      <w:r w:rsidR="00DA7030">
        <w:t>9</w:t>
      </w:r>
      <w:r w:rsidR="00E4483A">
        <w:t>p.</w:t>
      </w:r>
      <w:r>
        <w:t xml:space="preserve"> Seacare did not record any serious claims associated with this mechanism of incident during </w:t>
      </w:r>
      <w:r w:rsidRPr="00086AB2">
        <w:t>201</w:t>
      </w:r>
      <w:r>
        <w:t>8</w:t>
      </w:r>
      <w:r w:rsidRPr="00086AB2">
        <w:t>–1</w:t>
      </w:r>
      <w:r>
        <w:t>9</w:t>
      </w:r>
      <w:r w:rsidR="00E4483A">
        <w:t>p</w:t>
      </w:r>
      <w:r>
        <w:t>.</w:t>
      </w:r>
    </w:p>
    <w:p w14:paraId="7C73920A" w14:textId="5831D7E9" w:rsidR="005F2FC4" w:rsidRPr="00086AB2" w:rsidRDefault="005F2FC4" w:rsidP="004F6BA7">
      <w:pPr>
        <w:pStyle w:val="SWATableheader"/>
        <w:keepLines/>
        <w:spacing w:after="0"/>
      </w:pPr>
      <w:bookmarkStart w:id="67" w:name="_Hlk56775158"/>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772B12">
        <w:rPr>
          <w:noProof/>
        </w:rPr>
        <w:t>h</w:t>
      </w:r>
      <w:r w:rsidR="006F0762" w:rsidRPr="00086AB2">
        <w:rPr>
          <w:noProof/>
        </w:rPr>
        <w:fldChar w:fldCharType="end"/>
      </w:r>
      <w:r w:rsidRPr="00086AB2">
        <w:t xml:space="preserve"> </w:t>
      </w:r>
      <w:r w:rsidR="007C1D0C" w:rsidRPr="00086AB2">
        <w:t>–</w:t>
      </w:r>
      <w:r w:rsidRPr="00086AB2">
        <w:t xml:space="preserve"> Proportion of serious claims involving </w:t>
      </w:r>
      <w:r w:rsidR="009D46FF" w:rsidRPr="00086AB2">
        <w:t>H</w:t>
      </w:r>
      <w:r w:rsidRPr="00086AB2">
        <w:t>eat, electricity and other environmental factors by jurisdiction</w:t>
      </w:r>
    </w:p>
    <w:bookmarkEnd w:id="67"/>
    <w:p w14:paraId="78B6948C" w14:textId="2F0D3B74" w:rsidR="00905154" w:rsidRPr="00086AB2" w:rsidRDefault="00D64A2A" w:rsidP="006C5CAB">
      <w:pPr>
        <w:jc w:val="center"/>
      </w:pPr>
      <w:r>
        <w:rPr>
          <w:noProof/>
        </w:rPr>
        <w:drawing>
          <wp:inline distT="0" distB="0" distL="0" distR="0" wp14:anchorId="2AAA902B" wp14:editId="7FEEE540">
            <wp:extent cx="4286250" cy="2571909"/>
            <wp:effectExtent l="0" t="0" r="0" b="0"/>
            <wp:docPr id="26" name="Picture 26" descr="Indicator 10h – Proportion of serious claims involving Heat, electricity and other environmental factors by jurisdiction&#10;&#10;This chart shows the proportion of serious claims for Heat, electricity and other environmental factors between 2013-14 and 2018-19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9380" cy="2591788"/>
                    </a:xfrm>
                    <a:prstGeom prst="rect">
                      <a:avLst/>
                    </a:prstGeom>
                    <a:noFill/>
                  </pic:spPr>
                </pic:pic>
              </a:graphicData>
            </a:graphic>
          </wp:inline>
        </w:drawing>
      </w:r>
    </w:p>
    <w:p w14:paraId="0F6DB613" w14:textId="10507C77" w:rsidR="005F2FC4" w:rsidRPr="00086AB2" w:rsidRDefault="009C1651" w:rsidP="00B51041">
      <w:pPr>
        <w:pStyle w:val="SWASectionnumberingheading"/>
      </w:pPr>
      <w:bookmarkStart w:id="68" w:name="_Toc55294238"/>
      <w:r w:rsidRPr="00086AB2">
        <w:lastRenderedPageBreak/>
        <w:t>Claims by industry</w:t>
      </w:r>
      <w:bookmarkEnd w:id="68"/>
      <w:r w:rsidR="00C355C7">
        <w:t xml:space="preserve"> </w:t>
      </w:r>
    </w:p>
    <w:p w14:paraId="7EEEAA13" w14:textId="490513AB" w:rsidR="009C1651" w:rsidRPr="00086AB2" w:rsidRDefault="00720C28" w:rsidP="00066D3B">
      <w:pPr>
        <w:keepNext/>
        <w:keepLines/>
      </w:pPr>
      <w:r w:rsidRPr="00086AB2">
        <w:t xml:space="preserve">Preliminary data </w:t>
      </w:r>
      <w:r w:rsidR="007C63BA">
        <w:t>in I</w:t>
      </w:r>
      <w:r w:rsidR="00655324">
        <w:t xml:space="preserve">ndicator 11 </w:t>
      </w:r>
      <w:r w:rsidRPr="00086AB2">
        <w:t>show</w:t>
      </w:r>
      <w:r w:rsidR="003C15FC">
        <w:t>s</w:t>
      </w:r>
      <w:r w:rsidRPr="00086AB2">
        <w:t xml:space="preserve"> that i</w:t>
      </w:r>
      <w:r w:rsidR="005E5F2A" w:rsidRPr="00086AB2">
        <w:t>n 201</w:t>
      </w:r>
      <w:r w:rsidR="00536289">
        <w:t>8</w:t>
      </w:r>
      <w:r w:rsidR="005E5F2A" w:rsidRPr="00086AB2">
        <w:t>–1</w:t>
      </w:r>
      <w:r w:rsidR="00536289">
        <w:t>9</w:t>
      </w:r>
      <w:r w:rsidR="009C1651" w:rsidRPr="00086AB2">
        <w:t>, the Agriculture, forestry and fishing industry recorded the h</w:t>
      </w:r>
      <w:r w:rsidRPr="00086AB2">
        <w:t xml:space="preserve">ighest incidence rate with </w:t>
      </w:r>
      <w:r w:rsidR="00536289">
        <w:t>17.2</w:t>
      </w:r>
      <w:r w:rsidRPr="00086AB2">
        <w:t> </w:t>
      </w:r>
      <w:r w:rsidR="009C1651" w:rsidRPr="00086AB2">
        <w:t xml:space="preserve">serious claims per </w:t>
      </w:r>
      <w:r w:rsidR="000B6602" w:rsidRPr="00086AB2">
        <w:t>1,000</w:t>
      </w:r>
      <w:r w:rsidR="009C1651" w:rsidRPr="00086AB2">
        <w:t xml:space="preserve"> employees, followe</w:t>
      </w:r>
      <w:r w:rsidRPr="00086AB2">
        <w:t xml:space="preserve">d by the </w:t>
      </w:r>
      <w:r w:rsidR="002B3EBB">
        <w:t>Manufacturing</w:t>
      </w:r>
      <w:r w:rsidR="003C15FC">
        <w:t> </w:t>
      </w:r>
      <w:r w:rsidRPr="00086AB2">
        <w:t>(1</w:t>
      </w:r>
      <w:r w:rsidR="002B3EBB">
        <w:t>5.</w:t>
      </w:r>
      <w:r w:rsidR="00536289">
        <w:t>7</w:t>
      </w:r>
      <w:r w:rsidRPr="00086AB2">
        <w:t>),</w:t>
      </w:r>
      <w:r w:rsidR="009C1651" w:rsidRPr="00086AB2">
        <w:t xml:space="preserve"> </w:t>
      </w:r>
      <w:r w:rsidR="002B3EBB">
        <w:t>Construction</w:t>
      </w:r>
      <w:r w:rsidR="007C63BA">
        <w:t>,</w:t>
      </w:r>
      <w:r w:rsidR="00536289">
        <w:t xml:space="preserve"> and</w:t>
      </w:r>
      <w:r w:rsidR="009C1651" w:rsidRPr="00086AB2">
        <w:t xml:space="preserve"> </w:t>
      </w:r>
      <w:r w:rsidRPr="00086AB2">
        <w:t>Transport, postal and warehousing</w:t>
      </w:r>
      <w:r w:rsidR="00A97019">
        <w:t xml:space="preserve"> industries</w:t>
      </w:r>
      <w:r w:rsidRPr="00086AB2">
        <w:t xml:space="preserve"> (</w:t>
      </w:r>
      <w:r w:rsidR="002B3EBB">
        <w:t>1</w:t>
      </w:r>
      <w:r w:rsidR="00536289">
        <w:t>5</w:t>
      </w:r>
      <w:r w:rsidR="002B3EBB">
        <w:t>.</w:t>
      </w:r>
      <w:r w:rsidR="00536289">
        <w:t xml:space="preserve">2 </w:t>
      </w:r>
      <w:r w:rsidR="007C63BA">
        <w:t>respectively</w:t>
      </w:r>
      <w:r w:rsidRPr="00086AB2">
        <w:t>)</w:t>
      </w:r>
      <w:r w:rsidR="009C1651" w:rsidRPr="00086AB2">
        <w:t xml:space="preserve">. Under the </w:t>
      </w:r>
      <w:hyperlink r:id="rId42" w:history="1">
        <w:r w:rsidR="009C1651" w:rsidRPr="00086AB2">
          <w:rPr>
            <w:rStyle w:val="SWALinkChar"/>
            <w:i/>
          </w:rPr>
          <w:t>Australian Work Health and Safety Strategy 2012–2022</w:t>
        </w:r>
      </w:hyperlink>
      <w:r w:rsidR="009C1651" w:rsidRPr="00086AB2">
        <w:t xml:space="preserve"> these industries together with</w:t>
      </w:r>
      <w:r w:rsidR="00A97019">
        <w:t xml:space="preserve"> Health care</w:t>
      </w:r>
      <w:r w:rsidR="009C1651" w:rsidRPr="00086AB2">
        <w:t xml:space="preserve"> </w:t>
      </w:r>
      <w:r w:rsidR="00A97019">
        <w:t xml:space="preserve">and social assistance, </w:t>
      </w:r>
      <w:r w:rsidR="009C1651" w:rsidRPr="00086AB2">
        <w:t>Accommodation and food services</w:t>
      </w:r>
      <w:r w:rsidR="00A97019">
        <w:t xml:space="preserve"> and</w:t>
      </w:r>
      <w:r w:rsidR="009C1651" w:rsidRPr="00086AB2">
        <w:t xml:space="preserve"> Public administration and safety</w:t>
      </w:r>
      <w:r w:rsidR="00577EA3">
        <w:t>,</w:t>
      </w:r>
      <w:r w:rsidR="009C1651" w:rsidRPr="00086AB2">
        <w:t xml:space="preserve"> have been identified as national priorities for prevention activities.</w:t>
      </w:r>
    </w:p>
    <w:p w14:paraId="24FF9D6E" w14:textId="0FA7299B" w:rsidR="000C5435" w:rsidRDefault="009C1651" w:rsidP="009C1651">
      <w:r w:rsidRPr="00086AB2">
        <w:t xml:space="preserve">Decreases in the incidence rate of serious claims between </w:t>
      </w:r>
      <w:r w:rsidR="005E5F2A" w:rsidRPr="00086AB2">
        <w:t>201</w:t>
      </w:r>
      <w:r w:rsidR="00A97019">
        <w:t>3</w:t>
      </w:r>
      <w:r w:rsidR="005E5F2A" w:rsidRPr="00086AB2">
        <w:t>–1</w:t>
      </w:r>
      <w:r w:rsidR="00A97019">
        <w:t>4</w:t>
      </w:r>
      <w:r w:rsidRPr="00086AB2">
        <w:t xml:space="preserve"> and </w:t>
      </w:r>
      <w:r w:rsidR="005E5F2A" w:rsidRPr="00086AB2">
        <w:t>201</w:t>
      </w:r>
      <w:r w:rsidR="00536289">
        <w:t>7</w:t>
      </w:r>
      <w:r w:rsidR="005E5F2A" w:rsidRPr="00086AB2">
        <w:t>–1</w:t>
      </w:r>
      <w:r w:rsidR="00536289">
        <w:t>8</w:t>
      </w:r>
      <w:r w:rsidRPr="00086AB2">
        <w:t xml:space="preserve"> were recorded for all industries</w:t>
      </w:r>
      <w:r w:rsidR="005E5F2A" w:rsidRPr="00086AB2">
        <w:t xml:space="preserve"> except</w:t>
      </w:r>
      <w:r w:rsidR="002B3EBB">
        <w:t xml:space="preserve"> Administrative and support services</w:t>
      </w:r>
      <w:r w:rsidR="005E5F2A" w:rsidRPr="00086AB2">
        <w:t xml:space="preserve"> (up </w:t>
      </w:r>
      <w:r w:rsidR="00577EA3">
        <w:t>13</w:t>
      </w:r>
      <w:r w:rsidR="003C4F76">
        <w:t>%</w:t>
      </w:r>
      <w:r w:rsidR="005E5F2A" w:rsidRPr="00086AB2">
        <w:t>)</w:t>
      </w:r>
      <w:r w:rsidR="00577EA3">
        <w:t xml:space="preserve"> and</w:t>
      </w:r>
      <w:r w:rsidR="002B3EBB">
        <w:t xml:space="preserve"> </w:t>
      </w:r>
      <w:r w:rsidR="00713B42">
        <w:t>Wholesale trade (up</w:t>
      </w:r>
      <w:r w:rsidR="007D2274">
        <w:t> </w:t>
      </w:r>
      <w:r w:rsidR="00577EA3">
        <w:t>11</w:t>
      </w:r>
      <w:r w:rsidR="003C4F76">
        <w:t>%</w:t>
      </w:r>
      <w:r w:rsidR="00713B42">
        <w:t>)</w:t>
      </w:r>
      <w:r w:rsidR="00577EA3">
        <w:t>.</w:t>
      </w:r>
    </w:p>
    <w:p w14:paraId="7D47489E" w14:textId="1C117970" w:rsidR="000F1560" w:rsidRPr="00086AB2" w:rsidRDefault="000F1560" w:rsidP="009C1651">
      <w:r w:rsidRPr="00086AB2">
        <w:t>T</w:t>
      </w:r>
      <w:r w:rsidR="009C1651" w:rsidRPr="00086AB2">
        <w:t xml:space="preserve">he </w:t>
      </w:r>
      <w:r w:rsidR="000D0F14">
        <w:t>highest</w:t>
      </w:r>
      <w:r w:rsidR="009C1651" w:rsidRPr="00086AB2">
        <w:t xml:space="preserve"> reductions </w:t>
      </w:r>
      <w:r w:rsidR="00577EA3">
        <w:t xml:space="preserve">in incidence rates </w:t>
      </w:r>
      <w:r w:rsidRPr="00086AB2">
        <w:t xml:space="preserve">were </w:t>
      </w:r>
      <w:r w:rsidR="009C1651" w:rsidRPr="00086AB2">
        <w:t xml:space="preserve">seen in </w:t>
      </w:r>
      <w:r w:rsidR="00713B42">
        <w:t xml:space="preserve">Information media and telecommunications (down </w:t>
      </w:r>
      <w:r w:rsidR="00577EA3">
        <w:t>30</w:t>
      </w:r>
      <w:r w:rsidR="003C4F76">
        <w:t>%</w:t>
      </w:r>
      <w:r w:rsidR="00713B42">
        <w:t xml:space="preserve">), </w:t>
      </w:r>
      <w:r w:rsidR="00577EA3">
        <w:t>Arts and recreation services (down 23</w:t>
      </w:r>
      <w:r w:rsidR="003C4F76">
        <w:t>%</w:t>
      </w:r>
      <w:r w:rsidR="00577EA3">
        <w:t xml:space="preserve">), </w:t>
      </w:r>
      <w:r w:rsidR="00713B42">
        <w:t xml:space="preserve">Accommodation and food services </w:t>
      </w:r>
      <w:r w:rsidR="00577EA3">
        <w:t>(down 20</w:t>
      </w:r>
      <w:r w:rsidR="003C4F76">
        <w:t>%</w:t>
      </w:r>
      <w:r w:rsidR="00577EA3">
        <w:t xml:space="preserve">), </w:t>
      </w:r>
      <w:r w:rsidR="00612FBC">
        <w:t>Health care and social assistance (down 14</w:t>
      </w:r>
      <w:r w:rsidR="003C4F76">
        <w:t>%</w:t>
      </w:r>
      <w:r w:rsidR="00612FBC">
        <w:t xml:space="preserve">), </w:t>
      </w:r>
      <w:r w:rsidR="008C2462">
        <w:t>F</w:t>
      </w:r>
      <w:r w:rsidR="00713B42">
        <w:t>inancial and insurance services</w:t>
      </w:r>
      <w:r w:rsidR="00612FBC">
        <w:t xml:space="preserve"> and Transport, postal and warehousing </w:t>
      </w:r>
      <w:r w:rsidR="005E5F2A" w:rsidRPr="00086AB2">
        <w:t>(down </w:t>
      </w:r>
      <w:r w:rsidR="00713B42">
        <w:t>13</w:t>
      </w:r>
      <w:r w:rsidR="003C4F76">
        <w:t>%</w:t>
      </w:r>
      <w:r w:rsidR="00612FBC">
        <w:t xml:space="preserve"> each</w:t>
      </w:r>
      <w:r w:rsidR="000D0F14">
        <w:t>),</w:t>
      </w:r>
      <w:r w:rsidR="00612FBC">
        <w:t xml:space="preserve"> </w:t>
      </w:r>
      <w:r w:rsidR="008C2462">
        <w:t xml:space="preserve">Retail trade (down </w:t>
      </w:r>
      <w:r w:rsidR="00577EA3">
        <w:t>11</w:t>
      </w:r>
      <w:r w:rsidR="003C4F76">
        <w:t>%</w:t>
      </w:r>
      <w:r w:rsidR="008C2462">
        <w:t xml:space="preserve">), </w:t>
      </w:r>
      <w:r w:rsidR="00612FBC" w:rsidRPr="00086AB2">
        <w:t>Public administration and safety (down </w:t>
      </w:r>
      <w:r w:rsidR="00612FBC">
        <w:t>9</w:t>
      </w:r>
      <w:r w:rsidR="003C4F76">
        <w:t>%</w:t>
      </w:r>
      <w:r w:rsidR="00612FBC" w:rsidRPr="00086AB2">
        <w:t>)</w:t>
      </w:r>
      <w:r w:rsidR="00612FBC">
        <w:t xml:space="preserve"> and </w:t>
      </w:r>
      <w:r w:rsidR="008C2462">
        <w:t xml:space="preserve">Electricity, gas, water and waste services and </w:t>
      </w:r>
      <w:r w:rsidR="00612FBC">
        <w:t>Mining</w:t>
      </w:r>
      <w:r w:rsidR="008C2462">
        <w:t xml:space="preserve"> (down 7</w:t>
      </w:r>
      <w:r w:rsidR="003C4F76">
        <w:t>%</w:t>
      </w:r>
      <w:r w:rsidR="008C2462">
        <w:t xml:space="preserve"> each)</w:t>
      </w:r>
      <w:r w:rsidR="00612FBC">
        <w:t>.</w:t>
      </w:r>
    </w:p>
    <w:p w14:paraId="32B9D66D" w14:textId="6C4F7D77" w:rsidR="009C1651" w:rsidRPr="00086AB2" w:rsidRDefault="009C1651" w:rsidP="009C1651">
      <w:r w:rsidRPr="00086AB2">
        <w:t>More detailed information on claims by industry can be found in the Australian Workers’</w:t>
      </w:r>
      <w:r w:rsidR="00A97019">
        <w:t xml:space="preserve"> </w:t>
      </w:r>
      <w:r w:rsidRPr="00086AB2">
        <w:t xml:space="preserve">Compensation Statistics report, published on the </w:t>
      </w:r>
      <w:hyperlink r:id="rId43" w:history="1">
        <w:r w:rsidRPr="00086AB2">
          <w:rPr>
            <w:rStyle w:val="SWALinkChar"/>
          </w:rPr>
          <w:t>Safe Work Australia</w:t>
        </w:r>
      </w:hyperlink>
      <w:r w:rsidRPr="00086AB2">
        <w:t xml:space="preserve"> website.</w:t>
      </w:r>
    </w:p>
    <w:p w14:paraId="1E63E559" w14:textId="77777777" w:rsidR="009C1651" w:rsidRPr="00086AB2" w:rsidRDefault="009C1651" w:rsidP="00396555"/>
    <w:p w14:paraId="79624153" w14:textId="77777777" w:rsidR="009C1651" w:rsidRPr="00086AB2" w:rsidRDefault="009C1651" w:rsidP="00396555">
      <w:pPr>
        <w:sectPr w:rsidR="009C1651" w:rsidRPr="00086AB2" w:rsidSect="00EF5DBF">
          <w:headerReference w:type="default" r:id="rId44"/>
          <w:type w:val="continuous"/>
          <w:pgSz w:w="11906" w:h="16838"/>
          <w:pgMar w:top="1440" w:right="1800" w:bottom="1440" w:left="1276" w:header="708" w:footer="708" w:gutter="0"/>
          <w:cols w:space="242"/>
          <w:docGrid w:linePitch="360"/>
        </w:sectPr>
      </w:pPr>
    </w:p>
    <w:p w14:paraId="4970FD9F" w14:textId="155314D5" w:rsidR="009C1651" w:rsidRPr="00086AB2" w:rsidRDefault="009C1651" w:rsidP="006C2470">
      <w:pPr>
        <w:pStyle w:val="SWATableheader"/>
      </w:pPr>
      <w:bookmarkStart w:id="69" w:name="_Toc56603302"/>
      <w:bookmarkStart w:id="70" w:name="_Toc56772237"/>
      <w:r w:rsidRPr="00086AB2">
        <w:lastRenderedPageBreak/>
        <w:t xml:space="preserve">Indicator </w:t>
      </w:r>
      <w:r w:rsidR="00772B12">
        <w:fldChar w:fldCharType="begin"/>
      </w:r>
      <w:r w:rsidR="00772B12">
        <w:instrText xml:space="preserve"> SEQ Indicator \* ARABIC </w:instrText>
      </w:r>
      <w:r w:rsidR="00772B12">
        <w:fldChar w:fldCharType="separate"/>
      </w:r>
      <w:r w:rsidR="00772B12">
        <w:rPr>
          <w:noProof/>
        </w:rPr>
        <w:t>11</w:t>
      </w:r>
      <w:r w:rsidR="00772B12">
        <w:rPr>
          <w:noProof/>
        </w:rPr>
        <w:fldChar w:fldCharType="end"/>
      </w:r>
      <w:r w:rsidRPr="00086AB2">
        <w:t xml:space="preserve"> – Incidence rates of serious</w:t>
      </w:r>
      <w:r w:rsidRPr="00086AB2">
        <w:rPr>
          <w:vertAlign w:val="superscript"/>
        </w:rPr>
        <w:t>*</w:t>
      </w:r>
      <w:r w:rsidRPr="00086AB2">
        <w:t xml:space="preserve"> claims by industry</w:t>
      </w:r>
      <w:bookmarkEnd w:id="69"/>
      <w:bookmarkEnd w:id="70"/>
    </w:p>
    <w:p w14:paraId="0EBE88F8" w14:textId="62D07364" w:rsidR="009C1651" w:rsidRPr="00086AB2" w:rsidRDefault="00BC56BB" w:rsidP="00F60444">
      <w:pPr>
        <w:jc w:val="center"/>
      </w:pPr>
      <w:r>
        <w:rPr>
          <w:noProof/>
        </w:rPr>
        <w:drawing>
          <wp:inline distT="0" distB="0" distL="0" distR="0" wp14:anchorId="1D7F54BF" wp14:editId="6F799CE5">
            <wp:extent cx="8756015" cy="4639064"/>
            <wp:effectExtent l="0" t="0" r="6985" b="9525"/>
            <wp:docPr id="15" name="Picture 15" descr="Indicator 11 – Incidence rates of serious* claims by industry&#10;&#10;This chart compares the incidence rates of serious claims for nineteen industry divisions between the years 2013-14 and 2018-19.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75708" cy="4649498"/>
                    </a:xfrm>
                    <a:prstGeom prst="rect">
                      <a:avLst/>
                    </a:prstGeom>
                    <a:noFill/>
                  </pic:spPr>
                </pic:pic>
              </a:graphicData>
            </a:graphic>
          </wp:inline>
        </w:drawing>
      </w:r>
    </w:p>
    <w:p w14:paraId="3E993B28" w14:textId="77777777" w:rsidR="006C2470" w:rsidRPr="00086AB2" w:rsidRDefault="006C2470" w:rsidP="006C2470">
      <w:pPr>
        <w:pStyle w:val="SWADisclaimerbodytext"/>
      </w:pPr>
      <w:r w:rsidRPr="00086AB2">
        <w:t>* Includes all accepted workers’ compensation claims for an incapacity that results in a total absence from work of one working week or more excluding fatalities and journey claims.</w:t>
      </w:r>
    </w:p>
    <w:p w14:paraId="177F35B1" w14:textId="77777777" w:rsidR="006C2470" w:rsidRPr="00086AB2" w:rsidRDefault="006C2470" w:rsidP="00396555"/>
    <w:p w14:paraId="063B77B5" w14:textId="77777777" w:rsidR="006C2470" w:rsidRPr="00086AB2" w:rsidRDefault="006C2470" w:rsidP="00396555">
      <w:pPr>
        <w:sectPr w:rsidR="006C2470" w:rsidRPr="00086AB2" w:rsidSect="009C1651">
          <w:pgSz w:w="16838" w:h="11906" w:orient="landscape"/>
          <w:pgMar w:top="1276" w:right="1440" w:bottom="1800" w:left="1440" w:header="708" w:footer="708" w:gutter="0"/>
          <w:cols w:space="242"/>
          <w:docGrid w:linePitch="360"/>
        </w:sectPr>
      </w:pPr>
    </w:p>
    <w:p w14:paraId="326C1B45" w14:textId="77777777" w:rsidR="003070A9" w:rsidRPr="00086AB2" w:rsidRDefault="003070A9" w:rsidP="00B51041">
      <w:pPr>
        <w:pStyle w:val="SWASectionnum2"/>
      </w:pPr>
      <w:bookmarkStart w:id="71" w:name="_Toc491086616"/>
      <w:bookmarkStart w:id="72" w:name="_Toc55294239"/>
      <w:r w:rsidRPr="00086AB2">
        <w:lastRenderedPageBreak/>
        <w:t>Claims by industry and jurisdiction</w:t>
      </w:r>
      <w:bookmarkEnd w:id="71"/>
      <w:bookmarkEnd w:id="72"/>
    </w:p>
    <w:p w14:paraId="785EE89A" w14:textId="619723CA" w:rsidR="00720C28" w:rsidRPr="00086AB2" w:rsidRDefault="003070A9" w:rsidP="003070A9">
      <w:r w:rsidRPr="00086AB2">
        <w:t xml:space="preserve">This section contains supplementary information to Indicator 11. </w:t>
      </w:r>
      <w:r w:rsidR="00655324">
        <w:t xml:space="preserve">Indicators 11a to 11s provide </w:t>
      </w:r>
      <w:r w:rsidRPr="00086AB2">
        <w:t>a comparison of the incidence rates of serious claims across the Australian j</w:t>
      </w:r>
      <w:r w:rsidR="005C3890">
        <w:t>urisdictions for 19</w:t>
      </w:r>
      <w:r w:rsidR="00655324">
        <w:t> </w:t>
      </w:r>
      <w:r w:rsidR="005C3890">
        <w:t>industries</w:t>
      </w:r>
      <w:r w:rsidRPr="00086AB2">
        <w:t xml:space="preserve">. </w:t>
      </w:r>
    </w:p>
    <w:p w14:paraId="6C0E412C" w14:textId="3F441B31" w:rsidR="00EF5DBF" w:rsidRDefault="00124A12" w:rsidP="003070A9">
      <w:r w:rsidRPr="00086AB2">
        <w:t>Incidence rates in some industries at the jurisdictional level can be volatile and s</w:t>
      </w:r>
      <w:r w:rsidR="00500E11" w:rsidRPr="00086AB2">
        <w:t xml:space="preserve">hould be treated with caution. </w:t>
      </w:r>
      <w:r w:rsidRPr="00086AB2">
        <w:t>A</w:t>
      </w:r>
      <w:r w:rsidR="003070A9" w:rsidRPr="00086AB2">
        <w:t>s the number of employees used in calculating incidence rates are estimated from survey samples, readers should be aware that</w:t>
      </w:r>
      <w:r w:rsidR="00D20B68" w:rsidRPr="00086AB2">
        <w:t xml:space="preserve"> the relative standard errors for estimating the number of employees will be higher with</w:t>
      </w:r>
      <w:r w:rsidR="003070A9" w:rsidRPr="00086AB2">
        <w:t xml:space="preserve"> smaller sample size</w:t>
      </w:r>
      <w:r w:rsidR="00D20B68" w:rsidRPr="00086AB2">
        <w:t>s</w:t>
      </w:r>
      <w:r w:rsidR="003070A9" w:rsidRPr="00086AB2">
        <w:t>.</w:t>
      </w:r>
      <w:r w:rsidR="00431BF2">
        <w:t xml:space="preserve"> Jurisdictions are not included in the respective charts and analysis where the relative standard error is greater than 50</w:t>
      </w:r>
      <w:r w:rsidR="003C4F76">
        <w:t>%</w:t>
      </w:r>
      <w:r w:rsidR="00431BF2">
        <w:t>.</w:t>
      </w:r>
    </w:p>
    <w:p w14:paraId="2BFD31EA" w14:textId="32D40CA1" w:rsidR="002B78F4" w:rsidRPr="00FC4D41" w:rsidRDefault="002B78F4" w:rsidP="002B78F4">
      <w:r w:rsidRPr="00FC4D41">
        <w:t>The number of workers employed in each state and territory vary greatly and therefore are liable to show volatility in smaller jurisdictions such as the Northern Territory which employs fewer workers, even when the variations are small.</w:t>
      </w:r>
      <w:r>
        <w:t xml:space="preserve"> </w:t>
      </w:r>
    </w:p>
    <w:p w14:paraId="327AEC05" w14:textId="41C4634C" w:rsidR="00781310" w:rsidRPr="00086AB2" w:rsidRDefault="00781310" w:rsidP="00B51041">
      <w:pPr>
        <w:pStyle w:val="Heading1"/>
      </w:pPr>
      <w:r w:rsidRPr="00086AB2">
        <w:t>Agriculture, forestry and fishing</w:t>
      </w:r>
      <w:r w:rsidR="00F7343A">
        <w:t xml:space="preserve"> </w:t>
      </w:r>
    </w:p>
    <w:p w14:paraId="2A302473" w14:textId="6AA668B5" w:rsidR="00F60444" w:rsidRDefault="00F60444" w:rsidP="00781310">
      <w:pPr>
        <w:rPr>
          <w:color w:val="00B0F0"/>
        </w:rPr>
      </w:pPr>
      <w:r>
        <w:t xml:space="preserve">The Northern </w:t>
      </w:r>
      <w:r w:rsidR="00B1089A">
        <w:t>Territory</w:t>
      </w:r>
      <w:r>
        <w:t xml:space="preserve"> recorded the highest </w:t>
      </w:r>
      <w:r w:rsidRPr="00086AB2">
        <w:t>incidence rate of serious claims in the Agriculture, forestry and fishing industry</w:t>
      </w:r>
      <w:r w:rsidR="00655324">
        <w:t xml:space="preserve"> (Indicator 11a)</w:t>
      </w:r>
      <w:r>
        <w:t xml:space="preserve">.  </w:t>
      </w:r>
      <w:r w:rsidRPr="00086AB2">
        <w:t xml:space="preserve">The incidence rates for the Northern Territory should be interpreted with caution due to the </w:t>
      </w:r>
      <w:r w:rsidRPr="0071158F">
        <w:t>small number of employees used in calculating incidence rates</w:t>
      </w:r>
      <w:r>
        <w:rPr>
          <w:color w:val="00B0F0"/>
        </w:rPr>
        <w:t xml:space="preserve">.  </w:t>
      </w:r>
    </w:p>
    <w:p w14:paraId="628CA754" w14:textId="0D24EA96" w:rsidR="003070A9" w:rsidRPr="00086AB2" w:rsidRDefault="00781310" w:rsidP="00781310">
      <w:r w:rsidRPr="00086AB2">
        <w:t xml:space="preserve">Of the other jurisdictions, </w:t>
      </w:r>
      <w:r w:rsidR="00B30010">
        <w:t>New South Wales</w:t>
      </w:r>
      <w:r w:rsidRPr="00086AB2">
        <w:t xml:space="preserve"> recorded the </w:t>
      </w:r>
      <w:r w:rsidR="00F60444">
        <w:t xml:space="preserve">second </w:t>
      </w:r>
      <w:r w:rsidRPr="00086AB2">
        <w:t>highest incidence rate of serious claims in the Agriculture, for</w:t>
      </w:r>
      <w:r w:rsidR="008A3C40" w:rsidRPr="00086AB2">
        <w:t>estry and fishing industry (</w:t>
      </w:r>
      <w:r w:rsidR="0030474C">
        <w:t>2</w:t>
      </w:r>
      <w:r w:rsidR="003F59B4">
        <w:t>4</w:t>
      </w:r>
      <w:r w:rsidR="0030474C">
        <w:t>.</w:t>
      </w:r>
      <w:r w:rsidR="003F59B4">
        <w:t>6</w:t>
      </w:r>
      <w:r w:rsidRPr="00086AB2">
        <w:t xml:space="preserve"> claims per </w:t>
      </w:r>
      <w:r w:rsidR="000B6602" w:rsidRPr="00086AB2">
        <w:t>1,000</w:t>
      </w:r>
      <w:r w:rsidRPr="00086AB2">
        <w:t xml:space="preserve"> employees) in </w:t>
      </w:r>
      <w:r w:rsidR="008A3C40" w:rsidRPr="00086AB2">
        <w:t>201</w:t>
      </w:r>
      <w:r w:rsidR="003F59B4">
        <w:t>7</w:t>
      </w:r>
      <w:r w:rsidR="008A3C40" w:rsidRPr="00086AB2">
        <w:t>–1</w:t>
      </w:r>
      <w:r w:rsidR="003F59B4">
        <w:t>8</w:t>
      </w:r>
      <w:r w:rsidRPr="00086AB2">
        <w:t>, followed by Queensland (</w:t>
      </w:r>
      <w:r w:rsidR="008A3C40" w:rsidRPr="00086AB2">
        <w:t>2</w:t>
      </w:r>
      <w:r w:rsidR="003F59B4">
        <w:t>0.3</w:t>
      </w:r>
      <w:r w:rsidRPr="00086AB2">
        <w:t xml:space="preserve">), </w:t>
      </w:r>
      <w:r w:rsidR="003F59B4">
        <w:t>Tasmania</w:t>
      </w:r>
      <w:r w:rsidR="00324E65">
        <w:t xml:space="preserve"> (2</w:t>
      </w:r>
      <w:r w:rsidR="003F59B4">
        <w:t>0</w:t>
      </w:r>
      <w:r w:rsidR="00324E65">
        <w:t>.</w:t>
      </w:r>
      <w:r w:rsidR="003F59B4">
        <w:t>1</w:t>
      </w:r>
      <w:r w:rsidR="00324E65">
        <w:t xml:space="preserve">) and </w:t>
      </w:r>
      <w:r w:rsidR="003F59B4">
        <w:t xml:space="preserve">Western Australia </w:t>
      </w:r>
      <w:r w:rsidRPr="00086AB2">
        <w:t>(</w:t>
      </w:r>
      <w:r w:rsidR="0030474C">
        <w:t>17.</w:t>
      </w:r>
      <w:r w:rsidR="003F59B4">
        <w:t>8</w:t>
      </w:r>
      <w:r w:rsidRPr="00086AB2">
        <w:t xml:space="preserve">). The lowest incidence rate was </w:t>
      </w:r>
      <w:r w:rsidR="000F1560" w:rsidRPr="00086AB2">
        <w:t>r</w:t>
      </w:r>
      <w:r w:rsidRPr="00086AB2">
        <w:t xml:space="preserve">ecorded in </w:t>
      </w:r>
      <w:r w:rsidR="003F59B4">
        <w:t xml:space="preserve">Victoria </w:t>
      </w:r>
      <w:r w:rsidR="00B30010">
        <w:t>(</w:t>
      </w:r>
      <w:r w:rsidR="003F59B4">
        <w:t>9.5</w:t>
      </w:r>
      <w:r w:rsidR="00431BF2">
        <w:t xml:space="preserve"> </w:t>
      </w:r>
      <w:r w:rsidR="00EE0400">
        <w:t>claims per 1</w:t>
      </w:r>
      <w:r w:rsidR="00BC56BB">
        <w:t>,</w:t>
      </w:r>
      <w:r w:rsidR="00EE0400">
        <w:t>000 employees).</w:t>
      </w:r>
    </w:p>
    <w:p w14:paraId="3214F3BD" w14:textId="169A6FA2" w:rsidR="007D2274" w:rsidRPr="00086AB2" w:rsidRDefault="00F60444" w:rsidP="00F60444">
      <w:r w:rsidRPr="00086AB2">
        <w:t xml:space="preserve">The incidence rates of </w:t>
      </w:r>
      <w:r>
        <w:t>the Australian Capital Territory</w:t>
      </w:r>
      <w:r w:rsidRPr="00086AB2">
        <w:t xml:space="preserve"> were not reported </w:t>
      </w:r>
      <w:r>
        <w:t xml:space="preserve">here </w:t>
      </w:r>
      <w:r w:rsidRPr="00086AB2">
        <w:t>due to the high relative standard error (greater than 50</w:t>
      </w:r>
      <w:r>
        <w:t>%</w:t>
      </w:r>
      <w:r w:rsidRPr="00086AB2">
        <w:t xml:space="preserve">). </w:t>
      </w:r>
    </w:p>
    <w:p w14:paraId="48FC1AD4" w14:textId="44B8A74F" w:rsidR="00781310" w:rsidRPr="00086AB2" w:rsidRDefault="00781310" w:rsidP="00781310">
      <w:pPr>
        <w:pStyle w:val="SWATableheader"/>
      </w:pPr>
      <w:bookmarkStart w:id="73" w:name="_Hlk56772836"/>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a</w:t>
      </w:r>
      <w:r w:rsidR="006F0762" w:rsidRPr="00086AB2">
        <w:rPr>
          <w:noProof/>
        </w:rPr>
        <w:fldChar w:fldCharType="end"/>
      </w:r>
      <w:r w:rsidRPr="00086AB2">
        <w:t xml:space="preserve"> </w:t>
      </w:r>
      <w:r w:rsidR="007C1D0C" w:rsidRPr="00086AB2">
        <w:t>–</w:t>
      </w:r>
      <w:r w:rsidRPr="00086AB2">
        <w:t xml:space="preserve"> Inciden</w:t>
      </w:r>
      <w:r w:rsidR="00512BD0" w:rsidRPr="00086AB2">
        <w:t xml:space="preserve">ce rates of serious claims for </w:t>
      </w:r>
      <w:r w:rsidR="009D46FF" w:rsidRPr="00086AB2">
        <w:t>A</w:t>
      </w:r>
      <w:r w:rsidRPr="00086AB2">
        <w:t>griculture, forestry and fishing by</w:t>
      </w:r>
      <w:r w:rsidR="00C8587B" w:rsidRPr="00086AB2">
        <w:t> </w:t>
      </w:r>
      <w:r w:rsidRPr="00086AB2">
        <w:t>jurisdiction</w:t>
      </w:r>
    </w:p>
    <w:bookmarkEnd w:id="73"/>
    <w:p w14:paraId="0A9E24A4" w14:textId="3EA8F889" w:rsidR="00781310" w:rsidRPr="00086AB2" w:rsidRDefault="00F60444" w:rsidP="008A3C40">
      <w:pPr>
        <w:jc w:val="center"/>
      </w:pPr>
      <w:r>
        <w:rPr>
          <w:noProof/>
        </w:rPr>
        <w:drawing>
          <wp:inline distT="0" distB="0" distL="0" distR="0" wp14:anchorId="1D860283" wp14:editId="6B5E5E58">
            <wp:extent cx="4811504" cy="2914650"/>
            <wp:effectExtent l="0" t="0" r="8255" b="0"/>
            <wp:docPr id="24" name="Picture 24" descr="Indicator 11a – Incidence rates of serious claims for Agriculture, forestry and fishing by jurisdiction&#10;&#10;This chart shows the incidence rates (claims per 1,000 employees) of serious injury and disease claims for Agriculture, forestry and fishing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90" cy="2931179"/>
                    </a:xfrm>
                    <a:prstGeom prst="rect">
                      <a:avLst/>
                    </a:prstGeom>
                    <a:noFill/>
                  </pic:spPr>
                </pic:pic>
              </a:graphicData>
            </a:graphic>
          </wp:inline>
        </w:drawing>
      </w:r>
    </w:p>
    <w:p w14:paraId="6FF05116" w14:textId="77777777" w:rsidR="00905154" w:rsidRPr="00086AB2" w:rsidRDefault="00905154" w:rsidP="00905154"/>
    <w:p w14:paraId="7163AAF5" w14:textId="26222278" w:rsidR="00781310" w:rsidRPr="00086AB2" w:rsidRDefault="00934DED" w:rsidP="004F6BA7">
      <w:pPr>
        <w:pStyle w:val="Heading1"/>
        <w:spacing w:before="120"/>
      </w:pPr>
      <w:r w:rsidRPr="00086AB2">
        <w:lastRenderedPageBreak/>
        <w:t>Mining</w:t>
      </w:r>
      <w:r w:rsidR="008E4270">
        <w:t xml:space="preserve"> </w:t>
      </w:r>
    </w:p>
    <w:p w14:paraId="17A25D7C" w14:textId="5AEAB45E" w:rsidR="00781310" w:rsidRDefault="00517775" w:rsidP="00066D3B">
      <w:pPr>
        <w:keepNext/>
        <w:keepLines/>
      </w:pPr>
      <w:r>
        <w:t>Except for</w:t>
      </w:r>
      <w:r w:rsidR="004F5608">
        <w:t xml:space="preserve"> </w:t>
      </w:r>
      <w:r>
        <w:t>South Australia</w:t>
      </w:r>
      <w:r w:rsidR="004F5608">
        <w:t>, Victoria</w:t>
      </w:r>
      <w:r>
        <w:t xml:space="preserve"> and Western Australia, </w:t>
      </w:r>
      <w:r w:rsidR="00781310" w:rsidRPr="00086AB2">
        <w:t xml:space="preserve">all jurisdictions recorded a decrease in their incidence rates between </w:t>
      </w:r>
      <w:r w:rsidR="00F96BDA" w:rsidRPr="00086AB2">
        <w:t>201</w:t>
      </w:r>
      <w:r w:rsidR="004F5608">
        <w:t>3</w:t>
      </w:r>
      <w:r w:rsidR="00F96BDA" w:rsidRPr="00086AB2">
        <w:t>–1</w:t>
      </w:r>
      <w:r w:rsidR="004F5608">
        <w:t>4</w:t>
      </w:r>
      <w:r w:rsidR="00781310" w:rsidRPr="00086AB2">
        <w:t xml:space="preserve"> and </w:t>
      </w:r>
      <w:r w:rsidR="00F96BDA" w:rsidRPr="00086AB2">
        <w:t>201</w:t>
      </w:r>
      <w:r w:rsidR="00F7343A">
        <w:t>7</w:t>
      </w:r>
      <w:r w:rsidR="00F96BDA" w:rsidRPr="00086AB2">
        <w:t>–1</w:t>
      </w:r>
      <w:r w:rsidR="00F7343A">
        <w:t>8</w:t>
      </w:r>
      <w:r w:rsidR="00655324">
        <w:t xml:space="preserve"> (Indicator 11b)</w:t>
      </w:r>
      <w:r w:rsidR="00781310" w:rsidRPr="00086AB2">
        <w:t xml:space="preserve">. </w:t>
      </w:r>
      <w:r w:rsidR="004F5608">
        <w:t>The</w:t>
      </w:r>
      <w:r w:rsidR="007D2274">
        <w:t> </w:t>
      </w:r>
      <w:r w:rsidR="004F5608">
        <w:t>Northern Territory</w:t>
      </w:r>
      <w:r w:rsidR="00781310" w:rsidRPr="00086AB2">
        <w:t xml:space="preserve"> recorded the largest d</w:t>
      </w:r>
      <w:r w:rsidR="00F96BDA" w:rsidRPr="00086AB2">
        <w:t>ecrease in incidence rate (down </w:t>
      </w:r>
      <w:r w:rsidR="004F5608">
        <w:t>51</w:t>
      </w:r>
      <w:r w:rsidR="003C4F76">
        <w:t>%</w:t>
      </w:r>
      <w:r w:rsidR="00781310" w:rsidRPr="00086AB2">
        <w:t xml:space="preserve">), followed </w:t>
      </w:r>
      <w:r w:rsidR="006C3107" w:rsidRPr="00086AB2">
        <w:t xml:space="preserve">by </w:t>
      </w:r>
      <w:r w:rsidR="004F5608">
        <w:t>Tasmania</w:t>
      </w:r>
      <w:r w:rsidR="006C3107" w:rsidRPr="00086AB2">
        <w:t xml:space="preserve"> (down </w:t>
      </w:r>
      <w:r w:rsidR="004F5608">
        <w:t>29</w:t>
      </w:r>
      <w:r w:rsidR="003C4F76">
        <w:t>%</w:t>
      </w:r>
      <w:r w:rsidR="00124A12" w:rsidRPr="00086AB2">
        <w:t xml:space="preserve">), </w:t>
      </w:r>
      <w:r w:rsidR="004F5608">
        <w:t>Queensland (down 25</w:t>
      </w:r>
      <w:r w:rsidR="003C4F76">
        <w:t>%</w:t>
      </w:r>
      <w:r w:rsidR="004F5608">
        <w:t xml:space="preserve">) and </w:t>
      </w:r>
      <w:r w:rsidR="00124A12" w:rsidRPr="00086AB2">
        <w:t>New</w:t>
      </w:r>
      <w:r w:rsidR="006B7701" w:rsidRPr="00086AB2">
        <w:t> </w:t>
      </w:r>
      <w:r w:rsidR="00124A12" w:rsidRPr="00086AB2">
        <w:t>South Wales (down</w:t>
      </w:r>
      <w:r w:rsidR="00F208CC">
        <w:t> </w:t>
      </w:r>
      <w:r w:rsidR="004F5608">
        <w:t>20</w:t>
      </w:r>
      <w:r w:rsidR="003C4F76">
        <w:t>%</w:t>
      </w:r>
      <w:r w:rsidR="00781310" w:rsidRPr="00086AB2">
        <w:t>)</w:t>
      </w:r>
      <w:r w:rsidR="004F5608">
        <w:t>.</w:t>
      </w:r>
      <w:r w:rsidR="00781310" w:rsidRPr="00086AB2">
        <w:t xml:space="preserve"> </w:t>
      </w:r>
    </w:p>
    <w:p w14:paraId="2F2B9B3E" w14:textId="7CC54998" w:rsidR="00BC56BB" w:rsidRPr="00086AB2" w:rsidRDefault="00BC56BB" w:rsidP="002E5FC6">
      <w:bookmarkStart w:id="74" w:name="_Hlk56543764"/>
      <w:r w:rsidRPr="00086AB2">
        <w:t xml:space="preserve">The incidence rates of </w:t>
      </w:r>
      <w:r>
        <w:t>the Australian Capital Territory</w:t>
      </w:r>
      <w:r w:rsidRPr="00086AB2">
        <w:t xml:space="preserve"> were not reported </w:t>
      </w:r>
      <w:r>
        <w:t xml:space="preserve">here </w:t>
      </w:r>
      <w:r w:rsidRPr="00086AB2">
        <w:t>due to the high relative standard error (greater than 50</w:t>
      </w:r>
      <w:r>
        <w:t>%</w:t>
      </w:r>
      <w:r w:rsidRPr="00086AB2">
        <w:t xml:space="preserve">). </w:t>
      </w:r>
    </w:p>
    <w:p w14:paraId="4AE927DA" w14:textId="3A45E2E9" w:rsidR="00781310" w:rsidRPr="00086AB2" w:rsidRDefault="00781310" w:rsidP="004F6BA7">
      <w:pPr>
        <w:pStyle w:val="SWATableheader"/>
        <w:spacing w:after="60"/>
      </w:pPr>
      <w:bookmarkStart w:id="75" w:name="_Hlk56772846"/>
      <w:bookmarkEnd w:id="74"/>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b</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M</w:t>
      </w:r>
      <w:r w:rsidRPr="00086AB2">
        <w:t>ining by jurisdiction</w:t>
      </w:r>
    </w:p>
    <w:bookmarkEnd w:id="75"/>
    <w:p w14:paraId="6DAAACCF" w14:textId="4B2C0579" w:rsidR="00781310" w:rsidRPr="00086AB2" w:rsidRDefault="00825E2C" w:rsidP="004F6BA7">
      <w:pPr>
        <w:spacing w:after="0"/>
        <w:jc w:val="center"/>
      </w:pPr>
      <w:r>
        <w:rPr>
          <w:noProof/>
        </w:rPr>
        <w:drawing>
          <wp:inline distT="0" distB="0" distL="0" distR="0" wp14:anchorId="0DC2916C" wp14:editId="187E09ED">
            <wp:extent cx="4467225" cy="2706097"/>
            <wp:effectExtent l="0" t="0" r="0" b="8255"/>
            <wp:docPr id="62" name="Picture 62" descr="Indicator 11b – Incidence rates of serious claims for Mining by jurisdiction&#10;&#10;This chart shows the incidence rates (claims per 1,000 employees) of serious injury and disease claims for Mining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7225" cy="2706097"/>
                    </a:xfrm>
                    <a:prstGeom prst="rect">
                      <a:avLst/>
                    </a:prstGeom>
                    <a:noFill/>
                    <a:ln>
                      <a:noFill/>
                    </a:ln>
                  </pic:spPr>
                </pic:pic>
              </a:graphicData>
            </a:graphic>
          </wp:inline>
        </w:drawing>
      </w:r>
    </w:p>
    <w:p w14:paraId="72B29FB7" w14:textId="650AFF26" w:rsidR="00781310" w:rsidRPr="00086AB2" w:rsidRDefault="00066D3B" w:rsidP="004F6BA7">
      <w:pPr>
        <w:pStyle w:val="Heading1"/>
        <w:spacing w:before="120"/>
      </w:pPr>
      <w:r w:rsidRPr="00086AB2">
        <w:t>Manufacturing</w:t>
      </w:r>
      <w:r w:rsidR="00C9188C">
        <w:t xml:space="preserve"> </w:t>
      </w:r>
    </w:p>
    <w:p w14:paraId="620EADE1" w14:textId="791669DD" w:rsidR="00AC629B" w:rsidRDefault="00F822D1" w:rsidP="00781310">
      <w:r>
        <w:t>B</w:t>
      </w:r>
      <w:r w:rsidR="00A85577" w:rsidRPr="00086AB2">
        <w:t>etween 201</w:t>
      </w:r>
      <w:r w:rsidR="004F5608">
        <w:t>3</w:t>
      </w:r>
      <w:r w:rsidR="00A85577" w:rsidRPr="00086AB2">
        <w:t>–1</w:t>
      </w:r>
      <w:r w:rsidR="004F5608">
        <w:t>4</w:t>
      </w:r>
      <w:r w:rsidR="00A0229E" w:rsidRPr="00086AB2">
        <w:t xml:space="preserve"> and </w:t>
      </w:r>
      <w:r w:rsidR="00A85577" w:rsidRPr="00086AB2">
        <w:t>201</w:t>
      </w:r>
      <w:r>
        <w:t>7</w:t>
      </w:r>
      <w:r w:rsidR="00A85577" w:rsidRPr="00086AB2">
        <w:t>–1</w:t>
      </w:r>
      <w:r>
        <w:t>8</w:t>
      </w:r>
      <w:r w:rsidR="0015524E">
        <w:t xml:space="preserve">, </w:t>
      </w:r>
      <w:r w:rsidR="007D2274">
        <w:t>most jurisdictions recorded a decrease in incidence rates in the Manufacturing industry</w:t>
      </w:r>
      <w:r w:rsidR="00655324">
        <w:t xml:space="preserve"> (Indicator 11c)</w:t>
      </w:r>
      <w:r w:rsidR="007D2274">
        <w:t>.</w:t>
      </w:r>
      <w:r w:rsidR="00AC629B">
        <w:t xml:space="preserve"> </w:t>
      </w:r>
      <w:r w:rsidR="0015524E">
        <w:t xml:space="preserve">The </w:t>
      </w:r>
      <w:r w:rsidR="00F42D37">
        <w:t>Australian Government</w:t>
      </w:r>
      <w:r w:rsidR="00AE1169">
        <w:t xml:space="preserve"> </w:t>
      </w:r>
      <w:r w:rsidR="00781310" w:rsidRPr="00086AB2">
        <w:t>record</w:t>
      </w:r>
      <w:r w:rsidR="006B7701" w:rsidRPr="00086AB2">
        <w:t>ed</w:t>
      </w:r>
      <w:r w:rsidR="00781310" w:rsidRPr="00086AB2">
        <w:t xml:space="preserve"> the largest decrease</w:t>
      </w:r>
      <w:r w:rsidR="00F60444">
        <w:t xml:space="preserve"> </w:t>
      </w:r>
      <w:r w:rsidR="00781310" w:rsidRPr="00086AB2">
        <w:t>(down</w:t>
      </w:r>
      <w:r w:rsidR="00A85577" w:rsidRPr="00086AB2">
        <w:t> </w:t>
      </w:r>
      <w:r w:rsidR="00F42D37">
        <w:t>47</w:t>
      </w:r>
      <w:r w:rsidR="003C4F76">
        <w:t>%</w:t>
      </w:r>
      <w:r w:rsidR="00781310" w:rsidRPr="00086AB2">
        <w:t>)</w:t>
      </w:r>
      <w:r w:rsidR="00AE1169">
        <w:t xml:space="preserve">, followed by </w:t>
      </w:r>
      <w:r w:rsidR="00F42D37">
        <w:t>Tasmania</w:t>
      </w:r>
      <w:r w:rsidR="00AE1169">
        <w:t xml:space="preserve"> (down </w:t>
      </w:r>
      <w:r w:rsidR="00F42D37">
        <w:t>22</w:t>
      </w:r>
      <w:r w:rsidR="003C4F76">
        <w:t>%</w:t>
      </w:r>
      <w:r w:rsidR="00AE1169">
        <w:t>)</w:t>
      </w:r>
      <w:r w:rsidR="0015524E">
        <w:t xml:space="preserve">, </w:t>
      </w:r>
      <w:r w:rsidR="00D130B1">
        <w:t xml:space="preserve">and </w:t>
      </w:r>
      <w:r w:rsidR="00F42D37">
        <w:t>South Australia</w:t>
      </w:r>
      <w:r w:rsidR="0015524E">
        <w:t xml:space="preserve"> (down</w:t>
      </w:r>
      <w:r w:rsidR="00AC629B">
        <w:t> </w:t>
      </w:r>
      <w:r w:rsidR="00F42D37">
        <w:t>17</w:t>
      </w:r>
      <w:r w:rsidR="003C4F76">
        <w:t>%</w:t>
      </w:r>
      <w:r w:rsidR="0015524E">
        <w:t>)</w:t>
      </w:r>
      <w:r w:rsidR="00781310" w:rsidRPr="00086AB2">
        <w:t xml:space="preserve">. </w:t>
      </w:r>
    </w:p>
    <w:p w14:paraId="57D4069F" w14:textId="77777777" w:rsidR="00BC56BB" w:rsidRDefault="00AC629B" w:rsidP="00781310">
      <w:r>
        <w:t>Increases were recorded by</w:t>
      </w:r>
      <w:r w:rsidR="00812A53" w:rsidRPr="00086AB2">
        <w:t xml:space="preserve"> </w:t>
      </w:r>
      <w:r w:rsidR="00F42D37">
        <w:t xml:space="preserve">the Australian Capital Territory </w:t>
      </w:r>
      <w:r>
        <w:t>(</w:t>
      </w:r>
      <w:r w:rsidR="003C4054">
        <w:t xml:space="preserve">up </w:t>
      </w:r>
      <w:r w:rsidR="00F42D37">
        <w:t>19</w:t>
      </w:r>
      <w:r w:rsidR="003C4F76">
        <w:t>%</w:t>
      </w:r>
      <w:r>
        <w:t>),</w:t>
      </w:r>
      <w:r w:rsidR="00F42D37">
        <w:t xml:space="preserve"> followed by Queensland (up 15</w:t>
      </w:r>
      <w:r w:rsidR="003C4F76">
        <w:t>%</w:t>
      </w:r>
      <w:r w:rsidR="00F42D37">
        <w:t>)</w:t>
      </w:r>
      <w:r>
        <w:t>,</w:t>
      </w:r>
      <w:r w:rsidR="00F42D37">
        <w:t xml:space="preserve"> the Northern Territory (up 9</w:t>
      </w:r>
      <w:r w:rsidR="003C4F76">
        <w:t>%</w:t>
      </w:r>
      <w:r w:rsidR="00F42D37">
        <w:t>)</w:t>
      </w:r>
      <w:r>
        <w:t xml:space="preserve"> and Western Australia (</w:t>
      </w:r>
      <w:r w:rsidR="003C4054">
        <w:t xml:space="preserve">up </w:t>
      </w:r>
      <w:r>
        <w:t>2</w:t>
      </w:r>
      <w:r w:rsidR="003C4F76">
        <w:t>%</w:t>
      </w:r>
      <w:r>
        <w:t>)</w:t>
      </w:r>
      <w:r w:rsidR="00F42D37">
        <w:t>.</w:t>
      </w:r>
      <w:r w:rsidR="00781310" w:rsidRPr="00086AB2">
        <w:t xml:space="preserve"> </w:t>
      </w:r>
    </w:p>
    <w:p w14:paraId="49A61AED" w14:textId="37A5344C" w:rsidR="00781310" w:rsidRPr="00086AB2" w:rsidRDefault="00781310" w:rsidP="00781310">
      <w:r w:rsidRPr="00086AB2">
        <w:t xml:space="preserve">The incidence rates of the Australian Capital Territory should be interpreted with caution as the </w:t>
      </w:r>
      <w:r w:rsidR="00A0229E" w:rsidRPr="00086AB2">
        <w:t>relative standard error</w:t>
      </w:r>
      <w:r w:rsidRPr="00086AB2">
        <w:t xml:space="preserve"> of the number of employees w</w:t>
      </w:r>
      <w:r w:rsidR="00812A53" w:rsidRPr="00086AB2">
        <w:t>as</w:t>
      </w:r>
      <w:r w:rsidRPr="00086AB2">
        <w:t xml:space="preserve"> between 25</w:t>
      </w:r>
      <w:r w:rsidR="00D72DFE">
        <w:t>%</w:t>
      </w:r>
      <w:r w:rsidRPr="00086AB2">
        <w:t xml:space="preserve"> and 50</w:t>
      </w:r>
      <w:r w:rsidR="003C4F76">
        <w:t>%</w:t>
      </w:r>
      <w:r w:rsidRPr="00086AB2">
        <w:t>.</w:t>
      </w:r>
    </w:p>
    <w:p w14:paraId="0463E239" w14:textId="2D0C57C7" w:rsidR="00832514" w:rsidRPr="00086AB2" w:rsidRDefault="00832514" w:rsidP="004F6BA7">
      <w:pPr>
        <w:pStyle w:val="SWATableheader"/>
        <w:spacing w:after="60"/>
      </w:pPr>
      <w:bookmarkStart w:id="76" w:name="_Hlk56772856"/>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c</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M</w:t>
      </w:r>
      <w:r w:rsidRPr="00086AB2">
        <w:t>anufacturing by jurisdiction</w:t>
      </w:r>
    </w:p>
    <w:bookmarkEnd w:id="76"/>
    <w:p w14:paraId="06EA5C4F" w14:textId="48FB32D7" w:rsidR="00781310" w:rsidRPr="00086AB2" w:rsidRDefault="00825E2C" w:rsidP="00F63E4D">
      <w:pPr>
        <w:jc w:val="center"/>
      </w:pPr>
      <w:r>
        <w:rPr>
          <w:noProof/>
        </w:rPr>
        <w:drawing>
          <wp:inline distT="0" distB="0" distL="0" distR="0" wp14:anchorId="423659FA" wp14:editId="19C03B39">
            <wp:extent cx="4481302" cy="2714625"/>
            <wp:effectExtent l="0" t="0" r="0" b="0"/>
            <wp:docPr id="60" name="Picture 60" descr="Indicator 11c – Incidence rates of serious claims for Manufacturing by jurisdiction&#10;&#10;This chart shows the incidence rates (claims per 1,000 employees) of serious injury and disease claims for Manufacturing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0406" cy="2756486"/>
                    </a:xfrm>
                    <a:prstGeom prst="rect">
                      <a:avLst/>
                    </a:prstGeom>
                    <a:noFill/>
                  </pic:spPr>
                </pic:pic>
              </a:graphicData>
            </a:graphic>
          </wp:inline>
        </w:drawing>
      </w:r>
    </w:p>
    <w:p w14:paraId="67E3EDA2" w14:textId="7C7D41F8" w:rsidR="00781310" w:rsidRPr="00086AB2" w:rsidRDefault="00781310" w:rsidP="00457DAE">
      <w:pPr>
        <w:pStyle w:val="Heading1"/>
        <w:keepLines/>
      </w:pPr>
      <w:r w:rsidRPr="00086AB2">
        <w:lastRenderedPageBreak/>
        <w:t>Electricity</w:t>
      </w:r>
      <w:r w:rsidR="00905154" w:rsidRPr="00086AB2">
        <w:t>, gas, water and waste services</w:t>
      </w:r>
      <w:r w:rsidR="00AF184D">
        <w:t xml:space="preserve"> </w:t>
      </w:r>
    </w:p>
    <w:p w14:paraId="4474E628" w14:textId="6BE83CD1" w:rsidR="00655324" w:rsidRDefault="00EB5D4F" w:rsidP="00EB5D4F">
      <w:r>
        <w:t>Th</w:t>
      </w:r>
      <w:r w:rsidR="00BC56BB">
        <w:t>e</w:t>
      </w:r>
      <w:r>
        <w:t xml:space="preserve"> </w:t>
      </w:r>
      <w:r w:rsidR="00E96FB2">
        <w:t xml:space="preserve">Australian average incidence rate in the Electricity, gas, water and waste services </w:t>
      </w:r>
      <w:r w:rsidR="00F208CC">
        <w:t>decreased by 7</w:t>
      </w:r>
      <w:r w:rsidR="003C4F76">
        <w:t>%</w:t>
      </w:r>
      <w:r w:rsidR="00F208CC" w:rsidRPr="00086AB2">
        <w:t xml:space="preserve"> between 201</w:t>
      </w:r>
      <w:r w:rsidR="00F208CC">
        <w:t>3</w:t>
      </w:r>
      <w:r w:rsidR="00F208CC" w:rsidRPr="00086AB2">
        <w:t>–1</w:t>
      </w:r>
      <w:r w:rsidR="00F208CC">
        <w:t>4</w:t>
      </w:r>
      <w:r w:rsidR="00F208CC" w:rsidRPr="00086AB2">
        <w:t xml:space="preserve"> and 201</w:t>
      </w:r>
      <w:r w:rsidR="00F208CC">
        <w:t>7</w:t>
      </w:r>
      <w:r w:rsidR="00F208CC" w:rsidRPr="00086AB2">
        <w:t>–1</w:t>
      </w:r>
      <w:r w:rsidR="00F208CC">
        <w:t>8</w:t>
      </w:r>
      <w:r w:rsidR="00655324">
        <w:t xml:space="preserve"> (Indicator 11d)</w:t>
      </w:r>
      <w:r w:rsidR="00F208CC" w:rsidRPr="00086AB2">
        <w:t>.</w:t>
      </w:r>
      <w:r>
        <w:t xml:space="preserve"> </w:t>
      </w:r>
      <w:r w:rsidR="00CE32DD">
        <w:t>Five</w:t>
      </w:r>
      <w:r w:rsidR="00781310" w:rsidRPr="00086AB2">
        <w:t xml:space="preserve"> out of the nine jurisdictions recorded decreases in the incidence rate in the Electricity, gas, water and waste services industry </w:t>
      </w:r>
      <w:r w:rsidR="00F208CC">
        <w:t>over this period</w:t>
      </w:r>
      <w:r w:rsidR="00781310" w:rsidRPr="00086AB2">
        <w:t xml:space="preserve">. </w:t>
      </w:r>
      <w:r w:rsidR="00CE32DD">
        <w:t>South</w:t>
      </w:r>
      <w:r w:rsidR="00EF41A4">
        <w:t xml:space="preserve"> Australia recorded the largest decrease in the incidence rate for this industry </w:t>
      </w:r>
      <w:r w:rsidR="00AC0720">
        <w:t xml:space="preserve">(down </w:t>
      </w:r>
      <w:r>
        <w:t>41</w:t>
      </w:r>
      <w:r w:rsidR="003C4F76">
        <w:t>%</w:t>
      </w:r>
      <w:r w:rsidR="00AC0720">
        <w:t xml:space="preserve">), followed by </w:t>
      </w:r>
      <w:r w:rsidR="00EF41A4">
        <w:t>the Northern Territory (down</w:t>
      </w:r>
      <w:r w:rsidR="00F208CC">
        <w:t> </w:t>
      </w:r>
      <w:r w:rsidR="00EF41A4">
        <w:t>2</w:t>
      </w:r>
      <w:r w:rsidR="00CE32DD">
        <w:t>7</w:t>
      </w:r>
      <w:r w:rsidR="003C4F76">
        <w:t>%</w:t>
      </w:r>
      <w:r w:rsidR="00EF41A4">
        <w:t xml:space="preserve">), </w:t>
      </w:r>
      <w:r w:rsidR="00CE32DD">
        <w:t>Western</w:t>
      </w:r>
      <w:r w:rsidR="00AC0720">
        <w:t xml:space="preserve"> Australia (down </w:t>
      </w:r>
      <w:r w:rsidR="00CE32DD">
        <w:t>16</w:t>
      </w:r>
      <w:r w:rsidR="003C4F76">
        <w:t>%</w:t>
      </w:r>
      <w:r w:rsidR="00AC0720">
        <w:t xml:space="preserve">), </w:t>
      </w:r>
      <w:r w:rsidR="00D130B1">
        <w:t xml:space="preserve">and </w:t>
      </w:r>
      <w:r w:rsidR="00CE32DD">
        <w:t>New South Wales</w:t>
      </w:r>
      <w:r w:rsidR="00AC0720">
        <w:t xml:space="preserve"> (down </w:t>
      </w:r>
      <w:r w:rsidR="00EF41A4">
        <w:t>1</w:t>
      </w:r>
      <w:r w:rsidR="00CE32DD">
        <w:t>5</w:t>
      </w:r>
      <w:r w:rsidR="003C4F76">
        <w:t>%</w:t>
      </w:r>
      <w:r w:rsidR="00AC0720">
        <w:t>).</w:t>
      </w:r>
      <w:r w:rsidR="003238CC">
        <w:t xml:space="preserve"> </w:t>
      </w:r>
      <w:r w:rsidR="00AC0720">
        <w:t xml:space="preserve">In contrast, </w:t>
      </w:r>
      <w:r w:rsidR="00CE32DD">
        <w:t>the Australian Capital Territory</w:t>
      </w:r>
      <w:r w:rsidR="00AC0720">
        <w:t xml:space="preserve"> recorded a </w:t>
      </w:r>
      <w:r w:rsidR="00CE32DD">
        <w:t>22</w:t>
      </w:r>
      <w:r w:rsidR="003C4F76">
        <w:t>%</w:t>
      </w:r>
      <w:r w:rsidR="00AC0720">
        <w:t xml:space="preserve"> increase, followed by </w:t>
      </w:r>
      <w:r w:rsidR="00CE32DD">
        <w:t>Tasmania</w:t>
      </w:r>
      <w:r w:rsidR="00AC0720">
        <w:t xml:space="preserve"> </w:t>
      </w:r>
      <w:r w:rsidR="003C4054">
        <w:t xml:space="preserve">and Victoria </w:t>
      </w:r>
      <w:r w:rsidR="00AC0720">
        <w:t>(</w:t>
      </w:r>
      <w:r w:rsidR="003C4054">
        <w:t xml:space="preserve">both </w:t>
      </w:r>
      <w:r w:rsidR="00AC0720">
        <w:t xml:space="preserve">up </w:t>
      </w:r>
      <w:r w:rsidR="00CE32DD">
        <w:t>8</w:t>
      </w:r>
      <w:r w:rsidR="003C4F76">
        <w:t>%</w:t>
      </w:r>
      <w:r w:rsidR="00AC0720">
        <w:t xml:space="preserve">). </w:t>
      </w:r>
    </w:p>
    <w:p w14:paraId="0CD31984" w14:textId="00A13B84" w:rsidR="003C4054" w:rsidRPr="00086AB2" w:rsidRDefault="00781310" w:rsidP="00EB5D4F">
      <w:r w:rsidRPr="00086AB2">
        <w:t xml:space="preserve">The incidence rates of the Australian Capital Territory should be interpreted with caution as the </w:t>
      </w:r>
      <w:r w:rsidR="00A0229E" w:rsidRPr="00086AB2">
        <w:t>relative standard error</w:t>
      </w:r>
      <w:r w:rsidRPr="00086AB2">
        <w:t xml:space="preserve"> of the number of employees w</w:t>
      </w:r>
      <w:r w:rsidR="00812A53" w:rsidRPr="00086AB2">
        <w:t>as</w:t>
      </w:r>
      <w:r w:rsidR="00832514" w:rsidRPr="00086AB2">
        <w:t xml:space="preserve"> between 25</w:t>
      </w:r>
      <w:r w:rsidR="00D72DFE">
        <w:t>%</w:t>
      </w:r>
      <w:r w:rsidR="00832514" w:rsidRPr="00086AB2">
        <w:t xml:space="preserve"> and 50</w:t>
      </w:r>
      <w:r w:rsidR="003C4F76">
        <w:t>%</w:t>
      </w:r>
      <w:r w:rsidR="00832514" w:rsidRPr="00086AB2">
        <w:t xml:space="preserve">. </w:t>
      </w:r>
    </w:p>
    <w:p w14:paraId="2BB1989B" w14:textId="237A03A6" w:rsidR="003C4054" w:rsidRDefault="00832514" w:rsidP="00DA5307">
      <w:pPr>
        <w:pStyle w:val="SWATableheader"/>
      </w:pPr>
      <w:bookmarkStart w:id="77" w:name="_Hlk56772864"/>
      <w:r w:rsidRPr="00086AB2">
        <w:t>Indicator 11</w:t>
      </w:r>
      <w:r w:rsidR="00772B12">
        <w:fldChar w:fldCharType="begin"/>
      </w:r>
      <w:r w:rsidR="00772B12">
        <w:instrText xml:space="preserve"> SEQ Indicator_11 \* alphabetic </w:instrText>
      </w:r>
      <w:r w:rsidR="00772B12">
        <w:fldChar w:fldCharType="separate"/>
      </w:r>
      <w:r w:rsidR="00772B12">
        <w:rPr>
          <w:noProof/>
        </w:rPr>
        <w:t>d</w:t>
      </w:r>
      <w:r w:rsidR="00772B12">
        <w:rPr>
          <w:noProof/>
        </w:rPr>
        <w:fldChar w:fldCharType="end"/>
      </w:r>
      <w:r w:rsidRPr="00086AB2">
        <w:t xml:space="preserve"> </w:t>
      </w:r>
      <w:r w:rsidR="00E55876" w:rsidRPr="00086AB2">
        <w:t>–</w:t>
      </w:r>
      <w:r w:rsidRPr="00086AB2">
        <w:t xml:space="preserve"> Incidence rates of serious claims for </w:t>
      </w:r>
      <w:r w:rsidR="009D46FF" w:rsidRPr="00086AB2">
        <w:t>E</w:t>
      </w:r>
      <w:r w:rsidRPr="00086AB2">
        <w:t>lectricity, gas, water and waste services by jurisdiction</w:t>
      </w:r>
    </w:p>
    <w:bookmarkEnd w:id="77"/>
    <w:p w14:paraId="25C7E7AC" w14:textId="51925EC5" w:rsidR="00832514" w:rsidRDefault="00DA5307" w:rsidP="00DA5307">
      <w:pPr>
        <w:jc w:val="center"/>
      </w:pPr>
      <w:r>
        <w:rPr>
          <w:noProof/>
        </w:rPr>
        <w:drawing>
          <wp:inline distT="0" distB="0" distL="0" distR="0" wp14:anchorId="3A95518B" wp14:editId="143A9B17">
            <wp:extent cx="4648200" cy="2815725"/>
            <wp:effectExtent l="0" t="0" r="0" b="3810"/>
            <wp:docPr id="9" name="Picture 9" descr="Indicator 11d – Incidence rates of serious claims for Electricity, gas, water and waste services by jurisdiction&#10;&#10;This chart shows the incidence rates (claims per 1,000 employees) of serious injury and disease claims for Electricity, gas, water and waste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7957" cy="2894328"/>
                    </a:xfrm>
                    <a:prstGeom prst="rect">
                      <a:avLst/>
                    </a:prstGeom>
                    <a:noFill/>
                  </pic:spPr>
                </pic:pic>
              </a:graphicData>
            </a:graphic>
          </wp:inline>
        </w:drawing>
      </w:r>
    </w:p>
    <w:p w14:paraId="49FC7C5F" w14:textId="1FB1ADFE" w:rsidR="00781310" w:rsidRPr="00086AB2" w:rsidRDefault="00905154" w:rsidP="00B51041">
      <w:pPr>
        <w:pStyle w:val="Heading1"/>
      </w:pPr>
      <w:r w:rsidRPr="00086AB2">
        <w:t>Construction</w:t>
      </w:r>
      <w:r w:rsidR="00D115A2">
        <w:t xml:space="preserve"> </w:t>
      </w:r>
    </w:p>
    <w:p w14:paraId="6595D397" w14:textId="06E719B2" w:rsidR="00DA5307" w:rsidRDefault="00EB5D4F" w:rsidP="00855E05">
      <w:r w:rsidRPr="00086AB2">
        <w:t>The Australian average incidence rate</w:t>
      </w:r>
      <w:r w:rsidR="00782BAF">
        <w:t xml:space="preserve"> for the Construction industry</w:t>
      </w:r>
      <w:r w:rsidRPr="00086AB2">
        <w:t xml:space="preserve"> </w:t>
      </w:r>
      <w:r w:rsidR="00D115A2">
        <w:t xml:space="preserve">decreased </w:t>
      </w:r>
      <w:r w:rsidR="009912BB">
        <w:t xml:space="preserve">by </w:t>
      </w:r>
      <w:r w:rsidR="00122143">
        <w:t>2</w:t>
      </w:r>
      <w:r w:rsidR="003C4F76">
        <w:t>%</w:t>
      </w:r>
      <w:r w:rsidR="00781310" w:rsidRPr="00086AB2">
        <w:t xml:space="preserve"> between </w:t>
      </w:r>
      <w:r w:rsidR="00672AA7" w:rsidRPr="00086AB2">
        <w:t>201</w:t>
      </w:r>
      <w:r w:rsidR="00122143">
        <w:t>3</w:t>
      </w:r>
      <w:r w:rsidR="00672AA7" w:rsidRPr="00086AB2">
        <w:t>–1</w:t>
      </w:r>
      <w:r w:rsidR="00122143">
        <w:t>4</w:t>
      </w:r>
      <w:r w:rsidR="00781310" w:rsidRPr="00086AB2">
        <w:t xml:space="preserve"> and </w:t>
      </w:r>
      <w:r w:rsidR="00672AA7" w:rsidRPr="00086AB2">
        <w:t>201</w:t>
      </w:r>
      <w:r w:rsidR="00D115A2">
        <w:t>7</w:t>
      </w:r>
      <w:r w:rsidR="00672AA7" w:rsidRPr="00086AB2">
        <w:t>–1</w:t>
      </w:r>
      <w:r w:rsidR="00D115A2">
        <w:t>8</w:t>
      </w:r>
      <w:r w:rsidR="00655324">
        <w:t xml:space="preserve"> (Indicator 11e)</w:t>
      </w:r>
      <w:r w:rsidR="00781310" w:rsidRPr="00086AB2">
        <w:t xml:space="preserve">. The Australian Government recorded the largest decrease (down </w:t>
      </w:r>
      <w:r w:rsidR="00122143">
        <w:t>75</w:t>
      </w:r>
      <w:r w:rsidR="003C4F76">
        <w:t>%</w:t>
      </w:r>
      <w:r w:rsidR="00781310" w:rsidRPr="00086AB2">
        <w:t xml:space="preserve">), followed by </w:t>
      </w:r>
      <w:r w:rsidR="00122143">
        <w:t>the Northern Territory (down 24</w:t>
      </w:r>
      <w:r w:rsidR="003C4F76">
        <w:t>%</w:t>
      </w:r>
      <w:r w:rsidR="00122143">
        <w:t>), Tasmania (</w:t>
      </w:r>
      <w:proofErr w:type="gramStart"/>
      <w:r w:rsidR="00122143">
        <w:t>down</w:t>
      </w:r>
      <w:r w:rsidR="003E13B3">
        <w:t> </w:t>
      </w:r>
      <w:r w:rsidR="007D1A23" w:rsidDel="007D1A23">
        <w:t xml:space="preserve"> </w:t>
      </w:r>
      <w:r w:rsidR="00122143">
        <w:t>21</w:t>
      </w:r>
      <w:proofErr w:type="gramEnd"/>
      <w:r w:rsidR="003C4F76">
        <w:t>%</w:t>
      </w:r>
      <w:r w:rsidR="00122143">
        <w:t xml:space="preserve">) and </w:t>
      </w:r>
      <w:r w:rsidR="00D115A2">
        <w:t>Western</w:t>
      </w:r>
      <w:r w:rsidR="009912BB">
        <w:t xml:space="preserve"> Australia (down </w:t>
      </w:r>
      <w:r w:rsidR="00D115A2">
        <w:t>1</w:t>
      </w:r>
      <w:r w:rsidR="00122143">
        <w:t>7</w:t>
      </w:r>
      <w:r w:rsidR="003C4F76">
        <w:t>%</w:t>
      </w:r>
      <w:r w:rsidR="009912BB">
        <w:t xml:space="preserve">). </w:t>
      </w:r>
      <w:r w:rsidR="00122143">
        <w:t>The Australian Capital Territory recorded a 9</w:t>
      </w:r>
      <w:r w:rsidR="003C4F76">
        <w:t>%</w:t>
      </w:r>
      <w:r w:rsidR="00122143">
        <w:t xml:space="preserve"> increase in the incidence rate</w:t>
      </w:r>
      <w:r w:rsidR="009E676F">
        <w:t xml:space="preserve">, </w:t>
      </w:r>
      <w:r w:rsidR="00140CC3">
        <w:t xml:space="preserve">followed by </w:t>
      </w:r>
      <w:r w:rsidR="009E676F">
        <w:t>New South Wales (up 7</w:t>
      </w:r>
      <w:r w:rsidR="003C4F76">
        <w:t>%</w:t>
      </w:r>
      <w:r w:rsidR="009E676F">
        <w:t>) and Queensland</w:t>
      </w:r>
      <w:r w:rsidR="003E13B3">
        <w:t xml:space="preserve"> </w:t>
      </w:r>
      <w:r w:rsidR="009E676F">
        <w:t>(up 5</w:t>
      </w:r>
      <w:r w:rsidR="003C4F76">
        <w:t>%</w:t>
      </w:r>
      <w:r w:rsidR="009E676F">
        <w:t>)</w:t>
      </w:r>
      <w:r w:rsidR="00122143">
        <w:t xml:space="preserve"> of this industry </w:t>
      </w:r>
      <w:r w:rsidR="009912BB">
        <w:t xml:space="preserve">during the same period. </w:t>
      </w:r>
    </w:p>
    <w:p w14:paraId="763C1D54" w14:textId="7783EC3A" w:rsidR="00781310" w:rsidRPr="00086AB2" w:rsidRDefault="00D115A2" w:rsidP="00855E05">
      <w:r>
        <w:t>I</w:t>
      </w:r>
      <w:r w:rsidR="009912BB">
        <w:t xml:space="preserve">ncidence rates of the Australian Capital Territory and the Australian Government should be interpreted with caution </w:t>
      </w:r>
      <w:r w:rsidR="009912BB" w:rsidRPr="00086AB2">
        <w:t>as the relative standard error of the number of employees was between 25</w:t>
      </w:r>
      <w:r w:rsidR="00D72DFE">
        <w:t>%</w:t>
      </w:r>
      <w:r w:rsidR="009912BB" w:rsidRPr="00086AB2">
        <w:t xml:space="preserve"> and 50</w:t>
      </w:r>
      <w:r w:rsidR="003C4F76">
        <w:t>%</w:t>
      </w:r>
      <w:r w:rsidR="00122143">
        <w:t>.</w:t>
      </w:r>
    </w:p>
    <w:p w14:paraId="7B3E1C7E" w14:textId="0566E55C" w:rsidR="00E40D55" w:rsidRPr="00086AB2" w:rsidRDefault="00E40D55" w:rsidP="00E40D55">
      <w:pPr>
        <w:pStyle w:val="SWATableheader"/>
      </w:pPr>
      <w:bookmarkStart w:id="78" w:name="_Hlk56772873"/>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e</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C</w:t>
      </w:r>
      <w:r w:rsidRPr="00086AB2">
        <w:t>onstruction by jurisdiction</w:t>
      </w:r>
    </w:p>
    <w:bookmarkEnd w:id="78"/>
    <w:p w14:paraId="55269354" w14:textId="4B0D44F0" w:rsidR="008F29A3" w:rsidRDefault="00825E2C" w:rsidP="008F29A3">
      <w:pPr>
        <w:jc w:val="center"/>
      </w:pPr>
      <w:r>
        <w:rPr>
          <w:noProof/>
        </w:rPr>
        <w:drawing>
          <wp:inline distT="0" distB="0" distL="0" distR="0" wp14:anchorId="72079D42" wp14:editId="047D57EA">
            <wp:extent cx="4572000" cy="2774314"/>
            <wp:effectExtent l="0" t="0" r="0" b="7620"/>
            <wp:docPr id="48" name="Picture 48" descr="Indicator 11e – Incidence rates of serious claims for Construction by jurisdiction&#10;&#10;This chart shows the incidence rates (claims per 1,000 employees) of serious injury and disease claims for Construction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2574" cy="2835343"/>
                    </a:xfrm>
                    <a:prstGeom prst="rect">
                      <a:avLst/>
                    </a:prstGeom>
                    <a:noFill/>
                  </pic:spPr>
                </pic:pic>
              </a:graphicData>
            </a:graphic>
          </wp:inline>
        </w:drawing>
      </w:r>
    </w:p>
    <w:p w14:paraId="0D9095C5" w14:textId="77777777" w:rsidR="008F29A3" w:rsidRPr="00086AB2" w:rsidRDefault="008F29A3" w:rsidP="008F29A3">
      <w:pPr>
        <w:pStyle w:val="Heading1"/>
      </w:pPr>
      <w:r w:rsidRPr="00086AB2">
        <w:t>Wholesale trade</w:t>
      </w:r>
      <w:r>
        <w:t xml:space="preserve"> </w:t>
      </w:r>
    </w:p>
    <w:p w14:paraId="7ECE57CA" w14:textId="1DC92470" w:rsidR="008F29A3" w:rsidRDefault="008F29A3" w:rsidP="008F29A3">
      <w:pPr>
        <w:keepNext/>
        <w:keepLines/>
      </w:pPr>
      <w:r w:rsidRPr="00086AB2">
        <w:t>Between 201</w:t>
      </w:r>
      <w:r>
        <w:t>3</w:t>
      </w:r>
      <w:r w:rsidRPr="00086AB2">
        <w:t>–1</w:t>
      </w:r>
      <w:r>
        <w:t>4</w:t>
      </w:r>
      <w:r w:rsidRPr="00086AB2">
        <w:t xml:space="preserve"> and 201</w:t>
      </w:r>
      <w:r>
        <w:t>7</w:t>
      </w:r>
      <w:r w:rsidRPr="00086AB2">
        <w:t>–1</w:t>
      </w:r>
      <w:r>
        <w:t>8</w:t>
      </w:r>
      <w:r w:rsidRPr="00086AB2">
        <w:t xml:space="preserve"> the Australian average incidence rate for the Wholesale trade industry </w:t>
      </w:r>
      <w:r>
        <w:t>increased</w:t>
      </w:r>
      <w:r w:rsidRPr="00086AB2">
        <w:t xml:space="preserve"> by </w:t>
      </w:r>
      <w:r>
        <w:t>11%</w:t>
      </w:r>
      <w:r w:rsidRPr="00086AB2">
        <w:t>, from 12.</w:t>
      </w:r>
      <w:r>
        <w:t>3</w:t>
      </w:r>
      <w:r w:rsidRPr="00086AB2">
        <w:t xml:space="preserve"> claims per 1,000 employees to 1</w:t>
      </w:r>
      <w:r>
        <w:t>3</w:t>
      </w:r>
      <w:r w:rsidRPr="00086AB2">
        <w:t>.</w:t>
      </w:r>
      <w:r>
        <w:t>7</w:t>
      </w:r>
      <w:r w:rsidR="00655324">
        <w:t xml:space="preserve"> (Indicator 11f)</w:t>
      </w:r>
      <w:r>
        <w:t>.</w:t>
      </w:r>
    </w:p>
    <w:p w14:paraId="4D0AED8C" w14:textId="47720FBE" w:rsidR="008F29A3" w:rsidRPr="00086AB2" w:rsidRDefault="008F29A3" w:rsidP="008F29A3">
      <w:pPr>
        <w:keepNext/>
        <w:keepLines/>
      </w:pPr>
      <w:r>
        <w:t>All eight jurisdictions recorded increases in their incidence rates b</w:t>
      </w:r>
      <w:r w:rsidRPr="00086AB2">
        <w:t>etween 201</w:t>
      </w:r>
      <w:r>
        <w:t>3</w:t>
      </w:r>
      <w:r w:rsidRPr="00086AB2">
        <w:t>–1</w:t>
      </w:r>
      <w:r>
        <w:t>4</w:t>
      </w:r>
      <w:r w:rsidRPr="00086AB2">
        <w:t xml:space="preserve"> and 201</w:t>
      </w:r>
      <w:r>
        <w:t>7</w:t>
      </w:r>
      <w:r w:rsidRPr="00086AB2">
        <w:t>–1</w:t>
      </w:r>
      <w:r>
        <w:t>8.</w:t>
      </w:r>
      <w:r w:rsidRPr="00086AB2">
        <w:t xml:space="preserve"> </w:t>
      </w:r>
      <w:r>
        <w:t>The Northern Territory</w:t>
      </w:r>
      <w:r w:rsidRPr="00086AB2">
        <w:t xml:space="preserve"> recorded the largest </w:t>
      </w:r>
      <w:r>
        <w:t>increase</w:t>
      </w:r>
      <w:r w:rsidRPr="00086AB2">
        <w:t xml:space="preserve"> in the incidence rate</w:t>
      </w:r>
      <w:r>
        <w:t xml:space="preserve"> of this industry</w:t>
      </w:r>
      <w:r w:rsidRPr="00086AB2">
        <w:t xml:space="preserve"> (</w:t>
      </w:r>
      <w:r>
        <w:t>up</w:t>
      </w:r>
      <w:r w:rsidRPr="00086AB2">
        <w:t> </w:t>
      </w:r>
      <w:r>
        <w:t>35%</w:t>
      </w:r>
      <w:r w:rsidRPr="00086AB2">
        <w:t>) between 201</w:t>
      </w:r>
      <w:r>
        <w:t>3</w:t>
      </w:r>
      <w:r w:rsidRPr="00086AB2">
        <w:t>–1</w:t>
      </w:r>
      <w:r>
        <w:t>4</w:t>
      </w:r>
      <w:r w:rsidRPr="00086AB2">
        <w:t xml:space="preserve"> and 201</w:t>
      </w:r>
      <w:r>
        <w:t>7</w:t>
      </w:r>
      <w:r w:rsidRPr="00086AB2">
        <w:t>–1</w:t>
      </w:r>
      <w:r>
        <w:t>8</w:t>
      </w:r>
      <w:r w:rsidRPr="00086AB2">
        <w:t xml:space="preserve">, followed by </w:t>
      </w:r>
      <w:r>
        <w:t>the Australian Capital Territory (up 30%), New South</w:t>
      </w:r>
      <w:r w:rsidR="00140CC3">
        <w:t> </w:t>
      </w:r>
      <w:r>
        <w:t>Wales</w:t>
      </w:r>
      <w:r w:rsidRPr="00086AB2">
        <w:t xml:space="preserve"> (</w:t>
      </w:r>
      <w:r>
        <w:t>up</w:t>
      </w:r>
      <w:r w:rsidRPr="00086AB2">
        <w:t> </w:t>
      </w:r>
      <w:r>
        <w:t>21%</w:t>
      </w:r>
      <w:r w:rsidRPr="00086AB2">
        <w:t>)</w:t>
      </w:r>
      <w:r>
        <w:t xml:space="preserve">, </w:t>
      </w:r>
      <w:r w:rsidR="00D130B1">
        <w:t xml:space="preserve">and </w:t>
      </w:r>
      <w:r>
        <w:t>South Australia and Tasmania (up 12% each).</w:t>
      </w:r>
    </w:p>
    <w:p w14:paraId="0B537004" w14:textId="7DD2C290" w:rsidR="00DA5307" w:rsidRDefault="008F29A3" w:rsidP="008F29A3">
      <w:pPr>
        <w:keepNext/>
        <w:keepLines/>
      </w:pPr>
      <w:r w:rsidRPr="00086AB2">
        <w:t>Queensland had the highest incidence rate of claims in 201</w:t>
      </w:r>
      <w:r>
        <w:t>8</w:t>
      </w:r>
      <w:r w:rsidRPr="00086AB2">
        <w:t>–1</w:t>
      </w:r>
      <w:r>
        <w:t>9</w:t>
      </w:r>
      <w:r w:rsidR="00D130B1">
        <w:t xml:space="preserve">p </w:t>
      </w:r>
      <w:r w:rsidRPr="00086AB2">
        <w:t>(1</w:t>
      </w:r>
      <w:r>
        <w:t>6.7</w:t>
      </w:r>
      <w:r w:rsidRPr="00086AB2">
        <w:t xml:space="preserve"> claims per 1,000 employees) followed by </w:t>
      </w:r>
      <w:r>
        <w:t>Tasmania</w:t>
      </w:r>
      <w:r w:rsidRPr="00086AB2">
        <w:t xml:space="preserve"> (</w:t>
      </w:r>
      <w:r>
        <w:t>16.0</w:t>
      </w:r>
      <w:r w:rsidRPr="00086AB2">
        <w:t xml:space="preserve"> claims per 1,000 employees). The lowest incidence rate was recorded by the Northern Territory (</w:t>
      </w:r>
      <w:r>
        <w:t>4.8</w:t>
      </w:r>
      <w:r w:rsidRPr="00086AB2">
        <w:t xml:space="preserve"> claims per 1,000 employees)</w:t>
      </w:r>
      <w:r>
        <w:t xml:space="preserve"> in </w:t>
      </w:r>
      <w:r w:rsidRPr="00086AB2">
        <w:t>201</w:t>
      </w:r>
      <w:r>
        <w:t>8</w:t>
      </w:r>
      <w:r w:rsidRPr="00086AB2">
        <w:t>–1</w:t>
      </w:r>
      <w:r>
        <w:t>9</w:t>
      </w:r>
      <w:r w:rsidR="00D130B1">
        <w:t>p</w:t>
      </w:r>
      <w:r w:rsidRPr="00086AB2">
        <w:t xml:space="preserve">. </w:t>
      </w:r>
    </w:p>
    <w:p w14:paraId="3747F5CB" w14:textId="3FE33ACC" w:rsidR="008F29A3" w:rsidRPr="00086AB2" w:rsidRDefault="008F29A3" w:rsidP="008F29A3">
      <w:pPr>
        <w:keepNext/>
        <w:keepLines/>
      </w:pPr>
      <w:r w:rsidRPr="00086AB2">
        <w:t>The incidence rates of the Australian Capital Territory should be interpreted with caution as the relative standard error of the number of employees was between 25</w:t>
      </w:r>
      <w:r>
        <w:t>%</w:t>
      </w:r>
      <w:r w:rsidRPr="00086AB2">
        <w:t xml:space="preserve"> and 50</w:t>
      </w:r>
      <w:r>
        <w:t>%</w:t>
      </w:r>
      <w:r w:rsidRPr="00086AB2">
        <w:t>.</w:t>
      </w:r>
    </w:p>
    <w:p w14:paraId="365985A6" w14:textId="0F74F656" w:rsidR="00E40D55" w:rsidRPr="00086AB2" w:rsidRDefault="00E40D55" w:rsidP="00E40D55">
      <w:pPr>
        <w:pStyle w:val="SWATableheader"/>
      </w:pPr>
      <w:bookmarkStart w:id="79" w:name="_Hlk5677288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f</w:t>
      </w:r>
      <w:r w:rsidR="006F0762" w:rsidRPr="00086AB2">
        <w:rPr>
          <w:noProof/>
        </w:rPr>
        <w:fldChar w:fldCharType="end"/>
      </w:r>
      <w:r w:rsidRPr="00086AB2">
        <w:t xml:space="preserve"> – Inciden</w:t>
      </w:r>
      <w:r w:rsidR="00957093" w:rsidRPr="00086AB2">
        <w:t xml:space="preserve">ce rates of serious claims for </w:t>
      </w:r>
      <w:r w:rsidR="009D46FF" w:rsidRPr="00086AB2">
        <w:t>W</w:t>
      </w:r>
      <w:r w:rsidRPr="00086AB2">
        <w:t>holesale trade by jurisdiction</w:t>
      </w:r>
    </w:p>
    <w:bookmarkEnd w:id="79"/>
    <w:p w14:paraId="236911D0" w14:textId="4892FD14" w:rsidR="00781310" w:rsidRDefault="006803D3" w:rsidP="0048685D">
      <w:pPr>
        <w:jc w:val="center"/>
      </w:pPr>
      <w:r>
        <w:rPr>
          <w:noProof/>
        </w:rPr>
        <w:drawing>
          <wp:inline distT="0" distB="0" distL="0" distR="0" wp14:anchorId="107053A2" wp14:editId="6B4FBA52">
            <wp:extent cx="4568601" cy="2800350"/>
            <wp:effectExtent l="0" t="0" r="3810" b="0"/>
            <wp:docPr id="67" name="Picture 67" descr="Indicator 11f – Incidence rates of serious claims for Wholesale trade by jurisdiction&#10;&#10;This chart shows the incidence rates (claims per 1,000 employees) of serious injury and disease claims for Wholesale trade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1291" cy="2826517"/>
                    </a:xfrm>
                    <a:prstGeom prst="rect">
                      <a:avLst/>
                    </a:prstGeom>
                    <a:noFill/>
                  </pic:spPr>
                </pic:pic>
              </a:graphicData>
            </a:graphic>
          </wp:inline>
        </w:drawing>
      </w:r>
    </w:p>
    <w:p w14:paraId="14EC6248" w14:textId="77777777" w:rsidR="008F29A3" w:rsidRPr="00086AB2" w:rsidRDefault="008F29A3" w:rsidP="004F6BA7">
      <w:pPr>
        <w:pStyle w:val="Heading1"/>
        <w:keepLines/>
        <w:spacing w:before="0"/>
      </w:pPr>
      <w:r w:rsidRPr="00086AB2">
        <w:lastRenderedPageBreak/>
        <w:t>Retail trade</w:t>
      </w:r>
      <w:r>
        <w:t xml:space="preserve"> </w:t>
      </w:r>
    </w:p>
    <w:p w14:paraId="4B831070" w14:textId="01E947D9" w:rsidR="008F29A3" w:rsidRDefault="008F29A3" w:rsidP="008F29A3">
      <w:pPr>
        <w:keepNext/>
        <w:keepLines/>
      </w:pPr>
      <w:r>
        <w:t>T</w:t>
      </w:r>
      <w:r w:rsidRPr="00086AB2">
        <w:t xml:space="preserve">he Australian average incidence rate of serious claims in the Retail trade industry decreased by </w:t>
      </w:r>
      <w:r>
        <w:t>11%</w:t>
      </w:r>
      <w:r w:rsidRPr="00086AB2">
        <w:t xml:space="preserve"> between 201</w:t>
      </w:r>
      <w:r>
        <w:t>3</w:t>
      </w:r>
      <w:r w:rsidRPr="00086AB2">
        <w:t>–1</w:t>
      </w:r>
      <w:r>
        <w:t>4</w:t>
      </w:r>
      <w:r w:rsidRPr="00086AB2">
        <w:t xml:space="preserve"> and 201</w:t>
      </w:r>
      <w:r>
        <w:t>7</w:t>
      </w:r>
      <w:r w:rsidRPr="00086AB2">
        <w:t>–1</w:t>
      </w:r>
      <w:r>
        <w:t>8</w:t>
      </w:r>
      <w:r w:rsidR="00655324">
        <w:t xml:space="preserve"> (Indicator 11g)</w:t>
      </w:r>
      <w:r w:rsidRPr="00086AB2">
        <w:t xml:space="preserve">. </w:t>
      </w:r>
      <w:r>
        <w:t>The Northern Territory</w:t>
      </w:r>
      <w:r w:rsidRPr="00086AB2">
        <w:t xml:space="preserve"> </w:t>
      </w:r>
      <w:r>
        <w:t xml:space="preserve">recorded a substantial decrease </w:t>
      </w:r>
      <w:r w:rsidRPr="00086AB2">
        <w:t xml:space="preserve">(down </w:t>
      </w:r>
      <w:r>
        <w:t>30%</w:t>
      </w:r>
      <w:r w:rsidRPr="00086AB2">
        <w:t xml:space="preserve">) over the same period, followed by </w:t>
      </w:r>
      <w:r>
        <w:t xml:space="preserve">Victoria (down 17%), South Australia (down 14%), </w:t>
      </w:r>
      <w:r w:rsidR="00D130B1">
        <w:t xml:space="preserve">and </w:t>
      </w:r>
      <w:r>
        <w:t>Queensland</w:t>
      </w:r>
      <w:r w:rsidRPr="00086AB2">
        <w:t xml:space="preserve"> (down </w:t>
      </w:r>
      <w:r>
        <w:t>11%</w:t>
      </w:r>
      <w:r w:rsidRPr="00086AB2">
        <w:t>)</w:t>
      </w:r>
      <w:r>
        <w:t>.</w:t>
      </w:r>
      <w:r w:rsidRPr="00086AB2">
        <w:t xml:space="preserve"> </w:t>
      </w:r>
      <w:r>
        <w:t>Western Australia (up 5%) and the Australian</w:t>
      </w:r>
      <w:r w:rsidR="00140CC3">
        <w:t> </w:t>
      </w:r>
      <w:r>
        <w:t>Capital</w:t>
      </w:r>
      <w:r w:rsidR="00140CC3">
        <w:t> </w:t>
      </w:r>
      <w:r>
        <w:t>Territory (up 3%) were the only jurisdictions recording increases during the same period.</w:t>
      </w:r>
    </w:p>
    <w:p w14:paraId="7E52C0B9" w14:textId="0D4149DC" w:rsidR="00140CC3" w:rsidRDefault="00140CC3" w:rsidP="008F29A3">
      <w:pPr>
        <w:keepNext/>
        <w:keepLines/>
      </w:pPr>
      <w:r w:rsidRPr="00086AB2">
        <w:t>The incidence rates of the Australian Capital Territory should be interpreted with caution as the relative standard error of the number of employees was between 25</w:t>
      </w:r>
      <w:r>
        <w:t>%</w:t>
      </w:r>
      <w:r w:rsidRPr="00086AB2">
        <w:t xml:space="preserve"> and 50</w:t>
      </w:r>
      <w:r>
        <w:t>%</w:t>
      </w:r>
      <w:r w:rsidRPr="00086AB2">
        <w:t>.</w:t>
      </w:r>
    </w:p>
    <w:p w14:paraId="63AE96FE" w14:textId="00D580E6" w:rsidR="008F29A3" w:rsidRPr="00086AB2" w:rsidRDefault="008F29A3" w:rsidP="002E5FC6">
      <w:pPr>
        <w:pStyle w:val="SWATableheader"/>
        <w:keepLines/>
      </w:pPr>
      <w:bookmarkStart w:id="80" w:name="_Hlk56772894"/>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772B12">
        <w:rPr>
          <w:noProof/>
        </w:rPr>
        <w:t>g</w:t>
      </w:r>
      <w:r w:rsidRPr="00086AB2">
        <w:rPr>
          <w:noProof/>
        </w:rPr>
        <w:fldChar w:fldCharType="end"/>
      </w:r>
      <w:r w:rsidRPr="00086AB2">
        <w:t xml:space="preserve"> – Incidence rates of serious claims for Retail trade by jurisdictio</w:t>
      </w:r>
      <w:r>
        <w:t>n</w:t>
      </w:r>
    </w:p>
    <w:bookmarkEnd w:id="80"/>
    <w:p w14:paraId="1298FADC" w14:textId="26EB54A5" w:rsidR="005B14A5" w:rsidRDefault="008F29A3" w:rsidP="0039462E">
      <w:pPr>
        <w:spacing w:after="0"/>
        <w:jc w:val="center"/>
      </w:pPr>
      <w:r>
        <w:rPr>
          <w:noProof/>
        </w:rPr>
        <w:drawing>
          <wp:inline distT="0" distB="0" distL="0" distR="0" wp14:anchorId="45D9BA62" wp14:editId="5ED3E1ED">
            <wp:extent cx="4628231" cy="2847975"/>
            <wp:effectExtent l="0" t="0" r="1270" b="0"/>
            <wp:docPr id="71" name="Picture 71" descr="Indicator 11g – Incidence rates of serious claims for Retail trade by jurisdiction&#10;&#10;This chart shows the incidence rates (claims per 1,000 employees) of serious injury and disease claims for Retail trade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1027" cy="2898924"/>
                    </a:xfrm>
                    <a:prstGeom prst="rect">
                      <a:avLst/>
                    </a:prstGeom>
                    <a:noFill/>
                  </pic:spPr>
                </pic:pic>
              </a:graphicData>
            </a:graphic>
          </wp:inline>
        </w:drawing>
      </w:r>
    </w:p>
    <w:p w14:paraId="517EB257" w14:textId="77777777" w:rsidR="005B14A5" w:rsidRPr="00086AB2" w:rsidRDefault="005B14A5" w:rsidP="004F6BA7">
      <w:pPr>
        <w:spacing w:after="0"/>
        <w:jc w:val="center"/>
      </w:pPr>
    </w:p>
    <w:p w14:paraId="0A92FC9C" w14:textId="15D5119F" w:rsidR="00781310" w:rsidRPr="00086AB2" w:rsidRDefault="001978D9" w:rsidP="004F6BA7">
      <w:pPr>
        <w:pStyle w:val="Heading1"/>
        <w:keepLines/>
        <w:spacing w:before="0"/>
      </w:pPr>
      <w:r w:rsidRPr="00086AB2">
        <w:t>Accommodation and food services</w:t>
      </w:r>
      <w:r w:rsidR="00905555">
        <w:t xml:space="preserve"> </w:t>
      </w:r>
    </w:p>
    <w:p w14:paraId="5C28B6AD" w14:textId="55EEB7BC" w:rsidR="00914B75" w:rsidRDefault="00DB55AA" w:rsidP="00457DAE">
      <w:pPr>
        <w:keepNext/>
        <w:keepLines/>
      </w:pPr>
      <w:r>
        <w:t>T</w:t>
      </w:r>
      <w:r w:rsidR="00781310" w:rsidRPr="00086AB2">
        <w:t>he Australian average incidence rate for the Accommodation an</w:t>
      </w:r>
      <w:r w:rsidR="0024396E" w:rsidRPr="00086AB2">
        <w:t xml:space="preserve">d food services industry was </w:t>
      </w:r>
      <w:r w:rsidR="00B023B0">
        <w:t>6.6</w:t>
      </w:r>
      <w:r>
        <w:t> </w:t>
      </w:r>
      <w:r w:rsidR="00781310" w:rsidRPr="00086AB2">
        <w:t xml:space="preserve">serious claims per </w:t>
      </w:r>
      <w:r w:rsidR="000B6602" w:rsidRPr="00086AB2">
        <w:t>1,000</w:t>
      </w:r>
      <w:r w:rsidR="00781310" w:rsidRPr="00086AB2">
        <w:t xml:space="preserve"> employees in </w:t>
      </w:r>
      <w:r w:rsidR="0024396E" w:rsidRPr="00086AB2">
        <w:t>201</w:t>
      </w:r>
      <w:r w:rsidR="00452FFF">
        <w:t>7</w:t>
      </w:r>
      <w:r w:rsidR="0024396E" w:rsidRPr="00086AB2">
        <w:t>–1</w:t>
      </w:r>
      <w:r w:rsidR="00452FFF">
        <w:t>8</w:t>
      </w:r>
      <w:r w:rsidR="00781310" w:rsidRPr="00086AB2">
        <w:t xml:space="preserve">, down </w:t>
      </w:r>
      <w:r w:rsidR="00452FFF">
        <w:t>20</w:t>
      </w:r>
      <w:r w:rsidR="003C4F76">
        <w:t>%</w:t>
      </w:r>
      <w:r w:rsidR="00781310" w:rsidRPr="00086AB2">
        <w:t xml:space="preserve"> since </w:t>
      </w:r>
      <w:r w:rsidR="0024396E" w:rsidRPr="00086AB2">
        <w:t>201</w:t>
      </w:r>
      <w:r w:rsidR="00452FFF">
        <w:t>3</w:t>
      </w:r>
      <w:r w:rsidR="0024396E" w:rsidRPr="00086AB2">
        <w:t>–1</w:t>
      </w:r>
      <w:r w:rsidR="00452FFF">
        <w:t>4</w:t>
      </w:r>
      <w:r w:rsidR="00655324">
        <w:t xml:space="preserve"> (Indicator 11h)</w:t>
      </w:r>
      <w:r w:rsidR="00781310" w:rsidRPr="00086AB2">
        <w:t xml:space="preserve">. </w:t>
      </w:r>
      <w:r w:rsidR="0024396E" w:rsidRPr="00086AB2">
        <w:t xml:space="preserve">All </w:t>
      </w:r>
      <w:r w:rsidR="004967AC">
        <w:t xml:space="preserve">but </w:t>
      </w:r>
      <w:r w:rsidR="00BA122F">
        <w:t>one</w:t>
      </w:r>
      <w:r w:rsidR="004967AC">
        <w:t xml:space="preserve"> </w:t>
      </w:r>
      <w:r w:rsidR="0024396E" w:rsidRPr="00086AB2">
        <w:t>jurisdiction</w:t>
      </w:r>
      <w:r>
        <w:t xml:space="preserve"> (</w:t>
      </w:r>
      <w:r w:rsidR="00914B75">
        <w:t xml:space="preserve">Tasmania </w:t>
      </w:r>
      <w:r w:rsidR="00D130B1">
        <w:t xml:space="preserve">which </w:t>
      </w:r>
      <w:r w:rsidR="00914B75">
        <w:t>recorded a 23</w:t>
      </w:r>
      <w:r w:rsidR="003C4F76">
        <w:t>%</w:t>
      </w:r>
      <w:r w:rsidR="00914B75">
        <w:t xml:space="preserve"> increase)</w:t>
      </w:r>
      <w:r w:rsidR="00781310" w:rsidRPr="00086AB2">
        <w:t xml:space="preserve"> </w:t>
      </w:r>
      <w:r w:rsidR="00B77DC6" w:rsidRPr="00086AB2">
        <w:t xml:space="preserve">recorded </w:t>
      </w:r>
      <w:r w:rsidR="006B7701" w:rsidRPr="00086AB2">
        <w:t xml:space="preserve">a </w:t>
      </w:r>
      <w:r w:rsidR="00781310" w:rsidRPr="00086AB2">
        <w:t xml:space="preserve">decrease in their incidence rates </w:t>
      </w:r>
      <w:r w:rsidR="006B7701" w:rsidRPr="00086AB2">
        <w:t>for this industry over the period</w:t>
      </w:r>
      <w:r w:rsidR="00781310" w:rsidRPr="00086AB2">
        <w:t xml:space="preserve">. </w:t>
      </w:r>
    </w:p>
    <w:p w14:paraId="7EC36C01" w14:textId="420B92AB" w:rsidR="005B14A5" w:rsidRDefault="00781310" w:rsidP="00451318">
      <w:pPr>
        <w:keepNext/>
        <w:keepLines/>
      </w:pPr>
      <w:r w:rsidRPr="00086AB2">
        <w:t xml:space="preserve">The Australian Government did not have any reportable claims </w:t>
      </w:r>
      <w:r w:rsidR="00B77DC6" w:rsidRPr="00086AB2">
        <w:t>in 2014–15</w:t>
      </w:r>
      <w:r w:rsidR="004967AC">
        <w:t>,</w:t>
      </w:r>
      <w:r w:rsidR="00B77DC6" w:rsidRPr="00086AB2">
        <w:t xml:space="preserve"> 2016–17</w:t>
      </w:r>
      <w:r w:rsidR="00452FFF">
        <w:t xml:space="preserve">, </w:t>
      </w:r>
      <w:r w:rsidR="004967AC" w:rsidRPr="00086AB2">
        <w:t>201</w:t>
      </w:r>
      <w:r w:rsidR="004967AC">
        <w:t>7</w:t>
      </w:r>
      <w:r w:rsidR="004967AC" w:rsidRPr="00086AB2">
        <w:t>–1</w:t>
      </w:r>
      <w:r w:rsidR="004967AC">
        <w:t>8</w:t>
      </w:r>
      <w:r w:rsidR="00452FFF">
        <w:t xml:space="preserve"> and</w:t>
      </w:r>
      <w:r w:rsidRPr="00086AB2">
        <w:t xml:space="preserve"> </w:t>
      </w:r>
      <w:r w:rsidR="00452FFF">
        <w:t xml:space="preserve">in </w:t>
      </w:r>
      <w:r w:rsidR="00452FFF" w:rsidRPr="00086AB2">
        <w:t>201</w:t>
      </w:r>
      <w:r w:rsidR="00452FFF">
        <w:t>8</w:t>
      </w:r>
      <w:r w:rsidR="00452FFF" w:rsidRPr="00086AB2">
        <w:t>–1</w:t>
      </w:r>
      <w:r w:rsidR="00D130B1">
        <w:t>9p</w:t>
      </w:r>
      <w:r w:rsidR="00452FFF">
        <w:t xml:space="preserve">. </w:t>
      </w:r>
      <w:r w:rsidR="00D72DFE">
        <w:t>I</w:t>
      </w:r>
      <w:r w:rsidR="00B77DC6" w:rsidRPr="00086AB2">
        <w:t>ncidence rates of the Australian Capital Territory and the Australian Government should be interpreted with caution as the relative standard error of the number of employees was between 25</w:t>
      </w:r>
      <w:r w:rsidR="00D72DFE">
        <w:t>%</w:t>
      </w:r>
      <w:r w:rsidR="00B77DC6" w:rsidRPr="00086AB2">
        <w:t xml:space="preserve"> and 50</w:t>
      </w:r>
      <w:r w:rsidR="003C4F76">
        <w:t>%</w:t>
      </w:r>
      <w:r w:rsidR="00B77DC6" w:rsidRPr="00086AB2">
        <w:t>.</w:t>
      </w:r>
    </w:p>
    <w:p w14:paraId="6E6F5EDD" w14:textId="2A1355D4" w:rsidR="00E5660F" w:rsidRDefault="004967AC" w:rsidP="002E5FC6">
      <w:pPr>
        <w:rPr>
          <w:rFonts w:eastAsiaTheme="majorEastAsia" w:cstheme="majorBidi"/>
          <w:color w:val="AF1E2D"/>
          <w:spacing w:val="-3"/>
          <w:szCs w:val="22"/>
          <w:lang w:eastAsia="en-US"/>
        </w:rPr>
      </w:pPr>
      <w:r>
        <w:t xml:space="preserve"> </w:t>
      </w:r>
    </w:p>
    <w:p w14:paraId="45B9DAB2" w14:textId="5B4BB0BB" w:rsidR="00E5660F" w:rsidRDefault="00C92473" w:rsidP="004F6BA7">
      <w:pPr>
        <w:pStyle w:val="SWATableheader"/>
        <w:spacing w:after="0"/>
      </w:pPr>
      <w:bookmarkStart w:id="81" w:name="_Hlk56772908"/>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h</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A</w:t>
      </w:r>
      <w:r w:rsidRPr="00086AB2">
        <w:t>ccommodation and food services by</w:t>
      </w:r>
      <w:r w:rsidR="00E55876" w:rsidRPr="00086AB2">
        <w:t> </w:t>
      </w:r>
      <w:r w:rsidRPr="00086AB2">
        <w:t>jurisdiction</w:t>
      </w:r>
    </w:p>
    <w:bookmarkEnd w:id="81"/>
    <w:p w14:paraId="3058DC35" w14:textId="6A18299F" w:rsidR="00655324" w:rsidRDefault="00825E2C" w:rsidP="004F6BA7">
      <w:pPr>
        <w:spacing w:after="200" w:line="276" w:lineRule="auto"/>
        <w:jc w:val="center"/>
        <w:rPr>
          <w:rFonts w:ascii="Arial Bold" w:eastAsiaTheme="majorEastAsia" w:hAnsi="Arial Bold" w:cs="Arial"/>
          <w:b/>
          <w:kern w:val="32"/>
          <w:sz w:val="28"/>
          <w:szCs w:val="22"/>
        </w:rPr>
      </w:pPr>
      <w:r>
        <w:rPr>
          <w:rFonts w:eastAsiaTheme="majorEastAsia" w:cstheme="majorBidi"/>
          <w:b/>
          <w:noProof/>
          <w:color w:val="AF1E2D"/>
          <w:spacing w:val="-3"/>
          <w:szCs w:val="22"/>
          <w:lang w:eastAsia="en-US"/>
        </w:rPr>
        <w:drawing>
          <wp:inline distT="0" distB="0" distL="0" distR="0" wp14:anchorId="626EB097" wp14:editId="7E0330AE">
            <wp:extent cx="4651124" cy="2819400"/>
            <wp:effectExtent l="0" t="0" r="0" b="0"/>
            <wp:docPr id="20" name="Picture 20" descr="Indicator 11h – Incidence rates of serious claims for Accommodation and food services by jurisdiction&#10;&#10;This chart shows the incidence rates (claims per 1,000 employees) of serious injury and disease claims for Accommodation and food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0617" cy="2922143"/>
                    </a:xfrm>
                    <a:prstGeom prst="rect">
                      <a:avLst/>
                    </a:prstGeom>
                    <a:noFill/>
                  </pic:spPr>
                </pic:pic>
              </a:graphicData>
            </a:graphic>
          </wp:inline>
        </w:drawing>
      </w:r>
    </w:p>
    <w:p w14:paraId="3E54A7D6" w14:textId="3E7F2FC8" w:rsidR="00781310" w:rsidRPr="009E4E76" w:rsidRDefault="00781310" w:rsidP="00B51041">
      <w:pPr>
        <w:pStyle w:val="Heading1"/>
        <w:rPr>
          <w:color w:val="FF0000"/>
          <w:sz w:val="20"/>
          <w:szCs w:val="20"/>
        </w:rPr>
      </w:pPr>
      <w:r w:rsidRPr="00086AB2">
        <w:t>Transport, postal and warehousing</w:t>
      </w:r>
      <w:r w:rsidR="009E4E76">
        <w:t xml:space="preserve"> </w:t>
      </w:r>
    </w:p>
    <w:p w14:paraId="29F1CE5C" w14:textId="6D75FAC3" w:rsidR="00B94D7D" w:rsidRDefault="008A2EA5" w:rsidP="00781310">
      <w:r>
        <w:t>T</w:t>
      </w:r>
      <w:r w:rsidR="00781310" w:rsidRPr="00086AB2">
        <w:t>he Australian average incidence</w:t>
      </w:r>
      <w:r w:rsidR="008E0DDC" w:rsidRPr="00086AB2">
        <w:t xml:space="preserve"> rate for this industry was 15.3</w:t>
      </w:r>
      <w:r w:rsidR="00781310" w:rsidRPr="00086AB2">
        <w:t xml:space="preserve"> serious claims per </w:t>
      </w:r>
      <w:r w:rsidR="000B6602" w:rsidRPr="00086AB2">
        <w:t>1,000</w:t>
      </w:r>
      <w:r w:rsidR="00781310" w:rsidRPr="00086AB2">
        <w:t xml:space="preserve"> employees in </w:t>
      </w:r>
      <w:r w:rsidR="008E0DDC" w:rsidRPr="00086AB2">
        <w:t>201</w:t>
      </w:r>
      <w:r w:rsidR="00A74AA0">
        <w:t>7</w:t>
      </w:r>
      <w:r w:rsidR="008E0DDC" w:rsidRPr="00086AB2">
        <w:t>–1</w:t>
      </w:r>
      <w:r w:rsidR="00A74AA0">
        <w:t>8</w:t>
      </w:r>
      <w:r w:rsidR="00781310" w:rsidRPr="00086AB2">
        <w:t xml:space="preserve">, down </w:t>
      </w:r>
      <w:r w:rsidR="00516970">
        <w:t>13</w:t>
      </w:r>
      <w:r w:rsidR="003C4F76">
        <w:t>%</w:t>
      </w:r>
      <w:r w:rsidR="00781310" w:rsidRPr="00086AB2">
        <w:t xml:space="preserve"> since </w:t>
      </w:r>
      <w:r w:rsidR="008E0DDC" w:rsidRPr="00086AB2">
        <w:t>201</w:t>
      </w:r>
      <w:r w:rsidR="00516970">
        <w:t>3</w:t>
      </w:r>
      <w:r w:rsidR="008E0DDC" w:rsidRPr="00086AB2">
        <w:t>–1</w:t>
      </w:r>
      <w:r w:rsidR="00516970">
        <w:t>4</w:t>
      </w:r>
      <w:r w:rsidR="00655324">
        <w:t xml:space="preserve"> (Indicator 11i)</w:t>
      </w:r>
      <w:r w:rsidR="00781310" w:rsidRPr="00086AB2">
        <w:t xml:space="preserve">. </w:t>
      </w:r>
      <w:r w:rsidR="00516970">
        <w:t xml:space="preserve">All but </w:t>
      </w:r>
      <w:r w:rsidR="00B06626">
        <w:t>one</w:t>
      </w:r>
      <w:r w:rsidR="00781310" w:rsidRPr="00086AB2">
        <w:t xml:space="preserve"> jurisdiction recorded a decrease in their incidence rates during this period, ranging between </w:t>
      </w:r>
      <w:r w:rsidR="00516970">
        <w:t>7</w:t>
      </w:r>
      <w:r w:rsidR="003C4F76">
        <w:t>%</w:t>
      </w:r>
      <w:r w:rsidR="00781310" w:rsidRPr="00086AB2">
        <w:t xml:space="preserve"> in </w:t>
      </w:r>
      <w:r w:rsidR="00516970">
        <w:t>Tasmania</w:t>
      </w:r>
      <w:r w:rsidR="00781310" w:rsidRPr="00086AB2">
        <w:t xml:space="preserve"> and </w:t>
      </w:r>
      <w:r w:rsidR="00516970">
        <w:t>5</w:t>
      </w:r>
      <w:r w:rsidR="002334FE">
        <w:t>0</w:t>
      </w:r>
      <w:r w:rsidR="003C4F76">
        <w:t>%</w:t>
      </w:r>
      <w:r w:rsidR="00781310" w:rsidRPr="00086AB2">
        <w:t xml:space="preserve"> </w:t>
      </w:r>
      <w:r w:rsidR="008E0DDC" w:rsidRPr="00086AB2">
        <w:t xml:space="preserve">in the </w:t>
      </w:r>
      <w:r w:rsidR="00A74AA0">
        <w:t>Northern Territory</w:t>
      </w:r>
      <w:r w:rsidR="00781310" w:rsidRPr="00086AB2">
        <w:t xml:space="preserve">. </w:t>
      </w:r>
    </w:p>
    <w:p w14:paraId="7FC3E827" w14:textId="51068F20" w:rsidR="00140CC3" w:rsidRPr="00086AB2" w:rsidRDefault="00781310" w:rsidP="00140CC3">
      <w:r w:rsidRPr="00086AB2">
        <w:t xml:space="preserve">The incidence rate of the Australian Capital Territory should be interpreted with caution as the </w:t>
      </w:r>
      <w:r w:rsidR="00A0229E" w:rsidRPr="00086AB2">
        <w:t>relative standard error</w:t>
      </w:r>
      <w:r w:rsidRPr="00086AB2">
        <w:t xml:space="preserve"> of the number of employees w</w:t>
      </w:r>
      <w:r w:rsidR="00812A53" w:rsidRPr="00086AB2">
        <w:t>as</w:t>
      </w:r>
      <w:r w:rsidRPr="00086AB2">
        <w:t xml:space="preserve"> between 25</w:t>
      </w:r>
      <w:r w:rsidR="00D72DFE">
        <w:t>%</w:t>
      </w:r>
      <w:r w:rsidRPr="00086AB2">
        <w:t xml:space="preserve"> and 50</w:t>
      </w:r>
      <w:r w:rsidR="003C4F76">
        <w:t>%</w:t>
      </w:r>
      <w:r w:rsidRPr="00086AB2">
        <w:t>.</w:t>
      </w:r>
      <w:r w:rsidR="00140CC3" w:rsidRPr="00140CC3">
        <w:t xml:space="preserve"> </w:t>
      </w:r>
      <w:r w:rsidR="00140CC3" w:rsidRPr="00086AB2">
        <w:t xml:space="preserve">The incidence rates of </w:t>
      </w:r>
      <w:r w:rsidR="00140CC3">
        <w:t xml:space="preserve">Seacare </w:t>
      </w:r>
      <w:r w:rsidR="00140CC3" w:rsidRPr="00086AB2">
        <w:t xml:space="preserve">were not reported </w:t>
      </w:r>
      <w:r w:rsidR="00140CC3">
        <w:t xml:space="preserve">here </w:t>
      </w:r>
      <w:r w:rsidR="00140CC3" w:rsidRPr="00086AB2">
        <w:t>due to the high relative standard error (greater than 50</w:t>
      </w:r>
      <w:r w:rsidR="00140CC3">
        <w:t>%</w:t>
      </w:r>
      <w:r w:rsidR="00140CC3" w:rsidRPr="00086AB2">
        <w:t xml:space="preserve">). </w:t>
      </w:r>
    </w:p>
    <w:p w14:paraId="2CCE12AD" w14:textId="5EA4057E" w:rsidR="00C92473" w:rsidRPr="00086AB2" w:rsidRDefault="00C92473" w:rsidP="00C92473">
      <w:pPr>
        <w:pStyle w:val="SWATableheader"/>
      </w:pPr>
      <w:bookmarkStart w:id="82" w:name="_Hlk56772915"/>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i</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T</w:t>
      </w:r>
      <w:r w:rsidRPr="00086AB2">
        <w:t>ransport, postal and warehousing by</w:t>
      </w:r>
      <w:r w:rsidR="00E55876" w:rsidRPr="00086AB2">
        <w:t> </w:t>
      </w:r>
      <w:r w:rsidRPr="00086AB2">
        <w:t>jurisdiction</w:t>
      </w:r>
    </w:p>
    <w:bookmarkEnd w:id="82"/>
    <w:p w14:paraId="78AF376F" w14:textId="155A1702" w:rsidR="00781310" w:rsidRDefault="00A61D78" w:rsidP="008E0DDC">
      <w:pPr>
        <w:jc w:val="center"/>
      </w:pPr>
      <w:r>
        <w:rPr>
          <w:noProof/>
        </w:rPr>
        <w:drawing>
          <wp:inline distT="0" distB="0" distL="0" distR="0" wp14:anchorId="0CE2F812" wp14:editId="3727BA50">
            <wp:extent cx="4622816" cy="2609850"/>
            <wp:effectExtent l="0" t="0" r="6350" b="0"/>
            <wp:docPr id="8" name="Picture 8" descr="Indicator 11i – Incidence rates of serious claims for Transport, postal and warehousing by jurisdiction&#10;&#10;This chart shows the incidence rates (claims per 1,000 employees) of serious injury and disease claims for Transport, postal and warehousing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7450" cy="2618112"/>
                    </a:xfrm>
                    <a:prstGeom prst="rect">
                      <a:avLst/>
                    </a:prstGeom>
                    <a:noFill/>
                  </pic:spPr>
                </pic:pic>
              </a:graphicData>
            </a:graphic>
          </wp:inline>
        </w:drawing>
      </w:r>
    </w:p>
    <w:p w14:paraId="276827DB" w14:textId="4447E5A4" w:rsidR="008F29A3" w:rsidRPr="00086AB2" w:rsidRDefault="008F29A3" w:rsidP="004F6BA7">
      <w:pPr>
        <w:pStyle w:val="Heading1"/>
        <w:keepLines/>
        <w:spacing w:before="120"/>
      </w:pPr>
      <w:r w:rsidRPr="00086AB2">
        <w:lastRenderedPageBreak/>
        <w:t>Information media and telecommunications</w:t>
      </w:r>
      <w:r>
        <w:t xml:space="preserve"> </w:t>
      </w:r>
    </w:p>
    <w:p w14:paraId="26264D1C" w14:textId="15419966" w:rsidR="00B1089A" w:rsidRPr="004F6BA7" w:rsidRDefault="008F29A3" w:rsidP="008F29A3">
      <w:pPr>
        <w:keepNext/>
        <w:keepLines/>
      </w:pPr>
      <w:r>
        <w:t>T</w:t>
      </w:r>
      <w:r w:rsidRPr="00086AB2">
        <w:t>he Australian average incidence rates of serious claims for the Information media and telecommunications industry in 201</w:t>
      </w:r>
      <w:r>
        <w:t>7</w:t>
      </w:r>
      <w:r w:rsidRPr="00086AB2">
        <w:t>–1</w:t>
      </w:r>
      <w:r>
        <w:t>8</w:t>
      </w:r>
      <w:r w:rsidRPr="00086AB2">
        <w:t xml:space="preserve"> was 2.</w:t>
      </w:r>
      <w:r>
        <w:t>3</w:t>
      </w:r>
      <w:r w:rsidRPr="00086AB2">
        <w:t xml:space="preserve"> claims per 1,000 employees</w:t>
      </w:r>
      <w:r w:rsidR="005B14A5">
        <w:t xml:space="preserve"> (Indicator 11j)</w:t>
      </w:r>
      <w:r w:rsidRPr="00086AB2">
        <w:t xml:space="preserve">. </w:t>
      </w:r>
      <w:r>
        <w:t>South</w:t>
      </w:r>
      <w:r w:rsidR="005B14A5">
        <w:t> </w:t>
      </w:r>
      <w:r>
        <w:t>Australia</w:t>
      </w:r>
      <w:r w:rsidRPr="00086AB2">
        <w:t xml:space="preserve"> recorded the largest decrease (down </w:t>
      </w:r>
      <w:r>
        <w:t>79%</w:t>
      </w:r>
      <w:r w:rsidRPr="00086AB2">
        <w:t>) between 201</w:t>
      </w:r>
      <w:r>
        <w:t>3</w:t>
      </w:r>
      <w:r w:rsidRPr="00086AB2">
        <w:t>–1</w:t>
      </w:r>
      <w:r>
        <w:t xml:space="preserve">4 </w:t>
      </w:r>
      <w:r w:rsidRPr="00086AB2">
        <w:t>and 201</w:t>
      </w:r>
      <w:r>
        <w:t>7</w:t>
      </w:r>
      <w:r w:rsidRPr="00086AB2">
        <w:t>–1</w:t>
      </w:r>
      <w:r>
        <w:t>8</w:t>
      </w:r>
      <w:r w:rsidRPr="00086AB2">
        <w:t xml:space="preserve">, followed by </w:t>
      </w:r>
      <w:r w:rsidR="00140CC3">
        <w:t>the Northern Territory (</w:t>
      </w:r>
      <w:r w:rsidR="00140CC3" w:rsidRPr="002E5FC6">
        <w:t xml:space="preserve">down 77%), </w:t>
      </w:r>
      <w:r w:rsidRPr="002E5FC6">
        <w:t xml:space="preserve">Tasmania (down 57%), </w:t>
      </w:r>
      <w:r w:rsidR="000C3198">
        <w:t>and</w:t>
      </w:r>
      <w:r w:rsidR="000C3198" w:rsidRPr="002E5FC6">
        <w:t xml:space="preserve"> </w:t>
      </w:r>
      <w:r w:rsidRPr="002E5FC6">
        <w:t>the Australian Government (down 46%).</w:t>
      </w:r>
    </w:p>
    <w:p w14:paraId="2FBE0334" w14:textId="77777777" w:rsidR="008F29A3" w:rsidRPr="00086AB2" w:rsidRDefault="008F29A3" w:rsidP="008F29A3">
      <w:pPr>
        <w:keepNext/>
        <w:keepLines/>
      </w:pPr>
      <w:r w:rsidRPr="002E5FC6">
        <w:t>The incidence rates of the A</w:t>
      </w:r>
      <w:r w:rsidRPr="00086AB2">
        <w:t xml:space="preserve">ustralian Capital Territory and the Northern Territory should be interpreted with caution as the relative standard error of the number of employees </w:t>
      </w:r>
      <w:r>
        <w:t>was</w:t>
      </w:r>
      <w:r w:rsidRPr="00086AB2">
        <w:t xml:space="preserve"> between 25</w:t>
      </w:r>
      <w:r>
        <w:t>%</w:t>
      </w:r>
      <w:r w:rsidRPr="00086AB2">
        <w:t xml:space="preserve"> and 50</w:t>
      </w:r>
      <w:r>
        <w:t>% and therefore subject to high sampling error.</w:t>
      </w:r>
    </w:p>
    <w:p w14:paraId="12409AA7" w14:textId="02FE35A5" w:rsidR="00C92473" w:rsidRPr="00086AB2" w:rsidRDefault="00C92473" w:rsidP="00DB6855">
      <w:pPr>
        <w:pStyle w:val="SWATableheader"/>
      </w:pPr>
      <w:bookmarkStart w:id="83" w:name="_Hlk56772937"/>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j</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I</w:t>
      </w:r>
      <w:r w:rsidRPr="00086AB2">
        <w:t>nformation media and telecommunications by jurisdiction</w:t>
      </w:r>
    </w:p>
    <w:bookmarkEnd w:id="83"/>
    <w:p w14:paraId="5379C4DF" w14:textId="5CD7EF1C" w:rsidR="00F22966" w:rsidRPr="00086AB2" w:rsidRDefault="00825E2C" w:rsidP="004F6BA7">
      <w:pPr>
        <w:spacing w:after="0"/>
        <w:jc w:val="center"/>
      </w:pPr>
      <w:r>
        <w:rPr>
          <w:noProof/>
        </w:rPr>
        <w:drawing>
          <wp:inline distT="0" distB="0" distL="0" distR="0" wp14:anchorId="23202645" wp14:editId="2F3E59B1">
            <wp:extent cx="4619847" cy="2828925"/>
            <wp:effectExtent l="0" t="0" r="9525" b="0"/>
            <wp:docPr id="58" name="Picture 58" descr="Indicator 11j – Incidence rates of serious claims for Information, media and telecommunications by jurisdiction&#10;&#10;This chart shows the incidence rates (claims per 1,000 employees) of serious injury and disease claims for Information media and telecommunication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4104" cy="2947877"/>
                    </a:xfrm>
                    <a:prstGeom prst="rect">
                      <a:avLst/>
                    </a:prstGeom>
                    <a:noFill/>
                  </pic:spPr>
                </pic:pic>
              </a:graphicData>
            </a:graphic>
          </wp:inline>
        </w:drawing>
      </w:r>
    </w:p>
    <w:p w14:paraId="01826E71" w14:textId="7134A701" w:rsidR="00F22966" w:rsidRPr="00086AB2" w:rsidRDefault="00781310" w:rsidP="002E5FC6">
      <w:pPr>
        <w:pStyle w:val="Heading1"/>
      </w:pPr>
      <w:r w:rsidRPr="00086AB2">
        <w:t>F</w:t>
      </w:r>
      <w:r w:rsidR="001978D9" w:rsidRPr="00086AB2">
        <w:t>inancial and insurance services</w:t>
      </w:r>
      <w:r w:rsidR="00A96678">
        <w:t xml:space="preserve"> </w:t>
      </w:r>
    </w:p>
    <w:p w14:paraId="20D3DEAD" w14:textId="02AACE36" w:rsidR="00B94D7D" w:rsidRDefault="005B14A5" w:rsidP="00D16F5F">
      <w:r>
        <w:t>Indicator 11k shows t</w:t>
      </w:r>
      <w:r w:rsidR="00781310" w:rsidRPr="00086AB2">
        <w:t>he Australian average incidence rate for the Financial and insura</w:t>
      </w:r>
      <w:r w:rsidR="00DB77DF" w:rsidRPr="00086AB2">
        <w:t>nce services industry in 201</w:t>
      </w:r>
      <w:r w:rsidR="00903F63">
        <w:t>7</w:t>
      </w:r>
      <w:r w:rsidR="00DB77DF" w:rsidRPr="00086AB2">
        <w:t>–1</w:t>
      </w:r>
      <w:r w:rsidR="00903F63">
        <w:t>8</w:t>
      </w:r>
      <w:r w:rsidR="00DB77DF" w:rsidRPr="00086AB2">
        <w:t xml:space="preserve"> was 1.</w:t>
      </w:r>
      <w:r w:rsidR="00903F63">
        <w:t>6</w:t>
      </w:r>
      <w:r w:rsidR="00781310" w:rsidRPr="00086AB2">
        <w:t xml:space="preserve"> claims per </w:t>
      </w:r>
      <w:r w:rsidR="000B6602" w:rsidRPr="00086AB2">
        <w:t>1,000</w:t>
      </w:r>
      <w:r w:rsidR="00781310" w:rsidRPr="00086AB2">
        <w:t xml:space="preserve"> employees, the lowest average incidence rate of serious claims among all industries. </w:t>
      </w:r>
      <w:r w:rsidR="00D16F5F">
        <w:t>South Australia</w:t>
      </w:r>
      <w:r w:rsidR="00ED5149">
        <w:t xml:space="preserve"> recorded</w:t>
      </w:r>
      <w:r w:rsidR="00A96678">
        <w:t xml:space="preserve"> the largest decrease (down </w:t>
      </w:r>
      <w:r w:rsidR="00D16F5F">
        <w:t>55</w:t>
      </w:r>
      <w:r w:rsidR="003C4F76">
        <w:t>%</w:t>
      </w:r>
      <w:r w:rsidR="00A96678">
        <w:t>)</w:t>
      </w:r>
      <w:r w:rsidR="00DB77DF" w:rsidRPr="00086AB2">
        <w:t xml:space="preserve"> in the incidence rate</w:t>
      </w:r>
      <w:r w:rsidR="00085CC6" w:rsidRPr="00086AB2">
        <w:t xml:space="preserve"> for this industry</w:t>
      </w:r>
      <w:r w:rsidR="00DB77DF" w:rsidRPr="00086AB2">
        <w:t xml:space="preserve"> between 201</w:t>
      </w:r>
      <w:r w:rsidR="00D16F5F">
        <w:t>3</w:t>
      </w:r>
      <w:r w:rsidR="00DB77DF" w:rsidRPr="00086AB2">
        <w:t>–1</w:t>
      </w:r>
      <w:r w:rsidR="00D16F5F">
        <w:t>4</w:t>
      </w:r>
      <w:r w:rsidR="00DB77DF" w:rsidRPr="00086AB2">
        <w:t xml:space="preserve"> and 201</w:t>
      </w:r>
      <w:r w:rsidR="00A96678">
        <w:t>7</w:t>
      </w:r>
      <w:r w:rsidR="00DB77DF" w:rsidRPr="00086AB2">
        <w:t>–1</w:t>
      </w:r>
      <w:r w:rsidR="00A96678">
        <w:t>8</w:t>
      </w:r>
      <w:r w:rsidR="00DB77DF" w:rsidRPr="00086AB2">
        <w:t xml:space="preserve">, followed by </w:t>
      </w:r>
      <w:r w:rsidR="00D16F5F">
        <w:t xml:space="preserve">the </w:t>
      </w:r>
      <w:r w:rsidR="00787181">
        <w:t xml:space="preserve">Australian Capital Territory (down 40%), </w:t>
      </w:r>
      <w:r w:rsidR="00E53DAB">
        <w:t xml:space="preserve">the </w:t>
      </w:r>
      <w:r w:rsidR="00D16F5F">
        <w:t>Australian Government</w:t>
      </w:r>
      <w:r w:rsidR="00DB77DF" w:rsidRPr="00086AB2">
        <w:t xml:space="preserve"> (down </w:t>
      </w:r>
      <w:r w:rsidR="00D16F5F">
        <w:t>32</w:t>
      </w:r>
      <w:r w:rsidR="003C4F76">
        <w:t>%</w:t>
      </w:r>
      <w:r w:rsidR="00DB77DF" w:rsidRPr="00086AB2">
        <w:t>)</w:t>
      </w:r>
      <w:r w:rsidR="00E53DAB">
        <w:t xml:space="preserve"> and</w:t>
      </w:r>
      <w:r w:rsidR="00A96678">
        <w:t xml:space="preserve"> </w:t>
      </w:r>
      <w:r w:rsidR="00D16F5F">
        <w:t>Victoria</w:t>
      </w:r>
      <w:r w:rsidR="00A96678">
        <w:t xml:space="preserve"> (down </w:t>
      </w:r>
      <w:r w:rsidR="00D16F5F">
        <w:t>28</w:t>
      </w:r>
      <w:r w:rsidR="003C4F76">
        <w:t>%</w:t>
      </w:r>
      <w:r w:rsidR="00A96678">
        <w:t>).</w:t>
      </w:r>
      <w:r w:rsidR="00384890">
        <w:t xml:space="preserve"> </w:t>
      </w:r>
      <w:r w:rsidR="00D16F5F">
        <w:t>Tasmania recorded 42</w:t>
      </w:r>
      <w:r w:rsidR="003C4F76">
        <w:t>%</w:t>
      </w:r>
      <w:r w:rsidR="00D16F5F">
        <w:t xml:space="preserve"> increase in incidence rate during the same perio</w:t>
      </w:r>
      <w:r w:rsidR="00787181">
        <w:t>d, followed by W</w:t>
      </w:r>
      <w:r w:rsidR="00E53DAB">
        <w:t xml:space="preserve">estern </w:t>
      </w:r>
      <w:r w:rsidR="00787181">
        <w:t>A</w:t>
      </w:r>
      <w:r w:rsidR="00E53DAB">
        <w:t>ustralia</w:t>
      </w:r>
      <w:r w:rsidR="00787181">
        <w:t xml:space="preserve"> (up 27%)</w:t>
      </w:r>
      <w:r w:rsidR="00D16F5F">
        <w:t>.</w:t>
      </w:r>
      <w:r w:rsidR="00787181" w:rsidRPr="00787181">
        <w:t xml:space="preserve"> </w:t>
      </w:r>
    </w:p>
    <w:p w14:paraId="03D386D9" w14:textId="4A1DDF77" w:rsidR="00F22966" w:rsidRDefault="00787181" w:rsidP="00D16F5F">
      <w:r>
        <w:t>Th</w:t>
      </w:r>
      <w:r w:rsidRPr="00086AB2">
        <w:t>e incidence rates of the Australian Capital Territory should be interpreted with caution as the relative standard error of the number of employees was between 25</w:t>
      </w:r>
      <w:r>
        <w:t>%</w:t>
      </w:r>
      <w:r w:rsidRPr="00086AB2">
        <w:t xml:space="preserve"> and 50</w:t>
      </w:r>
      <w:r>
        <w:t>%</w:t>
      </w:r>
      <w:r w:rsidRPr="00086AB2">
        <w:t>.</w:t>
      </w:r>
    </w:p>
    <w:p w14:paraId="7712B6C9" w14:textId="77777777" w:rsidR="005B14A5" w:rsidRPr="00086AB2" w:rsidRDefault="005B14A5" w:rsidP="00D16F5F"/>
    <w:p w14:paraId="64E8E33C" w14:textId="301C0088" w:rsidR="007938AC" w:rsidRPr="00086AB2" w:rsidRDefault="007938AC" w:rsidP="002E5FC6">
      <w:pPr>
        <w:pStyle w:val="SWATableheader"/>
      </w:pPr>
      <w:bookmarkStart w:id="84" w:name="_Hlk56772945"/>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k</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F</w:t>
      </w:r>
      <w:r w:rsidRPr="00086AB2">
        <w:t>inancial and insurance services by</w:t>
      </w:r>
      <w:r w:rsidR="00E55876" w:rsidRPr="00086AB2">
        <w:t> </w:t>
      </w:r>
      <w:r w:rsidRPr="00086AB2">
        <w:t>jurisdiction</w:t>
      </w:r>
    </w:p>
    <w:bookmarkEnd w:id="84"/>
    <w:p w14:paraId="1629D099" w14:textId="2EF362B1" w:rsidR="00781310" w:rsidRPr="00086AB2" w:rsidRDefault="00825E2C" w:rsidP="004F6BA7">
      <w:pPr>
        <w:spacing w:after="0"/>
        <w:jc w:val="center"/>
      </w:pPr>
      <w:r>
        <w:rPr>
          <w:noProof/>
        </w:rPr>
        <w:drawing>
          <wp:inline distT="0" distB="0" distL="0" distR="0" wp14:anchorId="58E42BFA" wp14:editId="22315316">
            <wp:extent cx="4607097" cy="2790825"/>
            <wp:effectExtent l="0" t="0" r="3175" b="0"/>
            <wp:docPr id="51" name="Picture 51" descr="Indicator 11k – Incidence rates of serious claims for Financial and insurance services by jurisdiction&#10;&#10;This chart shows the incidence rates (claims per 1,000 employees) of serious injury and disease claims for Financial and insurance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5684" cy="2838430"/>
                    </a:xfrm>
                    <a:prstGeom prst="rect">
                      <a:avLst/>
                    </a:prstGeom>
                    <a:noFill/>
                  </pic:spPr>
                </pic:pic>
              </a:graphicData>
            </a:graphic>
          </wp:inline>
        </w:drawing>
      </w:r>
    </w:p>
    <w:p w14:paraId="3B1CCC91" w14:textId="291FA5BB" w:rsidR="00781310" w:rsidRPr="00086AB2" w:rsidRDefault="00781310" w:rsidP="00B51041">
      <w:pPr>
        <w:pStyle w:val="Heading1"/>
      </w:pPr>
      <w:r w:rsidRPr="00086AB2">
        <w:t xml:space="preserve">Rental, </w:t>
      </w:r>
      <w:r w:rsidR="001978D9" w:rsidRPr="00086AB2">
        <w:t>hiring and real estate services</w:t>
      </w:r>
      <w:r w:rsidR="00A579E3">
        <w:t xml:space="preserve"> </w:t>
      </w:r>
    </w:p>
    <w:p w14:paraId="4BA15B11" w14:textId="28A8E3A8" w:rsidR="00B94D7D" w:rsidRDefault="00AC09E8" w:rsidP="004714CD">
      <w:pPr>
        <w:jc w:val="left"/>
      </w:pPr>
      <w:r>
        <w:t>T</w:t>
      </w:r>
      <w:r w:rsidR="00781310" w:rsidRPr="00086AB2">
        <w:t>he Australian average incidence rate for the Rental, hiring and real estate servic</w:t>
      </w:r>
      <w:r w:rsidR="00D34FAE" w:rsidRPr="00086AB2">
        <w:t xml:space="preserve">es industry was </w:t>
      </w:r>
      <w:r w:rsidR="004714CD">
        <w:t>5.</w:t>
      </w:r>
      <w:r>
        <w:t>3</w:t>
      </w:r>
      <w:r w:rsidR="00781310" w:rsidRPr="00086AB2">
        <w:t xml:space="preserve"> claims per </w:t>
      </w:r>
      <w:r w:rsidR="000B6602" w:rsidRPr="00086AB2">
        <w:t>1,000</w:t>
      </w:r>
      <w:r w:rsidR="00781310" w:rsidRPr="00086AB2">
        <w:t xml:space="preserve"> employees in </w:t>
      </w:r>
      <w:r w:rsidR="00D34FAE" w:rsidRPr="00086AB2">
        <w:t>201</w:t>
      </w:r>
      <w:r>
        <w:t>7</w:t>
      </w:r>
      <w:r w:rsidR="00D34FAE" w:rsidRPr="00086AB2">
        <w:t>–1</w:t>
      </w:r>
      <w:r>
        <w:t>8</w:t>
      </w:r>
      <w:r w:rsidR="005B14A5">
        <w:t xml:space="preserve"> (Indicator 11l)</w:t>
      </w:r>
      <w:r w:rsidR="00781310" w:rsidRPr="00086AB2">
        <w:t xml:space="preserve">. </w:t>
      </w:r>
      <w:r w:rsidR="003A3B13">
        <w:t>South Australia</w:t>
      </w:r>
      <w:r>
        <w:t xml:space="preserve"> </w:t>
      </w:r>
      <w:r w:rsidR="00085CC6" w:rsidRPr="00086AB2">
        <w:t>recorded</w:t>
      </w:r>
      <w:r w:rsidR="00781310" w:rsidRPr="00086AB2">
        <w:t xml:space="preserve"> the largest decrease (down</w:t>
      </w:r>
      <w:r w:rsidR="00D34FAE" w:rsidRPr="00086AB2">
        <w:t> </w:t>
      </w:r>
      <w:r w:rsidR="003A3B13">
        <w:t>64</w:t>
      </w:r>
      <w:r w:rsidR="003C4F76">
        <w:t>%</w:t>
      </w:r>
      <w:r w:rsidR="00781310" w:rsidRPr="00086AB2">
        <w:t xml:space="preserve">) between </w:t>
      </w:r>
      <w:r w:rsidR="00D34FAE" w:rsidRPr="00086AB2">
        <w:t>201</w:t>
      </w:r>
      <w:r w:rsidR="003A3B13">
        <w:t>3</w:t>
      </w:r>
      <w:r w:rsidR="00D34FAE" w:rsidRPr="00086AB2">
        <w:t>–1</w:t>
      </w:r>
      <w:r w:rsidR="003A3B13">
        <w:t>4</w:t>
      </w:r>
      <w:r w:rsidR="00781310" w:rsidRPr="00086AB2">
        <w:t xml:space="preserve"> and </w:t>
      </w:r>
      <w:r w:rsidR="00D34FAE" w:rsidRPr="00086AB2">
        <w:t>201</w:t>
      </w:r>
      <w:r>
        <w:t>7</w:t>
      </w:r>
      <w:r w:rsidR="00D34FAE" w:rsidRPr="00086AB2">
        <w:t>–1</w:t>
      </w:r>
      <w:r>
        <w:t>8</w:t>
      </w:r>
      <w:r w:rsidR="00781310" w:rsidRPr="00086AB2">
        <w:t xml:space="preserve">, followed by </w:t>
      </w:r>
      <w:r>
        <w:t>the Northern Territory</w:t>
      </w:r>
      <w:r w:rsidR="00D34FAE" w:rsidRPr="00086AB2">
        <w:t xml:space="preserve"> (down </w:t>
      </w:r>
      <w:r w:rsidR="004714CD">
        <w:t>4</w:t>
      </w:r>
      <w:r w:rsidR="0087506A">
        <w:t>9</w:t>
      </w:r>
      <w:r w:rsidR="003C4F76">
        <w:t>%</w:t>
      </w:r>
      <w:r w:rsidR="00D34FAE" w:rsidRPr="00086AB2">
        <w:t xml:space="preserve">) and </w:t>
      </w:r>
      <w:r w:rsidR="0087506A">
        <w:t>Victoria</w:t>
      </w:r>
      <w:r w:rsidR="00D34FAE" w:rsidRPr="00086AB2">
        <w:t xml:space="preserve"> (down </w:t>
      </w:r>
      <w:r w:rsidR="0087506A">
        <w:t>23</w:t>
      </w:r>
      <w:r w:rsidR="003C4F76">
        <w:t>%</w:t>
      </w:r>
      <w:r w:rsidR="00D34FAE" w:rsidRPr="00086AB2">
        <w:t>).</w:t>
      </w:r>
      <w:r w:rsidR="00781310" w:rsidRPr="00086AB2">
        <w:t xml:space="preserve"> </w:t>
      </w:r>
    </w:p>
    <w:p w14:paraId="5AE09863" w14:textId="5FB33647" w:rsidR="00781310" w:rsidRPr="00086AB2" w:rsidRDefault="00781310" w:rsidP="004714CD">
      <w:pPr>
        <w:jc w:val="left"/>
      </w:pPr>
      <w:r w:rsidRPr="00086AB2">
        <w:t xml:space="preserve">The incidence rates of the Australian Capital Territory should be interpreted with caution as the </w:t>
      </w:r>
      <w:r w:rsidR="00220412" w:rsidRPr="00086AB2">
        <w:t>relative standard error</w:t>
      </w:r>
      <w:r w:rsidRPr="00086AB2">
        <w:t xml:space="preserve"> of the number of employees </w:t>
      </w:r>
      <w:r w:rsidR="00220412" w:rsidRPr="00086AB2">
        <w:t>was</w:t>
      </w:r>
      <w:r w:rsidRPr="00086AB2">
        <w:t xml:space="preserve"> between 25</w:t>
      </w:r>
      <w:r w:rsidR="00D72DFE">
        <w:t>%</w:t>
      </w:r>
      <w:r w:rsidRPr="00086AB2">
        <w:t xml:space="preserve"> and 50</w:t>
      </w:r>
      <w:r w:rsidR="003C4F76">
        <w:t>%</w:t>
      </w:r>
      <w:r w:rsidRPr="00086AB2">
        <w:t>.</w:t>
      </w:r>
    </w:p>
    <w:p w14:paraId="7542F344" w14:textId="70850157" w:rsidR="00F17473" w:rsidRPr="00086AB2" w:rsidRDefault="00F17473" w:rsidP="00F60444">
      <w:pPr>
        <w:pStyle w:val="SWATableheader"/>
        <w:spacing w:after="120"/>
      </w:pPr>
      <w:bookmarkStart w:id="85" w:name="_Hlk56772954"/>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l</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R</w:t>
      </w:r>
      <w:r w:rsidRPr="00086AB2">
        <w:t>ental, hiring and real estate services by</w:t>
      </w:r>
      <w:r w:rsidR="00E55876" w:rsidRPr="00086AB2">
        <w:t> </w:t>
      </w:r>
      <w:r w:rsidRPr="00086AB2">
        <w:t>jurisdiction</w:t>
      </w:r>
    </w:p>
    <w:bookmarkEnd w:id="85"/>
    <w:p w14:paraId="247B67B9" w14:textId="79362392" w:rsidR="00781310" w:rsidRPr="00086AB2" w:rsidRDefault="00825E2C" w:rsidP="00F60444">
      <w:pPr>
        <w:spacing w:after="0"/>
        <w:jc w:val="center"/>
      </w:pPr>
      <w:r>
        <w:rPr>
          <w:noProof/>
        </w:rPr>
        <w:drawing>
          <wp:inline distT="0" distB="0" distL="0" distR="0" wp14:anchorId="7A112EDA" wp14:editId="133D3EBB">
            <wp:extent cx="4638675" cy="2888426"/>
            <wp:effectExtent l="0" t="0" r="0" b="7620"/>
            <wp:docPr id="59" name="Picture 59" descr="Indicator 11l – Incidence rates of serious claims for Rental, hiring and real estate services by jurisdiction&#10;&#10;This chart shows the incidence rates (claims per 1,000 employees) of serious injury and disease claims for Rental, hiring and real estate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3542" cy="2984859"/>
                    </a:xfrm>
                    <a:prstGeom prst="rect">
                      <a:avLst/>
                    </a:prstGeom>
                    <a:noFill/>
                  </pic:spPr>
                </pic:pic>
              </a:graphicData>
            </a:graphic>
          </wp:inline>
        </w:drawing>
      </w:r>
    </w:p>
    <w:p w14:paraId="5A16C0AA" w14:textId="77777777" w:rsidR="005B14A5" w:rsidRDefault="005B14A5">
      <w:pPr>
        <w:spacing w:after="200" w:line="276" w:lineRule="auto"/>
        <w:jc w:val="left"/>
        <w:rPr>
          <w:rFonts w:ascii="Arial Bold" w:eastAsiaTheme="majorEastAsia" w:hAnsi="Arial Bold" w:cs="Arial"/>
          <w:b/>
          <w:kern w:val="32"/>
          <w:sz w:val="28"/>
          <w:szCs w:val="22"/>
        </w:rPr>
      </w:pPr>
      <w:r>
        <w:br w:type="page"/>
      </w:r>
    </w:p>
    <w:p w14:paraId="2D46ECF7" w14:textId="2FF80CFB" w:rsidR="00781310" w:rsidRPr="00086AB2" w:rsidRDefault="00781310" w:rsidP="00F60444">
      <w:pPr>
        <w:pStyle w:val="Heading1"/>
        <w:spacing w:before="240"/>
      </w:pPr>
      <w:r w:rsidRPr="00086AB2">
        <w:lastRenderedPageBreak/>
        <w:t>Professional, sc</w:t>
      </w:r>
      <w:r w:rsidR="001978D9" w:rsidRPr="00086AB2">
        <w:t>ientific and technical services</w:t>
      </w:r>
      <w:r w:rsidR="0033569C">
        <w:t xml:space="preserve"> </w:t>
      </w:r>
    </w:p>
    <w:p w14:paraId="66D4895E" w14:textId="0971B1F4" w:rsidR="00F06EB7" w:rsidRDefault="00F06EB7" w:rsidP="003C33AB">
      <w:pPr>
        <w:jc w:val="left"/>
      </w:pPr>
      <w:r w:rsidRPr="00086AB2">
        <w:t>The Professional, scientific and technical services industry had the second lowest incidence rate overall in 201</w:t>
      </w:r>
      <w:r>
        <w:t>7</w:t>
      </w:r>
      <w:r w:rsidRPr="00086AB2">
        <w:t>–1</w:t>
      </w:r>
      <w:r>
        <w:t>8</w:t>
      </w:r>
      <w:r w:rsidRPr="00086AB2">
        <w:t xml:space="preserve"> (</w:t>
      </w:r>
      <w:r>
        <w:t>2.1</w:t>
      </w:r>
      <w:r w:rsidRPr="00086AB2">
        <w:t xml:space="preserve"> claims per 1,000 employees) when compared to all other industries</w:t>
      </w:r>
      <w:r w:rsidR="005B14A5">
        <w:t xml:space="preserve"> (Indicator 11m)</w:t>
      </w:r>
      <w:r w:rsidRPr="00086AB2">
        <w:t xml:space="preserve">. </w:t>
      </w:r>
      <w:r w:rsidR="0085542B">
        <w:t>All</w:t>
      </w:r>
      <w:r w:rsidR="009372B0">
        <w:t xml:space="preserve"> </w:t>
      </w:r>
      <w:r w:rsidR="0085542B">
        <w:t xml:space="preserve">but one </w:t>
      </w:r>
      <w:r w:rsidR="00781310" w:rsidRPr="00086AB2">
        <w:t>jurisdiction recorded decreases in the incidence rate</w:t>
      </w:r>
      <w:r w:rsidR="00085CC6" w:rsidRPr="00086AB2">
        <w:t xml:space="preserve"> of serious claims</w:t>
      </w:r>
      <w:r w:rsidR="00781310" w:rsidRPr="00086AB2">
        <w:t xml:space="preserve"> for the Professional, scientific and technical services industry between </w:t>
      </w:r>
      <w:r w:rsidR="002C4451" w:rsidRPr="00086AB2">
        <w:t>201</w:t>
      </w:r>
      <w:r w:rsidR="0085542B">
        <w:t>3</w:t>
      </w:r>
      <w:r w:rsidR="002C4451" w:rsidRPr="00086AB2">
        <w:t>–1</w:t>
      </w:r>
      <w:r w:rsidR="0085542B">
        <w:t>4</w:t>
      </w:r>
      <w:r w:rsidR="00781310" w:rsidRPr="00086AB2">
        <w:t xml:space="preserve"> and </w:t>
      </w:r>
      <w:r w:rsidR="002C4451" w:rsidRPr="00086AB2">
        <w:t>201</w:t>
      </w:r>
      <w:r w:rsidR="009372B0">
        <w:t>7</w:t>
      </w:r>
      <w:r w:rsidR="002C4451" w:rsidRPr="00086AB2">
        <w:t>–1</w:t>
      </w:r>
      <w:r w:rsidR="009372B0">
        <w:t>8</w:t>
      </w:r>
      <w:r w:rsidR="00085CC6" w:rsidRPr="00086AB2">
        <w:t xml:space="preserve">. </w:t>
      </w:r>
    </w:p>
    <w:p w14:paraId="14FD8185" w14:textId="34E468BB" w:rsidR="00781310" w:rsidRPr="00086AB2" w:rsidRDefault="00085CC6" w:rsidP="003C33AB">
      <w:pPr>
        <w:jc w:val="left"/>
      </w:pPr>
      <w:r w:rsidRPr="00086AB2">
        <w:t>The</w:t>
      </w:r>
      <w:r w:rsidR="00781310" w:rsidRPr="00086AB2">
        <w:t xml:space="preserve"> </w:t>
      </w:r>
      <w:r w:rsidRPr="00086AB2">
        <w:t xml:space="preserve">largest </w:t>
      </w:r>
      <w:r w:rsidR="00781310" w:rsidRPr="00086AB2">
        <w:t xml:space="preserve">decrease </w:t>
      </w:r>
      <w:r w:rsidRPr="00086AB2">
        <w:t xml:space="preserve">was </w:t>
      </w:r>
      <w:r w:rsidR="00781310" w:rsidRPr="00086AB2">
        <w:t xml:space="preserve">recorded by </w:t>
      </w:r>
      <w:r w:rsidR="009372B0">
        <w:t xml:space="preserve">South Australia (down </w:t>
      </w:r>
      <w:r w:rsidR="0085542B">
        <w:t>55</w:t>
      </w:r>
      <w:r w:rsidR="003C4F76">
        <w:t>%</w:t>
      </w:r>
      <w:r w:rsidR="009372B0">
        <w:t xml:space="preserve">), followed by the </w:t>
      </w:r>
      <w:r w:rsidR="0085542B">
        <w:t>Northern</w:t>
      </w:r>
      <w:r w:rsidR="00140CC3">
        <w:t> T</w:t>
      </w:r>
      <w:r w:rsidR="0085542B">
        <w:t>erritory and Tasmania (down 31</w:t>
      </w:r>
      <w:r w:rsidR="003C4F76">
        <w:t>%</w:t>
      </w:r>
      <w:r w:rsidR="0085542B">
        <w:t xml:space="preserve"> each)</w:t>
      </w:r>
      <w:r w:rsidR="000A2013">
        <w:t xml:space="preserve">, </w:t>
      </w:r>
      <w:r w:rsidR="000C3198">
        <w:t xml:space="preserve">and </w:t>
      </w:r>
      <w:r w:rsidR="000A2013">
        <w:t xml:space="preserve">the </w:t>
      </w:r>
      <w:r w:rsidR="009372B0">
        <w:t xml:space="preserve">Australian Government (down </w:t>
      </w:r>
      <w:r w:rsidR="000A2013">
        <w:t>20</w:t>
      </w:r>
      <w:r w:rsidR="003C4F76">
        <w:t>%</w:t>
      </w:r>
      <w:r w:rsidR="009372B0">
        <w:t>)</w:t>
      </w:r>
      <w:r w:rsidR="000A2013">
        <w:t>.</w:t>
      </w:r>
      <w:r w:rsidR="00781310" w:rsidRPr="00086AB2">
        <w:t xml:space="preserve"> </w:t>
      </w:r>
    </w:p>
    <w:p w14:paraId="5C5E9139" w14:textId="1B43B277" w:rsidR="00781310" w:rsidRPr="00086AB2" w:rsidRDefault="00F10454" w:rsidP="00781310">
      <w:r w:rsidRPr="00086AB2">
        <w:t xml:space="preserve">The incidence rates of </w:t>
      </w:r>
      <w:r>
        <w:t>the Australian Capital Territory</w:t>
      </w:r>
      <w:r w:rsidRPr="00086AB2">
        <w:t xml:space="preserve"> were not reported </w:t>
      </w:r>
      <w:r>
        <w:t xml:space="preserve">here </w:t>
      </w:r>
      <w:r w:rsidRPr="00086AB2">
        <w:t>due to the high relative standard error (greater than 50</w:t>
      </w:r>
      <w:r w:rsidR="003C4F76">
        <w:t>%</w:t>
      </w:r>
      <w:r w:rsidRPr="00086AB2">
        <w:t>).</w:t>
      </w:r>
      <w:r w:rsidR="00781310" w:rsidRPr="00086AB2">
        <w:t xml:space="preserve"> </w:t>
      </w:r>
    </w:p>
    <w:p w14:paraId="32F6239B" w14:textId="20FD4667" w:rsidR="00F17473" w:rsidRPr="00086AB2" w:rsidRDefault="00F17473" w:rsidP="00F60444">
      <w:pPr>
        <w:pStyle w:val="SWATableheader"/>
        <w:spacing w:after="120"/>
      </w:pPr>
      <w:bookmarkStart w:id="86" w:name="_Hlk56772962"/>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m</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P</w:t>
      </w:r>
      <w:r w:rsidRPr="00086AB2">
        <w:t>rofessional, scientific and technical services by jurisdiction</w:t>
      </w:r>
    </w:p>
    <w:bookmarkEnd w:id="86"/>
    <w:p w14:paraId="27C0BA5E" w14:textId="0F2243F1" w:rsidR="00781310" w:rsidRPr="00086AB2" w:rsidRDefault="00825E2C" w:rsidP="00F60444">
      <w:pPr>
        <w:spacing w:after="0"/>
        <w:jc w:val="center"/>
      </w:pPr>
      <w:r>
        <w:rPr>
          <w:noProof/>
        </w:rPr>
        <w:drawing>
          <wp:inline distT="0" distB="0" distL="0" distR="0" wp14:anchorId="295A7767" wp14:editId="1C83A125">
            <wp:extent cx="4622613" cy="2867025"/>
            <wp:effectExtent l="0" t="0" r="6985" b="0"/>
            <wp:docPr id="52" name="Picture 52" descr="Indicator 11m – Incidence rates of serious claims for Professional, scientific and technical services by jurisdiction&#10;&#10;This chart shows the incidence rates (claims per 1,000 employees) of serious injury and disease claims for Professional, scientific and technical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3965" cy="2905077"/>
                    </a:xfrm>
                    <a:prstGeom prst="rect">
                      <a:avLst/>
                    </a:prstGeom>
                    <a:noFill/>
                  </pic:spPr>
                </pic:pic>
              </a:graphicData>
            </a:graphic>
          </wp:inline>
        </w:drawing>
      </w:r>
    </w:p>
    <w:p w14:paraId="27BA5F73" w14:textId="0C91F058" w:rsidR="00781310" w:rsidRPr="00086AB2" w:rsidRDefault="00781310" w:rsidP="00457DAE">
      <w:pPr>
        <w:pStyle w:val="Heading1"/>
        <w:keepLines/>
      </w:pPr>
      <w:r w:rsidRPr="00086AB2">
        <w:t xml:space="preserve">Administrative and support </w:t>
      </w:r>
      <w:r w:rsidR="00381AA1" w:rsidRPr="00086AB2">
        <w:t>services</w:t>
      </w:r>
      <w:r w:rsidR="006749AF">
        <w:t xml:space="preserve"> </w:t>
      </w:r>
    </w:p>
    <w:p w14:paraId="25EB8B1C" w14:textId="3992AD9E" w:rsidR="00F06EB7" w:rsidRDefault="00E4067A" w:rsidP="009779A4">
      <w:r>
        <w:t>T</w:t>
      </w:r>
      <w:r w:rsidR="00381AA1" w:rsidRPr="00086AB2">
        <w:t>he Australian average incidence rate in the Administrative and s</w:t>
      </w:r>
      <w:r w:rsidR="006D6DFB" w:rsidRPr="00086AB2">
        <w:t xml:space="preserve">upport services industry was </w:t>
      </w:r>
      <w:r w:rsidR="009779A4">
        <w:t>1</w:t>
      </w:r>
      <w:r w:rsidR="00E517F6">
        <w:t>1</w:t>
      </w:r>
      <w:r w:rsidR="009779A4">
        <w:t>.0</w:t>
      </w:r>
      <w:r w:rsidR="00381AA1" w:rsidRPr="00086AB2">
        <w:t xml:space="preserve"> serious claims per </w:t>
      </w:r>
      <w:r w:rsidR="000B6602" w:rsidRPr="00086AB2">
        <w:t>1,000</w:t>
      </w:r>
      <w:r w:rsidR="00381AA1" w:rsidRPr="00086AB2">
        <w:t xml:space="preserve"> employees in </w:t>
      </w:r>
      <w:r w:rsidR="006D6DFB" w:rsidRPr="00086AB2">
        <w:t>201</w:t>
      </w:r>
      <w:r w:rsidR="00E517F6">
        <w:t>7</w:t>
      </w:r>
      <w:r w:rsidR="006D6DFB" w:rsidRPr="00086AB2">
        <w:t>–1</w:t>
      </w:r>
      <w:r w:rsidR="00E517F6">
        <w:t>8</w:t>
      </w:r>
      <w:r w:rsidR="00FE4955">
        <w:t xml:space="preserve"> (Indicator 11n)</w:t>
      </w:r>
      <w:r w:rsidR="00381AA1" w:rsidRPr="00086AB2">
        <w:t xml:space="preserve">. </w:t>
      </w:r>
      <w:r w:rsidR="00E517F6">
        <w:t>Western</w:t>
      </w:r>
      <w:r w:rsidR="009779A4">
        <w:t xml:space="preserve"> Australia</w:t>
      </w:r>
      <w:r w:rsidR="00381AA1" w:rsidRPr="00086AB2">
        <w:t xml:space="preserve"> </w:t>
      </w:r>
      <w:r w:rsidR="00E517F6" w:rsidRPr="00086AB2">
        <w:t>had the lowest incidence rate in 201</w:t>
      </w:r>
      <w:r w:rsidR="00E517F6">
        <w:t>7</w:t>
      </w:r>
      <w:r w:rsidR="00E517F6" w:rsidRPr="00086AB2">
        <w:t>–1</w:t>
      </w:r>
      <w:r w:rsidR="00E517F6">
        <w:t>8</w:t>
      </w:r>
      <w:r w:rsidR="00E517F6" w:rsidRPr="00086AB2">
        <w:t xml:space="preserve"> </w:t>
      </w:r>
      <w:r w:rsidR="00381AA1" w:rsidRPr="00086AB2">
        <w:t>(5.</w:t>
      </w:r>
      <w:r w:rsidR="00E517F6">
        <w:t>6</w:t>
      </w:r>
      <w:r w:rsidR="00C00AA1">
        <w:t> </w:t>
      </w:r>
      <w:r w:rsidR="00381AA1" w:rsidRPr="00086AB2">
        <w:t>claims per</w:t>
      </w:r>
      <w:r w:rsidR="00E517F6">
        <w:t xml:space="preserve"> </w:t>
      </w:r>
      <w:r w:rsidR="000B6602" w:rsidRPr="00086AB2">
        <w:t>1,000</w:t>
      </w:r>
      <w:r w:rsidR="00381AA1" w:rsidRPr="00086AB2">
        <w:t> employees)</w:t>
      </w:r>
      <w:r w:rsidR="009779A4">
        <w:t xml:space="preserve">, followed by </w:t>
      </w:r>
      <w:r w:rsidR="00E517F6">
        <w:t>South</w:t>
      </w:r>
      <w:r w:rsidR="009779A4">
        <w:t xml:space="preserve"> Australia (5.</w:t>
      </w:r>
      <w:r w:rsidR="00E517F6">
        <w:t>8</w:t>
      </w:r>
      <w:r w:rsidR="009779A4">
        <w:t>)</w:t>
      </w:r>
      <w:r w:rsidR="00381AA1" w:rsidRPr="00086AB2">
        <w:t xml:space="preserve">. </w:t>
      </w:r>
    </w:p>
    <w:p w14:paraId="7682E800" w14:textId="4B1B5E84" w:rsidR="00DA5307" w:rsidRDefault="009779A4" w:rsidP="009779A4">
      <w:r>
        <w:t>The Northern Territory</w:t>
      </w:r>
      <w:r w:rsidR="004E700E">
        <w:t xml:space="preserve"> recorded </w:t>
      </w:r>
      <w:r w:rsidR="00381AA1" w:rsidRPr="00086AB2">
        <w:t xml:space="preserve">the largest decrease (down </w:t>
      </w:r>
      <w:r w:rsidR="00E517F6">
        <w:t>1</w:t>
      </w:r>
      <w:r w:rsidR="00D6322B">
        <w:t>7</w:t>
      </w:r>
      <w:r w:rsidR="003C4F76">
        <w:t>%</w:t>
      </w:r>
      <w:r w:rsidR="00381AA1" w:rsidRPr="00086AB2">
        <w:t xml:space="preserve">) in the incidence rate between </w:t>
      </w:r>
      <w:r w:rsidR="006D6DFB" w:rsidRPr="00086AB2">
        <w:t>201</w:t>
      </w:r>
      <w:r w:rsidR="00D6322B">
        <w:t>3</w:t>
      </w:r>
      <w:r w:rsidR="006D6DFB" w:rsidRPr="00086AB2">
        <w:t>–1</w:t>
      </w:r>
      <w:r w:rsidR="00D6322B">
        <w:t>4</w:t>
      </w:r>
      <w:r w:rsidR="00381AA1" w:rsidRPr="00086AB2">
        <w:t xml:space="preserve"> and </w:t>
      </w:r>
      <w:r w:rsidR="006D6DFB" w:rsidRPr="00086AB2">
        <w:t>201</w:t>
      </w:r>
      <w:r w:rsidR="00152591">
        <w:t>7</w:t>
      </w:r>
      <w:r w:rsidR="006D6DFB" w:rsidRPr="00086AB2">
        <w:t>–1</w:t>
      </w:r>
      <w:r w:rsidR="00152591">
        <w:t>8</w:t>
      </w:r>
      <w:r w:rsidR="00FE7959" w:rsidRPr="00086AB2">
        <w:t xml:space="preserve">, followed by </w:t>
      </w:r>
      <w:r w:rsidR="004E700E">
        <w:t>South Australia</w:t>
      </w:r>
      <w:r w:rsidR="00FE7959" w:rsidRPr="00086AB2">
        <w:t xml:space="preserve"> (down </w:t>
      </w:r>
      <w:r w:rsidR="00D6322B">
        <w:t>11</w:t>
      </w:r>
      <w:r w:rsidR="003C4F76">
        <w:t>%</w:t>
      </w:r>
      <w:r w:rsidR="00FE7959" w:rsidRPr="00086AB2">
        <w:t>)</w:t>
      </w:r>
      <w:r w:rsidR="00152591">
        <w:t xml:space="preserve">. In contrast, </w:t>
      </w:r>
      <w:r w:rsidR="00140CC3">
        <w:t xml:space="preserve">the Australian Capital Territory recorded a 75% increase, followed by </w:t>
      </w:r>
      <w:r w:rsidR="00152591">
        <w:t xml:space="preserve">Victoria </w:t>
      </w:r>
      <w:r w:rsidR="00140CC3">
        <w:t xml:space="preserve">(up </w:t>
      </w:r>
      <w:r w:rsidR="00152591">
        <w:t>22</w:t>
      </w:r>
      <w:r w:rsidR="003C4F76">
        <w:t>%</w:t>
      </w:r>
      <w:r w:rsidR="00140CC3">
        <w:t>)</w:t>
      </w:r>
      <w:r w:rsidR="00152591">
        <w:t>,</w:t>
      </w:r>
      <w:r w:rsidR="000C3198">
        <w:t xml:space="preserve"> and</w:t>
      </w:r>
      <w:r w:rsidR="00152591">
        <w:t xml:space="preserve"> </w:t>
      </w:r>
      <w:r w:rsidR="00D6322B">
        <w:t>Queensland</w:t>
      </w:r>
      <w:r w:rsidR="00152591">
        <w:t xml:space="preserve"> (up </w:t>
      </w:r>
      <w:r w:rsidR="00D6322B">
        <w:t>21</w:t>
      </w:r>
      <w:r w:rsidR="003C4F76">
        <w:t>%</w:t>
      </w:r>
      <w:r w:rsidR="00152591">
        <w:t>) in their incidence rates during the same period</w:t>
      </w:r>
      <w:r w:rsidR="00381AA1" w:rsidRPr="00086AB2">
        <w:t xml:space="preserve">. </w:t>
      </w:r>
    </w:p>
    <w:p w14:paraId="1132B5ED" w14:textId="7C5A1606" w:rsidR="00781310" w:rsidRDefault="00381AA1" w:rsidP="009779A4">
      <w:r w:rsidRPr="00086AB2">
        <w:t xml:space="preserve">Readers should be aware that the Australian Government has not reported any claims for this industry </w:t>
      </w:r>
      <w:r w:rsidR="00B947BA">
        <w:t>for the reference period</w:t>
      </w:r>
      <w:r w:rsidRPr="00086AB2">
        <w:t>. The incidence rates of the Australian Capital Territory should be interpreted with caution as the</w:t>
      </w:r>
      <w:r w:rsidR="00152591">
        <w:t xml:space="preserve"> </w:t>
      </w:r>
      <w:r w:rsidRPr="00086AB2">
        <w:t>relative standard error of the number of employees was between 25</w:t>
      </w:r>
      <w:r w:rsidR="00D72DFE">
        <w:t>%</w:t>
      </w:r>
      <w:r w:rsidRPr="00086AB2">
        <w:t xml:space="preserve"> and 50</w:t>
      </w:r>
      <w:r w:rsidR="003C4F76">
        <w:t>%</w:t>
      </w:r>
      <w:r w:rsidRPr="00086AB2">
        <w:t>.</w:t>
      </w:r>
    </w:p>
    <w:p w14:paraId="617A0011" w14:textId="1881EFA1" w:rsidR="00F17473" w:rsidRPr="00086AB2" w:rsidRDefault="00F17473" w:rsidP="00F17473">
      <w:pPr>
        <w:pStyle w:val="SWATableheader"/>
      </w:pPr>
      <w:bookmarkStart w:id="87" w:name="_Hlk56772973"/>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n</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A</w:t>
      </w:r>
      <w:r w:rsidRPr="00086AB2">
        <w:t>dministrative and support services by</w:t>
      </w:r>
      <w:r w:rsidR="00E55876" w:rsidRPr="00086AB2">
        <w:t> </w:t>
      </w:r>
      <w:r w:rsidRPr="00086AB2">
        <w:t>jurisdiction</w:t>
      </w:r>
    </w:p>
    <w:bookmarkEnd w:id="87"/>
    <w:p w14:paraId="20616425" w14:textId="270BEB6D" w:rsidR="00F17473" w:rsidRPr="00086AB2" w:rsidRDefault="00825E2C" w:rsidP="00F60444">
      <w:pPr>
        <w:spacing w:after="0"/>
        <w:jc w:val="center"/>
      </w:pPr>
      <w:r>
        <w:rPr>
          <w:noProof/>
        </w:rPr>
        <w:drawing>
          <wp:inline distT="0" distB="0" distL="0" distR="0" wp14:anchorId="2E567BFB" wp14:editId="4E7A8921">
            <wp:extent cx="4640940" cy="2819400"/>
            <wp:effectExtent l="0" t="0" r="7620" b="0"/>
            <wp:docPr id="38" name="Picture 38" descr="Indicator 11n – Incidence rates of serious claims for Administrative and support services by jurisdiction&#10;&#10;This chart shows the incidence rates (claims per 1,000 employees) of serious injury and disease claims for Administrative and support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9265" cy="2891283"/>
                    </a:xfrm>
                    <a:prstGeom prst="rect">
                      <a:avLst/>
                    </a:prstGeom>
                    <a:noFill/>
                  </pic:spPr>
                </pic:pic>
              </a:graphicData>
            </a:graphic>
          </wp:inline>
        </w:drawing>
      </w:r>
    </w:p>
    <w:p w14:paraId="534B9C5B" w14:textId="55BE2221" w:rsidR="00781310" w:rsidRPr="00086AB2" w:rsidRDefault="00781310" w:rsidP="00B51041">
      <w:pPr>
        <w:pStyle w:val="Heading1"/>
      </w:pPr>
      <w:r w:rsidRPr="00086AB2">
        <w:t>P</w:t>
      </w:r>
      <w:r w:rsidR="001978D9" w:rsidRPr="00086AB2">
        <w:t>ublic administration and safety</w:t>
      </w:r>
      <w:r w:rsidR="00EC0217">
        <w:t xml:space="preserve"> </w:t>
      </w:r>
    </w:p>
    <w:p w14:paraId="1C4A98C4" w14:textId="7755B8D2" w:rsidR="00F06EB7" w:rsidRDefault="00345426" w:rsidP="00781310">
      <w:r>
        <w:t>T</w:t>
      </w:r>
      <w:r w:rsidR="00781310" w:rsidRPr="00086AB2">
        <w:t>he Australian average incidence rate of serious claims in the Public administrat</w:t>
      </w:r>
      <w:r w:rsidR="00B36EA8" w:rsidRPr="00086AB2">
        <w:t>ion and safety industry was 1</w:t>
      </w:r>
      <w:r>
        <w:t>1.1</w:t>
      </w:r>
      <w:r w:rsidR="00781310" w:rsidRPr="00086AB2">
        <w:t xml:space="preserve"> claims per </w:t>
      </w:r>
      <w:r w:rsidR="000B6602" w:rsidRPr="00086AB2">
        <w:t>1,000</w:t>
      </w:r>
      <w:r w:rsidR="00781310" w:rsidRPr="00086AB2">
        <w:t xml:space="preserve"> employees in </w:t>
      </w:r>
      <w:r w:rsidR="00B36EA8" w:rsidRPr="00086AB2">
        <w:t>201</w:t>
      </w:r>
      <w:r>
        <w:t>7</w:t>
      </w:r>
      <w:r w:rsidR="00B36EA8" w:rsidRPr="00086AB2">
        <w:t>–1</w:t>
      </w:r>
      <w:r>
        <w:t>8</w:t>
      </w:r>
      <w:r w:rsidR="00781310" w:rsidRPr="00086AB2">
        <w:t xml:space="preserve">, down from </w:t>
      </w:r>
      <w:r w:rsidR="00137231">
        <w:t>12.2</w:t>
      </w:r>
      <w:r w:rsidR="00781310" w:rsidRPr="00086AB2">
        <w:t xml:space="preserve"> claims per</w:t>
      </w:r>
      <w:r w:rsidR="00F06EB7">
        <w:t> </w:t>
      </w:r>
      <w:r w:rsidR="000B6602" w:rsidRPr="00086AB2">
        <w:t>1,000</w:t>
      </w:r>
      <w:r w:rsidR="00F06EB7">
        <w:t> </w:t>
      </w:r>
      <w:r w:rsidR="00781310" w:rsidRPr="00086AB2">
        <w:t xml:space="preserve">employees in </w:t>
      </w:r>
      <w:r w:rsidR="00B36EA8" w:rsidRPr="00086AB2">
        <w:t>201</w:t>
      </w:r>
      <w:r w:rsidR="00137231">
        <w:t>3</w:t>
      </w:r>
      <w:r w:rsidR="00B36EA8" w:rsidRPr="00086AB2">
        <w:t>–1</w:t>
      </w:r>
      <w:r w:rsidR="00137231">
        <w:t>4</w:t>
      </w:r>
      <w:r w:rsidR="00FE4955">
        <w:t xml:space="preserve"> (Indicator 11o)</w:t>
      </w:r>
      <w:r w:rsidR="00781310" w:rsidRPr="00086AB2">
        <w:t xml:space="preserve">. </w:t>
      </w:r>
    </w:p>
    <w:p w14:paraId="0C518340" w14:textId="7405B8CE" w:rsidR="00B94D7D" w:rsidRDefault="00137231" w:rsidP="00781310">
      <w:r>
        <w:t>Three</w:t>
      </w:r>
      <w:r w:rsidR="00D52EE4">
        <w:t xml:space="preserve"> of the </w:t>
      </w:r>
      <w:r w:rsidR="00781310" w:rsidRPr="00086AB2">
        <w:t>jurisdict</w:t>
      </w:r>
      <w:r w:rsidR="00126416" w:rsidRPr="00086AB2">
        <w:t xml:space="preserve">ions </w:t>
      </w:r>
      <w:r w:rsidR="00781310" w:rsidRPr="00086AB2">
        <w:t xml:space="preserve">showed a decrease in the incidence rate of claims between </w:t>
      </w:r>
      <w:r w:rsidR="00246B93" w:rsidRPr="00086AB2">
        <w:t>201</w:t>
      </w:r>
      <w:r>
        <w:t>3</w:t>
      </w:r>
      <w:r w:rsidR="00246B93" w:rsidRPr="00086AB2">
        <w:t>–1</w:t>
      </w:r>
      <w:r>
        <w:t>4</w:t>
      </w:r>
      <w:r w:rsidR="00246B93" w:rsidRPr="00086AB2">
        <w:t xml:space="preserve"> and 201</w:t>
      </w:r>
      <w:r w:rsidR="00D52EE4">
        <w:t>7</w:t>
      </w:r>
      <w:r w:rsidR="00246B93" w:rsidRPr="00086AB2">
        <w:t>–1</w:t>
      </w:r>
      <w:r w:rsidR="00D52EE4">
        <w:t xml:space="preserve">8, while the </w:t>
      </w:r>
      <w:r>
        <w:t>rest</w:t>
      </w:r>
      <w:r w:rsidR="00D52EE4">
        <w:t xml:space="preserve"> recorded increases</w:t>
      </w:r>
      <w:r w:rsidR="00781310" w:rsidRPr="00086AB2">
        <w:t xml:space="preserve">. </w:t>
      </w:r>
      <w:r w:rsidR="00D52EE4">
        <w:t xml:space="preserve">The Australian Government recorded the largest decrease (down </w:t>
      </w:r>
      <w:r>
        <w:t>56</w:t>
      </w:r>
      <w:r w:rsidR="003C4F76">
        <w:t>%</w:t>
      </w:r>
      <w:r w:rsidR="00D52EE4">
        <w:t xml:space="preserve">) in its incidence rate, followed by South Australia (down </w:t>
      </w:r>
      <w:r>
        <w:t>21</w:t>
      </w:r>
      <w:r w:rsidR="003C4F76">
        <w:t>%</w:t>
      </w:r>
      <w:r w:rsidR="00D52EE4">
        <w:t xml:space="preserve">), </w:t>
      </w:r>
      <w:r w:rsidR="000C3198">
        <w:t xml:space="preserve">and </w:t>
      </w:r>
      <w:r w:rsidR="00D52EE4">
        <w:t>New</w:t>
      </w:r>
      <w:r w:rsidR="00140CC3">
        <w:t> </w:t>
      </w:r>
      <w:r w:rsidR="00D52EE4">
        <w:t>South</w:t>
      </w:r>
      <w:r w:rsidR="00140CC3">
        <w:t> </w:t>
      </w:r>
      <w:r w:rsidR="00D52EE4">
        <w:t>Wales (down 1</w:t>
      </w:r>
      <w:r>
        <w:t>4</w:t>
      </w:r>
      <w:r w:rsidR="003C4F76">
        <w:t>%</w:t>
      </w:r>
      <w:r w:rsidR="00D52EE4">
        <w:t xml:space="preserve">). On the other hand, the </w:t>
      </w:r>
      <w:r w:rsidR="00B94D7D">
        <w:t xml:space="preserve">Australian Capital Territory </w:t>
      </w:r>
      <w:r w:rsidR="00D52EE4">
        <w:t xml:space="preserve">showed a </w:t>
      </w:r>
      <w:r w:rsidR="00B94D7D">
        <w:t>63</w:t>
      </w:r>
      <w:r w:rsidR="003C4F76">
        <w:t>%</w:t>
      </w:r>
      <w:r w:rsidR="00D52EE4">
        <w:t xml:space="preserve"> increase in incidence rate, followed by </w:t>
      </w:r>
      <w:r w:rsidR="00B94D7D">
        <w:t xml:space="preserve">the Northern Territory (up 29%) and </w:t>
      </w:r>
      <w:r>
        <w:t>Queensland</w:t>
      </w:r>
      <w:r w:rsidR="00D52EE4">
        <w:t xml:space="preserve"> (up </w:t>
      </w:r>
      <w:r>
        <w:t>14</w:t>
      </w:r>
      <w:r w:rsidR="003C4F76">
        <w:t>%</w:t>
      </w:r>
      <w:r w:rsidR="00EC0217">
        <w:t xml:space="preserve">). </w:t>
      </w:r>
    </w:p>
    <w:p w14:paraId="16BA42C0" w14:textId="040795F7" w:rsidR="00781310" w:rsidRPr="00086AB2" w:rsidRDefault="00781310" w:rsidP="00781310">
      <w:r w:rsidRPr="00086AB2">
        <w:t xml:space="preserve">The incidence rates of the Australian Capital Territory should be interpreted with caution as the </w:t>
      </w:r>
      <w:r w:rsidR="00A36F08" w:rsidRPr="00086AB2">
        <w:t>relative standard error</w:t>
      </w:r>
      <w:r w:rsidRPr="00086AB2">
        <w:t xml:space="preserve"> of the number of employees were between 25</w:t>
      </w:r>
      <w:r w:rsidR="00D72DFE">
        <w:t>%</w:t>
      </w:r>
      <w:r w:rsidRPr="00086AB2">
        <w:t xml:space="preserve"> and 50</w:t>
      </w:r>
      <w:r w:rsidR="003C4F76">
        <w:t>%</w:t>
      </w:r>
      <w:r w:rsidRPr="00086AB2">
        <w:t xml:space="preserve">. </w:t>
      </w:r>
    </w:p>
    <w:p w14:paraId="029F849D" w14:textId="4C1E8C5B" w:rsidR="00F17473" w:rsidRPr="00086AB2" w:rsidRDefault="00F17473" w:rsidP="00F60444">
      <w:pPr>
        <w:pStyle w:val="SWATableheader"/>
        <w:spacing w:after="120"/>
      </w:pPr>
      <w:bookmarkStart w:id="88" w:name="_Hlk56772979"/>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o</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P</w:t>
      </w:r>
      <w:r w:rsidRPr="00086AB2">
        <w:t>ublic administration and safety by</w:t>
      </w:r>
      <w:r w:rsidR="00E55876" w:rsidRPr="00086AB2">
        <w:t> </w:t>
      </w:r>
      <w:r w:rsidRPr="00086AB2">
        <w:t>jurisdiction</w:t>
      </w:r>
    </w:p>
    <w:bookmarkEnd w:id="88"/>
    <w:p w14:paraId="3F222EB2" w14:textId="2E9906A8" w:rsidR="008F29A3" w:rsidRPr="00F60444" w:rsidRDefault="00825E2C" w:rsidP="00F60444">
      <w:pPr>
        <w:jc w:val="center"/>
      </w:pPr>
      <w:r w:rsidRPr="00F60444">
        <w:rPr>
          <w:b/>
          <w:noProof/>
        </w:rPr>
        <w:drawing>
          <wp:inline distT="0" distB="0" distL="0" distR="0" wp14:anchorId="70228117" wp14:editId="373B0F5C">
            <wp:extent cx="4638849" cy="2914650"/>
            <wp:effectExtent l="0" t="0" r="9525" b="0"/>
            <wp:docPr id="57" name="Picture 57" descr="Indicator 11o – Incidence rates of serious claims for Public administration and safety by jurisdiction&#10;&#10;This chart shows the incidence rates (claims per 1,000 employees) of serious injury and disease claims for Public administration and safety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1111" cy="2928637"/>
                    </a:xfrm>
                    <a:prstGeom prst="rect">
                      <a:avLst/>
                    </a:prstGeom>
                    <a:noFill/>
                  </pic:spPr>
                </pic:pic>
              </a:graphicData>
            </a:graphic>
          </wp:inline>
        </w:drawing>
      </w:r>
    </w:p>
    <w:p w14:paraId="1A1BEA9C" w14:textId="77777777" w:rsidR="008F29A3" w:rsidRPr="00086AB2" w:rsidRDefault="008F29A3" w:rsidP="008F29A3">
      <w:pPr>
        <w:pStyle w:val="Heading1"/>
      </w:pPr>
      <w:r w:rsidRPr="00086AB2">
        <w:lastRenderedPageBreak/>
        <w:t>Education and training</w:t>
      </w:r>
      <w:r>
        <w:t xml:space="preserve"> </w:t>
      </w:r>
    </w:p>
    <w:p w14:paraId="3C043385" w14:textId="0202CF1E" w:rsidR="008F29A3" w:rsidRDefault="008F29A3" w:rsidP="008F29A3">
      <w:pPr>
        <w:keepNext/>
        <w:keepLines/>
      </w:pPr>
      <w:r>
        <w:t>T</w:t>
      </w:r>
      <w:r w:rsidRPr="00086AB2">
        <w:t>he Australian average incidence rate for the Education and training industry was 6.</w:t>
      </w:r>
      <w:r>
        <w:t>8</w:t>
      </w:r>
      <w:r w:rsidRPr="00086AB2">
        <w:t xml:space="preserve"> serious claims per 1,000 employees in 201</w:t>
      </w:r>
      <w:r>
        <w:t>7</w:t>
      </w:r>
      <w:r w:rsidRPr="00086AB2">
        <w:t>–1</w:t>
      </w:r>
      <w:r>
        <w:t>8</w:t>
      </w:r>
      <w:r w:rsidRPr="00086AB2">
        <w:t xml:space="preserve">, a </w:t>
      </w:r>
      <w:r>
        <w:t>6%</w:t>
      </w:r>
      <w:r w:rsidRPr="00086AB2">
        <w:t xml:space="preserve"> decrease since 201</w:t>
      </w:r>
      <w:r>
        <w:t>3</w:t>
      </w:r>
      <w:r w:rsidRPr="00086AB2">
        <w:t>–1</w:t>
      </w:r>
      <w:r>
        <w:t>4</w:t>
      </w:r>
      <w:r w:rsidR="00FE4955">
        <w:t xml:space="preserve"> (Indicator 11p)</w:t>
      </w:r>
      <w:r w:rsidRPr="00086AB2">
        <w:t>. The Australian</w:t>
      </w:r>
      <w:r w:rsidR="00FE4955">
        <w:t> </w:t>
      </w:r>
      <w:r w:rsidRPr="00086AB2">
        <w:t>Government recorded the largest decrease (down </w:t>
      </w:r>
      <w:r>
        <w:t>50%</w:t>
      </w:r>
      <w:r w:rsidRPr="00086AB2">
        <w:t xml:space="preserve">), followed by </w:t>
      </w:r>
      <w:r>
        <w:t>South Australia (down 29%)</w:t>
      </w:r>
      <w:r w:rsidR="00FE4955">
        <w:t xml:space="preserve"> </w:t>
      </w:r>
      <w:r w:rsidRPr="00086AB2">
        <w:t xml:space="preserve">and </w:t>
      </w:r>
      <w:r>
        <w:t>the Northern Territory</w:t>
      </w:r>
      <w:r w:rsidRPr="00086AB2">
        <w:t xml:space="preserve"> (down </w:t>
      </w:r>
      <w:r>
        <w:t>28%</w:t>
      </w:r>
      <w:r w:rsidRPr="00086AB2">
        <w:t xml:space="preserve">). </w:t>
      </w:r>
      <w:r>
        <w:t>The incidence rate also decreased in the Australian</w:t>
      </w:r>
      <w:r w:rsidR="00FE4955">
        <w:t> </w:t>
      </w:r>
      <w:r>
        <w:t>Capital</w:t>
      </w:r>
      <w:r w:rsidR="00FE4955">
        <w:t> </w:t>
      </w:r>
      <w:r>
        <w:t xml:space="preserve">Territory (down 26%) over the same period. </w:t>
      </w:r>
    </w:p>
    <w:p w14:paraId="08394EC9" w14:textId="77777777" w:rsidR="008F29A3" w:rsidRPr="00086AB2" w:rsidRDefault="008F29A3" w:rsidP="008F29A3">
      <w:pPr>
        <w:keepNext/>
        <w:keepLines/>
      </w:pPr>
      <w:r>
        <w:t>T</w:t>
      </w:r>
      <w:r w:rsidRPr="00086AB2">
        <w:t>he incidence rates of the Australian Capital Territory</w:t>
      </w:r>
      <w:r>
        <w:t xml:space="preserve"> and the Australian Government </w:t>
      </w:r>
      <w:r w:rsidRPr="00086AB2">
        <w:t>should be interpreted with caution as the relative standard error of the number of employees were between 25</w:t>
      </w:r>
      <w:r>
        <w:t>%</w:t>
      </w:r>
      <w:r w:rsidRPr="00086AB2">
        <w:t xml:space="preserve"> and 50</w:t>
      </w:r>
      <w:r>
        <w:t>%</w:t>
      </w:r>
      <w:r w:rsidRPr="00086AB2">
        <w:t>.</w:t>
      </w:r>
    </w:p>
    <w:p w14:paraId="199023DA" w14:textId="33F9347C" w:rsidR="008F29A3" w:rsidRPr="00086AB2" w:rsidRDefault="008F29A3" w:rsidP="008F29A3">
      <w:pPr>
        <w:pStyle w:val="SWATableheader"/>
        <w:keepLines/>
      </w:pPr>
      <w:bookmarkStart w:id="89" w:name="_Hlk56773702"/>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772B12">
        <w:rPr>
          <w:noProof/>
        </w:rPr>
        <w:t>p</w:t>
      </w:r>
      <w:r w:rsidRPr="00086AB2">
        <w:rPr>
          <w:noProof/>
        </w:rPr>
        <w:fldChar w:fldCharType="end"/>
      </w:r>
      <w:r w:rsidRPr="00086AB2">
        <w:t xml:space="preserve"> – Incidence rates of serious claims for Education and training by jurisdiction</w:t>
      </w:r>
    </w:p>
    <w:bookmarkEnd w:id="89"/>
    <w:p w14:paraId="49BC29D4" w14:textId="6C830C98" w:rsidR="008F29A3" w:rsidRDefault="008F29A3" w:rsidP="008F29A3">
      <w:pPr>
        <w:jc w:val="center"/>
      </w:pPr>
      <w:r>
        <w:rPr>
          <w:noProof/>
        </w:rPr>
        <w:drawing>
          <wp:inline distT="0" distB="0" distL="0" distR="0" wp14:anchorId="529D765E" wp14:editId="32EE52EC">
            <wp:extent cx="4662000" cy="2828925"/>
            <wp:effectExtent l="0" t="0" r="5715" b="0"/>
            <wp:docPr id="74" name="Picture 74" descr="Indicator 11p – Incidence rates of serious claims for Education and training by jurisdiction&#10;&#10;This chart shows the incidence rates (claims per 1,000 employees) of serious injury and disease claims for Education and training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1717" cy="2919774"/>
                    </a:xfrm>
                    <a:prstGeom prst="rect">
                      <a:avLst/>
                    </a:prstGeom>
                    <a:noFill/>
                  </pic:spPr>
                </pic:pic>
              </a:graphicData>
            </a:graphic>
          </wp:inline>
        </w:drawing>
      </w:r>
    </w:p>
    <w:p w14:paraId="0F78BAFF" w14:textId="04BCD0F7" w:rsidR="00781310" w:rsidRPr="00086AB2" w:rsidRDefault="00781310" w:rsidP="00B51041">
      <w:pPr>
        <w:pStyle w:val="Heading1"/>
      </w:pPr>
      <w:r w:rsidRPr="00086AB2">
        <w:t>H</w:t>
      </w:r>
      <w:r w:rsidR="001978D9" w:rsidRPr="00086AB2">
        <w:t>ealthcare and social assistance</w:t>
      </w:r>
      <w:r w:rsidR="0021634B">
        <w:t xml:space="preserve"> </w:t>
      </w:r>
    </w:p>
    <w:p w14:paraId="1D66A774" w14:textId="40D067FF" w:rsidR="00FE4955" w:rsidRDefault="00781310" w:rsidP="00781310">
      <w:r w:rsidRPr="00086AB2">
        <w:t xml:space="preserve">The Australian average incidence rate of serious claims in the Healthcare and social assistance industry in </w:t>
      </w:r>
      <w:r w:rsidR="00F463DB" w:rsidRPr="00086AB2">
        <w:t>201</w:t>
      </w:r>
      <w:r w:rsidR="00375809">
        <w:t>7</w:t>
      </w:r>
      <w:r w:rsidR="00F463DB" w:rsidRPr="00086AB2">
        <w:t>–1</w:t>
      </w:r>
      <w:r w:rsidR="00375809">
        <w:t>8</w:t>
      </w:r>
      <w:r w:rsidRPr="00086AB2">
        <w:t xml:space="preserve"> was </w:t>
      </w:r>
      <w:r w:rsidR="00F463DB" w:rsidRPr="00086AB2">
        <w:t>1</w:t>
      </w:r>
      <w:r w:rsidR="00375809">
        <w:t>0.9</w:t>
      </w:r>
      <w:r w:rsidRPr="00086AB2">
        <w:t xml:space="preserve"> claims per </w:t>
      </w:r>
      <w:r w:rsidR="000B6602" w:rsidRPr="00086AB2">
        <w:t>1,000</w:t>
      </w:r>
      <w:r w:rsidRPr="00086AB2">
        <w:t xml:space="preserve"> employees</w:t>
      </w:r>
      <w:r w:rsidR="00F7260D">
        <w:t>;</w:t>
      </w:r>
      <w:r w:rsidRPr="00086AB2">
        <w:t xml:space="preserve"> </w:t>
      </w:r>
      <w:r w:rsidR="00F7260D">
        <w:t>1</w:t>
      </w:r>
      <w:r w:rsidR="00406501">
        <w:t>4</w:t>
      </w:r>
      <w:r w:rsidR="003C4F76">
        <w:t>%</w:t>
      </w:r>
      <w:r w:rsidRPr="00086AB2">
        <w:t xml:space="preserve"> lower than in </w:t>
      </w:r>
      <w:r w:rsidR="00F463DB" w:rsidRPr="00086AB2">
        <w:t>201</w:t>
      </w:r>
      <w:r w:rsidR="00406501">
        <w:t>3</w:t>
      </w:r>
      <w:r w:rsidR="00F463DB" w:rsidRPr="00086AB2">
        <w:t>–1</w:t>
      </w:r>
      <w:r w:rsidR="00406501">
        <w:t>4</w:t>
      </w:r>
      <w:r w:rsidR="00FE4955">
        <w:t xml:space="preserve"> (Indicator 10q)</w:t>
      </w:r>
      <w:r w:rsidRPr="00086AB2">
        <w:t>.</w:t>
      </w:r>
      <w:r w:rsidR="00F463DB" w:rsidRPr="00086AB2">
        <w:t xml:space="preserve"> </w:t>
      </w:r>
      <w:r w:rsidR="00F7260D">
        <w:t xml:space="preserve">The </w:t>
      </w:r>
      <w:r w:rsidR="00406501">
        <w:t>Australian Government recorded the largest decrease (down 55</w:t>
      </w:r>
      <w:r w:rsidR="003C4F76">
        <w:t>%</w:t>
      </w:r>
      <w:r w:rsidR="00406501">
        <w:t xml:space="preserve">) </w:t>
      </w:r>
      <w:r w:rsidR="00B94D7D" w:rsidRPr="00086AB2">
        <w:t>in incidence rates for the industry between 201</w:t>
      </w:r>
      <w:r w:rsidR="00B94D7D">
        <w:t>3</w:t>
      </w:r>
      <w:r w:rsidR="00B94D7D" w:rsidRPr="00086AB2">
        <w:t>–1</w:t>
      </w:r>
      <w:r w:rsidR="00B94D7D">
        <w:t>4</w:t>
      </w:r>
      <w:r w:rsidR="00B94D7D" w:rsidRPr="00086AB2">
        <w:t xml:space="preserve"> and 201</w:t>
      </w:r>
      <w:r w:rsidR="00B94D7D">
        <w:t>7</w:t>
      </w:r>
      <w:r w:rsidR="00B94D7D" w:rsidRPr="00086AB2">
        <w:t>–1</w:t>
      </w:r>
      <w:r w:rsidR="00B94D7D">
        <w:t xml:space="preserve">8, </w:t>
      </w:r>
      <w:r w:rsidR="00406501">
        <w:t xml:space="preserve">followed by the </w:t>
      </w:r>
      <w:r w:rsidR="006D7D72">
        <w:t xml:space="preserve">Northern Territory (down </w:t>
      </w:r>
      <w:r w:rsidR="00406501">
        <w:t>50</w:t>
      </w:r>
      <w:r w:rsidR="003C4F76">
        <w:t>%</w:t>
      </w:r>
      <w:r w:rsidR="006D7D72">
        <w:t>)</w:t>
      </w:r>
      <w:r w:rsidRPr="00086AB2">
        <w:t>,</w:t>
      </w:r>
      <w:r w:rsidR="00F463DB" w:rsidRPr="00086AB2">
        <w:t xml:space="preserve"> </w:t>
      </w:r>
      <w:r w:rsidR="00406501">
        <w:t>then South Australia</w:t>
      </w:r>
      <w:r w:rsidR="00F463DB" w:rsidRPr="00086AB2">
        <w:t xml:space="preserve"> (down </w:t>
      </w:r>
      <w:r w:rsidR="00406501">
        <w:t>34</w:t>
      </w:r>
      <w:r w:rsidR="003C4F76">
        <w:t>%</w:t>
      </w:r>
      <w:r w:rsidR="00F463DB" w:rsidRPr="00086AB2">
        <w:t>)</w:t>
      </w:r>
      <w:r w:rsidRPr="00086AB2">
        <w:t>.</w:t>
      </w:r>
      <w:r w:rsidR="00A54093" w:rsidRPr="00A54093">
        <w:t xml:space="preserve"> </w:t>
      </w:r>
    </w:p>
    <w:p w14:paraId="58F6ECF4" w14:textId="0FE96052" w:rsidR="00B94D7D" w:rsidRPr="00086AB2" w:rsidRDefault="00B94D7D" w:rsidP="004F6BA7">
      <w:r w:rsidRPr="002E5FC6">
        <w:t>The incidence rates of the Australian Capital Territory and the Australian Government should be</w:t>
      </w:r>
      <w:r w:rsidRPr="00086AB2">
        <w:t xml:space="preserve"> interpreted with caution as the relative standard error of the number of employees were between 25</w:t>
      </w:r>
      <w:r>
        <w:t>%</w:t>
      </w:r>
      <w:r w:rsidRPr="00086AB2">
        <w:t xml:space="preserve"> and 50</w:t>
      </w:r>
      <w:r>
        <w:t>%</w:t>
      </w:r>
      <w:r w:rsidRPr="00086AB2">
        <w:t>.</w:t>
      </w:r>
    </w:p>
    <w:p w14:paraId="1987A947" w14:textId="3490FE16" w:rsidR="00671BB0" w:rsidRPr="00086AB2" w:rsidRDefault="00671BB0" w:rsidP="00671BB0">
      <w:pPr>
        <w:pStyle w:val="SWATableheader"/>
      </w:pPr>
      <w:bookmarkStart w:id="90" w:name="_Hlk56773720"/>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772B12">
        <w:rPr>
          <w:noProof/>
        </w:rPr>
        <w:t>q</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H</w:t>
      </w:r>
      <w:r w:rsidRPr="00086AB2">
        <w:t>ealthcare and social assistance by</w:t>
      </w:r>
      <w:r w:rsidR="00E55876" w:rsidRPr="00086AB2">
        <w:t> </w:t>
      </w:r>
      <w:r w:rsidRPr="00086AB2">
        <w:t>jurisdiction</w:t>
      </w:r>
    </w:p>
    <w:bookmarkEnd w:id="90"/>
    <w:p w14:paraId="0475C5B7" w14:textId="013A753F" w:rsidR="00781310" w:rsidRDefault="00825E2C" w:rsidP="00FA79D4">
      <w:pPr>
        <w:jc w:val="center"/>
      </w:pPr>
      <w:r>
        <w:rPr>
          <w:noProof/>
        </w:rPr>
        <w:drawing>
          <wp:inline distT="0" distB="0" distL="0" distR="0" wp14:anchorId="730568C2" wp14:editId="61BFF157">
            <wp:extent cx="4609285" cy="2847975"/>
            <wp:effectExtent l="0" t="0" r="1270" b="0"/>
            <wp:docPr id="56" name="Picture 56" descr="Indicator 11q – Incidence rates of serious claims for Healthcare and social assistance by jurisdiction&#10;&#10;This chart shows the incidence rates (claims per 1,000 employees) of serious injury and disease claims for Healthcare and social assistance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5332" cy="2888784"/>
                    </a:xfrm>
                    <a:prstGeom prst="rect">
                      <a:avLst/>
                    </a:prstGeom>
                    <a:noFill/>
                  </pic:spPr>
                </pic:pic>
              </a:graphicData>
            </a:graphic>
          </wp:inline>
        </w:drawing>
      </w:r>
    </w:p>
    <w:p w14:paraId="3FD1D9B0" w14:textId="77777777" w:rsidR="008F29A3" w:rsidRPr="00086AB2" w:rsidRDefault="008F29A3" w:rsidP="008F29A3">
      <w:pPr>
        <w:pStyle w:val="Heading1"/>
        <w:keepLines/>
      </w:pPr>
      <w:r w:rsidRPr="00086AB2">
        <w:t>Arts and recreation services</w:t>
      </w:r>
      <w:r>
        <w:t xml:space="preserve"> </w:t>
      </w:r>
    </w:p>
    <w:p w14:paraId="7099130B" w14:textId="01FD1A45" w:rsidR="008F29A3" w:rsidRDefault="008F29A3" w:rsidP="008F29A3">
      <w:pPr>
        <w:keepNext/>
        <w:keepLines/>
      </w:pPr>
      <w:r w:rsidRPr="00086AB2">
        <w:t xml:space="preserve">The Australian average incidence rate for the Arts and recreation services industry fell by </w:t>
      </w:r>
      <w:r>
        <w:t>23%</w:t>
      </w:r>
      <w:r w:rsidRPr="00086AB2">
        <w:t xml:space="preserve"> from </w:t>
      </w:r>
      <w:r>
        <w:t>11.6</w:t>
      </w:r>
      <w:r w:rsidRPr="00086AB2">
        <w:t xml:space="preserve"> claims per 1,000 employees in 201</w:t>
      </w:r>
      <w:r>
        <w:t>3</w:t>
      </w:r>
      <w:r w:rsidRPr="00086AB2">
        <w:t>–1</w:t>
      </w:r>
      <w:r>
        <w:t>4</w:t>
      </w:r>
      <w:r w:rsidRPr="00086AB2">
        <w:t xml:space="preserve"> to </w:t>
      </w:r>
      <w:r>
        <w:t>8.9</w:t>
      </w:r>
      <w:r w:rsidRPr="00086AB2">
        <w:t xml:space="preserve"> claims per 1,000 employees in 201</w:t>
      </w:r>
      <w:r>
        <w:t>7</w:t>
      </w:r>
      <w:r w:rsidRPr="00086AB2">
        <w:t>–1</w:t>
      </w:r>
      <w:r>
        <w:t>8</w:t>
      </w:r>
      <w:r w:rsidR="00FE4955">
        <w:t xml:space="preserve"> (Indicator 11r)</w:t>
      </w:r>
      <w:r w:rsidRPr="00086AB2">
        <w:t xml:space="preserve">. </w:t>
      </w:r>
      <w:bookmarkStart w:id="91" w:name="_GoBack"/>
      <w:bookmarkEnd w:id="91"/>
    </w:p>
    <w:p w14:paraId="21FC9111" w14:textId="77777777" w:rsidR="00FE4955" w:rsidRDefault="008F29A3" w:rsidP="00FE4955">
      <w:pPr>
        <w:keepNext/>
        <w:keepLines/>
      </w:pPr>
      <w:r w:rsidRPr="00086AB2">
        <w:t xml:space="preserve">Of the other jurisdictions, </w:t>
      </w:r>
      <w:r>
        <w:t>Tasmania recorded the largest decrease (down 58%),</w:t>
      </w:r>
      <w:r w:rsidRPr="00086AB2">
        <w:t xml:space="preserve"> </w:t>
      </w:r>
      <w:r>
        <w:t xml:space="preserve">followed by the Australian Capital Territory (down 56%), Western Australia (down 47%), and South Australia (down 34%). Queensland (up 5%) was the only jurisdiction to record an increase in incidence rates between </w:t>
      </w:r>
      <w:r w:rsidRPr="00086AB2">
        <w:t>201</w:t>
      </w:r>
      <w:r>
        <w:t>3</w:t>
      </w:r>
      <w:r w:rsidRPr="00086AB2">
        <w:t>–1</w:t>
      </w:r>
      <w:r>
        <w:t>4</w:t>
      </w:r>
      <w:r w:rsidRPr="00086AB2">
        <w:t xml:space="preserve"> and 201</w:t>
      </w:r>
      <w:r>
        <w:t>7</w:t>
      </w:r>
      <w:r w:rsidRPr="00086AB2">
        <w:t>–1</w:t>
      </w:r>
      <w:r>
        <w:t xml:space="preserve">8. </w:t>
      </w:r>
    </w:p>
    <w:p w14:paraId="5D81F650" w14:textId="5F9155C2" w:rsidR="008F29A3" w:rsidRDefault="00FE4955" w:rsidP="004F6BA7">
      <w:pPr>
        <w:keepNext/>
        <w:keepLines/>
      </w:pPr>
      <w:r w:rsidRPr="00086AB2">
        <w:t xml:space="preserve">The incidence rates of the Australian Government </w:t>
      </w:r>
      <w:r>
        <w:t xml:space="preserve">and </w:t>
      </w:r>
      <w:r w:rsidRPr="00086AB2">
        <w:t>the Australian Capital Territory should be interpreted with caution as the relative standard error of the number of employees was between 25</w:t>
      </w:r>
      <w:r>
        <w:t>% </w:t>
      </w:r>
      <w:r w:rsidRPr="00086AB2">
        <w:t>and 50</w:t>
      </w:r>
      <w:r>
        <w:t>%</w:t>
      </w:r>
      <w:r w:rsidRPr="00086AB2">
        <w:t xml:space="preserve">. </w:t>
      </w:r>
    </w:p>
    <w:p w14:paraId="3E1C7168" w14:textId="79388B7B" w:rsidR="008F29A3" w:rsidRPr="00086AB2" w:rsidRDefault="008F29A3" w:rsidP="008F29A3">
      <w:pPr>
        <w:pStyle w:val="SWATableheader"/>
      </w:pPr>
      <w:bookmarkStart w:id="92" w:name="_Hlk56773728"/>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772B12">
        <w:rPr>
          <w:noProof/>
        </w:rPr>
        <w:t>r</w:t>
      </w:r>
      <w:r w:rsidRPr="00086AB2">
        <w:rPr>
          <w:noProof/>
        </w:rPr>
        <w:fldChar w:fldCharType="end"/>
      </w:r>
      <w:r w:rsidRPr="00086AB2">
        <w:t xml:space="preserve"> – Incidence rates of serious claims for Arts and recreation services by jurisdiction</w:t>
      </w:r>
    </w:p>
    <w:bookmarkEnd w:id="92"/>
    <w:p w14:paraId="0BF48455" w14:textId="28B7970C" w:rsidR="008F29A3" w:rsidRDefault="00B07D8D" w:rsidP="00F60444">
      <w:pPr>
        <w:spacing w:after="0"/>
        <w:jc w:val="center"/>
      </w:pPr>
      <w:r>
        <w:rPr>
          <w:noProof/>
        </w:rPr>
        <w:drawing>
          <wp:inline distT="0" distB="0" distL="0" distR="0" wp14:anchorId="05D32A0D" wp14:editId="324125FE">
            <wp:extent cx="4608576" cy="2791723"/>
            <wp:effectExtent l="0" t="0" r="1905" b="8890"/>
            <wp:docPr id="14" name="Picture 14" descr="Indicator 11r – Incidence rates of serious claims for Arts and recreation services by jurisdiction&#10;&#10;This chart shows the incidence rates (claims per 1,000 employees) of serious injury and disease claims for Arts and recreational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2875" cy="2806442"/>
                    </a:xfrm>
                    <a:prstGeom prst="rect">
                      <a:avLst/>
                    </a:prstGeom>
                    <a:noFill/>
                  </pic:spPr>
                </pic:pic>
              </a:graphicData>
            </a:graphic>
          </wp:inline>
        </w:drawing>
      </w:r>
    </w:p>
    <w:p w14:paraId="245CEE51" w14:textId="5ECEF307" w:rsidR="00781310" w:rsidRPr="00086AB2" w:rsidRDefault="009B4398" w:rsidP="00B51041">
      <w:pPr>
        <w:pStyle w:val="Heading1"/>
      </w:pPr>
      <w:r w:rsidRPr="00086AB2">
        <w:lastRenderedPageBreak/>
        <w:t>Other services</w:t>
      </w:r>
      <w:r w:rsidR="00020A2B">
        <w:t xml:space="preserve"> </w:t>
      </w:r>
    </w:p>
    <w:p w14:paraId="38F4C5EC" w14:textId="389ABA11" w:rsidR="00A52EB7" w:rsidRDefault="00565FD6" w:rsidP="00B51041">
      <w:pPr>
        <w:keepNext/>
        <w:keepLines/>
      </w:pPr>
      <w:r>
        <w:t>T</w:t>
      </w:r>
      <w:r w:rsidR="00781310" w:rsidRPr="00086AB2">
        <w:t>he Australian average incidence rate of serious claims in the Other s</w:t>
      </w:r>
      <w:r w:rsidR="009851FB" w:rsidRPr="00086AB2">
        <w:t xml:space="preserve">ervices industry decreased by </w:t>
      </w:r>
      <w:r w:rsidR="001D7A7C">
        <w:t>1</w:t>
      </w:r>
      <w:r w:rsidR="002D2D5F">
        <w:t>5</w:t>
      </w:r>
      <w:r w:rsidR="003C4F76">
        <w:t>%</w:t>
      </w:r>
      <w:r w:rsidR="00781310" w:rsidRPr="00086AB2">
        <w:t xml:space="preserve"> between </w:t>
      </w:r>
      <w:r w:rsidR="009851FB" w:rsidRPr="00086AB2">
        <w:t>201</w:t>
      </w:r>
      <w:r w:rsidR="001D7A7C">
        <w:t>3</w:t>
      </w:r>
      <w:r w:rsidR="009851FB" w:rsidRPr="00086AB2">
        <w:t>–1</w:t>
      </w:r>
      <w:r w:rsidR="001D7A7C">
        <w:t>4</w:t>
      </w:r>
      <w:r w:rsidR="00781310" w:rsidRPr="00086AB2">
        <w:t xml:space="preserve"> and</w:t>
      </w:r>
      <w:r w:rsidR="009851FB" w:rsidRPr="00086AB2">
        <w:t xml:space="preserve"> 201</w:t>
      </w:r>
      <w:r>
        <w:t>7</w:t>
      </w:r>
      <w:r w:rsidR="009851FB" w:rsidRPr="00086AB2">
        <w:t>–1</w:t>
      </w:r>
      <w:r>
        <w:t>8</w:t>
      </w:r>
      <w:r w:rsidR="00781310" w:rsidRPr="00086AB2">
        <w:t xml:space="preserve">. </w:t>
      </w:r>
    </w:p>
    <w:p w14:paraId="32EDBB00" w14:textId="6B1B2658" w:rsidR="00FE4955" w:rsidRDefault="00C47954" w:rsidP="00FE4955">
      <w:pPr>
        <w:keepNext/>
        <w:keepLines/>
      </w:pPr>
      <w:r w:rsidRPr="00086AB2">
        <w:t xml:space="preserve">Of the other jurisdictions, </w:t>
      </w:r>
      <w:r w:rsidR="00A52EB7">
        <w:t xml:space="preserve">Tasmania </w:t>
      </w:r>
      <w:r w:rsidR="00781310" w:rsidRPr="00086AB2">
        <w:t>recorded the largest decrease (down</w:t>
      </w:r>
      <w:r w:rsidRPr="00086AB2">
        <w:t> </w:t>
      </w:r>
      <w:r w:rsidR="001D7A7C">
        <w:t>2</w:t>
      </w:r>
      <w:r w:rsidR="00A52EB7">
        <w:t>6</w:t>
      </w:r>
      <w:r w:rsidR="003C4F76">
        <w:t>%</w:t>
      </w:r>
      <w:r w:rsidR="00781310" w:rsidRPr="00086AB2">
        <w:t>), followed</w:t>
      </w:r>
      <w:r w:rsidR="001D7A7C">
        <w:t xml:space="preserve"> </w:t>
      </w:r>
      <w:r w:rsidR="00781310" w:rsidRPr="00086AB2">
        <w:t xml:space="preserve">by </w:t>
      </w:r>
      <w:r w:rsidR="00A52EB7">
        <w:t xml:space="preserve">New South Wales (down 25%), </w:t>
      </w:r>
      <w:r w:rsidR="001D7A7C">
        <w:t xml:space="preserve">the Northern Territory </w:t>
      </w:r>
      <w:r w:rsidR="00781310" w:rsidRPr="00086AB2">
        <w:t>(down</w:t>
      </w:r>
      <w:r w:rsidRPr="00086AB2">
        <w:t> </w:t>
      </w:r>
      <w:r w:rsidR="0034683D">
        <w:t>1</w:t>
      </w:r>
      <w:r w:rsidR="001D7A7C">
        <w:t>6</w:t>
      </w:r>
      <w:r w:rsidR="003C4F76">
        <w:t>%</w:t>
      </w:r>
      <w:r w:rsidR="00781310" w:rsidRPr="00086AB2">
        <w:t>)</w:t>
      </w:r>
      <w:r w:rsidR="0034683D">
        <w:t xml:space="preserve"> and</w:t>
      </w:r>
      <w:r w:rsidR="00781310" w:rsidRPr="00086AB2">
        <w:t xml:space="preserve"> </w:t>
      </w:r>
      <w:r w:rsidR="001D7A7C">
        <w:t>Victoria</w:t>
      </w:r>
      <w:r w:rsidR="00781310" w:rsidRPr="00086AB2">
        <w:t xml:space="preserve"> (down</w:t>
      </w:r>
      <w:r w:rsidRPr="00086AB2">
        <w:t> </w:t>
      </w:r>
      <w:r w:rsidR="001D7A7C">
        <w:t>1</w:t>
      </w:r>
      <w:r w:rsidR="00A52EB7">
        <w:t>4</w:t>
      </w:r>
      <w:r w:rsidR="003C4F76">
        <w:t>%</w:t>
      </w:r>
      <w:r w:rsidR="00781310" w:rsidRPr="00086AB2">
        <w:t>)</w:t>
      </w:r>
      <w:r w:rsidR="0034683D">
        <w:t>.</w:t>
      </w:r>
      <w:r w:rsidR="00781310" w:rsidRPr="00086AB2">
        <w:t xml:space="preserve"> </w:t>
      </w:r>
      <w:r w:rsidR="00C92808">
        <w:t xml:space="preserve">The Australian Capital Territory (up 20%), </w:t>
      </w:r>
      <w:r w:rsidR="0034683D">
        <w:t xml:space="preserve">Western Australia (up </w:t>
      </w:r>
      <w:r w:rsidR="001D7A7C">
        <w:t>6</w:t>
      </w:r>
      <w:r w:rsidR="003C4F76">
        <w:t>%</w:t>
      </w:r>
      <w:r w:rsidR="0034683D">
        <w:t xml:space="preserve">) and </w:t>
      </w:r>
      <w:r w:rsidR="001D7A7C">
        <w:t>Queensland</w:t>
      </w:r>
      <w:r w:rsidR="0034683D">
        <w:t xml:space="preserve"> (up 2</w:t>
      </w:r>
      <w:r w:rsidR="003C4F76">
        <w:t>%</w:t>
      </w:r>
      <w:r w:rsidR="0034683D">
        <w:t>)</w:t>
      </w:r>
      <w:r w:rsidR="00102FDD">
        <w:t xml:space="preserve"> </w:t>
      </w:r>
      <w:r w:rsidR="001D7A7C">
        <w:t xml:space="preserve">were the only jurisdictions recording increases </w:t>
      </w:r>
      <w:r w:rsidR="00102FDD">
        <w:t>in their</w:t>
      </w:r>
      <w:r w:rsidR="001D7A7C">
        <w:t xml:space="preserve"> </w:t>
      </w:r>
      <w:r w:rsidR="00102FDD">
        <w:t>incidence rates during the same reporting period.</w:t>
      </w:r>
      <w:r w:rsidR="00FE4955" w:rsidRPr="00FE4955">
        <w:t xml:space="preserve"> </w:t>
      </w:r>
    </w:p>
    <w:p w14:paraId="62F2CE8C" w14:textId="17DC5DD9" w:rsidR="00102FDD" w:rsidRDefault="00FE4955" w:rsidP="00102FDD">
      <w:pPr>
        <w:keepNext/>
        <w:keepLines/>
      </w:pPr>
      <w:r w:rsidRPr="00086AB2">
        <w:t xml:space="preserve">The incidence rates of the Australian Capital Territory should be interpreted with caution as the relative standard error of the number of employees </w:t>
      </w:r>
      <w:r>
        <w:t>was</w:t>
      </w:r>
      <w:r w:rsidRPr="00086AB2">
        <w:t xml:space="preserve"> between 25</w:t>
      </w:r>
      <w:r>
        <w:t>%</w:t>
      </w:r>
      <w:r w:rsidRPr="00086AB2">
        <w:t xml:space="preserve"> and 50</w:t>
      </w:r>
      <w:r>
        <w:t>%</w:t>
      </w:r>
      <w:r w:rsidRPr="00086AB2">
        <w:t>. The Australian Government data are not reported due to the high relative standard error (greater than 50</w:t>
      </w:r>
      <w:r>
        <w:t>%</w:t>
      </w:r>
      <w:r w:rsidRPr="00086AB2">
        <w:t xml:space="preserve">) in the employee numbers. </w:t>
      </w:r>
    </w:p>
    <w:p w14:paraId="17EAB5A4" w14:textId="0647EC7F" w:rsidR="00671BB0" w:rsidRPr="00102FDD" w:rsidRDefault="00671BB0" w:rsidP="004F6BA7">
      <w:pPr>
        <w:keepNext/>
        <w:keepLines/>
        <w:spacing w:before="200" w:after="200"/>
        <w:rPr>
          <w:b/>
          <w:bCs/>
          <w:color w:val="C00000"/>
        </w:rPr>
      </w:pPr>
      <w:bookmarkStart w:id="93" w:name="_Hlk56773736"/>
      <w:r w:rsidRPr="00102FDD">
        <w:rPr>
          <w:b/>
          <w:bCs/>
          <w:color w:val="C00000"/>
        </w:rPr>
        <w:t>Indicator 11</w:t>
      </w:r>
      <w:r w:rsidR="006F0762" w:rsidRPr="00102FDD">
        <w:rPr>
          <w:b/>
          <w:bCs/>
          <w:noProof/>
          <w:color w:val="C00000"/>
        </w:rPr>
        <w:fldChar w:fldCharType="begin"/>
      </w:r>
      <w:r w:rsidR="006F0762" w:rsidRPr="00102FDD">
        <w:rPr>
          <w:b/>
          <w:bCs/>
          <w:noProof/>
          <w:color w:val="C00000"/>
        </w:rPr>
        <w:instrText xml:space="preserve"> SEQ Indicator_11 \* alphabetic </w:instrText>
      </w:r>
      <w:r w:rsidR="006F0762" w:rsidRPr="00102FDD">
        <w:rPr>
          <w:b/>
          <w:bCs/>
          <w:noProof/>
          <w:color w:val="C00000"/>
        </w:rPr>
        <w:fldChar w:fldCharType="separate"/>
      </w:r>
      <w:r w:rsidR="00772B12">
        <w:rPr>
          <w:b/>
          <w:bCs/>
          <w:noProof/>
          <w:color w:val="C00000"/>
        </w:rPr>
        <w:t>s</w:t>
      </w:r>
      <w:r w:rsidR="006F0762" w:rsidRPr="00102FDD">
        <w:rPr>
          <w:b/>
          <w:bCs/>
          <w:noProof/>
          <w:color w:val="C00000"/>
        </w:rPr>
        <w:fldChar w:fldCharType="end"/>
      </w:r>
      <w:r w:rsidRPr="00102FDD">
        <w:rPr>
          <w:b/>
          <w:bCs/>
          <w:color w:val="C00000"/>
        </w:rPr>
        <w:t xml:space="preserve"> </w:t>
      </w:r>
      <w:r w:rsidR="00E55876" w:rsidRPr="00102FDD">
        <w:rPr>
          <w:b/>
          <w:bCs/>
          <w:color w:val="C00000"/>
        </w:rPr>
        <w:t>–</w:t>
      </w:r>
      <w:r w:rsidRPr="00102FDD">
        <w:rPr>
          <w:b/>
          <w:bCs/>
          <w:color w:val="C00000"/>
        </w:rPr>
        <w:t xml:space="preserve"> Incidence rates of serious claims for </w:t>
      </w:r>
      <w:r w:rsidR="009D46FF" w:rsidRPr="00102FDD">
        <w:rPr>
          <w:b/>
          <w:bCs/>
          <w:color w:val="C00000"/>
        </w:rPr>
        <w:t>O</w:t>
      </w:r>
      <w:r w:rsidRPr="00102FDD">
        <w:rPr>
          <w:b/>
          <w:bCs/>
          <w:color w:val="C00000"/>
        </w:rPr>
        <w:t>ther services by jurisdiction</w:t>
      </w:r>
    </w:p>
    <w:bookmarkEnd w:id="93"/>
    <w:p w14:paraId="224713D2" w14:textId="5CC19232" w:rsidR="00671BB0" w:rsidRPr="00086AB2" w:rsidRDefault="006803D3" w:rsidP="009851FB">
      <w:pPr>
        <w:jc w:val="center"/>
      </w:pPr>
      <w:r>
        <w:rPr>
          <w:noProof/>
        </w:rPr>
        <w:drawing>
          <wp:inline distT="0" distB="0" distL="0" distR="0" wp14:anchorId="4E397D04" wp14:editId="110E3A91">
            <wp:extent cx="4638675" cy="2814771"/>
            <wp:effectExtent l="0" t="0" r="0" b="5080"/>
            <wp:docPr id="64" name="Picture 64" descr="Indicator 11s – Incidence rates of serious claims for Other services by jurisdiction&#10;&#10;This chart shows the incidence rates (claims per 1,000 employees) of serious injury and disease claims for Other services industry between 2013-14 and 2018-19,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9739" cy="2857893"/>
                    </a:xfrm>
                    <a:prstGeom prst="rect">
                      <a:avLst/>
                    </a:prstGeom>
                    <a:noFill/>
                  </pic:spPr>
                </pic:pic>
              </a:graphicData>
            </a:graphic>
          </wp:inline>
        </w:drawing>
      </w:r>
    </w:p>
    <w:p w14:paraId="1BD01E75" w14:textId="77777777" w:rsidR="00905154" w:rsidRPr="00086AB2" w:rsidRDefault="00905154" w:rsidP="00B51041">
      <w:pPr>
        <w:sectPr w:rsidR="00905154" w:rsidRPr="00086AB2" w:rsidSect="009C1651">
          <w:pgSz w:w="11906" w:h="16838"/>
          <w:pgMar w:top="1440" w:right="1800" w:bottom="1440" w:left="1276" w:header="708" w:footer="708" w:gutter="0"/>
          <w:cols w:space="242"/>
          <w:docGrid w:linePitch="360"/>
        </w:sectPr>
      </w:pPr>
    </w:p>
    <w:p w14:paraId="1A2D26B4" w14:textId="77777777" w:rsidR="00B747C9" w:rsidRPr="00086AB2" w:rsidRDefault="00B747C9" w:rsidP="001665F1">
      <w:pPr>
        <w:pStyle w:val="Title"/>
      </w:pPr>
      <w:bookmarkStart w:id="94" w:name="_Toc55294240"/>
      <w:r w:rsidRPr="00086AB2">
        <w:lastRenderedPageBreak/>
        <w:t>Appendix 1 — Explanatory notes</w:t>
      </w:r>
      <w:bookmarkEnd w:id="94"/>
    </w:p>
    <w:p w14:paraId="513283B5" w14:textId="77777777" w:rsidR="00B747C9" w:rsidRPr="00086AB2" w:rsidRDefault="00B747C9" w:rsidP="001665F1">
      <w:pPr>
        <w:pStyle w:val="Titlesmall"/>
      </w:pPr>
      <w:r w:rsidRPr="00086AB2">
        <w:t>Workers’ compensation claims data</w:t>
      </w:r>
      <w:r w:rsidR="000062EA">
        <w:t xml:space="preserve"> </w:t>
      </w:r>
    </w:p>
    <w:p w14:paraId="19F39910" w14:textId="77777777" w:rsidR="00B747C9" w:rsidRPr="00086AB2" w:rsidRDefault="00B747C9" w:rsidP="00313829">
      <w:pPr>
        <w:pStyle w:val="Heading2"/>
      </w:pPr>
      <w:r w:rsidRPr="00086AB2">
        <w:t>Scope</w:t>
      </w:r>
    </w:p>
    <w:p w14:paraId="3D8169E4" w14:textId="33C20BA4" w:rsidR="00A54093" w:rsidRPr="00782BAF" w:rsidRDefault="00A54093" w:rsidP="00B747C9">
      <w:pPr>
        <w:rPr>
          <w:i/>
        </w:rPr>
      </w:pPr>
      <w:r>
        <w:rPr>
          <w:i/>
        </w:rPr>
        <w:t>National Data Set for Compensation-based Statistics</w:t>
      </w:r>
    </w:p>
    <w:p w14:paraId="3143BA47" w14:textId="434B5ED2" w:rsidR="00B747C9" w:rsidRPr="00086AB2" w:rsidRDefault="00B747C9" w:rsidP="00B747C9">
      <w:r w:rsidRPr="00086AB2">
        <w:t xml:space="preserve">The data presented in this report are extracted from the National Data Set for Compensation-based Statistics (NDS), which is compiled annually from claims made under state, territory and </w:t>
      </w:r>
      <w:r w:rsidR="006A3630" w:rsidRPr="00086AB2">
        <w:t xml:space="preserve">Commonwealth </w:t>
      </w:r>
      <w:r w:rsidRPr="00086AB2">
        <w:t xml:space="preserve">workers’ compensation Acts. The New Zealand Accident Compensation Corporation (ACC) also collects data in accordance with the NDS. </w:t>
      </w:r>
    </w:p>
    <w:p w14:paraId="186D75B9" w14:textId="7E7E0248" w:rsidR="00A54093" w:rsidRDefault="00654E9D" w:rsidP="00A54093">
      <w:r>
        <w:rPr>
          <w:i/>
        </w:rPr>
        <w:t xml:space="preserve">Traumatic Injury </w:t>
      </w:r>
      <w:r w:rsidR="00A54093">
        <w:rPr>
          <w:i/>
        </w:rPr>
        <w:t>Fatalities</w:t>
      </w:r>
    </w:p>
    <w:p w14:paraId="2A9EF1A8" w14:textId="47A6CF35" w:rsidR="00A54093" w:rsidRPr="00086AB2" w:rsidRDefault="00A54093" w:rsidP="00A54093">
      <w:r>
        <w:t>T</w:t>
      </w:r>
      <w:r w:rsidRPr="00086AB2">
        <w:t xml:space="preserve">his edition sources information from the </w:t>
      </w:r>
      <w:r w:rsidR="00654E9D">
        <w:t>T</w:t>
      </w:r>
      <w:r w:rsidRPr="00086AB2">
        <w:t xml:space="preserve">raumatic </w:t>
      </w:r>
      <w:r w:rsidR="00654E9D">
        <w:t>I</w:t>
      </w:r>
      <w:r w:rsidRPr="00086AB2">
        <w:t xml:space="preserve">njury </w:t>
      </w:r>
      <w:r w:rsidR="00654E9D">
        <w:t>F</w:t>
      </w:r>
      <w:r w:rsidRPr="00086AB2">
        <w:t xml:space="preserve">atalities (TIF) collection. </w:t>
      </w:r>
      <w:r w:rsidR="00654E9D">
        <w:t xml:space="preserve">This collection sources data from </w:t>
      </w:r>
      <w:r w:rsidR="00654E9D" w:rsidRPr="00086AB2">
        <w:t>workers’ compensation data, fatality notifications to the various work health and safety authorities and information in the National Coronial Information System (NCIS).</w:t>
      </w:r>
      <w:r w:rsidR="00654E9D">
        <w:t xml:space="preserve"> </w:t>
      </w:r>
    </w:p>
    <w:p w14:paraId="56CC7548" w14:textId="04702319" w:rsidR="00654E9D" w:rsidRPr="00086AB2" w:rsidRDefault="00654E9D" w:rsidP="00654E9D">
      <w:pPr>
        <w:keepNext/>
        <w:keepLines/>
      </w:pPr>
      <w:r>
        <w:t>Typically, o</w:t>
      </w:r>
      <w:r w:rsidRPr="00086AB2">
        <w:t>nly around 60</w:t>
      </w:r>
      <w:r w:rsidR="003C4F76">
        <w:t>%</w:t>
      </w:r>
      <w:r w:rsidRPr="00086AB2">
        <w:t xml:space="preserve"> of work-related fatalities recorded in the TIF collec</w:t>
      </w:r>
      <w:r>
        <w:t xml:space="preserve">tion are compensated. </w:t>
      </w:r>
      <w:r w:rsidRPr="00086AB2">
        <w:t xml:space="preserve">This is in part due to self-employed workers not being covered by workers’ compensation schemes. Many self-employed workers work in high risk sectors such as agriculture, transport and construction. </w:t>
      </w:r>
    </w:p>
    <w:p w14:paraId="5C25B6CD" w14:textId="77777777" w:rsidR="00654E9D" w:rsidRPr="00086AB2" w:rsidRDefault="00654E9D" w:rsidP="00654E9D">
      <w:r w:rsidRPr="00086AB2">
        <w:t xml:space="preserve">It should be noted that traumatic injury fatality data can be volatile year-on-year. </w:t>
      </w:r>
      <w:proofErr w:type="gramStart"/>
      <w:r w:rsidRPr="00086AB2">
        <w:t>In particular, multiple</w:t>
      </w:r>
      <w:proofErr w:type="gramEnd"/>
      <w:r w:rsidRPr="00086AB2">
        <w:t xml:space="preserve"> death events can impact the data, despite efforts of jurisdictions </w:t>
      </w:r>
      <w:r>
        <w:t>in reducing or eliminating work</w:t>
      </w:r>
      <w:r>
        <w:noBreakHyphen/>
      </w:r>
      <w:r w:rsidRPr="00086AB2">
        <w:t>related traumatic injury fatalities.</w:t>
      </w:r>
      <w:r>
        <w:t xml:space="preserve"> </w:t>
      </w:r>
      <w:r w:rsidRPr="00086AB2">
        <w:t xml:space="preserve">Further information about the TIF collection and a detailed analysis of the data can be found on </w:t>
      </w:r>
      <w:r w:rsidRPr="00460D35">
        <w:t xml:space="preserve">the </w:t>
      </w:r>
      <w:hyperlink r:id="rId65" w:history="1">
        <w:r w:rsidRPr="00460D35">
          <w:rPr>
            <w:rStyle w:val="SWALinkChar"/>
          </w:rPr>
          <w:t>Safe Work Australia</w:t>
        </w:r>
      </w:hyperlink>
      <w:r w:rsidRPr="00086AB2">
        <w:t xml:space="preserve"> website.</w:t>
      </w:r>
    </w:p>
    <w:p w14:paraId="345AD107" w14:textId="2CC8D24F" w:rsidR="00A54093" w:rsidRPr="00782BAF" w:rsidRDefault="00654E9D" w:rsidP="00B747C9">
      <w:pPr>
        <w:rPr>
          <w:i/>
        </w:rPr>
      </w:pPr>
      <w:r>
        <w:rPr>
          <w:i/>
        </w:rPr>
        <w:t>Serious claim</w:t>
      </w:r>
    </w:p>
    <w:p w14:paraId="0E4E09DE" w14:textId="6567EE48" w:rsidR="00B747C9" w:rsidRDefault="00654E9D" w:rsidP="00B747C9">
      <w:r>
        <w:t>A</w:t>
      </w:r>
      <w:r w:rsidR="00B747C9" w:rsidRPr="00086AB2">
        <w:t xml:space="preserve"> serious claim is a workers’ compensation claim for an incapacity that results in a total absence from work of one working week or more. Claims excluded from this definition include those arising from a work-related fatality or a journey to or from work or during a recess period. One working week is defined as lost when the number of hours lost is greater than or equal to the number of hours usually worked per week.</w:t>
      </w:r>
    </w:p>
    <w:p w14:paraId="61A1C718" w14:textId="39D23C6B" w:rsidR="00654E9D" w:rsidRPr="00782BAF" w:rsidRDefault="00654E9D" w:rsidP="00B747C9">
      <w:pPr>
        <w:rPr>
          <w:i/>
        </w:rPr>
      </w:pPr>
      <w:r>
        <w:rPr>
          <w:i/>
        </w:rPr>
        <w:t>Occupational injuries and diseases</w:t>
      </w:r>
    </w:p>
    <w:p w14:paraId="62DD357B" w14:textId="56586B85" w:rsidR="006C2470" w:rsidRPr="00086AB2" w:rsidRDefault="00B747C9" w:rsidP="00B747C9">
      <w:r w:rsidRPr="00086AB2">
        <w:t>The data in this report do not cover all cases of occupational injury and diseases as workers’ compensation generally covers employees only.</w:t>
      </w:r>
      <w:r w:rsidR="00126B87">
        <w:t xml:space="preserve"> </w:t>
      </w:r>
      <w:r w:rsidRPr="00086AB2">
        <w:t>Therefore</w:t>
      </w:r>
      <w:r w:rsidR="00126B87">
        <w:t>,</w:t>
      </w:r>
      <w:r w:rsidRPr="00086AB2">
        <w:t xml:space="preserve"> many contractors and self-employed workers are not represented by these data. The exclusion of self-employed persons is likely to result in an underestimate of the number of cases in industries where self-employed persons are common, such as Agriculture, forest</w:t>
      </w:r>
      <w:r w:rsidR="00BF414C" w:rsidRPr="00086AB2">
        <w:t>ry and fishing, Construction,</w:t>
      </w:r>
      <w:r w:rsidRPr="00086AB2">
        <w:t xml:space="preserve"> Transport, postal and warehousing – Road transport, Administrative and support services and Arts and recreation services. However, the incidence and frequency rates shown in this report for all industries </w:t>
      </w:r>
      <w:proofErr w:type="gramStart"/>
      <w:r w:rsidR="00384890">
        <w:t xml:space="preserve">are </w:t>
      </w:r>
      <w:r w:rsidRPr="00086AB2">
        <w:t>considered to be</w:t>
      </w:r>
      <w:proofErr w:type="gramEnd"/>
      <w:r w:rsidRPr="00086AB2">
        <w:t xml:space="preserve"> reliable</w:t>
      </w:r>
      <w:r w:rsidR="00B27863" w:rsidRPr="00086AB2">
        <w:t>,</w:t>
      </w:r>
      <w:r w:rsidRPr="00086AB2">
        <w:t xml:space="preserve"> as the denominators used in the calculation of the rates have been adjusted to exclude self-employed persons.</w:t>
      </w:r>
    </w:p>
    <w:p w14:paraId="5B59937D" w14:textId="77777777" w:rsidR="00B747C9" w:rsidRPr="00086AB2" w:rsidRDefault="00B747C9" w:rsidP="00B747C9">
      <w:r w:rsidRPr="00086AB2">
        <w:t>In addition, the following have been excluded from the data in this report:</w:t>
      </w:r>
    </w:p>
    <w:p w14:paraId="167BFA27" w14:textId="64670E93" w:rsidR="00B747C9" w:rsidRPr="00086AB2" w:rsidRDefault="00B747C9" w:rsidP="007F5071">
      <w:pPr>
        <w:pStyle w:val="SWABullets"/>
      </w:pPr>
      <w:r w:rsidRPr="00086AB2">
        <w:t xml:space="preserve">occupational injuries and diseases resulting in absences from work of less than </w:t>
      </w:r>
      <w:r w:rsidR="00B8433E" w:rsidRPr="00086AB2">
        <w:br/>
      </w:r>
      <w:r w:rsidRPr="00086AB2">
        <w:t>one working week</w:t>
      </w:r>
      <w:r w:rsidR="00F60444">
        <w:t>,</w:t>
      </w:r>
    </w:p>
    <w:p w14:paraId="2D38788B" w14:textId="60A717FC" w:rsidR="00B747C9" w:rsidRPr="00086AB2" w:rsidRDefault="00B747C9" w:rsidP="007F5071">
      <w:pPr>
        <w:pStyle w:val="SWABullets"/>
      </w:pPr>
      <w:r w:rsidRPr="00086AB2">
        <w:t>military personnel within the Defence force</w:t>
      </w:r>
      <w:r w:rsidR="00F60444">
        <w:t>,</w:t>
      </w:r>
    </w:p>
    <w:p w14:paraId="6A75462F" w14:textId="77777777" w:rsidR="00B747C9" w:rsidRPr="00086AB2" w:rsidRDefault="00B747C9" w:rsidP="007F5071">
      <w:pPr>
        <w:pStyle w:val="SWABullets"/>
      </w:pPr>
      <w:r w:rsidRPr="00086AB2">
        <w:t>cases not claimed as workers’ compensation or not acknowledged as being</w:t>
      </w:r>
      <w:r w:rsidR="00002196">
        <w:br/>
      </w:r>
      <w:r w:rsidRPr="00086AB2">
        <w:t xml:space="preserve"> work</w:t>
      </w:r>
      <w:r w:rsidR="000244D2">
        <w:noBreakHyphen/>
        <w:t>r</w:t>
      </w:r>
      <w:r w:rsidRPr="00086AB2">
        <w:t>elated,</w:t>
      </w:r>
      <w:r w:rsidR="004841BA" w:rsidRPr="00086AB2">
        <w:t> </w:t>
      </w:r>
      <w:r w:rsidRPr="00086AB2">
        <w:t>and</w:t>
      </w:r>
    </w:p>
    <w:p w14:paraId="3012632D" w14:textId="77777777" w:rsidR="00B747C9" w:rsidRPr="00086AB2" w:rsidRDefault="00B747C9" w:rsidP="007F5071">
      <w:pPr>
        <w:pStyle w:val="SWABullets"/>
      </w:pPr>
      <w:r w:rsidRPr="00086AB2">
        <w:t>claims for compensation to the Dust Diseases Authority of New South Wales.</w:t>
      </w:r>
    </w:p>
    <w:p w14:paraId="4C73709E" w14:textId="77777777" w:rsidR="00B747C9" w:rsidRPr="00086AB2" w:rsidRDefault="00B747C9" w:rsidP="00B747C9">
      <w:r w:rsidRPr="00086AB2">
        <w:t xml:space="preserve">Australian Government employees working in each jurisdiction have been included in Australian Government figures rather than state or territory results. </w:t>
      </w:r>
      <w:r w:rsidR="00B8433E" w:rsidRPr="00086AB2">
        <w:t xml:space="preserve">The </w:t>
      </w:r>
      <w:r w:rsidRPr="00086AB2">
        <w:t xml:space="preserve">Australian Capital Territory Public Service employees are covered by the Comcare scheme but operate under the work health and safety provisions of the Australian Capital Territory. These employees and their claims have been combined with </w:t>
      </w:r>
      <w:r w:rsidR="00B8433E" w:rsidRPr="00086AB2">
        <w:t xml:space="preserve">the </w:t>
      </w:r>
      <w:r w:rsidR="00A02A5E">
        <w:t>Australian Capital Territory p</w:t>
      </w:r>
      <w:r w:rsidRPr="00086AB2">
        <w:t xml:space="preserve">rivate sector employees for reporting outcomes </w:t>
      </w:r>
      <w:r w:rsidR="00A02A5E">
        <w:t xml:space="preserve">in </w:t>
      </w:r>
      <w:r w:rsidRPr="00086AB2">
        <w:t>this report.</w:t>
      </w:r>
    </w:p>
    <w:p w14:paraId="1F3CB4D0" w14:textId="037D9720" w:rsidR="00B747C9" w:rsidRPr="00086AB2" w:rsidRDefault="00B747C9" w:rsidP="00905154">
      <w:pPr>
        <w:keepNext/>
        <w:keepLines/>
      </w:pPr>
      <w:r w:rsidRPr="00086AB2">
        <w:lastRenderedPageBreak/>
        <w:t>The following table shows the preliminary number of serious claims, an estimate of the number of employees in each jurisdiction, and an estimate of the number of hours worked in each jurisdiction in 201</w:t>
      </w:r>
      <w:r w:rsidR="000C1F50">
        <w:t>8</w:t>
      </w:r>
      <w:r w:rsidRPr="00086AB2">
        <w:t>–1</w:t>
      </w:r>
      <w:r w:rsidR="000C1F50">
        <w:t>9</w:t>
      </w:r>
      <w:r w:rsidR="00CA1091">
        <w:t xml:space="preserve"> rounded to the nearest 10</w:t>
      </w:r>
      <w:r w:rsidRPr="00086AB2">
        <w:t xml:space="preserve">. Please note that the number of serious claims shown for Victoria includes adjustment factors that are explained later in this section. The figures for employee and hours worked in </w:t>
      </w:r>
      <w:r w:rsidR="007B02F4">
        <w:t>the table below</w:t>
      </w:r>
      <w:r w:rsidRPr="00086AB2">
        <w:t xml:space="preserve"> are those that have been used to calculate the incidence and frequency rates in this report. </w:t>
      </w:r>
      <w:r w:rsidR="00DA5307" w:rsidRPr="00DA5307">
        <w:t>Please note that the number of claims for 2018–19 are preliminary and subject to revision in future years as claims are finalised.</w:t>
      </w:r>
    </w:p>
    <w:p w14:paraId="76F14655" w14:textId="3B850BFB" w:rsidR="00B747C9" w:rsidRPr="00086AB2" w:rsidRDefault="00B747C9" w:rsidP="00B747C9">
      <w:pPr>
        <w:pStyle w:val="SWATableheader"/>
      </w:pPr>
      <w:r w:rsidRPr="00086AB2">
        <w:t xml:space="preserve">Appendix 1 </w:t>
      </w:r>
      <w:r w:rsidR="004841BA" w:rsidRPr="00086AB2">
        <w:t>–</w:t>
      </w:r>
      <w:r w:rsidRPr="00086AB2">
        <w:t xml:space="preserve"> Table </w:t>
      </w:r>
      <w:r w:rsidR="006F0762" w:rsidRPr="00086AB2">
        <w:rPr>
          <w:noProof/>
        </w:rPr>
        <w:fldChar w:fldCharType="begin"/>
      </w:r>
      <w:r w:rsidR="006F0762" w:rsidRPr="00086AB2">
        <w:rPr>
          <w:noProof/>
        </w:rPr>
        <w:instrText xml:space="preserve"> SEQ Appendix_1 \* ARABIC </w:instrText>
      </w:r>
      <w:r w:rsidR="006F0762" w:rsidRPr="00086AB2">
        <w:rPr>
          <w:noProof/>
        </w:rPr>
        <w:fldChar w:fldCharType="separate"/>
      </w:r>
      <w:r w:rsidR="00772B12">
        <w:rPr>
          <w:noProof/>
        </w:rPr>
        <w:t>1</w:t>
      </w:r>
      <w:r w:rsidR="006F0762" w:rsidRPr="00086AB2">
        <w:rPr>
          <w:noProof/>
        </w:rPr>
        <w:fldChar w:fldCharType="end"/>
      </w:r>
      <w:r w:rsidRPr="00086AB2">
        <w:t xml:space="preserve">: Summary </w:t>
      </w:r>
      <w:r w:rsidR="000B630E" w:rsidRPr="00086AB2">
        <w:t>of key jurisdictional data, 201</w:t>
      </w:r>
      <w:r w:rsidR="000C1F50">
        <w:t>8</w:t>
      </w:r>
      <w:r w:rsidR="000B630E" w:rsidRPr="00086AB2">
        <w:t>–1</w:t>
      </w:r>
      <w:r w:rsidR="000C1F50">
        <w:t>9</w:t>
      </w:r>
      <w:r w:rsidR="000062EA">
        <w:t xml:space="preserve"> </w:t>
      </w:r>
    </w:p>
    <w:tbl>
      <w:tblPr>
        <w:tblW w:w="9265" w:type="dxa"/>
        <w:jc w:val="center"/>
        <w:tblLook w:val="04A0" w:firstRow="1" w:lastRow="0" w:firstColumn="1" w:lastColumn="0" w:noHBand="0" w:noVBand="1"/>
        <w:tblCaption w:val="Appendix 1 - Table 1: Summary of key jurisdictional data for 2016–17"/>
        <w:tblDescription w:val="This table shows the number of serious claims, employees and hours worked in Australian jurisdictions for preliminary year 2018–19."/>
      </w:tblPr>
      <w:tblGrid>
        <w:gridCol w:w="1985"/>
        <w:gridCol w:w="992"/>
        <w:gridCol w:w="1006"/>
        <w:gridCol w:w="1273"/>
        <w:gridCol w:w="1250"/>
        <w:gridCol w:w="1607"/>
        <w:gridCol w:w="1440"/>
      </w:tblGrid>
      <w:tr w:rsidR="000B630E" w:rsidRPr="00086AB2" w14:paraId="6B758B60" w14:textId="77777777" w:rsidTr="00873B5B">
        <w:trPr>
          <w:trHeight w:val="1020"/>
          <w:jc w:val="center"/>
        </w:trPr>
        <w:tc>
          <w:tcPr>
            <w:tcW w:w="1985"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14:paraId="2124229E" w14:textId="77777777" w:rsidR="000B630E" w:rsidRPr="00086AB2" w:rsidRDefault="000B630E" w:rsidP="000B630E">
            <w:pPr>
              <w:spacing w:after="0"/>
              <w:jc w:val="left"/>
              <w:rPr>
                <w:rFonts w:cs="Arial"/>
                <w:b/>
                <w:bCs/>
                <w:color w:val="FFFFFF"/>
                <w:szCs w:val="20"/>
              </w:rPr>
            </w:pPr>
            <w:r w:rsidRPr="00086AB2">
              <w:rPr>
                <w:rFonts w:cs="Arial"/>
                <w:b/>
                <w:bCs/>
                <w:color w:val="FFFFFF"/>
                <w:szCs w:val="20"/>
              </w:rPr>
              <w:t>Jurisdiction</w:t>
            </w:r>
          </w:p>
        </w:tc>
        <w:tc>
          <w:tcPr>
            <w:tcW w:w="992" w:type="dxa"/>
            <w:tcBorders>
              <w:top w:val="dotted" w:sz="4" w:space="0" w:color="FFFFFF"/>
              <w:left w:val="nil"/>
              <w:bottom w:val="dotted" w:sz="4" w:space="0" w:color="FFFFFF"/>
              <w:right w:val="dotted" w:sz="4" w:space="0" w:color="FFFFFF"/>
            </w:tcBorders>
            <w:shd w:val="clear" w:color="000000" w:fill="AF1E2D"/>
            <w:vAlign w:val="center"/>
            <w:hideMark/>
          </w:tcPr>
          <w:p w14:paraId="0250C512" w14:textId="77777777" w:rsidR="000B630E" w:rsidRPr="00086AB2" w:rsidRDefault="000B630E" w:rsidP="000B630E">
            <w:pPr>
              <w:spacing w:after="0"/>
              <w:jc w:val="center"/>
              <w:rPr>
                <w:rFonts w:cs="Arial"/>
                <w:b/>
                <w:bCs/>
                <w:color w:val="FFFFFF"/>
                <w:szCs w:val="20"/>
              </w:rPr>
            </w:pPr>
            <w:r w:rsidRPr="00086AB2">
              <w:rPr>
                <w:rFonts w:cs="Arial"/>
                <w:b/>
                <w:bCs/>
                <w:color w:val="FFFFFF"/>
                <w:szCs w:val="20"/>
              </w:rPr>
              <w:t>Serious claims</w:t>
            </w:r>
          </w:p>
        </w:tc>
        <w:tc>
          <w:tcPr>
            <w:tcW w:w="1006" w:type="dxa"/>
            <w:tcBorders>
              <w:top w:val="dotted" w:sz="4" w:space="0" w:color="FFFFFF"/>
              <w:left w:val="nil"/>
              <w:bottom w:val="dotted" w:sz="4" w:space="0" w:color="FFFFFF"/>
              <w:right w:val="dotted" w:sz="4" w:space="0" w:color="FFFFFF"/>
            </w:tcBorders>
            <w:shd w:val="clear" w:color="000000" w:fill="AF1E2D"/>
            <w:vAlign w:val="center"/>
            <w:hideMark/>
          </w:tcPr>
          <w:p w14:paraId="6FA4E375" w14:textId="77777777" w:rsidR="000B630E" w:rsidRPr="00086AB2" w:rsidRDefault="000B630E" w:rsidP="000B630E">
            <w:pPr>
              <w:spacing w:after="0"/>
              <w:jc w:val="center"/>
              <w:rPr>
                <w:rFonts w:cs="Arial"/>
                <w:b/>
                <w:bCs/>
                <w:color w:val="FFFFFF"/>
                <w:szCs w:val="20"/>
              </w:rPr>
            </w:pPr>
            <w:r w:rsidRPr="00086AB2">
              <w:rPr>
                <w:rFonts w:cs="Arial"/>
                <w:b/>
                <w:bCs/>
                <w:color w:val="FFFFFF"/>
                <w:szCs w:val="20"/>
              </w:rPr>
              <w:t>Per cent of claims</w:t>
            </w:r>
          </w:p>
        </w:tc>
        <w:tc>
          <w:tcPr>
            <w:tcW w:w="1273" w:type="dxa"/>
            <w:tcBorders>
              <w:top w:val="dotted" w:sz="4" w:space="0" w:color="FFFFFF"/>
              <w:left w:val="nil"/>
              <w:bottom w:val="dotted" w:sz="4" w:space="0" w:color="FFFFFF"/>
              <w:right w:val="dotted" w:sz="4" w:space="0" w:color="FFFFFF"/>
            </w:tcBorders>
            <w:shd w:val="clear" w:color="000000" w:fill="AF1E2D"/>
            <w:vAlign w:val="center"/>
            <w:hideMark/>
          </w:tcPr>
          <w:p w14:paraId="23B6E7E2" w14:textId="77777777" w:rsidR="000B630E" w:rsidRPr="00086AB2" w:rsidRDefault="000B630E" w:rsidP="000B630E">
            <w:pPr>
              <w:spacing w:after="0"/>
              <w:jc w:val="center"/>
              <w:rPr>
                <w:rFonts w:cs="Arial"/>
                <w:b/>
                <w:bCs/>
                <w:color w:val="FFFFFF"/>
                <w:szCs w:val="20"/>
              </w:rPr>
            </w:pPr>
            <w:r w:rsidRPr="00086AB2">
              <w:rPr>
                <w:rFonts w:cs="Arial"/>
                <w:b/>
                <w:bCs/>
                <w:color w:val="FFFFFF"/>
                <w:szCs w:val="20"/>
              </w:rPr>
              <w:t>Employees</w:t>
            </w:r>
          </w:p>
        </w:tc>
        <w:tc>
          <w:tcPr>
            <w:tcW w:w="1250" w:type="dxa"/>
            <w:tcBorders>
              <w:top w:val="dotted" w:sz="4" w:space="0" w:color="FFFFFF"/>
              <w:left w:val="nil"/>
              <w:bottom w:val="dotted" w:sz="4" w:space="0" w:color="FFFFFF"/>
              <w:right w:val="dotted" w:sz="4" w:space="0" w:color="FFFFFF"/>
            </w:tcBorders>
            <w:shd w:val="clear" w:color="000000" w:fill="AF1E2D"/>
            <w:vAlign w:val="center"/>
            <w:hideMark/>
          </w:tcPr>
          <w:p w14:paraId="3AEA948E" w14:textId="77777777" w:rsidR="000B630E" w:rsidRPr="00086AB2" w:rsidRDefault="000B630E" w:rsidP="000B630E">
            <w:pPr>
              <w:spacing w:after="0"/>
              <w:jc w:val="center"/>
              <w:rPr>
                <w:rFonts w:cs="Arial"/>
                <w:b/>
                <w:bCs/>
                <w:color w:val="FFFFFF"/>
                <w:szCs w:val="20"/>
              </w:rPr>
            </w:pPr>
            <w:r w:rsidRPr="00086AB2">
              <w:rPr>
                <w:rFonts w:cs="Arial"/>
                <w:b/>
                <w:bCs/>
                <w:color w:val="FFFFFF"/>
                <w:szCs w:val="20"/>
              </w:rPr>
              <w:t>Per cent of employees</w:t>
            </w:r>
          </w:p>
        </w:tc>
        <w:tc>
          <w:tcPr>
            <w:tcW w:w="1319" w:type="dxa"/>
            <w:tcBorders>
              <w:top w:val="dotted" w:sz="4" w:space="0" w:color="FFFFFF"/>
              <w:left w:val="nil"/>
              <w:bottom w:val="dotted" w:sz="4" w:space="0" w:color="FFFFFF"/>
              <w:right w:val="dotted" w:sz="4" w:space="0" w:color="FFFFFF"/>
            </w:tcBorders>
            <w:shd w:val="clear" w:color="000000" w:fill="AF1E2D"/>
            <w:vAlign w:val="center"/>
            <w:hideMark/>
          </w:tcPr>
          <w:p w14:paraId="5451E20D" w14:textId="77777777" w:rsidR="000B630E" w:rsidRPr="00086AB2" w:rsidRDefault="000B630E" w:rsidP="000B630E">
            <w:pPr>
              <w:spacing w:after="0"/>
              <w:jc w:val="center"/>
              <w:rPr>
                <w:rFonts w:cs="Arial"/>
                <w:b/>
                <w:bCs/>
                <w:color w:val="FFFFFF"/>
                <w:szCs w:val="20"/>
              </w:rPr>
            </w:pPr>
            <w:r w:rsidRPr="00086AB2">
              <w:rPr>
                <w:rFonts w:cs="Arial"/>
                <w:b/>
                <w:bCs/>
                <w:color w:val="FFFFFF"/>
                <w:szCs w:val="20"/>
              </w:rPr>
              <w:t>Hours worked</w:t>
            </w:r>
          </w:p>
        </w:tc>
        <w:tc>
          <w:tcPr>
            <w:tcW w:w="1440" w:type="dxa"/>
            <w:tcBorders>
              <w:top w:val="dotted" w:sz="4" w:space="0" w:color="FFFFFF"/>
              <w:left w:val="nil"/>
              <w:bottom w:val="dotted" w:sz="4" w:space="0" w:color="FFFFFF"/>
              <w:right w:val="dotted" w:sz="4" w:space="0" w:color="FFFFFF"/>
            </w:tcBorders>
            <w:shd w:val="clear" w:color="000000" w:fill="AF1E2D"/>
            <w:vAlign w:val="center"/>
            <w:hideMark/>
          </w:tcPr>
          <w:p w14:paraId="6459FE16" w14:textId="77777777" w:rsidR="000B630E" w:rsidRPr="00086AB2" w:rsidRDefault="000B630E" w:rsidP="000B630E">
            <w:pPr>
              <w:spacing w:after="0"/>
              <w:jc w:val="center"/>
              <w:rPr>
                <w:rFonts w:cs="Arial"/>
                <w:b/>
                <w:bCs/>
                <w:color w:val="FFFFFF"/>
                <w:szCs w:val="20"/>
              </w:rPr>
            </w:pPr>
            <w:r w:rsidRPr="00086AB2">
              <w:rPr>
                <w:rFonts w:cs="Arial"/>
                <w:b/>
                <w:bCs/>
                <w:color w:val="FFFFFF"/>
                <w:szCs w:val="20"/>
              </w:rPr>
              <w:t>Per cent of hours worked</w:t>
            </w:r>
          </w:p>
        </w:tc>
      </w:tr>
      <w:tr w:rsidR="003B24D6" w:rsidRPr="00086AB2" w14:paraId="6D13469F" w14:textId="77777777" w:rsidTr="00FA067D">
        <w:trPr>
          <w:trHeight w:val="340"/>
          <w:jc w:val="center"/>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1770C59B" w14:textId="77777777" w:rsidR="003B24D6" w:rsidRPr="00086AB2" w:rsidRDefault="003B24D6" w:rsidP="003B24D6">
            <w:pPr>
              <w:spacing w:after="0"/>
              <w:jc w:val="left"/>
              <w:rPr>
                <w:rFonts w:cs="Arial"/>
                <w:b/>
                <w:bCs/>
                <w:color w:val="000000"/>
                <w:szCs w:val="20"/>
              </w:rPr>
            </w:pPr>
            <w:r w:rsidRPr="00086AB2">
              <w:rPr>
                <w:rFonts w:cs="Arial"/>
                <w:b/>
                <w:bCs/>
                <w:color w:val="000000"/>
                <w:szCs w:val="20"/>
              </w:rPr>
              <w:t>New South Wales</w:t>
            </w:r>
          </w:p>
        </w:tc>
        <w:tc>
          <w:tcPr>
            <w:tcW w:w="992" w:type="dxa"/>
            <w:tcBorders>
              <w:top w:val="nil"/>
              <w:left w:val="nil"/>
              <w:bottom w:val="dotted" w:sz="4" w:space="0" w:color="FFFFFF"/>
              <w:right w:val="dotted" w:sz="4" w:space="0" w:color="FFFFFF"/>
            </w:tcBorders>
            <w:shd w:val="clear" w:color="000000" w:fill="EFD3D2"/>
            <w:noWrap/>
            <w:vAlign w:val="center"/>
            <w:hideMark/>
          </w:tcPr>
          <w:p w14:paraId="5C599C28" w14:textId="77777777" w:rsidR="003B24D6" w:rsidRPr="00086AB2" w:rsidRDefault="003B24D6" w:rsidP="003B24D6">
            <w:pPr>
              <w:spacing w:after="0"/>
              <w:jc w:val="center"/>
              <w:rPr>
                <w:rFonts w:cs="Arial"/>
                <w:color w:val="000000"/>
                <w:szCs w:val="20"/>
              </w:rPr>
            </w:pPr>
            <w:r w:rsidRPr="009024F9">
              <w:t>3</w:t>
            </w:r>
            <w:r>
              <w:t>7,63</w:t>
            </w:r>
            <w:r w:rsidR="00621201">
              <w:t>0</w:t>
            </w:r>
          </w:p>
        </w:tc>
        <w:tc>
          <w:tcPr>
            <w:tcW w:w="1006" w:type="dxa"/>
            <w:tcBorders>
              <w:top w:val="nil"/>
              <w:left w:val="nil"/>
              <w:bottom w:val="dotted" w:sz="4" w:space="0" w:color="FFFFFF"/>
              <w:right w:val="dotted" w:sz="4" w:space="0" w:color="FFFFFF"/>
            </w:tcBorders>
            <w:shd w:val="clear" w:color="000000" w:fill="EFD3D2"/>
            <w:noWrap/>
            <w:vAlign w:val="center"/>
            <w:hideMark/>
          </w:tcPr>
          <w:p w14:paraId="74C883FE" w14:textId="77777777" w:rsidR="003B24D6" w:rsidRPr="00086AB2" w:rsidRDefault="003B24D6" w:rsidP="003B24D6">
            <w:pPr>
              <w:spacing w:after="0"/>
              <w:jc w:val="center"/>
              <w:rPr>
                <w:rFonts w:cs="Arial"/>
                <w:color w:val="000000"/>
                <w:szCs w:val="20"/>
              </w:rPr>
            </w:pPr>
            <w:r>
              <w:rPr>
                <w:rFonts w:cs="Arial"/>
                <w:color w:val="000000"/>
                <w:szCs w:val="20"/>
              </w:rPr>
              <w:t>32.9</w:t>
            </w:r>
          </w:p>
        </w:tc>
        <w:tc>
          <w:tcPr>
            <w:tcW w:w="1273" w:type="dxa"/>
            <w:tcBorders>
              <w:top w:val="nil"/>
              <w:left w:val="nil"/>
              <w:bottom w:val="dotted" w:sz="4" w:space="0" w:color="FFFFFF"/>
              <w:right w:val="dotted" w:sz="4" w:space="0" w:color="FFFFFF"/>
            </w:tcBorders>
            <w:shd w:val="clear" w:color="000000" w:fill="EFD3D2"/>
            <w:noWrap/>
            <w:vAlign w:val="center"/>
            <w:hideMark/>
          </w:tcPr>
          <w:p w14:paraId="4B7CA2D4" w14:textId="4071DF4B" w:rsidR="003B24D6" w:rsidRPr="00E3257B" w:rsidRDefault="003B24D6" w:rsidP="00FA067D">
            <w:pPr>
              <w:spacing w:after="0"/>
              <w:jc w:val="center"/>
            </w:pPr>
            <w:r w:rsidRPr="00E3257B">
              <w:t>3,744,030</w:t>
            </w:r>
          </w:p>
        </w:tc>
        <w:tc>
          <w:tcPr>
            <w:tcW w:w="1250" w:type="dxa"/>
            <w:tcBorders>
              <w:top w:val="nil"/>
              <w:left w:val="nil"/>
              <w:bottom w:val="dotted" w:sz="4" w:space="0" w:color="FFFFFF"/>
              <w:right w:val="dotted" w:sz="4" w:space="0" w:color="FFFFFF"/>
            </w:tcBorders>
            <w:shd w:val="clear" w:color="000000" w:fill="EFD3D2"/>
            <w:noWrap/>
            <w:vAlign w:val="center"/>
            <w:hideMark/>
          </w:tcPr>
          <w:p w14:paraId="077F8D17" w14:textId="77777777" w:rsidR="003B24D6" w:rsidRPr="00086AB2" w:rsidRDefault="003B24D6" w:rsidP="003B24D6">
            <w:pPr>
              <w:spacing w:after="0"/>
              <w:jc w:val="center"/>
              <w:rPr>
                <w:rFonts w:cs="Arial"/>
                <w:color w:val="000000"/>
                <w:szCs w:val="20"/>
              </w:rPr>
            </w:pPr>
            <w:r w:rsidRPr="00086AB2">
              <w:rPr>
                <w:rFonts w:cs="Arial"/>
                <w:color w:val="000000"/>
                <w:szCs w:val="20"/>
              </w:rPr>
              <w:t>30.</w:t>
            </w:r>
            <w:r w:rsidR="00775BB6">
              <w:rPr>
                <w:rFonts w:cs="Arial"/>
                <w:color w:val="000000"/>
                <w:szCs w:val="20"/>
              </w:rPr>
              <w:t>8</w:t>
            </w:r>
          </w:p>
        </w:tc>
        <w:tc>
          <w:tcPr>
            <w:tcW w:w="1319" w:type="dxa"/>
            <w:tcBorders>
              <w:top w:val="nil"/>
              <w:left w:val="nil"/>
              <w:bottom w:val="dotted" w:sz="4" w:space="0" w:color="FFFFFF"/>
              <w:right w:val="dotted" w:sz="4" w:space="0" w:color="FFFFFF"/>
            </w:tcBorders>
            <w:shd w:val="clear" w:color="000000" w:fill="EFD3D2"/>
            <w:noWrap/>
            <w:vAlign w:val="center"/>
            <w:hideMark/>
          </w:tcPr>
          <w:p w14:paraId="43545850" w14:textId="77777777" w:rsidR="003B24D6" w:rsidRPr="00086AB2" w:rsidRDefault="003B24D6" w:rsidP="003B24D6">
            <w:pPr>
              <w:spacing w:after="0"/>
              <w:jc w:val="center"/>
              <w:rPr>
                <w:rFonts w:cs="Arial"/>
                <w:color w:val="000000"/>
                <w:szCs w:val="20"/>
              </w:rPr>
            </w:pPr>
            <w:r w:rsidRPr="000C33E0">
              <w:rPr>
                <w:rFonts w:cs="Arial"/>
                <w:color w:val="000000"/>
                <w:szCs w:val="20"/>
              </w:rPr>
              <w:t>6,</w:t>
            </w:r>
            <w:r w:rsidR="00775BB6">
              <w:rPr>
                <w:rFonts w:cs="Arial"/>
                <w:color w:val="000000"/>
                <w:szCs w:val="20"/>
              </w:rPr>
              <w:t>162</w:t>
            </w:r>
            <w:r w:rsidRPr="000C33E0">
              <w:rPr>
                <w:rFonts w:cs="Arial"/>
                <w:color w:val="000000"/>
                <w:szCs w:val="20"/>
              </w:rPr>
              <w:t>,</w:t>
            </w:r>
            <w:r w:rsidR="00775BB6">
              <w:rPr>
                <w:rFonts w:cs="Arial"/>
                <w:color w:val="000000"/>
                <w:szCs w:val="20"/>
              </w:rPr>
              <w:t>804</w:t>
            </w:r>
            <w:r w:rsidRPr="000C33E0">
              <w:rPr>
                <w:rFonts w:cs="Arial"/>
                <w:color w:val="000000"/>
                <w:szCs w:val="20"/>
              </w:rPr>
              <w:t>,</w:t>
            </w:r>
            <w:r w:rsidR="00775BB6">
              <w:rPr>
                <w:rFonts w:cs="Arial"/>
                <w:color w:val="000000"/>
                <w:szCs w:val="20"/>
              </w:rPr>
              <w:t>26</w:t>
            </w:r>
            <w:r w:rsidR="00621201">
              <w:rPr>
                <w:rFonts w:cs="Arial"/>
                <w:color w:val="000000"/>
                <w:szCs w:val="20"/>
              </w:rPr>
              <w:t>0</w:t>
            </w:r>
          </w:p>
        </w:tc>
        <w:tc>
          <w:tcPr>
            <w:tcW w:w="1440" w:type="dxa"/>
            <w:tcBorders>
              <w:top w:val="nil"/>
              <w:left w:val="nil"/>
              <w:bottom w:val="dotted" w:sz="4" w:space="0" w:color="FFFFFF"/>
              <w:right w:val="dotted" w:sz="4" w:space="0" w:color="FFFFFF"/>
            </w:tcBorders>
            <w:shd w:val="clear" w:color="000000" w:fill="EFD3D2"/>
            <w:noWrap/>
            <w:vAlign w:val="center"/>
            <w:hideMark/>
          </w:tcPr>
          <w:p w14:paraId="15CCCE4E" w14:textId="77777777" w:rsidR="003B24D6" w:rsidRPr="00086AB2" w:rsidRDefault="003B24D6" w:rsidP="003B24D6">
            <w:pPr>
              <w:spacing w:after="0"/>
              <w:jc w:val="center"/>
              <w:rPr>
                <w:rFonts w:cs="Arial"/>
                <w:color w:val="000000"/>
                <w:szCs w:val="20"/>
              </w:rPr>
            </w:pPr>
            <w:r w:rsidRPr="00086AB2">
              <w:rPr>
                <w:rFonts w:cs="Arial"/>
                <w:color w:val="000000"/>
                <w:szCs w:val="20"/>
              </w:rPr>
              <w:t>3</w:t>
            </w:r>
            <w:r w:rsidR="00520D47">
              <w:rPr>
                <w:rFonts w:cs="Arial"/>
                <w:color w:val="000000"/>
                <w:szCs w:val="20"/>
              </w:rPr>
              <w:t>1</w:t>
            </w:r>
            <w:r w:rsidRPr="00086AB2">
              <w:rPr>
                <w:rFonts w:cs="Arial"/>
                <w:color w:val="000000"/>
                <w:szCs w:val="20"/>
              </w:rPr>
              <w:t>.</w:t>
            </w:r>
            <w:r w:rsidR="00520D47">
              <w:rPr>
                <w:rFonts w:cs="Arial"/>
                <w:color w:val="000000"/>
                <w:szCs w:val="20"/>
              </w:rPr>
              <w:t>0</w:t>
            </w:r>
          </w:p>
        </w:tc>
      </w:tr>
      <w:tr w:rsidR="003B24D6" w:rsidRPr="00086AB2" w14:paraId="4A5EBFC4"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17893C1F" w14:textId="77777777" w:rsidR="003B24D6" w:rsidRPr="00086AB2" w:rsidRDefault="003B24D6" w:rsidP="003B24D6">
            <w:pPr>
              <w:spacing w:after="0"/>
              <w:jc w:val="left"/>
              <w:rPr>
                <w:rFonts w:cs="Arial"/>
                <w:b/>
                <w:bCs/>
                <w:color w:val="000000"/>
                <w:szCs w:val="20"/>
              </w:rPr>
            </w:pPr>
            <w:r w:rsidRPr="00086AB2">
              <w:rPr>
                <w:rFonts w:cs="Arial"/>
                <w:b/>
                <w:bCs/>
                <w:color w:val="000000"/>
                <w:szCs w:val="20"/>
              </w:rPr>
              <w:t>Victoria</w:t>
            </w:r>
          </w:p>
        </w:tc>
        <w:tc>
          <w:tcPr>
            <w:tcW w:w="992" w:type="dxa"/>
            <w:tcBorders>
              <w:top w:val="nil"/>
              <w:left w:val="nil"/>
              <w:bottom w:val="dotted" w:sz="4" w:space="0" w:color="FFFFFF"/>
              <w:right w:val="dotted" w:sz="4" w:space="0" w:color="FFFFFF"/>
            </w:tcBorders>
            <w:shd w:val="clear" w:color="000000" w:fill="FFFFFF"/>
            <w:noWrap/>
            <w:vAlign w:val="center"/>
            <w:hideMark/>
          </w:tcPr>
          <w:p w14:paraId="06D43C92" w14:textId="77777777" w:rsidR="003B24D6" w:rsidRPr="00086AB2" w:rsidRDefault="003B24D6" w:rsidP="003B24D6">
            <w:pPr>
              <w:spacing w:after="0"/>
              <w:jc w:val="center"/>
              <w:rPr>
                <w:rFonts w:cs="Arial"/>
                <w:color w:val="000000"/>
                <w:szCs w:val="20"/>
              </w:rPr>
            </w:pPr>
            <w:r w:rsidRPr="009024F9">
              <w:t>2</w:t>
            </w:r>
            <w:r>
              <w:t>2,</w:t>
            </w:r>
            <w:r w:rsidR="00621201">
              <w:t>900</w:t>
            </w:r>
          </w:p>
        </w:tc>
        <w:tc>
          <w:tcPr>
            <w:tcW w:w="1006" w:type="dxa"/>
            <w:tcBorders>
              <w:top w:val="nil"/>
              <w:left w:val="nil"/>
              <w:bottom w:val="dotted" w:sz="4" w:space="0" w:color="FFFFFF"/>
              <w:right w:val="dotted" w:sz="4" w:space="0" w:color="FFFFFF"/>
            </w:tcBorders>
            <w:shd w:val="clear" w:color="000000" w:fill="FFFFFF"/>
            <w:noWrap/>
            <w:vAlign w:val="center"/>
            <w:hideMark/>
          </w:tcPr>
          <w:p w14:paraId="17244F36" w14:textId="77777777" w:rsidR="003B24D6" w:rsidRPr="00086AB2" w:rsidRDefault="003B24D6" w:rsidP="003B24D6">
            <w:pPr>
              <w:spacing w:after="0"/>
              <w:jc w:val="center"/>
              <w:rPr>
                <w:rFonts w:cs="Arial"/>
                <w:color w:val="000000"/>
                <w:szCs w:val="20"/>
              </w:rPr>
            </w:pPr>
            <w:r>
              <w:rPr>
                <w:rFonts w:cs="Arial"/>
                <w:color w:val="000000"/>
                <w:szCs w:val="20"/>
              </w:rPr>
              <w:t>20.0</w:t>
            </w:r>
          </w:p>
        </w:tc>
        <w:tc>
          <w:tcPr>
            <w:tcW w:w="1273" w:type="dxa"/>
            <w:tcBorders>
              <w:top w:val="nil"/>
              <w:left w:val="nil"/>
              <w:bottom w:val="dotted" w:sz="4" w:space="0" w:color="FFFFFF"/>
              <w:right w:val="dotted" w:sz="4" w:space="0" w:color="FFFFFF"/>
            </w:tcBorders>
            <w:shd w:val="clear" w:color="000000" w:fill="FFFFFF"/>
            <w:noWrap/>
            <w:vAlign w:val="center"/>
            <w:hideMark/>
          </w:tcPr>
          <w:p w14:paraId="66FF777F" w14:textId="12D82912" w:rsidR="003B24D6" w:rsidRPr="00E3257B" w:rsidRDefault="003B24D6" w:rsidP="00FA067D">
            <w:pPr>
              <w:spacing w:after="0"/>
              <w:jc w:val="center"/>
            </w:pPr>
            <w:r w:rsidRPr="00E3257B">
              <w:t>3,107,32</w:t>
            </w:r>
            <w:r w:rsidR="00621201">
              <w:t>0</w:t>
            </w:r>
          </w:p>
        </w:tc>
        <w:tc>
          <w:tcPr>
            <w:tcW w:w="1250" w:type="dxa"/>
            <w:tcBorders>
              <w:top w:val="nil"/>
              <w:left w:val="nil"/>
              <w:bottom w:val="dotted" w:sz="4" w:space="0" w:color="FFFFFF"/>
              <w:right w:val="dotted" w:sz="4" w:space="0" w:color="FFFFFF"/>
            </w:tcBorders>
            <w:shd w:val="clear" w:color="000000" w:fill="FFFFFF"/>
            <w:noWrap/>
            <w:vAlign w:val="center"/>
            <w:hideMark/>
          </w:tcPr>
          <w:p w14:paraId="71983BC5" w14:textId="77777777" w:rsidR="003B24D6" w:rsidRPr="00086AB2" w:rsidRDefault="003B24D6" w:rsidP="003B24D6">
            <w:pPr>
              <w:spacing w:after="0"/>
              <w:jc w:val="center"/>
              <w:rPr>
                <w:rFonts w:cs="Arial"/>
                <w:color w:val="000000"/>
                <w:szCs w:val="20"/>
              </w:rPr>
            </w:pPr>
            <w:r w:rsidRPr="00086AB2">
              <w:rPr>
                <w:rFonts w:cs="Arial"/>
                <w:color w:val="000000"/>
                <w:szCs w:val="20"/>
              </w:rPr>
              <w:t>25.</w:t>
            </w:r>
            <w:r w:rsidR="00775BB6">
              <w:rPr>
                <w:rFonts w:cs="Arial"/>
                <w:color w:val="000000"/>
                <w:szCs w:val="20"/>
              </w:rPr>
              <w:t>6</w:t>
            </w:r>
          </w:p>
        </w:tc>
        <w:tc>
          <w:tcPr>
            <w:tcW w:w="1319" w:type="dxa"/>
            <w:tcBorders>
              <w:top w:val="nil"/>
              <w:left w:val="nil"/>
              <w:bottom w:val="dotted" w:sz="4" w:space="0" w:color="FFFFFF"/>
              <w:right w:val="dotted" w:sz="4" w:space="0" w:color="FFFFFF"/>
            </w:tcBorders>
            <w:shd w:val="clear" w:color="000000" w:fill="FFFFFF"/>
            <w:noWrap/>
            <w:vAlign w:val="center"/>
            <w:hideMark/>
          </w:tcPr>
          <w:p w14:paraId="7839DF56" w14:textId="77777777" w:rsidR="003B24D6" w:rsidRPr="00086AB2" w:rsidRDefault="00775BB6" w:rsidP="003B24D6">
            <w:pPr>
              <w:spacing w:after="0"/>
              <w:jc w:val="center"/>
              <w:rPr>
                <w:rFonts w:cs="Arial"/>
                <w:color w:val="000000"/>
                <w:szCs w:val="20"/>
              </w:rPr>
            </w:pPr>
            <w:r w:rsidRPr="00775BB6">
              <w:rPr>
                <w:rFonts w:cs="Arial"/>
                <w:color w:val="000000"/>
                <w:szCs w:val="20"/>
              </w:rPr>
              <w:t>4,976,227,8</w:t>
            </w:r>
            <w:r w:rsidR="00621201">
              <w:rPr>
                <w:rFonts w:cs="Arial"/>
                <w:color w:val="000000"/>
                <w:szCs w:val="20"/>
              </w:rPr>
              <w:t>90</w:t>
            </w:r>
          </w:p>
        </w:tc>
        <w:tc>
          <w:tcPr>
            <w:tcW w:w="1440" w:type="dxa"/>
            <w:tcBorders>
              <w:top w:val="nil"/>
              <w:left w:val="nil"/>
              <w:bottom w:val="dotted" w:sz="4" w:space="0" w:color="FFFFFF"/>
              <w:right w:val="dotted" w:sz="4" w:space="0" w:color="FFFFFF"/>
            </w:tcBorders>
            <w:shd w:val="clear" w:color="000000" w:fill="FFFFFF"/>
            <w:noWrap/>
            <w:vAlign w:val="center"/>
            <w:hideMark/>
          </w:tcPr>
          <w:p w14:paraId="5F39E04C" w14:textId="77777777" w:rsidR="003B24D6" w:rsidRPr="00086AB2" w:rsidRDefault="003B24D6" w:rsidP="003B24D6">
            <w:pPr>
              <w:spacing w:after="0"/>
              <w:jc w:val="center"/>
              <w:rPr>
                <w:rFonts w:cs="Arial"/>
                <w:color w:val="000000"/>
                <w:szCs w:val="20"/>
              </w:rPr>
            </w:pPr>
            <w:r w:rsidRPr="00086AB2">
              <w:rPr>
                <w:rFonts w:cs="Arial"/>
                <w:color w:val="000000"/>
                <w:szCs w:val="20"/>
              </w:rPr>
              <w:t>2</w:t>
            </w:r>
            <w:r w:rsidR="00520D47">
              <w:rPr>
                <w:rFonts w:cs="Arial"/>
                <w:color w:val="000000"/>
                <w:szCs w:val="20"/>
              </w:rPr>
              <w:t>5.0</w:t>
            </w:r>
          </w:p>
        </w:tc>
      </w:tr>
      <w:tr w:rsidR="003B24D6" w:rsidRPr="00086AB2" w14:paraId="4895D119"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2FEF9B38" w14:textId="77777777" w:rsidR="003B24D6" w:rsidRPr="00086AB2" w:rsidRDefault="003B24D6" w:rsidP="003B24D6">
            <w:pPr>
              <w:spacing w:after="0"/>
              <w:jc w:val="left"/>
              <w:rPr>
                <w:rFonts w:cs="Arial"/>
                <w:b/>
                <w:bCs/>
                <w:color w:val="000000"/>
                <w:szCs w:val="20"/>
              </w:rPr>
            </w:pPr>
            <w:r w:rsidRPr="00086AB2">
              <w:rPr>
                <w:rFonts w:cs="Arial"/>
                <w:b/>
                <w:bCs/>
                <w:color w:val="000000"/>
                <w:szCs w:val="20"/>
              </w:rPr>
              <w:t>Queensland</w:t>
            </w:r>
          </w:p>
        </w:tc>
        <w:tc>
          <w:tcPr>
            <w:tcW w:w="992" w:type="dxa"/>
            <w:tcBorders>
              <w:top w:val="nil"/>
              <w:left w:val="nil"/>
              <w:bottom w:val="dotted" w:sz="4" w:space="0" w:color="FFFFFF"/>
              <w:right w:val="dotted" w:sz="4" w:space="0" w:color="FFFFFF"/>
            </w:tcBorders>
            <w:shd w:val="clear" w:color="000000" w:fill="EFD3D2"/>
            <w:noWrap/>
            <w:vAlign w:val="center"/>
            <w:hideMark/>
          </w:tcPr>
          <w:p w14:paraId="16228518" w14:textId="77777777" w:rsidR="003B24D6" w:rsidRPr="00086AB2" w:rsidRDefault="003B24D6" w:rsidP="003B24D6">
            <w:pPr>
              <w:spacing w:after="0"/>
              <w:jc w:val="center"/>
              <w:rPr>
                <w:rFonts w:cs="Arial"/>
                <w:color w:val="000000"/>
                <w:szCs w:val="20"/>
              </w:rPr>
            </w:pPr>
            <w:r w:rsidRPr="009024F9">
              <w:t>2</w:t>
            </w:r>
            <w:r>
              <w:t>8,53</w:t>
            </w:r>
            <w:r w:rsidR="00621201">
              <w:t>0</w:t>
            </w:r>
          </w:p>
        </w:tc>
        <w:tc>
          <w:tcPr>
            <w:tcW w:w="1006" w:type="dxa"/>
            <w:tcBorders>
              <w:top w:val="nil"/>
              <w:left w:val="nil"/>
              <w:bottom w:val="dotted" w:sz="4" w:space="0" w:color="FFFFFF"/>
              <w:right w:val="dotted" w:sz="4" w:space="0" w:color="FFFFFF"/>
            </w:tcBorders>
            <w:shd w:val="clear" w:color="000000" w:fill="EFD3D2"/>
            <w:noWrap/>
            <w:vAlign w:val="center"/>
            <w:hideMark/>
          </w:tcPr>
          <w:p w14:paraId="4558A3B7" w14:textId="77777777" w:rsidR="003B24D6" w:rsidRPr="00086AB2" w:rsidRDefault="003B24D6" w:rsidP="003B24D6">
            <w:pPr>
              <w:spacing w:after="0"/>
              <w:jc w:val="center"/>
              <w:rPr>
                <w:rFonts w:cs="Arial"/>
                <w:color w:val="000000"/>
                <w:szCs w:val="20"/>
              </w:rPr>
            </w:pPr>
            <w:r>
              <w:rPr>
                <w:rFonts w:cs="Arial"/>
                <w:color w:val="000000"/>
                <w:szCs w:val="20"/>
              </w:rPr>
              <w:t>24.9</w:t>
            </w:r>
          </w:p>
        </w:tc>
        <w:tc>
          <w:tcPr>
            <w:tcW w:w="1273" w:type="dxa"/>
            <w:tcBorders>
              <w:top w:val="nil"/>
              <w:left w:val="nil"/>
              <w:bottom w:val="dotted" w:sz="4" w:space="0" w:color="FFFFFF"/>
              <w:right w:val="dotted" w:sz="4" w:space="0" w:color="FFFFFF"/>
            </w:tcBorders>
            <w:shd w:val="clear" w:color="000000" w:fill="EFD3D2"/>
            <w:noWrap/>
            <w:vAlign w:val="center"/>
            <w:hideMark/>
          </w:tcPr>
          <w:p w14:paraId="748D6D95" w14:textId="34B7C83E" w:rsidR="003B24D6" w:rsidRDefault="003B24D6" w:rsidP="00FA067D">
            <w:pPr>
              <w:spacing w:after="0"/>
              <w:jc w:val="center"/>
            </w:pPr>
            <w:r w:rsidRPr="00E3257B">
              <w:t>2,299,92</w:t>
            </w:r>
            <w:r w:rsidR="00621201">
              <w:t>0</w:t>
            </w:r>
          </w:p>
        </w:tc>
        <w:tc>
          <w:tcPr>
            <w:tcW w:w="1250" w:type="dxa"/>
            <w:tcBorders>
              <w:top w:val="nil"/>
              <w:left w:val="nil"/>
              <w:bottom w:val="dotted" w:sz="4" w:space="0" w:color="FFFFFF"/>
              <w:right w:val="dotted" w:sz="4" w:space="0" w:color="FFFFFF"/>
            </w:tcBorders>
            <w:shd w:val="clear" w:color="000000" w:fill="EFD3D2"/>
            <w:noWrap/>
            <w:vAlign w:val="center"/>
            <w:hideMark/>
          </w:tcPr>
          <w:p w14:paraId="70B1DF9E" w14:textId="77777777" w:rsidR="003B24D6" w:rsidRPr="00086AB2" w:rsidRDefault="003B24D6" w:rsidP="003B24D6">
            <w:pPr>
              <w:spacing w:after="0"/>
              <w:jc w:val="center"/>
              <w:rPr>
                <w:rFonts w:cs="Arial"/>
                <w:color w:val="000000"/>
                <w:szCs w:val="20"/>
              </w:rPr>
            </w:pPr>
            <w:r w:rsidRPr="00086AB2">
              <w:rPr>
                <w:rFonts w:cs="Arial"/>
                <w:color w:val="000000"/>
                <w:szCs w:val="20"/>
              </w:rPr>
              <w:t>1</w:t>
            </w:r>
            <w:r w:rsidR="00775BB6">
              <w:rPr>
                <w:rFonts w:cs="Arial"/>
                <w:color w:val="000000"/>
                <w:szCs w:val="20"/>
              </w:rPr>
              <w:t>8</w:t>
            </w:r>
            <w:r w:rsidRPr="00086AB2">
              <w:rPr>
                <w:rFonts w:cs="Arial"/>
                <w:color w:val="000000"/>
                <w:szCs w:val="20"/>
              </w:rPr>
              <w:t>.</w:t>
            </w:r>
            <w:r w:rsidR="00775BB6">
              <w:rPr>
                <w:rFonts w:cs="Arial"/>
                <w:color w:val="000000"/>
                <w:szCs w:val="20"/>
              </w:rPr>
              <w:t>9</w:t>
            </w:r>
          </w:p>
        </w:tc>
        <w:tc>
          <w:tcPr>
            <w:tcW w:w="1319" w:type="dxa"/>
            <w:tcBorders>
              <w:top w:val="nil"/>
              <w:left w:val="nil"/>
              <w:bottom w:val="dotted" w:sz="4" w:space="0" w:color="FFFFFF"/>
              <w:right w:val="dotted" w:sz="4" w:space="0" w:color="FFFFFF"/>
            </w:tcBorders>
            <w:shd w:val="clear" w:color="000000" w:fill="EFD3D2"/>
            <w:noWrap/>
            <w:vAlign w:val="center"/>
            <w:hideMark/>
          </w:tcPr>
          <w:p w14:paraId="72DC9F37" w14:textId="77777777" w:rsidR="003B24D6" w:rsidRPr="00086AB2" w:rsidRDefault="00775BB6" w:rsidP="003B24D6">
            <w:pPr>
              <w:spacing w:after="0"/>
              <w:jc w:val="center"/>
              <w:rPr>
                <w:rFonts w:cs="Arial"/>
                <w:color w:val="000000"/>
                <w:szCs w:val="20"/>
              </w:rPr>
            </w:pPr>
            <w:r w:rsidRPr="00775BB6">
              <w:rPr>
                <w:rFonts w:cs="Arial"/>
                <w:color w:val="000000"/>
                <w:szCs w:val="20"/>
              </w:rPr>
              <w:t>3,808,679,5</w:t>
            </w:r>
            <w:r w:rsidR="00621201">
              <w:rPr>
                <w:rFonts w:cs="Arial"/>
                <w:color w:val="000000"/>
                <w:szCs w:val="20"/>
              </w:rPr>
              <w:t>30</w:t>
            </w:r>
          </w:p>
        </w:tc>
        <w:tc>
          <w:tcPr>
            <w:tcW w:w="1440" w:type="dxa"/>
            <w:tcBorders>
              <w:top w:val="nil"/>
              <w:left w:val="nil"/>
              <w:bottom w:val="dotted" w:sz="4" w:space="0" w:color="FFFFFF"/>
              <w:right w:val="dotted" w:sz="4" w:space="0" w:color="FFFFFF"/>
            </w:tcBorders>
            <w:shd w:val="clear" w:color="000000" w:fill="EFD3D2"/>
            <w:noWrap/>
            <w:vAlign w:val="center"/>
            <w:hideMark/>
          </w:tcPr>
          <w:p w14:paraId="14D4F3B3" w14:textId="77777777" w:rsidR="003B24D6" w:rsidRPr="00086AB2" w:rsidRDefault="003B24D6" w:rsidP="003B24D6">
            <w:pPr>
              <w:spacing w:after="0"/>
              <w:jc w:val="center"/>
              <w:rPr>
                <w:rFonts w:cs="Arial"/>
                <w:color w:val="000000"/>
                <w:szCs w:val="20"/>
              </w:rPr>
            </w:pPr>
            <w:r w:rsidRPr="00086AB2">
              <w:rPr>
                <w:rFonts w:cs="Arial"/>
                <w:color w:val="000000"/>
                <w:szCs w:val="20"/>
              </w:rPr>
              <w:t>19.</w:t>
            </w:r>
            <w:r w:rsidR="00520D47">
              <w:rPr>
                <w:rFonts w:cs="Arial"/>
                <w:color w:val="000000"/>
                <w:szCs w:val="20"/>
              </w:rPr>
              <w:t>1</w:t>
            </w:r>
          </w:p>
        </w:tc>
      </w:tr>
      <w:tr w:rsidR="000B630E" w:rsidRPr="00086AB2" w14:paraId="7876C4A1"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36839954" w14:textId="77777777" w:rsidR="000B630E" w:rsidRPr="00086AB2" w:rsidRDefault="000B630E" w:rsidP="000B630E">
            <w:pPr>
              <w:spacing w:after="0"/>
              <w:jc w:val="left"/>
              <w:rPr>
                <w:rFonts w:cs="Arial"/>
                <w:b/>
                <w:bCs/>
                <w:color w:val="000000"/>
                <w:szCs w:val="20"/>
              </w:rPr>
            </w:pPr>
            <w:r w:rsidRPr="00086AB2">
              <w:rPr>
                <w:rFonts w:cs="Arial"/>
                <w:b/>
                <w:bCs/>
                <w:color w:val="000000"/>
                <w:szCs w:val="20"/>
              </w:rPr>
              <w:t>Western Australia</w:t>
            </w:r>
          </w:p>
        </w:tc>
        <w:tc>
          <w:tcPr>
            <w:tcW w:w="992" w:type="dxa"/>
            <w:tcBorders>
              <w:top w:val="nil"/>
              <w:left w:val="nil"/>
              <w:bottom w:val="dotted" w:sz="4" w:space="0" w:color="FFFFFF"/>
              <w:right w:val="dotted" w:sz="4" w:space="0" w:color="FFFFFF"/>
            </w:tcBorders>
            <w:shd w:val="clear" w:color="000000" w:fill="FFFFFF"/>
            <w:noWrap/>
            <w:vAlign w:val="center"/>
            <w:hideMark/>
          </w:tcPr>
          <w:p w14:paraId="719DFEE8" w14:textId="77777777" w:rsidR="000B630E" w:rsidRPr="00086AB2" w:rsidRDefault="00271678" w:rsidP="004659D5">
            <w:pPr>
              <w:spacing w:after="0"/>
              <w:jc w:val="center"/>
              <w:rPr>
                <w:rFonts w:cs="Arial"/>
                <w:color w:val="000000"/>
                <w:szCs w:val="20"/>
              </w:rPr>
            </w:pPr>
            <w:r w:rsidRPr="00271678">
              <w:rPr>
                <w:rFonts w:cs="Arial"/>
                <w:color w:val="000000"/>
                <w:szCs w:val="20"/>
              </w:rPr>
              <w:t>11</w:t>
            </w:r>
            <w:r>
              <w:rPr>
                <w:rFonts w:cs="Arial"/>
                <w:color w:val="000000"/>
                <w:szCs w:val="20"/>
              </w:rPr>
              <w:t>,</w:t>
            </w:r>
            <w:r w:rsidR="000C1F50">
              <w:rPr>
                <w:rFonts w:cs="Arial"/>
                <w:color w:val="000000"/>
                <w:szCs w:val="20"/>
              </w:rPr>
              <w:t>40</w:t>
            </w:r>
            <w:r w:rsidR="00621201">
              <w:rPr>
                <w:rFonts w:cs="Arial"/>
                <w:color w:val="000000"/>
                <w:szCs w:val="20"/>
              </w:rPr>
              <w:t>0</w:t>
            </w:r>
          </w:p>
        </w:tc>
        <w:tc>
          <w:tcPr>
            <w:tcW w:w="1006" w:type="dxa"/>
            <w:tcBorders>
              <w:top w:val="nil"/>
              <w:left w:val="nil"/>
              <w:bottom w:val="dotted" w:sz="4" w:space="0" w:color="FFFFFF"/>
              <w:right w:val="dotted" w:sz="4" w:space="0" w:color="FFFFFF"/>
            </w:tcBorders>
            <w:shd w:val="clear" w:color="000000" w:fill="FFFFFF"/>
            <w:noWrap/>
            <w:vAlign w:val="center"/>
            <w:hideMark/>
          </w:tcPr>
          <w:p w14:paraId="554910DA" w14:textId="77777777" w:rsidR="000B630E" w:rsidRPr="00086AB2" w:rsidRDefault="00271678" w:rsidP="004659D5">
            <w:pPr>
              <w:spacing w:after="0"/>
              <w:jc w:val="center"/>
              <w:rPr>
                <w:rFonts w:cs="Arial"/>
                <w:color w:val="000000"/>
                <w:szCs w:val="20"/>
              </w:rPr>
            </w:pPr>
            <w:r>
              <w:rPr>
                <w:rFonts w:cs="Arial"/>
                <w:color w:val="000000"/>
                <w:szCs w:val="20"/>
              </w:rPr>
              <w:t>10.</w:t>
            </w:r>
            <w:r w:rsidR="000C1F50">
              <w:rPr>
                <w:rFonts w:cs="Arial"/>
                <w:color w:val="000000"/>
                <w:szCs w:val="20"/>
              </w:rPr>
              <w:t>0</w:t>
            </w:r>
          </w:p>
        </w:tc>
        <w:tc>
          <w:tcPr>
            <w:tcW w:w="1273" w:type="dxa"/>
            <w:tcBorders>
              <w:top w:val="nil"/>
              <w:left w:val="nil"/>
              <w:bottom w:val="dotted" w:sz="4" w:space="0" w:color="FFFFFF"/>
              <w:right w:val="dotted" w:sz="4" w:space="0" w:color="FFFFFF"/>
            </w:tcBorders>
            <w:shd w:val="clear" w:color="000000" w:fill="FFFFFF"/>
            <w:noWrap/>
            <w:vAlign w:val="center"/>
            <w:hideMark/>
          </w:tcPr>
          <w:p w14:paraId="6F185DB9" w14:textId="77777777" w:rsidR="000B630E" w:rsidRPr="00FA067D" w:rsidRDefault="000C3F42" w:rsidP="00873B5B">
            <w:pPr>
              <w:spacing w:after="0"/>
              <w:jc w:val="center"/>
            </w:pPr>
            <w:r w:rsidRPr="00FA067D">
              <w:t>1,263,5</w:t>
            </w:r>
            <w:r w:rsidR="00621201" w:rsidRPr="00FA067D">
              <w:t>70</w:t>
            </w:r>
          </w:p>
        </w:tc>
        <w:tc>
          <w:tcPr>
            <w:tcW w:w="1250" w:type="dxa"/>
            <w:tcBorders>
              <w:top w:val="nil"/>
              <w:left w:val="nil"/>
              <w:bottom w:val="dotted" w:sz="4" w:space="0" w:color="FFFFFF"/>
              <w:right w:val="dotted" w:sz="4" w:space="0" w:color="FFFFFF"/>
            </w:tcBorders>
            <w:shd w:val="clear" w:color="000000" w:fill="FFFFFF"/>
            <w:noWrap/>
            <w:vAlign w:val="center"/>
            <w:hideMark/>
          </w:tcPr>
          <w:p w14:paraId="14D07CF1" w14:textId="77777777" w:rsidR="000B630E" w:rsidRPr="00086AB2" w:rsidRDefault="002437D9" w:rsidP="004659D5">
            <w:pPr>
              <w:spacing w:after="0"/>
              <w:jc w:val="center"/>
              <w:rPr>
                <w:rFonts w:cs="Arial"/>
                <w:color w:val="000000"/>
                <w:szCs w:val="20"/>
              </w:rPr>
            </w:pPr>
            <w:r w:rsidRPr="00086AB2">
              <w:rPr>
                <w:rFonts w:cs="Arial"/>
                <w:color w:val="000000"/>
                <w:szCs w:val="20"/>
              </w:rPr>
              <w:t>10.</w:t>
            </w:r>
            <w:r w:rsidR="000C33E0">
              <w:rPr>
                <w:rFonts w:cs="Arial"/>
                <w:color w:val="000000"/>
                <w:szCs w:val="20"/>
              </w:rPr>
              <w:t>4</w:t>
            </w:r>
          </w:p>
        </w:tc>
        <w:tc>
          <w:tcPr>
            <w:tcW w:w="1319" w:type="dxa"/>
            <w:tcBorders>
              <w:top w:val="nil"/>
              <w:left w:val="nil"/>
              <w:bottom w:val="dotted" w:sz="4" w:space="0" w:color="FFFFFF"/>
              <w:right w:val="dotted" w:sz="4" w:space="0" w:color="FFFFFF"/>
            </w:tcBorders>
            <w:shd w:val="clear" w:color="000000" w:fill="FFFFFF"/>
            <w:noWrap/>
            <w:vAlign w:val="center"/>
            <w:hideMark/>
          </w:tcPr>
          <w:p w14:paraId="1D55F169" w14:textId="77777777" w:rsidR="000B630E" w:rsidRPr="00086AB2" w:rsidRDefault="00775BB6" w:rsidP="004659D5">
            <w:pPr>
              <w:spacing w:after="0"/>
              <w:jc w:val="center"/>
              <w:rPr>
                <w:rFonts w:cs="Arial"/>
                <w:color w:val="000000"/>
                <w:szCs w:val="20"/>
              </w:rPr>
            </w:pPr>
            <w:r w:rsidRPr="00775BB6">
              <w:rPr>
                <w:rFonts w:cs="Arial"/>
                <w:color w:val="000000"/>
                <w:szCs w:val="20"/>
              </w:rPr>
              <w:t>2,128,380,97</w:t>
            </w:r>
            <w:r w:rsidR="00621201">
              <w:rPr>
                <w:rFonts w:cs="Arial"/>
                <w:color w:val="000000"/>
                <w:szCs w:val="20"/>
              </w:rPr>
              <w:t>0</w:t>
            </w:r>
          </w:p>
        </w:tc>
        <w:tc>
          <w:tcPr>
            <w:tcW w:w="1440" w:type="dxa"/>
            <w:tcBorders>
              <w:top w:val="nil"/>
              <w:left w:val="nil"/>
              <w:bottom w:val="dotted" w:sz="4" w:space="0" w:color="FFFFFF"/>
              <w:right w:val="dotted" w:sz="4" w:space="0" w:color="FFFFFF"/>
            </w:tcBorders>
            <w:shd w:val="clear" w:color="000000" w:fill="FFFFFF"/>
            <w:noWrap/>
            <w:vAlign w:val="center"/>
            <w:hideMark/>
          </w:tcPr>
          <w:p w14:paraId="051B040B" w14:textId="77777777" w:rsidR="000B630E" w:rsidRPr="00086AB2" w:rsidRDefault="000B630E" w:rsidP="004659D5">
            <w:pPr>
              <w:spacing w:after="0"/>
              <w:jc w:val="center"/>
              <w:rPr>
                <w:rFonts w:cs="Arial"/>
                <w:color w:val="000000"/>
                <w:szCs w:val="20"/>
              </w:rPr>
            </w:pPr>
            <w:r w:rsidRPr="00086AB2">
              <w:rPr>
                <w:rFonts w:cs="Arial"/>
                <w:color w:val="000000"/>
                <w:szCs w:val="20"/>
              </w:rPr>
              <w:t>10.</w:t>
            </w:r>
            <w:r w:rsidR="00520D47">
              <w:rPr>
                <w:rFonts w:cs="Arial"/>
                <w:color w:val="000000"/>
                <w:szCs w:val="20"/>
              </w:rPr>
              <w:t>7</w:t>
            </w:r>
          </w:p>
        </w:tc>
      </w:tr>
      <w:tr w:rsidR="000B630E" w:rsidRPr="00086AB2" w14:paraId="451DA9FA"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7F623BE3" w14:textId="77777777" w:rsidR="000B630E" w:rsidRPr="00086AB2" w:rsidRDefault="000B630E" w:rsidP="000B630E">
            <w:pPr>
              <w:spacing w:after="0"/>
              <w:jc w:val="left"/>
              <w:rPr>
                <w:rFonts w:cs="Arial"/>
                <w:b/>
                <w:bCs/>
                <w:color w:val="000000"/>
                <w:szCs w:val="20"/>
              </w:rPr>
            </w:pPr>
            <w:r w:rsidRPr="00086AB2">
              <w:rPr>
                <w:rFonts w:cs="Arial"/>
                <w:b/>
                <w:bCs/>
                <w:color w:val="000000"/>
                <w:szCs w:val="20"/>
              </w:rPr>
              <w:t>South Australia</w:t>
            </w:r>
          </w:p>
        </w:tc>
        <w:tc>
          <w:tcPr>
            <w:tcW w:w="992" w:type="dxa"/>
            <w:tcBorders>
              <w:top w:val="nil"/>
              <w:left w:val="nil"/>
              <w:bottom w:val="dotted" w:sz="4" w:space="0" w:color="FFFFFF"/>
              <w:right w:val="dotted" w:sz="4" w:space="0" w:color="FFFFFF"/>
            </w:tcBorders>
            <w:shd w:val="clear" w:color="000000" w:fill="EFD3D2"/>
            <w:noWrap/>
            <w:vAlign w:val="center"/>
            <w:hideMark/>
          </w:tcPr>
          <w:p w14:paraId="76A066C7" w14:textId="77777777" w:rsidR="000B630E" w:rsidRPr="00086AB2" w:rsidRDefault="000C1F50" w:rsidP="004659D5">
            <w:pPr>
              <w:spacing w:after="0"/>
              <w:jc w:val="center"/>
              <w:rPr>
                <w:rFonts w:cs="Arial"/>
                <w:color w:val="000000"/>
                <w:szCs w:val="20"/>
              </w:rPr>
            </w:pPr>
            <w:r>
              <w:rPr>
                <w:rFonts w:cs="Arial"/>
                <w:color w:val="000000"/>
                <w:szCs w:val="20"/>
              </w:rPr>
              <w:t>6</w:t>
            </w:r>
            <w:r w:rsidR="000B630E" w:rsidRPr="00086AB2">
              <w:rPr>
                <w:rFonts w:cs="Arial"/>
                <w:color w:val="000000"/>
                <w:szCs w:val="20"/>
              </w:rPr>
              <w:t>,</w:t>
            </w:r>
            <w:r w:rsidR="00621201">
              <w:rPr>
                <w:rFonts w:cs="Arial"/>
                <w:color w:val="000000"/>
                <w:szCs w:val="20"/>
              </w:rPr>
              <w:t>400</w:t>
            </w:r>
          </w:p>
        </w:tc>
        <w:tc>
          <w:tcPr>
            <w:tcW w:w="1006" w:type="dxa"/>
            <w:tcBorders>
              <w:top w:val="nil"/>
              <w:left w:val="nil"/>
              <w:bottom w:val="dotted" w:sz="4" w:space="0" w:color="FFFFFF"/>
              <w:right w:val="dotted" w:sz="4" w:space="0" w:color="FFFFFF"/>
            </w:tcBorders>
            <w:shd w:val="clear" w:color="000000" w:fill="EFD3D2"/>
            <w:noWrap/>
            <w:vAlign w:val="center"/>
            <w:hideMark/>
          </w:tcPr>
          <w:p w14:paraId="0293CF1E" w14:textId="77777777" w:rsidR="000B630E" w:rsidRPr="00086AB2" w:rsidRDefault="00271678" w:rsidP="004659D5">
            <w:pPr>
              <w:spacing w:after="0"/>
              <w:jc w:val="center"/>
              <w:rPr>
                <w:rFonts w:cs="Arial"/>
                <w:color w:val="000000"/>
                <w:szCs w:val="20"/>
              </w:rPr>
            </w:pPr>
            <w:r>
              <w:rPr>
                <w:rFonts w:cs="Arial"/>
                <w:color w:val="000000"/>
                <w:szCs w:val="20"/>
              </w:rPr>
              <w:t>5.</w:t>
            </w:r>
            <w:r w:rsidR="000C1F50">
              <w:rPr>
                <w:rFonts w:cs="Arial"/>
                <w:color w:val="000000"/>
                <w:szCs w:val="20"/>
              </w:rPr>
              <w:t>6</w:t>
            </w:r>
          </w:p>
        </w:tc>
        <w:tc>
          <w:tcPr>
            <w:tcW w:w="1273" w:type="dxa"/>
            <w:tcBorders>
              <w:top w:val="nil"/>
              <w:left w:val="nil"/>
              <w:bottom w:val="dotted" w:sz="4" w:space="0" w:color="FFFFFF"/>
              <w:right w:val="dotted" w:sz="4" w:space="0" w:color="FFFFFF"/>
            </w:tcBorders>
            <w:shd w:val="clear" w:color="000000" w:fill="EFD3D2"/>
            <w:noWrap/>
            <w:vAlign w:val="center"/>
            <w:hideMark/>
          </w:tcPr>
          <w:p w14:paraId="7B7D57E2" w14:textId="77777777" w:rsidR="000B630E" w:rsidRPr="00FA067D" w:rsidRDefault="000C3F42" w:rsidP="00873B5B">
            <w:pPr>
              <w:spacing w:after="0"/>
              <w:jc w:val="center"/>
            </w:pPr>
            <w:r w:rsidRPr="00FA067D">
              <w:t>787,690</w:t>
            </w:r>
          </w:p>
        </w:tc>
        <w:tc>
          <w:tcPr>
            <w:tcW w:w="1250" w:type="dxa"/>
            <w:tcBorders>
              <w:top w:val="nil"/>
              <w:left w:val="nil"/>
              <w:bottom w:val="dotted" w:sz="4" w:space="0" w:color="FFFFFF"/>
              <w:right w:val="dotted" w:sz="4" w:space="0" w:color="FFFFFF"/>
            </w:tcBorders>
            <w:shd w:val="clear" w:color="000000" w:fill="EFD3D2"/>
            <w:noWrap/>
            <w:vAlign w:val="center"/>
            <w:hideMark/>
          </w:tcPr>
          <w:p w14:paraId="12A17CD5" w14:textId="77777777" w:rsidR="000B630E" w:rsidRPr="00086AB2" w:rsidRDefault="002437D9" w:rsidP="004659D5">
            <w:pPr>
              <w:spacing w:after="0"/>
              <w:jc w:val="center"/>
              <w:rPr>
                <w:rFonts w:cs="Arial"/>
                <w:color w:val="000000"/>
                <w:szCs w:val="20"/>
              </w:rPr>
            </w:pPr>
            <w:r w:rsidRPr="00086AB2">
              <w:rPr>
                <w:rFonts w:cs="Arial"/>
                <w:color w:val="000000"/>
                <w:szCs w:val="20"/>
              </w:rPr>
              <w:t>6</w:t>
            </w:r>
            <w:r w:rsidR="000B630E" w:rsidRPr="00086AB2">
              <w:rPr>
                <w:rFonts w:cs="Arial"/>
                <w:color w:val="000000"/>
                <w:szCs w:val="20"/>
              </w:rPr>
              <w:t>.</w:t>
            </w:r>
            <w:r w:rsidR="000C33E0">
              <w:rPr>
                <w:rFonts w:cs="Arial"/>
                <w:color w:val="000000"/>
                <w:szCs w:val="20"/>
              </w:rPr>
              <w:t>5</w:t>
            </w:r>
          </w:p>
        </w:tc>
        <w:tc>
          <w:tcPr>
            <w:tcW w:w="1319" w:type="dxa"/>
            <w:tcBorders>
              <w:top w:val="nil"/>
              <w:left w:val="nil"/>
              <w:bottom w:val="dotted" w:sz="4" w:space="0" w:color="FFFFFF"/>
              <w:right w:val="dotted" w:sz="4" w:space="0" w:color="FFFFFF"/>
            </w:tcBorders>
            <w:shd w:val="clear" w:color="000000" w:fill="EFD3D2"/>
            <w:noWrap/>
            <w:vAlign w:val="center"/>
            <w:hideMark/>
          </w:tcPr>
          <w:p w14:paraId="583EA802" w14:textId="77777777" w:rsidR="000B630E" w:rsidRPr="00086AB2" w:rsidRDefault="00775BB6" w:rsidP="004659D5">
            <w:pPr>
              <w:spacing w:after="0"/>
              <w:jc w:val="center"/>
              <w:rPr>
                <w:rFonts w:cs="Arial"/>
                <w:color w:val="000000"/>
                <w:szCs w:val="20"/>
              </w:rPr>
            </w:pPr>
            <w:r w:rsidRPr="00775BB6">
              <w:rPr>
                <w:rFonts w:cs="Arial"/>
                <w:color w:val="000000"/>
                <w:szCs w:val="20"/>
              </w:rPr>
              <w:t>1,255,622,2</w:t>
            </w:r>
            <w:r w:rsidR="00621201">
              <w:rPr>
                <w:rFonts w:cs="Arial"/>
                <w:color w:val="000000"/>
                <w:szCs w:val="20"/>
              </w:rPr>
              <w:t>70</w:t>
            </w:r>
          </w:p>
        </w:tc>
        <w:tc>
          <w:tcPr>
            <w:tcW w:w="1440" w:type="dxa"/>
            <w:tcBorders>
              <w:top w:val="nil"/>
              <w:left w:val="nil"/>
              <w:bottom w:val="dotted" w:sz="4" w:space="0" w:color="FFFFFF"/>
              <w:right w:val="dotted" w:sz="4" w:space="0" w:color="FFFFFF"/>
            </w:tcBorders>
            <w:shd w:val="clear" w:color="000000" w:fill="EFD3D2"/>
            <w:noWrap/>
            <w:vAlign w:val="center"/>
            <w:hideMark/>
          </w:tcPr>
          <w:p w14:paraId="76C02A24" w14:textId="77777777" w:rsidR="000B630E" w:rsidRPr="00086AB2" w:rsidRDefault="000B630E" w:rsidP="004659D5">
            <w:pPr>
              <w:spacing w:after="0"/>
              <w:jc w:val="center"/>
              <w:rPr>
                <w:rFonts w:cs="Arial"/>
                <w:color w:val="000000"/>
                <w:szCs w:val="20"/>
              </w:rPr>
            </w:pPr>
            <w:r w:rsidRPr="00086AB2">
              <w:rPr>
                <w:rFonts w:cs="Arial"/>
                <w:color w:val="000000"/>
                <w:szCs w:val="20"/>
              </w:rPr>
              <w:t>6.3</w:t>
            </w:r>
          </w:p>
        </w:tc>
      </w:tr>
      <w:tr w:rsidR="000C3F42" w:rsidRPr="00086AB2" w14:paraId="02FDB65B"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1E0EC240" w14:textId="77777777" w:rsidR="000C3F42" w:rsidRPr="00086AB2" w:rsidRDefault="000C3F42" w:rsidP="000C3F42">
            <w:pPr>
              <w:spacing w:after="0"/>
              <w:jc w:val="left"/>
              <w:rPr>
                <w:rFonts w:cs="Arial"/>
                <w:b/>
                <w:bCs/>
                <w:color w:val="000000"/>
                <w:szCs w:val="20"/>
              </w:rPr>
            </w:pPr>
            <w:r w:rsidRPr="00086AB2">
              <w:rPr>
                <w:rFonts w:cs="Arial"/>
                <w:b/>
                <w:bCs/>
                <w:color w:val="000000"/>
                <w:szCs w:val="20"/>
              </w:rPr>
              <w:t>Tasmania</w:t>
            </w:r>
          </w:p>
        </w:tc>
        <w:tc>
          <w:tcPr>
            <w:tcW w:w="992" w:type="dxa"/>
            <w:tcBorders>
              <w:top w:val="nil"/>
              <w:left w:val="nil"/>
              <w:bottom w:val="dotted" w:sz="4" w:space="0" w:color="FFFFFF"/>
              <w:right w:val="dotted" w:sz="4" w:space="0" w:color="FFFFFF"/>
            </w:tcBorders>
            <w:shd w:val="clear" w:color="000000" w:fill="FFFFFF"/>
            <w:noWrap/>
            <w:vAlign w:val="center"/>
            <w:hideMark/>
          </w:tcPr>
          <w:p w14:paraId="373ED057" w14:textId="77777777" w:rsidR="000C3F42" w:rsidRPr="00086AB2" w:rsidRDefault="000C3F42" w:rsidP="000C3F42">
            <w:pPr>
              <w:spacing w:after="0"/>
              <w:jc w:val="center"/>
              <w:rPr>
                <w:rFonts w:cs="Arial"/>
                <w:color w:val="000000"/>
                <w:szCs w:val="20"/>
              </w:rPr>
            </w:pPr>
            <w:r>
              <w:t>3,1</w:t>
            </w:r>
            <w:r w:rsidR="00621201">
              <w:t>80</w:t>
            </w:r>
          </w:p>
        </w:tc>
        <w:tc>
          <w:tcPr>
            <w:tcW w:w="1006" w:type="dxa"/>
            <w:tcBorders>
              <w:top w:val="nil"/>
              <w:left w:val="nil"/>
              <w:bottom w:val="dotted" w:sz="4" w:space="0" w:color="FFFFFF"/>
              <w:right w:val="dotted" w:sz="4" w:space="0" w:color="FFFFFF"/>
            </w:tcBorders>
            <w:shd w:val="clear" w:color="000000" w:fill="FFFFFF"/>
            <w:noWrap/>
            <w:vAlign w:val="center"/>
            <w:hideMark/>
          </w:tcPr>
          <w:p w14:paraId="7FCB7131" w14:textId="77777777" w:rsidR="000C3F42" w:rsidRPr="00086AB2" w:rsidRDefault="000C3F42" w:rsidP="000C3F42">
            <w:pPr>
              <w:spacing w:after="0"/>
              <w:jc w:val="center"/>
              <w:rPr>
                <w:rFonts w:cs="Arial"/>
                <w:color w:val="000000"/>
                <w:szCs w:val="20"/>
              </w:rPr>
            </w:pPr>
            <w:r w:rsidRPr="00086AB2">
              <w:rPr>
                <w:rFonts w:cs="Arial"/>
                <w:color w:val="000000"/>
                <w:szCs w:val="20"/>
              </w:rPr>
              <w:t>2.</w:t>
            </w:r>
            <w:r>
              <w:rPr>
                <w:rFonts w:cs="Arial"/>
                <w:color w:val="000000"/>
                <w:szCs w:val="20"/>
              </w:rPr>
              <w:t>8</w:t>
            </w:r>
          </w:p>
        </w:tc>
        <w:tc>
          <w:tcPr>
            <w:tcW w:w="1273" w:type="dxa"/>
            <w:tcBorders>
              <w:top w:val="nil"/>
              <w:left w:val="nil"/>
              <w:bottom w:val="dotted" w:sz="4" w:space="0" w:color="FFFFFF"/>
              <w:right w:val="dotted" w:sz="4" w:space="0" w:color="FFFFFF"/>
            </w:tcBorders>
            <w:shd w:val="clear" w:color="000000" w:fill="FFFFFF"/>
            <w:noWrap/>
            <w:vAlign w:val="center"/>
            <w:hideMark/>
          </w:tcPr>
          <w:p w14:paraId="3AC271F7" w14:textId="77777777" w:rsidR="000C3F42" w:rsidRPr="00CC46A4" w:rsidRDefault="000C3F42" w:rsidP="00FA067D">
            <w:pPr>
              <w:spacing w:after="0"/>
              <w:jc w:val="center"/>
            </w:pPr>
            <w:r w:rsidRPr="00CC46A4">
              <w:t>226,36</w:t>
            </w:r>
            <w:r w:rsidR="00621201">
              <w:t>0</w:t>
            </w:r>
          </w:p>
        </w:tc>
        <w:tc>
          <w:tcPr>
            <w:tcW w:w="1250" w:type="dxa"/>
            <w:tcBorders>
              <w:top w:val="nil"/>
              <w:left w:val="nil"/>
              <w:bottom w:val="dotted" w:sz="4" w:space="0" w:color="FFFFFF"/>
              <w:right w:val="dotted" w:sz="4" w:space="0" w:color="FFFFFF"/>
            </w:tcBorders>
            <w:shd w:val="clear" w:color="000000" w:fill="FFFFFF"/>
            <w:noWrap/>
            <w:vAlign w:val="center"/>
            <w:hideMark/>
          </w:tcPr>
          <w:p w14:paraId="509AF2A9" w14:textId="77777777" w:rsidR="000C3F42" w:rsidRPr="00086AB2" w:rsidRDefault="000C3F42" w:rsidP="000C3F42">
            <w:pPr>
              <w:spacing w:after="0"/>
              <w:jc w:val="center"/>
              <w:rPr>
                <w:rFonts w:cs="Arial"/>
                <w:color w:val="000000"/>
                <w:szCs w:val="20"/>
              </w:rPr>
            </w:pPr>
            <w:r w:rsidRPr="00086AB2">
              <w:rPr>
                <w:rFonts w:cs="Arial"/>
                <w:color w:val="000000"/>
                <w:szCs w:val="20"/>
              </w:rPr>
              <w:t>1.9</w:t>
            </w:r>
          </w:p>
        </w:tc>
        <w:tc>
          <w:tcPr>
            <w:tcW w:w="1319" w:type="dxa"/>
            <w:tcBorders>
              <w:top w:val="nil"/>
              <w:left w:val="nil"/>
              <w:bottom w:val="dotted" w:sz="4" w:space="0" w:color="FFFFFF"/>
              <w:right w:val="dotted" w:sz="4" w:space="0" w:color="FFFFFF"/>
            </w:tcBorders>
            <w:shd w:val="clear" w:color="000000" w:fill="FFFFFF"/>
            <w:noWrap/>
            <w:vAlign w:val="center"/>
            <w:hideMark/>
          </w:tcPr>
          <w:p w14:paraId="635C26BE" w14:textId="041B5516" w:rsidR="000C3F42" w:rsidRPr="00086AB2" w:rsidRDefault="00775BB6" w:rsidP="000C3F42">
            <w:pPr>
              <w:spacing w:after="0"/>
              <w:jc w:val="center"/>
              <w:rPr>
                <w:rFonts w:cs="Arial"/>
                <w:color w:val="000000"/>
                <w:szCs w:val="20"/>
              </w:rPr>
            </w:pPr>
            <w:r w:rsidRPr="00775BB6">
              <w:rPr>
                <w:rFonts w:cs="Arial"/>
                <w:color w:val="000000"/>
                <w:szCs w:val="20"/>
              </w:rPr>
              <w:t>342,420,6</w:t>
            </w:r>
            <w:r w:rsidR="00A52EB7">
              <w:rPr>
                <w:rFonts w:cs="Arial"/>
                <w:color w:val="000000"/>
                <w:szCs w:val="20"/>
              </w:rPr>
              <w:t>5</w:t>
            </w:r>
            <w:r w:rsidR="00621201">
              <w:rPr>
                <w:rFonts w:cs="Arial"/>
                <w:color w:val="000000"/>
                <w:szCs w:val="20"/>
              </w:rPr>
              <w:t>0</w:t>
            </w:r>
          </w:p>
        </w:tc>
        <w:tc>
          <w:tcPr>
            <w:tcW w:w="1440" w:type="dxa"/>
            <w:tcBorders>
              <w:top w:val="nil"/>
              <w:left w:val="nil"/>
              <w:bottom w:val="dotted" w:sz="4" w:space="0" w:color="FFFFFF"/>
              <w:right w:val="dotted" w:sz="4" w:space="0" w:color="FFFFFF"/>
            </w:tcBorders>
            <w:shd w:val="clear" w:color="000000" w:fill="FFFFFF"/>
            <w:noWrap/>
            <w:vAlign w:val="center"/>
            <w:hideMark/>
          </w:tcPr>
          <w:p w14:paraId="61472FB2" w14:textId="77777777" w:rsidR="000C3F42" w:rsidRPr="00086AB2" w:rsidRDefault="000C3F42" w:rsidP="000C3F42">
            <w:pPr>
              <w:spacing w:after="0"/>
              <w:jc w:val="center"/>
              <w:rPr>
                <w:rFonts w:cs="Arial"/>
                <w:color w:val="000000"/>
                <w:szCs w:val="20"/>
              </w:rPr>
            </w:pPr>
            <w:r w:rsidRPr="00086AB2">
              <w:rPr>
                <w:rFonts w:cs="Arial"/>
                <w:color w:val="000000"/>
                <w:szCs w:val="20"/>
              </w:rPr>
              <w:t>1.</w:t>
            </w:r>
            <w:r w:rsidR="00520D47">
              <w:rPr>
                <w:rFonts w:cs="Arial"/>
                <w:color w:val="000000"/>
                <w:szCs w:val="20"/>
              </w:rPr>
              <w:t>7</w:t>
            </w:r>
          </w:p>
        </w:tc>
      </w:tr>
      <w:tr w:rsidR="000C3F42" w:rsidRPr="00086AB2" w14:paraId="3C3DFAFF"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5A4969BE" w14:textId="77777777" w:rsidR="000C3F42" w:rsidRPr="00086AB2" w:rsidRDefault="000C3F42" w:rsidP="000C3F42">
            <w:pPr>
              <w:spacing w:after="0"/>
              <w:jc w:val="left"/>
              <w:rPr>
                <w:rFonts w:cs="Arial"/>
                <w:b/>
                <w:bCs/>
                <w:color w:val="000000"/>
                <w:szCs w:val="20"/>
              </w:rPr>
            </w:pPr>
            <w:r w:rsidRPr="00086AB2">
              <w:rPr>
                <w:rFonts w:cs="Arial"/>
                <w:b/>
                <w:bCs/>
                <w:color w:val="000000"/>
                <w:szCs w:val="20"/>
              </w:rPr>
              <w:t>Northern Territory</w:t>
            </w:r>
          </w:p>
        </w:tc>
        <w:tc>
          <w:tcPr>
            <w:tcW w:w="992" w:type="dxa"/>
            <w:tcBorders>
              <w:top w:val="nil"/>
              <w:left w:val="nil"/>
              <w:bottom w:val="dotted" w:sz="4" w:space="0" w:color="FFFFFF"/>
              <w:right w:val="dotted" w:sz="4" w:space="0" w:color="FFFFFF"/>
            </w:tcBorders>
            <w:shd w:val="clear" w:color="000000" w:fill="EFD3D2"/>
            <w:noWrap/>
            <w:vAlign w:val="center"/>
            <w:hideMark/>
          </w:tcPr>
          <w:p w14:paraId="4D6A9011" w14:textId="77777777" w:rsidR="000C3F42" w:rsidRPr="00086AB2" w:rsidRDefault="000C3F42" w:rsidP="000C3F42">
            <w:pPr>
              <w:spacing w:after="0"/>
              <w:jc w:val="center"/>
              <w:rPr>
                <w:rFonts w:cs="Arial"/>
                <w:color w:val="000000"/>
                <w:szCs w:val="20"/>
              </w:rPr>
            </w:pPr>
            <w:r w:rsidRPr="009C7FFC">
              <w:t>9</w:t>
            </w:r>
            <w:r>
              <w:t>8</w:t>
            </w:r>
            <w:r w:rsidRPr="009C7FFC">
              <w:t>0</w:t>
            </w:r>
          </w:p>
        </w:tc>
        <w:tc>
          <w:tcPr>
            <w:tcW w:w="1006" w:type="dxa"/>
            <w:tcBorders>
              <w:top w:val="nil"/>
              <w:left w:val="nil"/>
              <w:bottom w:val="dotted" w:sz="4" w:space="0" w:color="FFFFFF"/>
              <w:right w:val="dotted" w:sz="4" w:space="0" w:color="FFFFFF"/>
            </w:tcBorders>
            <w:shd w:val="clear" w:color="000000" w:fill="EFD3D2"/>
            <w:noWrap/>
            <w:vAlign w:val="center"/>
            <w:hideMark/>
          </w:tcPr>
          <w:p w14:paraId="0C25B831" w14:textId="77777777" w:rsidR="000C3F42" w:rsidRPr="00086AB2" w:rsidRDefault="000C3F42" w:rsidP="000C3F42">
            <w:pPr>
              <w:spacing w:after="0"/>
              <w:jc w:val="center"/>
              <w:rPr>
                <w:rFonts w:cs="Arial"/>
                <w:color w:val="000000"/>
                <w:szCs w:val="20"/>
              </w:rPr>
            </w:pPr>
            <w:r w:rsidRPr="00086AB2">
              <w:rPr>
                <w:rFonts w:cs="Arial"/>
                <w:color w:val="000000"/>
                <w:szCs w:val="20"/>
              </w:rPr>
              <w:t>0.9</w:t>
            </w:r>
          </w:p>
        </w:tc>
        <w:tc>
          <w:tcPr>
            <w:tcW w:w="1273" w:type="dxa"/>
            <w:tcBorders>
              <w:top w:val="nil"/>
              <w:left w:val="nil"/>
              <w:bottom w:val="dotted" w:sz="4" w:space="0" w:color="FFFFFF"/>
              <w:right w:val="dotted" w:sz="4" w:space="0" w:color="FFFFFF"/>
            </w:tcBorders>
            <w:shd w:val="clear" w:color="000000" w:fill="EFD3D2"/>
            <w:noWrap/>
            <w:vAlign w:val="center"/>
            <w:hideMark/>
          </w:tcPr>
          <w:p w14:paraId="1E17E560" w14:textId="77777777" w:rsidR="000C3F42" w:rsidRPr="00CC46A4" w:rsidRDefault="000C3F42" w:rsidP="00FA067D">
            <w:pPr>
              <w:spacing w:after="0"/>
              <w:jc w:val="center"/>
            </w:pPr>
            <w:r w:rsidRPr="00CC46A4">
              <w:t>136,17</w:t>
            </w:r>
            <w:r w:rsidR="00621201">
              <w:t>0</w:t>
            </w:r>
          </w:p>
        </w:tc>
        <w:tc>
          <w:tcPr>
            <w:tcW w:w="1250" w:type="dxa"/>
            <w:tcBorders>
              <w:top w:val="nil"/>
              <w:left w:val="nil"/>
              <w:bottom w:val="dotted" w:sz="4" w:space="0" w:color="FFFFFF"/>
              <w:right w:val="dotted" w:sz="4" w:space="0" w:color="FFFFFF"/>
            </w:tcBorders>
            <w:shd w:val="clear" w:color="000000" w:fill="EFD3D2"/>
            <w:noWrap/>
            <w:vAlign w:val="center"/>
            <w:hideMark/>
          </w:tcPr>
          <w:p w14:paraId="15C768D9" w14:textId="77777777" w:rsidR="000C3F42" w:rsidRPr="00086AB2" w:rsidRDefault="000C3F42" w:rsidP="000C3F42">
            <w:pPr>
              <w:spacing w:after="0"/>
              <w:jc w:val="center"/>
              <w:rPr>
                <w:rFonts w:cs="Arial"/>
                <w:color w:val="000000"/>
                <w:szCs w:val="20"/>
              </w:rPr>
            </w:pPr>
            <w:r w:rsidRPr="00086AB2">
              <w:rPr>
                <w:rFonts w:cs="Arial"/>
                <w:color w:val="000000"/>
                <w:szCs w:val="20"/>
              </w:rPr>
              <w:t>1</w:t>
            </w:r>
            <w:r w:rsidR="00775BB6">
              <w:rPr>
                <w:rFonts w:cs="Arial"/>
                <w:color w:val="000000"/>
                <w:szCs w:val="20"/>
              </w:rPr>
              <w:t>.1</w:t>
            </w:r>
          </w:p>
        </w:tc>
        <w:tc>
          <w:tcPr>
            <w:tcW w:w="1319" w:type="dxa"/>
            <w:tcBorders>
              <w:top w:val="nil"/>
              <w:left w:val="nil"/>
              <w:bottom w:val="dotted" w:sz="4" w:space="0" w:color="FFFFFF"/>
              <w:right w:val="dotted" w:sz="4" w:space="0" w:color="FFFFFF"/>
            </w:tcBorders>
            <w:shd w:val="clear" w:color="000000" w:fill="EFD3D2"/>
            <w:noWrap/>
            <w:vAlign w:val="center"/>
            <w:hideMark/>
          </w:tcPr>
          <w:p w14:paraId="1E0DFF90" w14:textId="77777777" w:rsidR="000C3F42" w:rsidRPr="00086AB2" w:rsidRDefault="00775BB6" w:rsidP="000C3F42">
            <w:pPr>
              <w:spacing w:after="0"/>
              <w:jc w:val="center"/>
              <w:rPr>
                <w:rFonts w:cs="Arial"/>
                <w:color w:val="000000"/>
                <w:szCs w:val="20"/>
              </w:rPr>
            </w:pPr>
            <w:r w:rsidRPr="00775BB6">
              <w:rPr>
                <w:rFonts w:cs="Arial"/>
                <w:color w:val="000000"/>
                <w:szCs w:val="20"/>
              </w:rPr>
              <w:t>237,464,4</w:t>
            </w:r>
            <w:r w:rsidR="00621201">
              <w:rPr>
                <w:rFonts w:cs="Arial"/>
                <w:color w:val="000000"/>
                <w:szCs w:val="20"/>
              </w:rPr>
              <w:t>50</w:t>
            </w:r>
          </w:p>
        </w:tc>
        <w:tc>
          <w:tcPr>
            <w:tcW w:w="1440" w:type="dxa"/>
            <w:tcBorders>
              <w:top w:val="nil"/>
              <w:left w:val="nil"/>
              <w:bottom w:val="dotted" w:sz="4" w:space="0" w:color="FFFFFF"/>
              <w:right w:val="dotted" w:sz="4" w:space="0" w:color="FFFFFF"/>
            </w:tcBorders>
            <w:shd w:val="clear" w:color="000000" w:fill="EFD3D2"/>
            <w:noWrap/>
            <w:vAlign w:val="center"/>
            <w:hideMark/>
          </w:tcPr>
          <w:p w14:paraId="1A11E9AB" w14:textId="77777777" w:rsidR="000C3F42" w:rsidRPr="00086AB2" w:rsidRDefault="000C3F42" w:rsidP="000C3F42">
            <w:pPr>
              <w:spacing w:after="0"/>
              <w:jc w:val="center"/>
              <w:rPr>
                <w:rFonts w:cs="Arial"/>
                <w:color w:val="000000"/>
                <w:szCs w:val="20"/>
              </w:rPr>
            </w:pPr>
            <w:r w:rsidRPr="00086AB2">
              <w:rPr>
                <w:rFonts w:cs="Arial"/>
                <w:color w:val="000000"/>
                <w:szCs w:val="20"/>
              </w:rPr>
              <w:t>1.</w:t>
            </w:r>
            <w:r w:rsidR="00520D47">
              <w:rPr>
                <w:rFonts w:cs="Arial"/>
                <w:color w:val="000000"/>
                <w:szCs w:val="20"/>
              </w:rPr>
              <w:t>2</w:t>
            </w:r>
          </w:p>
        </w:tc>
      </w:tr>
      <w:tr w:rsidR="000C3F42" w:rsidRPr="00086AB2" w14:paraId="1A93052F" w14:textId="77777777" w:rsidTr="00873B5B">
        <w:trPr>
          <w:trHeight w:val="510"/>
          <w:jc w:val="center"/>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30D2D31E" w14:textId="77777777" w:rsidR="000C3F42" w:rsidRPr="00086AB2" w:rsidRDefault="000C3F42" w:rsidP="000C3F42">
            <w:pPr>
              <w:spacing w:after="0"/>
              <w:jc w:val="left"/>
              <w:rPr>
                <w:rFonts w:cs="Arial"/>
                <w:b/>
                <w:bCs/>
                <w:color w:val="000000"/>
                <w:szCs w:val="20"/>
              </w:rPr>
            </w:pPr>
            <w:r w:rsidRPr="00086AB2">
              <w:rPr>
                <w:rFonts w:cs="Arial"/>
                <w:b/>
                <w:bCs/>
                <w:color w:val="000000"/>
                <w:szCs w:val="20"/>
              </w:rPr>
              <w:t>Australian Capital Territory</w:t>
            </w:r>
          </w:p>
        </w:tc>
        <w:tc>
          <w:tcPr>
            <w:tcW w:w="992" w:type="dxa"/>
            <w:tcBorders>
              <w:top w:val="nil"/>
              <w:left w:val="nil"/>
              <w:bottom w:val="dotted" w:sz="4" w:space="0" w:color="FFFFFF"/>
              <w:right w:val="dotted" w:sz="4" w:space="0" w:color="FFFFFF"/>
            </w:tcBorders>
            <w:shd w:val="clear" w:color="000000" w:fill="FFFFFF"/>
            <w:noWrap/>
            <w:vAlign w:val="center"/>
            <w:hideMark/>
          </w:tcPr>
          <w:p w14:paraId="22F9EE82" w14:textId="77777777" w:rsidR="000C3F42" w:rsidRPr="00086AB2" w:rsidRDefault="000C3F42" w:rsidP="000C3F42">
            <w:pPr>
              <w:spacing w:after="0"/>
              <w:jc w:val="center"/>
              <w:rPr>
                <w:rFonts w:cs="Arial"/>
                <w:color w:val="000000"/>
                <w:szCs w:val="20"/>
              </w:rPr>
            </w:pPr>
            <w:r w:rsidRPr="009C7FFC">
              <w:t>1</w:t>
            </w:r>
            <w:r>
              <w:t>,6</w:t>
            </w:r>
            <w:r w:rsidRPr="009C7FFC">
              <w:t>3</w:t>
            </w:r>
            <w:r w:rsidR="00621201">
              <w:t>0</w:t>
            </w:r>
          </w:p>
        </w:tc>
        <w:tc>
          <w:tcPr>
            <w:tcW w:w="1006" w:type="dxa"/>
            <w:tcBorders>
              <w:top w:val="nil"/>
              <w:left w:val="nil"/>
              <w:bottom w:val="dotted" w:sz="4" w:space="0" w:color="FFFFFF"/>
              <w:right w:val="dotted" w:sz="4" w:space="0" w:color="FFFFFF"/>
            </w:tcBorders>
            <w:shd w:val="clear" w:color="000000" w:fill="FFFFFF"/>
            <w:noWrap/>
            <w:vAlign w:val="center"/>
            <w:hideMark/>
          </w:tcPr>
          <w:p w14:paraId="693FA513" w14:textId="77777777" w:rsidR="000C3F42" w:rsidRPr="00086AB2" w:rsidRDefault="000C3F42" w:rsidP="000C3F42">
            <w:pPr>
              <w:spacing w:after="0"/>
              <w:jc w:val="center"/>
              <w:rPr>
                <w:rFonts w:cs="Arial"/>
                <w:color w:val="000000"/>
                <w:szCs w:val="20"/>
              </w:rPr>
            </w:pPr>
            <w:r w:rsidRPr="00086AB2">
              <w:rPr>
                <w:rFonts w:cs="Arial"/>
                <w:color w:val="000000"/>
                <w:szCs w:val="20"/>
              </w:rPr>
              <w:t>1.</w:t>
            </w:r>
            <w:r>
              <w:rPr>
                <w:rFonts w:cs="Arial"/>
                <w:color w:val="000000"/>
                <w:szCs w:val="20"/>
              </w:rPr>
              <w:t>4</w:t>
            </w:r>
          </w:p>
        </w:tc>
        <w:tc>
          <w:tcPr>
            <w:tcW w:w="1273" w:type="dxa"/>
            <w:tcBorders>
              <w:top w:val="nil"/>
              <w:left w:val="nil"/>
              <w:bottom w:val="dotted" w:sz="4" w:space="0" w:color="FFFFFF"/>
              <w:right w:val="dotted" w:sz="4" w:space="0" w:color="FFFFFF"/>
            </w:tcBorders>
            <w:shd w:val="clear" w:color="000000" w:fill="FFFFFF"/>
            <w:noWrap/>
            <w:vAlign w:val="center"/>
            <w:hideMark/>
          </w:tcPr>
          <w:p w14:paraId="49ACBE6A" w14:textId="77777777" w:rsidR="000C3F42" w:rsidRPr="00CC46A4" w:rsidRDefault="000C3F42" w:rsidP="00FA067D">
            <w:pPr>
              <w:spacing w:after="0"/>
              <w:jc w:val="center"/>
            </w:pPr>
            <w:r w:rsidRPr="00CC46A4">
              <w:t>168,3</w:t>
            </w:r>
            <w:r w:rsidR="00621201">
              <w:t>70</w:t>
            </w:r>
          </w:p>
        </w:tc>
        <w:tc>
          <w:tcPr>
            <w:tcW w:w="1250" w:type="dxa"/>
            <w:tcBorders>
              <w:top w:val="nil"/>
              <w:left w:val="nil"/>
              <w:bottom w:val="dotted" w:sz="4" w:space="0" w:color="FFFFFF"/>
              <w:right w:val="dotted" w:sz="4" w:space="0" w:color="FFFFFF"/>
            </w:tcBorders>
            <w:shd w:val="clear" w:color="000000" w:fill="FFFFFF"/>
            <w:noWrap/>
            <w:vAlign w:val="center"/>
            <w:hideMark/>
          </w:tcPr>
          <w:p w14:paraId="0311D3A9" w14:textId="77777777" w:rsidR="000C3F42" w:rsidRPr="00086AB2" w:rsidRDefault="000C3F42" w:rsidP="000C3F42">
            <w:pPr>
              <w:spacing w:after="0"/>
              <w:jc w:val="center"/>
              <w:rPr>
                <w:rFonts w:cs="Arial"/>
                <w:color w:val="000000"/>
                <w:szCs w:val="20"/>
              </w:rPr>
            </w:pPr>
            <w:r w:rsidRPr="00086AB2">
              <w:rPr>
                <w:rFonts w:cs="Arial"/>
                <w:color w:val="000000"/>
                <w:szCs w:val="20"/>
              </w:rPr>
              <w:t>1.</w:t>
            </w:r>
            <w:r w:rsidR="00775BB6">
              <w:rPr>
                <w:rFonts w:cs="Arial"/>
                <w:color w:val="000000"/>
                <w:szCs w:val="20"/>
              </w:rPr>
              <w:t>4</w:t>
            </w:r>
          </w:p>
        </w:tc>
        <w:tc>
          <w:tcPr>
            <w:tcW w:w="1319" w:type="dxa"/>
            <w:tcBorders>
              <w:top w:val="nil"/>
              <w:left w:val="nil"/>
              <w:bottom w:val="dotted" w:sz="4" w:space="0" w:color="FFFFFF"/>
              <w:right w:val="dotted" w:sz="4" w:space="0" w:color="FFFFFF"/>
            </w:tcBorders>
            <w:shd w:val="clear" w:color="000000" w:fill="FFFFFF"/>
            <w:noWrap/>
            <w:vAlign w:val="center"/>
            <w:hideMark/>
          </w:tcPr>
          <w:p w14:paraId="5DF1A421" w14:textId="77777777" w:rsidR="000C3F42" w:rsidRPr="00086AB2" w:rsidRDefault="00775BB6" w:rsidP="000C3F42">
            <w:pPr>
              <w:spacing w:after="0"/>
              <w:jc w:val="center"/>
              <w:rPr>
                <w:rFonts w:cs="Arial"/>
                <w:color w:val="000000"/>
                <w:szCs w:val="20"/>
              </w:rPr>
            </w:pPr>
            <w:r w:rsidRPr="00775BB6">
              <w:rPr>
                <w:rFonts w:cs="Arial"/>
                <w:color w:val="000000"/>
                <w:szCs w:val="20"/>
              </w:rPr>
              <w:t>260</w:t>
            </w:r>
            <w:r>
              <w:rPr>
                <w:rFonts w:cs="Arial"/>
                <w:color w:val="000000"/>
                <w:szCs w:val="20"/>
              </w:rPr>
              <w:t>,</w:t>
            </w:r>
            <w:r w:rsidRPr="00775BB6">
              <w:rPr>
                <w:rFonts w:cs="Arial"/>
                <w:color w:val="000000"/>
                <w:szCs w:val="20"/>
              </w:rPr>
              <w:t>902</w:t>
            </w:r>
            <w:r>
              <w:rPr>
                <w:rFonts w:cs="Arial"/>
                <w:color w:val="000000"/>
                <w:szCs w:val="20"/>
              </w:rPr>
              <w:t>,</w:t>
            </w:r>
            <w:r w:rsidRPr="00775BB6">
              <w:rPr>
                <w:rFonts w:cs="Arial"/>
                <w:color w:val="000000"/>
                <w:szCs w:val="20"/>
              </w:rPr>
              <w:t>33</w:t>
            </w:r>
            <w:r w:rsidR="00621201">
              <w:rPr>
                <w:rFonts w:cs="Arial"/>
                <w:color w:val="000000"/>
                <w:szCs w:val="20"/>
              </w:rPr>
              <w:t>0</w:t>
            </w:r>
          </w:p>
        </w:tc>
        <w:tc>
          <w:tcPr>
            <w:tcW w:w="1440" w:type="dxa"/>
            <w:tcBorders>
              <w:top w:val="nil"/>
              <w:left w:val="nil"/>
              <w:bottom w:val="dotted" w:sz="4" w:space="0" w:color="FFFFFF"/>
              <w:right w:val="dotted" w:sz="4" w:space="0" w:color="FFFFFF"/>
            </w:tcBorders>
            <w:shd w:val="clear" w:color="000000" w:fill="FFFFFF"/>
            <w:noWrap/>
            <w:vAlign w:val="center"/>
            <w:hideMark/>
          </w:tcPr>
          <w:p w14:paraId="1A326680" w14:textId="77777777" w:rsidR="000C3F42" w:rsidRPr="00086AB2" w:rsidRDefault="000C3F42" w:rsidP="000C3F42">
            <w:pPr>
              <w:spacing w:after="0"/>
              <w:jc w:val="center"/>
              <w:rPr>
                <w:rFonts w:cs="Arial"/>
                <w:color w:val="000000"/>
                <w:szCs w:val="20"/>
              </w:rPr>
            </w:pPr>
            <w:r w:rsidRPr="00086AB2">
              <w:rPr>
                <w:rFonts w:cs="Arial"/>
                <w:color w:val="000000"/>
                <w:szCs w:val="20"/>
              </w:rPr>
              <w:t>1.</w:t>
            </w:r>
            <w:r w:rsidR="00520D47">
              <w:rPr>
                <w:rFonts w:cs="Arial"/>
                <w:color w:val="000000"/>
                <w:szCs w:val="20"/>
              </w:rPr>
              <w:t>3</w:t>
            </w:r>
          </w:p>
        </w:tc>
      </w:tr>
      <w:tr w:rsidR="000C3F42" w:rsidRPr="00086AB2" w14:paraId="418AA970" w14:textId="77777777" w:rsidTr="00873B5B">
        <w:trPr>
          <w:trHeight w:val="510"/>
          <w:jc w:val="center"/>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153A96E5" w14:textId="77777777" w:rsidR="000C3F42" w:rsidRPr="00086AB2" w:rsidRDefault="000C3F42" w:rsidP="000C3F42">
            <w:pPr>
              <w:spacing w:after="0"/>
              <w:jc w:val="left"/>
              <w:rPr>
                <w:rFonts w:cs="Arial"/>
                <w:b/>
                <w:bCs/>
                <w:color w:val="000000"/>
                <w:szCs w:val="20"/>
              </w:rPr>
            </w:pPr>
            <w:r w:rsidRPr="00086AB2">
              <w:rPr>
                <w:rFonts w:cs="Arial"/>
                <w:b/>
                <w:bCs/>
                <w:color w:val="000000"/>
                <w:szCs w:val="20"/>
              </w:rPr>
              <w:t>Australian Government</w:t>
            </w:r>
          </w:p>
        </w:tc>
        <w:tc>
          <w:tcPr>
            <w:tcW w:w="992" w:type="dxa"/>
            <w:tcBorders>
              <w:top w:val="nil"/>
              <w:left w:val="nil"/>
              <w:bottom w:val="dotted" w:sz="4" w:space="0" w:color="FFFFFF"/>
              <w:right w:val="dotted" w:sz="4" w:space="0" w:color="FFFFFF"/>
            </w:tcBorders>
            <w:shd w:val="clear" w:color="000000" w:fill="EFD3D2"/>
            <w:noWrap/>
            <w:vAlign w:val="center"/>
            <w:hideMark/>
          </w:tcPr>
          <w:p w14:paraId="03BB9939" w14:textId="77777777" w:rsidR="000C3F42" w:rsidRPr="00086AB2" w:rsidRDefault="000C3F42" w:rsidP="000C3F42">
            <w:pPr>
              <w:spacing w:after="0"/>
              <w:jc w:val="center"/>
              <w:rPr>
                <w:rFonts w:cs="Arial"/>
                <w:color w:val="000000"/>
                <w:szCs w:val="20"/>
              </w:rPr>
            </w:pPr>
            <w:r w:rsidRPr="009C7FFC">
              <w:t>1</w:t>
            </w:r>
            <w:r>
              <w:t>,720</w:t>
            </w:r>
          </w:p>
        </w:tc>
        <w:tc>
          <w:tcPr>
            <w:tcW w:w="1006" w:type="dxa"/>
            <w:tcBorders>
              <w:top w:val="nil"/>
              <w:left w:val="nil"/>
              <w:bottom w:val="dotted" w:sz="4" w:space="0" w:color="FFFFFF"/>
              <w:right w:val="dotted" w:sz="4" w:space="0" w:color="FFFFFF"/>
            </w:tcBorders>
            <w:shd w:val="clear" w:color="000000" w:fill="EFD3D2"/>
            <w:noWrap/>
            <w:vAlign w:val="center"/>
            <w:hideMark/>
          </w:tcPr>
          <w:p w14:paraId="4EF1E4DE" w14:textId="77777777" w:rsidR="000C3F42" w:rsidRPr="00086AB2" w:rsidRDefault="000C3F42" w:rsidP="000C3F42">
            <w:pPr>
              <w:spacing w:after="0"/>
              <w:jc w:val="center"/>
              <w:rPr>
                <w:rFonts w:cs="Arial"/>
                <w:color w:val="000000"/>
                <w:szCs w:val="20"/>
              </w:rPr>
            </w:pPr>
            <w:r w:rsidRPr="00086AB2">
              <w:rPr>
                <w:rFonts w:cs="Arial"/>
                <w:color w:val="000000"/>
                <w:szCs w:val="20"/>
              </w:rPr>
              <w:t>1.5</w:t>
            </w:r>
          </w:p>
        </w:tc>
        <w:tc>
          <w:tcPr>
            <w:tcW w:w="1273" w:type="dxa"/>
            <w:tcBorders>
              <w:top w:val="nil"/>
              <w:left w:val="nil"/>
              <w:bottom w:val="dotted" w:sz="4" w:space="0" w:color="FFFFFF"/>
              <w:right w:val="dotted" w:sz="4" w:space="0" w:color="FFFFFF"/>
            </w:tcBorders>
            <w:shd w:val="clear" w:color="000000" w:fill="EFD3D2"/>
            <w:noWrap/>
            <w:vAlign w:val="center"/>
            <w:hideMark/>
          </w:tcPr>
          <w:p w14:paraId="30E5E53A" w14:textId="77777777" w:rsidR="000C3F42" w:rsidRPr="00CC46A4" w:rsidRDefault="000C3F42" w:rsidP="00FA067D">
            <w:pPr>
              <w:spacing w:after="0"/>
              <w:jc w:val="center"/>
            </w:pPr>
            <w:r w:rsidRPr="00CC46A4">
              <w:t>416,56</w:t>
            </w:r>
            <w:r w:rsidR="00621201">
              <w:t>0</w:t>
            </w:r>
          </w:p>
        </w:tc>
        <w:tc>
          <w:tcPr>
            <w:tcW w:w="1250" w:type="dxa"/>
            <w:tcBorders>
              <w:top w:val="nil"/>
              <w:left w:val="nil"/>
              <w:bottom w:val="dotted" w:sz="4" w:space="0" w:color="FFFFFF"/>
              <w:right w:val="dotted" w:sz="4" w:space="0" w:color="FFFFFF"/>
            </w:tcBorders>
            <w:shd w:val="clear" w:color="000000" w:fill="EFD3D2"/>
            <w:noWrap/>
            <w:vAlign w:val="center"/>
            <w:hideMark/>
          </w:tcPr>
          <w:p w14:paraId="7E97ADF8" w14:textId="77777777" w:rsidR="000C3F42" w:rsidRPr="00086AB2" w:rsidRDefault="000C3F42" w:rsidP="000C3F42">
            <w:pPr>
              <w:spacing w:after="0"/>
              <w:jc w:val="center"/>
              <w:rPr>
                <w:rFonts w:cs="Arial"/>
                <w:color w:val="000000"/>
                <w:szCs w:val="20"/>
              </w:rPr>
            </w:pPr>
            <w:r w:rsidRPr="00086AB2">
              <w:rPr>
                <w:rFonts w:cs="Arial"/>
                <w:color w:val="000000"/>
                <w:szCs w:val="20"/>
              </w:rPr>
              <w:t>3.</w:t>
            </w:r>
            <w:r>
              <w:rPr>
                <w:rFonts w:cs="Arial"/>
                <w:color w:val="000000"/>
                <w:szCs w:val="20"/>
              </w:rPr>
              <w:t>4</w:t>
            </w:r>
          </w:p>
        </w:tc>
        <w:tc>
          <w:tcPr>
            <w:tcW w:w="1319" w:type="dxa"/>
            <w:tcBorders>
              <w:top w:val="nil"/>
              <w:left w:val="nil"/>
              <w:bottom w:val="dotted" w:sz="4" w:space="0" w:color="FFFFFF"/>
              <w:right w:val="dotted" w:sz="4" w:space="0" w:color="FFFFFF"/>
            </w:tcBorders>
            <w:shd w:val="clear" w:color="000000" w:fill="EFD3D2"/>
            <w:noWrap/>
            <w:vAlign w:val="center"/>
            <w:hideMark/>
          </w:tcPr>
          <w:p w14:paraId="1BFA0360" w14:textId="77777777" w:rsidR="000C3F42" w:rsidRPr="00086AB2" w:rsidRDefault="00775BB6" w:rsidP="000C3F42">
            <w:pPr>
              <w:spacing w:after="0"/>
              <w:jc w:val="center"/>
              <w:rPr>
                <w:rFonts w:cs="Arial"/>
                <w:color w:val="000000"/>
                <w:szCs w:val="20"/>
              </w:rPr>
            </w:pPr>
            <w:r w:rsidRPr="00775BB6">
              <w:rPr>
                <w:rFonts w:cs="Arial"/>
                <w:color w:val="000000"/>
                <w:szCs w:val="20"/>
              </w:rPr>
              <w:t>727,559,37</w:t>
            </w:r>
            <w:r w:rsidR="00621201">
              <w:rPr>
                <w:rFonts w:cs="Arial"/>
                <w:color w:val="000000"/>
                <w:szCs w:val="20"/>
              </w:rPr>
              <w:t>0</w:t>
            </w:r>
          </w:p>
        </w:tc>
        <w:tc>
          <w:tcPr>
            <w:tcW w:w="1440" w:type="dxa"/>
            <w:tcBorders>
              <w:top w:val="nil"/>
              <w:left w:val="nil"/>
              <w:bottom w:val="dotted" w:sz="4" w:space="0" w:color="FFFFFF"/>
              <w:right w:val="dotted" w:sz="4" w:space="0" w:color="FFFFFF"/>
            </w:tcBorders>
            <w:shd w:val="clear" w:color="000000" w:fill="EFD3D2"/>
            <w:noWrap/>
            <w:vAlign w:val="center"/>
            <w:hideMark/>
          </w:tcPr>
          <w:p w14:paraId="61602C26" w14:textId="77777777" w:rsidR="000C3F42" w:rsidRPr="00086AB2" w:rsidRDefault="000C3F42" w:rsidP="000C3F42">
            <w:pPr>
              <w:spacing w:after="0"/>
              <w:jc w:val="center"/>
              <w:rPr>
                <w:rFonts w:cs="Arial"/>
                <w:color w:val="000000"/>
                <w:szCs w:val="20"/>
              </w:rPr>
            </w:pPr>
            <w:r w:rsidRPr="00086AB2">
              <w:rPr>
                <w:rFonts w:cs="Arial"/>
                <w:color w:val="000000"/>
                <w:szCs w:val="20"/>
              </w:rPr>
              <w:t>3.</w:t>
            </w:r>
            <w:r>
              <w:rPr>
                <w:rFonts w:cs="Arial"/>
                <w:color w:val="000000"/>
                <w:szCs w:val="20"/>
              </w:rPr>
              <w:t>7</w:t>
            </w:r>
          </w:p>
        </w:tc>
      </w:tr>
      <w:tr w:rsidR="000C3F42" w:rsidRPr="00086AB2" w14:paraId="17A32218" w14:textId="77777777" w:rsidTr="00873B5B">
        <w:trPr>
          <w:trHeight w:val="229"/>
          <w:jc w:val="center"/>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7F92FC49" w14:textId="77777777" w:rsidR="000C3F42" w:rsidRPr="00086AB2" w:rsidRDefault="000C3F42" w:rsidP="000C3F42">
            <w:pPr>
              <w:spacing w:after="0"/>
              <w:jc w:val="left"/>
              <w:rPr>
                <w:rFonts w:cs="Arial"/>
                <w:b/>
                <w:bCs/>
                <w:color w:val="000000"/>
                <w:szCs w:val="20"/>
              </w:rPr>
            </w:pPr>
            <w:r w:rsidRPr="00086AB2">
              <w:rPr>
                <w:rFonts w:cs="Arial"/>
                <w:b/>
                <w:bCs/>
                <w:color w:val="000000"/>
                <w:szCs w:val="20"/>
              </w:rPr>
              <w:t>Seacare</w:t>
            </w:r>
          </w:p>
        </w:tc>
        <w:tc>
          <w:tcPr>
            <w:tcW w:w="992" w:type="dxa"/>
            <w:tcBorders>
              <w:top w:val="nil"/>
              <w:left w:val="nil"/>
              <w:bottom w:val="dotted" w:sz="4" w:space="0" w:color="FFFFFF"/>
              <w:right w:val="dotted" w:sz="4" w:space="0" w:color="FFFFFF"/>
            </w:tcBorders>
            <w:shd w:val="clear" w:color="000000" w:fill="FFFFFF"/>
            <w:noWrap/>
            <w:vAlign w:val="center"/>
            <w:hideMark/>
          </w:tcPr>
          <w:p w14:paraId="44E56B1D" w14:textId="77777777" w:rsidR="000C3F42" w:rsidRPr="00086AB2" w:rsidRDefault="000C3F42" w:rsidP="000C3F42">
            <w:pPr>
              <w:spacing w:after="0"/>
              <w:jc w:val="center"/>
              <w:rPr>
                <w:rFonts w:cs="Arial"/>
                <w:color w:val="000000"/>
                <w:szCs w:val="20"/>
              </w:rPr>
            </w:pPr>
            <w:r>
              <w:t>6</w:t>
            </w:r>
            <w:r w:rsidR="00621201">
              <w:t>0</w:t>
            </w:r>
          </w:p>
        </w:tc>
        <w:tc>
          <w:tcPr>
            <w:tcW w:w="1006" w:type="dxa"/>
            <w:tcBorders>
              <w:top w:val="nil"/>
              <w:left w:val="nil"/>
              <w:bottom w:val="dotted" w:sz="4" w:space="0" w:color="FFFFFF"/>
              <w:right w:val="dotted" w:sz="4" w:space="0" w:color="FFFFFF"/>
            </w:tcBorders>
            <w:shd w:val="clear" w:color="000000" w:fill="FFFFFF"/>
            <w:noWrap/>
            <w:vAlign w:val="center"/>
            <w:hideMark/>
          </w:tcPr>
          <w:p w14:paraId="304B1546" w14:textId="77777777" w:rsidR="000C3F42" w:rsidRPr="00086AB2" w:rsidRDefault="000C3F42" w:rsidP="000C3F42">
            <w:pPr>
              <w:spacing w:after="0"/>
              <w:jc w:val="center"/>
              <w:rPr>
                <w:rFonts w:cs="Arial"/>
                <w:color w:val="000000"/>
                <w:szCs w:val="20"/>
              </w:rPr>
            </w:pPr>
            <w:r w:rsidRPr="00086AB2">
              <w:rPr>
                <w:rFonts w:cs="Arial"/>
                <w:color w:val="000000"/>
                <w:szCs w:val="20"/>
              </w:rPr>
              <w:t>0.1</w:t>
            </w:r>
          </w:p>
        </w:tc>
        <w:tc>
          <w:tcPr>
            <w:tcW w:w="1273" w:type="dxa"/>
            <w:tcBorders>
              <w:top w:val="nil"/>
              <w:left w:val="nil"/>
              <w:bottom w:val="dotted" w:sz="4" w:space="0" w:color="FFFFFF"/>
              <w:right w:val="dotted" w:sz="4" w:space="0" w:color="FFFFFF"/>
            </w:tcBorders>
            <w:shd w:val="clear" w:color="000000" w:fill="FFFFFF"/>
            <w:noWrap/>
            <w:vAlign w:val="center"/>
            <w:hideMark/>
          </w:tcPr>
          <w:p w14:paraId="4B7BDAD2" w14:textId="77777777" w:rsidR="000C3F42" w:rsidRDefault="000C3F42" w:rsidP="00FA067D">
            <w:pPr>
              <w:spacing w:after="0"/>
              <w:jc w:val="center"/>
            </w:pPr>
            <w:r w:rsidRPr="00CC46A4">
              <w:t>4,4</w:t>
            </w:r>
            <w:r w:rsidR="00621201">
              <w:t>10</w:t>
            </w:r>
          </w:p>
        </w:tc>
        <w:tc>
          <w:tcPr>
            <w:tcW w:w="1250" w:type="dxa"/>
            <w:tcBorders>
              <w:top w:val="nil"/>
              <w:left w:val="nil"/>
              <w:bottom w:val="dotted" w:sz="4" w:space="0" w:color="FFFFFF"/>
              <w:right w:val="dotted" w:sz="4" w:space="0" w:color="FFFFFF"/>
            </w:tcBorders>
            <w:shd w:val="clear" w:color="000000" w:fill="FFFFFF"/>
            <w:noWrap/>
            <w:vAlign w:val="center"/>
            <w:hideMark/>
          </w:tcPr>
          <w:p w14:paraId="69869390" w14:textId="77777777" w:rsidR="000C3F42" w:rsidRPr="00086AB2" w:rsidRDefault="000C3F42" w:rsidP="000C3F42">
            <w:pPr>
              <w:spacing w:after="0"/>
              <w:jc w:val="center"/>
              <w:rPr>
                <w:rFonts w:cs="Arial"/>
                <w:color w:val="000000"/>
                <w:szCs w:val="20"/>
              </w:rPr>
            </w:pPr>
            <w:r w:rsidRPr="00086AB2">
              <w:rPr>
                <w:rFonts w:cs="Arial"/>
                <w:color w:val="000000"/>
                <w:szCs w:val="20"/>
              </w:rPr>
              <w:t>0.0</w:t>
            </w:r>
          </w:p>
        </w:tc>
        <w:tc>
          <w:tcPr>
            <w:tcW w:w="1319" w:type="dxa"/>
            <w:tcBorders>
              <w:top w:val="nil"/>
              <w:left w:val="nil"/>
              <w:bottom w:val="dotted" w:sz="4" w:space="0" w:color="FFFFFF"/>
              <w:right w:val="dotted" w:sz="4" w:space="0" w:color="FFFFFF"/>
            </w:tcBorders>
            <w:shd w:val="clear" w:color="000000" w:fill="FFFFFF"/>
            <w:noWrap/>
            <w:vAlign w:val="center"/>
            <w:hideMark/>
          </w:tcPr>
          <w:p w14:paraId="6AD7DD04" w14:textId="77777777" w:rsidR="000C3F42" w:rsidRPr="00086AB2" w:rsidRDefault="00775BB6" w:rsidP="000C3F42">
            <w:pPr>
              <w:spacing w:after="0"/>
              <w:jc w:val="center"/>
              <w:rPr>
                <w:rFonts w:cs="Arial"/>
                <w:color w:val="000000"/>
                <w:szCs w:val="20"/>
              </w:rPr>
            </w:pPr>
            <w:r w:rsidRPr="00775BB6">
              <w:rPr>
                <w:rFonts w:cs="Arial"/>
                <w:color w:val="000000"/>
                <w:szCs w:val="20"/>
              </w:rPr>
              <w:t>11,443,210</w:t>
            </w:r>
          </w:p>
        </w:tc>
        <w:tc>
          <w:tcPr>
            <w:tcW w:w="1440" w:type="dxa"/>
            <w:tcBorders>
              <w:top w:val="nil"/>
              <w:left w:val="nil"/>
              <w:bottom w:val="dotted" w:sz="4" w:space="0" w:color="FFFFFF"/>
              <w:right w:val="dotted" w:sz="4" w:space="0" w:color="FFFFFF"/>
            </w:tcBorders>
            <w:shd w:val="clear" w:color="000000" w:fill="FFFFFF"/>
            <w:noWrap/>
            <w:vAlign w:val="center"/>
            <w:hideMark/>
          </w:tcPr>
          <w:p w14:paraId="7646DD42" w14:textId="77777777" w:rsidR="000C3F42" w:rsidRPr="00086AB2" w:rsidRDefault="000C3F42" w:rsidP="000C3F42">
            <w:pPr>
              <w:spacing w:after="0"/>
              <w:jc w:val="center"/>
              <w:rPr>
                <w:rFonts w:cs="Arial"/>
                <w:color w:val="000000"/>
                <w:szCs w:val="20"/>
              </w:rPr>
            </w:pPr>
            <w:r w:rsidRPr="00086AB2">
              <w:rPr>
                <w:rFonts w:cs="Arial"/>
                <w:color w:val="000000"/>
                <w:szCs w:val="20"/>
              </w:rPr>
              <w:t>0.1</w:t>
            </w:r>
          </w:p>
        </w:tc>
      </w:tr>
      <w:tr w:rsidR="00271678" w:rsidRPr="00086AB2" w14:paraId="7621D132" w14:textId="77777777" w:rsidTr="00873B5B">
        <w:trPr>
          <w:trHeight w:val="340"/>
          <w:jc w:val="center"/>
        </w:trPr>
        <w:tc>
          <w:tcPr>
            <w:tcW w:w="1985" w:type="dxa"/>
            <w:tcBorders>
              <w:top w:val="nil"/>
              <w:left w:val="dotted" w:sz="4" w:space="0" w:color="FFFFFF"/>
              <w:bottom w:val="dotted" w:sz="4" w:space="0" w:color="FFFFFF"/>
              <w:right w:val="dotted" w:sz="4" w:space="0" w:color="FFFFFF"/>
            </w:tcBorders>
            <w:shd w:val="clear" w:color="000000" w:fill="808080"/>
            <w:noWrap/>
            <w:vAlign w:val="center"/>
            <w:hideMark/>
          </w:tcPr>
          <w:p w14:paraId="685FA299" w14:textId="77777777" w:rsidR="00271678" w:rsidRPr="00086AB2" w:rsidRDefault="00271678" w:rsidP="00271678">
            <w:pPr>
              <w:spacing w:after="0"/>
              <w:jc w:val="left"/>
              <w:rPr>
                <w:rFonts w:cs="Arial"/>
                <w:b/>
                <w:bCs/>
                <w:color w:val="F8F8F8"/>
                <w:szCs w:val="20"/>
              </w:rPr>
            </w:pPr>
            <w:r w:rsidRPr="00086AB2">
              <w:rPr>
                <w:rFonts w:cs="Arial"/>
                <w:b/>
                <w:bCs/>
                <w:color w:val="F8F8F8"/>
                <w:szCs w:val="20"/>
              </w:rPr>
              <w:t>Australian total</w:t>
            </w:r>
          </w:p>
        </w:tc>
        <w:tc>
          <w:tcPr>
            <w:tcW w:w="992" w:type="dxa"/>
            <w:tcBorders>
              <w:top w:val="nil"/>
              <w:left w:val="nil"/>
              <w:bottom w:val="dotted" w:sz="4" w:space="0" w:color="FFFFFF"/>
              <w:right w:val="dotted" w:sz="4" w:space="0" w:color="FFFFFF"/>
            </w:tcBorders>
            <w:shd w:val="clear" w:color="000000" w:fill="808080"/>
            <w:noWrap/>
            <w:vAlign w:val="center"/>
            <w:hideMark/>
          </w:tcPr>
          <w:p w14:paraId="37EDA40B" w14:textId="279BD1C9" w:rsidR="00775BB6" w:rsidRPr="004659D5" w:rsidRDefault="00775BB6" w:rsidP="00520D47">
            <w:pPr>
              <w:spacing w:after="0"/>
              <w:jc w:val="left"/>
              <w:rPr>
                <w:rFonts w:cs="Arial"/>
                <w:b/>
                <w:bCs/>
                <w:color w:val="F8F8F8"/>
                <w:szCs w:val="20"/>
              </w:rPr>
            </w:pPr>
            <w:r w:rsidRPr="00775BB6">
              <w:rPr>
                <w:rFonts w:cs="Arial"/>
                <w:b/>
                <w:bCs/>
                <w:color w:val="F8F8F8"/>
                <w:szCs w:val="20"/>
              </w:rPr>
              <w:t>114,4</w:t>
            </w:r>
            <w:r w:rsidR="00A52EB7">
              <w:rPr>
                <w:rFonts w:cs="Arial"/>
                <w:b/>
                <w:bCs/>
                <w:color w:val="F8F8F8"/>
                <w:szCs w:val="20"/>
              </w:rPr>
              <w:t>3</w:t>
            </w:r>
            <w:r w:rsidR="00621201">
              <w:rPr>
                <w:rFonts w:cs="Arial"/>
                <w:b/>
                <w:bCs/>
                <w:color w:val="F8F8F8"/>
                <w:szCs w:val="20"/>
              </w:rPr>
              <w:t>0</w:t>
            </w:r>
          </w:p>
        </w:tc>
        <w:tc>
          <w:tcPr>
            <w:tcW w:w="1006" w:type="dxa"/>
            <w:tcBorders>
              <w:top w:val="nil"/>
              <w:left w:val="nil"/>
              <w:bottom w:val="dotted" w:sz="4" w:space="0" w:color="FFFFFF"/>
              <w:right w:val="dotted" w:sz="4" w:space="0" w:color="FFFFFF"/>
            </w:tcBorders>
            <w:shd w:val="clear" w:color="000000" w:fill="808080"/>
            <w:noWrap/>
            <w:vAlign w:val="center"/>
            <w:hideMark/>
          </w:tcPr>
          <w:p w14:paraId="32BB1962" w14:textId="77777777" w:rsidR="00271678" w:rsidRPr="00086AB2" w:rsidRDefault="00271678" w:rsidP="004659D5">
            <w:pPr>
              <w:spacing w:after="0"/>
              <w:jc w:val="center"/>
              <w:rPr>
                <w:rFonts w:cs="Arial"/>
                <w:b/>
                <w:bCs/>
                <w:color w:val="F8F8F8"/>
                <w:szCs w:val="20"/>
              </w:rPr>
            </w:pPr>
            <w:r w:rsidRPr="00086AB2">
              <w:rPr>
                <w:rFonts w:cs="Arial"/>
                <w:b/>
                <w:bCs/>
                <w:color w:val="F8F8F8"/>
                <w:szCs w:val="20"/>
              </w:rPr>
              <w:t>100.0</w:t>
            </w:r>
          </w:p>
        </w:tc>
        <w:tc>
          <w:tcPr>
            <w:tcW w:w="1273" w:type="dxa"/>
            <w:tcBorders>
              <w:top w:val="nil"/>
              <w:left w:val="nil"/>
              <w:bottom w:val="dotted" w:sz="4" w:space="0" w:color="FFFFFF"/>
              <w:right w:val="dotted" w:sz="4" w:space="0" w:color="FFFFFF"/>
            </w:tcBorders>
            <w:shd w:val="clear" w:color="000000" w:fill="808080"/>
            <w:noWrap/>
            <w:vAlign w:val="center"/>
            <w:hideMark/>
          </w:tcPr>
          <w:p w14:paraId="4EC980D8" w14:textId="77777777" w:rsidR="00271678" w:rsidRPr="00086AB2" w:rsidRDefault="000C33E0" w:rsidP="004659D5">
            <w:pPr>
              <w:spacing w:after="0"/>
              <w:jc w:val="center"/>
              <w:rPr>
                <w:rFonts w:cs="Arial"/>
                <w:b/>
                <w:bCs/>
                <w:color w:val="F8F8F8"/>
                <w:szCs w:val="20"/>
              </w:rPr>
            </w:pPr>
            <w:r w:rsidRPr="000C33E0">
              <w:rPr>
                <w:rFonts w:cs="Arial"/>
                <w:b/>
                <w:bCs/>
                <w:color w:val="F8F8F8"/>
                <w:szCs w:val="20"/>
              </w:rPr>
              <w:t>1</w:t>
            </w:r>
            <w:r w:rsidR="000C3F42">
              <w:rPr>
                <w:rFonts w:cs="Arial"/>
                <w:b/>
                <w:bCs/>
                <w:color w:val="F8F8F8"/>
                <w:szCs w:val="20"/>
              </w:rPr>
              <w:t>2,154,40</w:t>
            </w:r>
            <w:r w:rsidR="00621201">
              <w:rPr>
                <w:rFonts w:cs="Arial"/>
                <w:b/>
                <w:bCs/>
                <w:color w:val="F8F8F8"/>
                <w:szCs w:val="20"/>
              </w:rPr>
              <w:t>0</w:t>
            </w:r>
          </w:p>
        </w:tc>
        <w:tc>
          <w:tcPr>
            <w:tcW w:w="1250" w:type="dxa"/>
            <w:tcBorders>
              <w:top w:val="nil"/>
              <w:left w:val="nil"/>
              <w:bottom w:val="dotted" w:sz="4" w:space="0" w:color="FFFFFF"/>
              <w:right w:val="dotted" w:sz="4" w:space="0" w:color="FFFFFF"/>
            </w:tcBorders>
            <w:shd w:val="clear" w:color="000000" w:fill="808080"/>
            <w:noWrap/>
            <w:vAlign w:val="center"/>
            <w:hideMark/>
          </w:tcPr>
          <w:p w14:paraId="2360B9CF" w14:textId="77777777" w:rsidR="00271678" w:rsidRPr="00086AB2" w:rsidRDefault="00271678" w:rsidP="004659D5">
            <w:pPr>
              <w:spacing w:after="0"/>
              <w:jc w:val="center"/>
              <w:rPr>
                <w:rFonts w:cs="Arial"/>
                <w:b/>
                <w:bCs/>
                <w:color w:val="F8F8F8"/>
                <w:szCs w:val="20"/>
              </w:rPr>
            </w:pPr>
            <w:r w:rsidRPr="00086AB2">
              <w:rPr>
                <w:rFonts w:cs="Arial"/>
                <w:b/>
                <w:bCs/>
                <w:color w:val="F8F8F8"/>
                <w:szCs w:val="20"/>
              </w:rPr>
              <w:t>100.0</w:t>
            </w:r>
          </w:p>
        </w:tc>
        <w:tc>
          <w:tcPr>
            <w:tcW w:w="1319" w:type="dxa"/>
            <w:tcBorders>
              <w:top w:val="nil"/>
              <w:left w:val="nil"/>
              <w:bottom w:val="dotted" w:sz="4" w:space="0" w:color="FFFFFF"/>
              <w:right w:val="dotted" w:sz="4" w:space="0" w:color="FFFFFF"/>
            </w:tcBorders>
            <w:shd w:val="clear" w:color="000000" w:fill="808080"/>
            <w:noWrap/>
            <w:vAlign w:val="center"/>
            <w:hideMark/>
          </w:tcPr>
          <w:p w14:paraId="50C4FDC9" w14:textId="77777777" w:rsidR="00271678" w:rsidRPr="00086AB2" w:rsidRDefault="00775BB6" w:rsidP="004659D5">
            <w:pPr>
              <w:spacing w:after="0"/>
              <w:jc w:val="center"/>
              <w:rPr>
                <w:rFonts w:cs="Arial"/>
                <w:b/>
                <w:bCs/>
                <w:color w:val="F8F8F8"/>
                <w:szCs w:val="20"/>
              </w:rPr>
            </w:pPr>
            <w:r w:rsidRPr="00775BB6">
              <w:rPr>
                <w:rFonts w:cs="Arial"/>
                <w:b/>
                <w:bCs/>
                <w:color w:val="F8F8F8"/>
                <w:szCs w:val="20"/>
              </w:rPr>
              <w:t>19,911,504,92</w:t>
            </w:r>
            <w:r w:rsidR="00621201">
              <w:rPr>
                <w:rFonts w:cs="Arial"/>
                <w:b/>
                <w:bCs/>
                <w:color w:val="F8F8F8"/>
                <w:szCs w:val="20"/>
              </w:rPr>
              <w:t>0</w:t>
            </w:r>
          </w:p>
        </w:tc>
        <w:tc>
          <w:tcPr>
            <w:tcW w:w="1440" w:type="dxa"/>
            <w:tcBorders>
              <w:top w:val="nil"/>
              <w:left w:val="nil"/>
              <w:bottom w:val="dotted" w:sz="4" w:space="0" w:color="FFFFFF"/>
              <w:right w:val="dotted" w:sz="4" w:space="0" w:color="FFFFFF"/>
            </w:tcBorders>
            <w:shd w:val="clear" w:color="000000" w:fill="808080"/>
            <w:noWrap/>
            <w:vAlign w:val="center"/>
            <w:hideMark/>
          </w:tcPr>
          <w:p w14:paraId="3048DBB7" w14:textId="77777777" w:rsidR="00271678" w:rsidRPr="00086AB2" w:rsidRDefault="00271678" w:rsidP="004659D5">
            <w:pPr>
              <w:spacing w:after="0"/>
              <w:jc w:val="center"/>
              <w:rPr>
                <w:rFonts w:cs="Arial"/>
                <w:b/>
                <w:bCs/>
                <w:color w:val="F8F8F8"/>
                <w:szCs w:val="20"/>
              </w:rPr>
            </w:pPr>
            <w:r w:rsidRPr="00086AB2">
              <w:rPr>
                <w:rFonts w:cs="Arial"/>
                <w:b/>
                <w:bCs/>
                <w:color w:val="F8F8F8"/>
                <w:szCs w:val="20"/>
              </w:rPr>
              <w:t>100.0</w:t>
            </w:r>
          </w:p>
        </w:tc>
      </w:tr>
    </w:tbl>
    <w:p w14:paraId="21EFD459" w14:textId="77777777" w:rsidR="00ED47E7" w:rsidRPr="00086AB2" w:rsidRDefault="00ED47E7" w:rsidP="001665F1">
      <w:pPr>
        <w:pStyle w:val="Titlesmall"/>
      </w:pPr>
      <w:r w:rsidRPr="00086AB2">
        <w:t>Time series and adjustment of scheme data</w:t>
      </w:r>
    </w:p>
    <w:p w14:paraId="08B21AED" w14:textId="77777777" w:rsidR="00ED47E7" w:rsidRPr="00086AB2" w:rsidRDefault="00ED47E7" w:rsidP="00ED47E7">
      <w:r w:rsidRPr="00086AB2">
        <w:t xml:space="preserve">The estimates of the number of employees and their hours worked for Australia are supplied by the Australian Bureau of Statistics and these denominator data are based on the Labour Force Survey, the Survey of Employment and Earnings and data provided by Comcare. Further adjustments are performed using data from the Census, the Forms of Employment Survey and the Survey of Employment Arrangements, Retirement and Superannuation. These data are matched to the scope of the claims data but may not be exact, particularly in the smaller jurisdictions, due to the number of employees being derived from a survey of the population rather than a census. </w:t>
      </w:r>
    </w:p>
    <w:p w14:paraId="33BF993D" w14:textId="37A21E15" w:rsidR="00ED47E7" w:rsidRPr="00086AB2" w:rsidRDefault="00ED47E7" w:rsidP="00ED47E7">
      <w:r w:rsidRPr="00086AB2">
        <w:t>The New Zealand employment data used has been sourced from the New Zealand census information.</w:t>
      </w:r>
    </w:p>
    <w:p w14:paraId="58669A44" w14:textId="7AC58D42" w:rsidR="00ED47E7" w:rsidRPr="00086AB2" w:rsidRDefault="00ED47E7" w:rsidP="00EA124A">
      <w:pPr>
        <w:keepNext/>
        <w:keepLines/>
      </w:pPr>
      <w:r w:rsidRPr="00086AB2">
        <w:t>Incidence and frequency rates, especially for the most recent years, are expected to rise as the number of accepted claims increases</w:t>
      </w:r>
      <w:r w:rsidR="00001159">
        <w:t>,</w:t>
      </w:r>
      <w:r w:rsidRPr="00086AB2">
        <w:t xml:space="preserve"> as </w:t>
      </w:r>
      <w:r w:rsidR="00001159">
        <w:t>more claim are lodged and finalised</w:t>
      </w:r>
      <w:r w:rsidRPr="00086AB2">
        <w:t>. This may involve additional claims being accepted or shorter-term claims with temporary incapacity incurring additional time lost and subsequently matching the definition of a serious claim: one that involves one or more working weeks of time lost.</w:t>
      </w:r>
    </w:p>
    <w:p w14:paraId="73390C20" w14:textId="21E31D35" w:rsidR="00ED47E7" w:rsidRPr="00086AB2" w:rsidRDefault="00ED47E7" w:rsidP="00ED47E7">
      <w:r w:rsidRPr="00086AB2">
        <w:t xml:space="preserve">Claims data shown in this report for </w:t>
      </w:r>
      <w:r w:rsidR="004417B4" w:rsidRPr="00086AB2">
        <w:t>201</w:t>
      </w:r>
      <w:r w:rsidR="009A642B">
        <w:t>8</w:t>
      </w:r>
      <w:r w:rsidR="004417B4" w:rsidRPr="00086AB2">
        <w:t>–1</w:t>
      </w:r>
      <w:r w:rsidR="009A642B">
        <w:t>9</w:t>
      </w:r>
      <w:r w:rsidRPr="00086AB2">
        <w:t xml:space="preserve"> are preliminary unless otherwise stated. Therefore</w:t>
      </w:r>
      <w:r w:rsidR="00384890">
        <w:t>,</w:t>
      </w:r>
      <w:r w:rsidRPr="00086AB2">
        <w:t xml:space="preserve"> these data </w:t>
      </w:r>
      <w:r w:rsidR="00384890">
        <w:t xml:space="preserve">items </w:t>
      </w:r>
      <w:r w:rsidRPr="00086AB2">
        <w:t xml:space="preserve">are likely to be understated and a comparison of </w:t>
      </w:r>
      <w:r w:rsidR="004417B4" w:rsidRPr="00086AB2">
        <w:t>201</w:t>
      </w:r>
      <w:r w:rsidR="009A642B">
        <w:t>8</w:t>
      </w:r>
      <w:r w:rsidR="004417B4" w:rsidRPr="00086AB2">
        <w:t>–1</w:t>
      </w:r>
      <w:r w:rsidR="009A642B">
        <w:t>9</w:t>
      </w:r>
      <w:r w:rsidRPr="00086AB2">
        <w:t xml:space="preserve"> data with those of previous years should be undertaken with caution. </w:t>
      </w:r>
    </w:p>
    <w:p w14:paraId="6E931744" w14:textId="77777777" w:rsidR="00ED47E7" w:rsidRPr="00086AB2" w:rsidRDefault="00ED47E7" w:rsidP="00ED47E7">
      <w:r w:rsidRPr="00086AB2">
        <w:t xml:space="preserve">In analysing trends over time, consideration needs to be given to any changes to jurisdiction-specific legislation and administrative processes during the period concerned, further details of which should be sought from the jurisdictions. Any commentary relating to these comparisons should be interpreted carefully, where provided. </w:t>
      </w:r>
    </w:p>
    <w:p w14:paraId="1BF07E6C" w14:textId="77777777" w:rsidR="00ED47E7" w:rsidRPr="00086AB2" w:rsidRDefault="00ED47E7" w:rsidP="00ED47E7">
      <w:r w:rsidRPr="00086AB2">
        <w:lastRenderedPageBreak/>
        <w:t>Frequency rates for the Seacare scheme have been calculated using a 24-hour basis. This is in recognition of the 24-hour risk of exposure to workplace hazards due to the nature of employment in the maritime industry. This definition is consistent with data published by the Seacare Authority.</w:t>
      </w:r>
    </w:p>
    <w:p w14:paraId="742EAC4E" w14:textId="77777777" w:rsidR="006F15AC" w:rsidRPr="00086AB2" w:rsidRDefault="006F15AC" w:rsidP="001665F1">
      <w:pPr>
        <w:pStyle w:val="Titlesmall"/>
      </w:pPr>
      <w:r w:rsidRPr="00086AB2">
        <w:t>Definition of injury and disease</w:t>
      </w:r>
    </w:p>
    <w:p w14:paraId="3D951995" w14:textId="77777777" w:rsidR="006F15AC" w:rsidRPr="00086AB2" w:rsidRDefault="006F15AC" w:rsidP="006F15AC">
      <w:r w:rsidRPr="00086AB2">
        <w:t xml:space="preserve">Occupational injuries are defined as all employment-related injuries that are the result of a single traumatic event, occurring while a person is on duty or during a recess period at the workplace, and where there was a short or non-existent latency period. This includes injuries that are the result of a single exposure to an agent(s) causing an acute toxic effect. </w:t>
      </w:r>
    </w:p>
    <w:p w14:paraId="1C033CAD" w14:textId="1160FFAC" w:rsidR="006F15AC" w:rsidRDefault="006F15AC" w:rsidP="006F15AC">
      <w:r w:rsidRPr="00086AB2">
        <w:t>Occupational diseases are defined as all employment-related diseases that result from repeated or long-term exposure to an agent(s) or event(s), or that are the result of a single event resulting in a disease (for example, the development of hepatitis following a single exposure to the infection).</w:t>
      </w:r>
    </w:p>
    <w:p w14:paraId="30142079" w14:textId="21124BF9" w:rsidR="008048C3" w:rsidRPr="00086AB2" w:rsidRDefault="00774ED0" w:rsidP="008048C3">
      <w:pPr>
        <w:keepNext/>
        <w:keepLines/>
      </w:pPr>
      <w:r>
        <w:t xml:space="preserve">The data in this report has been classified using the </w:t>
      </w:r>
      <w:r w:rsidR="008048C3" w:rsidRPr="00086AB2">
        <w:t>Type of Occurrence Classification System (TOOCS)</w:t>
      </w:r>
      <w:r>
        <w:t>.</w:t>
      </w:r>
      <w:r w:rsidR="008048C3" w:rsidRPr="00086AB2">
        <w:t xml:space="preserve"> More information on</w:t>
      </w:r>
      <w:r>
        <w:t xml:space="preserve"> the</w:t>
      </w:r>
      <w:r w:rsidR="008048C3" w:rsidRPr="00086AB2">
        <w:t xml:space="preserve"> </w:t>
      </w:r>
      <w:r>
        <w:t xml:space="preserve">definition of injury and disease </w:t>
      </w:r>
      <w:r w:rsidR="008048C3" w:rsidRPr="00086AB2">
        <w:t xml:space="preserve">can be found </w:t>
      </w:r>
      <w:r>
        <w:t xml:space="preserve">in the TOOCS </w:t>
      </w:r>
      <w:r w:rsidR="008048C3" w:rsidRPr="00086AB2">
        <w:t xml:space="preserve">on the </w:t>
      </w:r>
      <w:hyperlink r:id="rId66" w:history="1">
        <w:r w:rsidR="008048C3" w:rsidRPr="00086AB2">
          <w:rPr>
            <w:rStyle w:val="SWALinkChar"/>
          </w:rPr>
          <w:t>Safe Work Australia</w:t>
        </w:r>
      </w:hyperlink>
      <w:r w:rsidR="008048C3" w:rsidRPr="00086AB2">
        <w:t xml:space="preserve"> website. </w:t>
      </w:r>
    </w:p>
    <w:p w14:paraId="5CC27AC7" w14:textId="77777777" w:rsidR="006F15AC" w:rsidRPr="00086AB2" w:rsidRDefault="006F15AC" w:rsidP="001665F1">
      <w:pPr>
        <w:pStyle w:val="Titlesmall"/>
      </w:pPr>
      <w:r w:rsidRPr="00086AB2">
        <w:t>Adjustment of Victorian data</w:t>
      </w:r>
    </w:p>
    <w:p w14:paraId="2BECF96A" w14:textId="77777777" w:rsidR="00E92F5B" w:rsidRPr="00086AB2" w:rsidRDefault="006F15AC" w:rsidP="00E92F5B">
      <w:r w:rsidRPr="00086AB2">
        <w:t xml:space="preserve">Only claims involving one or more weeks of compensation have been used for analysis in </w:t>
      </w:r>
      <w:r w:rsidR="00812A53" w:rsidRPr="00086AB2">
        <w:t>P</w:t>
      </w:r>
      <w:r w:rsidR="003C675C" w:rsidRPr="00086AB2">
        <w:t>art</w:t>
      </w:r>
      <w:r w:rsidRPr="00086AB2">
        <w:t xml:space="preserve"> 1 </w:t>
      </w:r>
      <w:r w:rsidR="0097641C" w:rsidRPr="00086AB2">
        <w:t xml:space="preserve">of the CPM, </w:t>
      </w:r>
      <w:r w:rsidRPr="00086AB2">
        <w:t xml:space="preserve">to enable greater comparability in the jurisdictional data. This accounts for the different employer excesses that exist in various schemes. Under the Victorian workers’ compensation scheme the employer is generally liable for the first 10 days of lost wages by the injured worker. In addition to this, </w:t>
      </w:r>
      <w:r w:rsidR="00F2768E" w:rsidRPr="00086AB2">
        <w:t>Victorian employers pay the first $692 of medical services (for the year 201</w:t>
      </w:r>
      <w:r w:rsidR="009A642B">
        <w:t>8</w:t>
      </w:r>
      <w:r w:rsidR="006A3630" w:rsidRPr="00086AB2">
        <w:t>-</w:t>
      </w:r>
      <w:r w:rsidR="00F2768E" w:rsidRPr="00086AB2">
        <w:t>1</w:t>
      </w:r>
      <w:r w:rsidR="009A642B">
        <w:t>9</w:t>
      </w:r>
      <w:r w:rsidR="00F2768E" w:rsidRPr="00086AB2">
        <w:t xml:space="preserve"> </w:t>
      </w:r>
      <w:r w:rsidR="000304FC" w:rsidRPr="00086AB2">
        <w:t>–</w:t>
      </w:r>
      <w:r w:rsidR="00F2768E" w:rsidRPr="00086AB2">
        <w:t xml:space="preserve"> indexed annually</w:t>
      </w:r>
      <w:r w:rsidR="00BD078E" w:rsidRPr="00086AB2">
        <w:t>)</w:t>
      </w:r>
      <w:r w:rsidRPr="00086AB2">
        <w:t xml:space="preserve"> unless the employer has elected the Excess Buyout option. Please refer to WorkSafe Victoria’s website for more information on the Excess Buyout option.</w:t>
      </w:r>
    </w:p>
    <w:p w14:paraId="3D29182C" w14:textId="7AA9CAFC" w:rsidR="00B747C9" w:rsidRPr="00086AB2" w:rsidRDefault="006F15AC" w:rsidP="00E92F5B">
      <w:r w:rsidRPr="00086AB2">
        <w:t>As employers do not always provide WorkSafe Victoria with information on claims lasting fewer than 10 days, an adjustment factor needs to be applied in order to compare Victorian claims data with other jurisdictions. To calculate the Victorian</w:t>
      </w:r>
      <w:r w:rsidR="0097641C" w:rsidRPr="00086AB2">
        <w:t xml:space="preserve"> under-10-</w:t>
      </w:r>
      <w:r w:rsidRPr="00086AB2">
        <w:t>day</w:t>
      </w:r>
      <w:r w:rsidR="0097641C" w:rsidRPr="00086AB2">
        <w:t>s</w:t>
      </w:r>
      <w:r w:rsidRPr="00086AB2">
        <w:t xml:space="preserve"> excess impact, the percentage of claims between </w:t>
      </w:r>
      <w:proofErr w:type="gramStart"/>
      <w:r w:rsidRPr="00086AB2">
        <w:t>one and two weeks</w:t>
      </w:r>
      <w:proofErr w:type="gramEnd"/>
      <w:r w:rsidRPr="00086AB2">
        <w:t xml:space="preserve"> duration for Victoria were compared with the percentage of one to two weeks claims for other Australian jurisdictions. From this comparison, the number of Victorian claims between one and two weeks were increased by a factor so that the percentage of such claims was </w:t>
      </w:r>
      <w:proofErr w:type="gramStart"/>
      <w:r w:rsidRPr="00086AB2">
        <w:t>similar to</w:t>
      </w:r>
      <w:proofErr w:type="gramEnd"/>
      <w:r w:rsidRPr="00086AB2">
        <w:t xml:space="preserve"> the Australian average. The analysis was undertaken at the industry division level to allow for a greater degree of homogeneity in respect of claim duration in Victoria. The application of the factors has increased claims sup</w:t>
      </w:r>
      <w:r w:rsidR="00A66DE3" w:rsidRPr="00086AB2">
        <w:t>plied by WorkSafe Victoria by 1</w:t>
      </w:r>
      <w:r w:rsidR="00CE7F34">
        <w:t>3</w:t>
      </w:r>
      <w:r w:rsidR="003C4F76">
        <w:t>%</w:t>
      </w:r>
      <w:r w:rsidRPr="00086AB2">
        <w:t xml:space="preserve"> (from </w:t>
      </w:r>
      <w:r w:rsidR="002A4936">
        <w:t>20</w:t>
      </w:r>
      <w:r w:rsidR="00A66DE3" w:rsidRPr="00086AB2">
        <w:t>,</w:t>
      </w:r>
      <w:r w:rsidR="002A4936">
        <w:t>286</w:t>
      </w:r>
      <w:r w:rsidR="00A66DE3" w:rsidRPr="00086AB2">
        <w:t xml:space="preserve"> to 2</w:t>
      </w:r>
      <w:r w:rsidR="002A4936">
        <w:t>2</w:t>
      </w:r>
      <w:r w:rsidR="00A66DE3" w:rsidRPr="00086AB2">
        <w:t>,</w:t>
      </w:r>
      <w:r w:rsidR="002A4936">
        <w:t>897</w:t>
      </w:r>
      <w:r w:rsidRPr="00086AB2">
        <w:t>)</w:t>
      </w:r>
      <w:r w:rsidR="00B51D5F" w:rsidRPr="00086AB2">
        <w:t xml:space="preserve"> in 201</w:t>
      </w:r>
      <w:r w:rsidR="009A642B">
        <w:t>8</w:t>
      </w:r>
      <w:r w:rsidR="00B51D5F" w:rsidRPr="00086AB2">
        <w:t>–1</w:t>
      </w:r>
      <w:r w:rsidR="009A642B">
        <w:t>9</w:t>
      </w:r>
      <w:r w:rsidRPr="00086AB2">
        <w:t>.</w:t>
      </w:r>
    </w:p>
    <w:p w14:paraId="6C912074" w14:textId="77777777" w:rsidR="0046252E" w:rsidRPr="00086AB2" w:rsidRDefault="0046252E" w:rsidP="001665F1">
      <w:pPr>
        <w:pStyle w:val="Titlesmall"/>
      </w:pPr>
      <w:r w:rsidRPr="00086AB2">
        <w:t>Changes to South Australian data</w:t>
      </w:r>
    </w:p>
    <w:p w14:paraId="0F9CDE5E" w14:textId="46100676" w:rsidR="002122C3" w:rsidRPr="004F6BA7" w:rsidRDefault="00100D8A" w:rsidP="004F6BA7">
      <w:r w:rsidRPr="00086AB2">
        <w:t xml:space="preserve">Safe Work Australia conducted a </w:t>
      </w:r>
      <w:r w:rsidR="0046252E" w:rsidRPr="00086AB2">
        <w:t>review of the methodology used to calc</w:t>
      </w:r>
      <w:r w:rsidRPr="00086AB2">
        <w:t>ulate South Australian under-10-</w:t>
      </w:r>
      <w:r w:rsidR="0046252E" w:rsidRPr="00086AB2">
        <w:t>days excess factors</w:t>
      </w:r>
      <w:r w:rsidRPr="00086AB2">
        <w:t xml:space="preserve">. Following the </w:t>
      </w:r>
      <w:r w:rsidR="00384890" w:rsidRPr="00086AB2">
        <w:t>review,</w:t>
      </w:r>
      <w:r w:rsidRPr="00086AB2">
        <w:t xml:space="preserve"> </w:t>
      </w:r>
      <w:r w:rsidR="0046252E" w:rsidRPr="00086AB2">
        <w:t xml:space="preserve">it was found that the claim numbers after factoring did not accurately represent the South Australian claims. </w:t>
      </w:r>
      <w:r w:rsidRPr="00086AB2">
        <w:t>Hence t</w:t>
      </w:r>
      <w:r w:rsidR="00B51D5F" w:rsidRPr="00086AB2">
        <w:t xml:space="preserve">he </w:t>
      </w:r>
      <w:r w:rsidRPr="00086AB2">
        <w:t xml:space="preserve">excess factors for </w:t>
      </w:r>
      <w:r w:rsidR="00B51D5F" w:rsidRPr="00086AB2">
        <w:t xml:space="preserve">South Australian claims were not applied </w:t>
      </w:r>
      <w:r w:rsidR="00BE7BA6">
        <w:t xml:space="preserve">to their claims data </w:t>
      </w:r>
      <w:r w:rsidR="002108F4">
        <w:t>from</w:t>
      </w:r>
      <w:r w:rsidR="00B51D5F" w:rsidRPr="00086AB2">
        <w:t xml:space="preserve"> 201</w:t>
      </w:r>
      <w:r w:rsidR="00994B8B">
        <w:t>5</w:t>
      </w:r>
      <w:r w:rsidR="00B51D5F" w:rsidRPr="00086AB2">
        <w:t>–1</w:t>
      </w:r>
      <w:r w:rsidR="00994B8B">
        <w:t>6</w:t>
      </w:r>
      <w:r w:rsidR="002108F4">
        <w:t xml:space="preserve"> onward</w:t>
      </w:r>
      <w:r w:rsidR="00B51D5F" w:rsidRPr="00086AB2">
        <w:t>.</w:t>
      </w:r>
    </w:p>
    <w:p w14:paraId="34EE5A04" w14:textId="4D3BF117" w:rsidR="004F2B63" w:rsidRDefault="004F2B63" w:rsidP="004F2B63">
      <w:pPr>
        <w:pStyle w:val="Titlesmall"/>
      </w:pPr>
      <w:r>
        <w:t>Adjustment of Tasmanian data</w:t>
      </w:r>
    </w:p>
    <w:p w14:paraId="37000B71" w14:textId="73084609" w:rsidR="004F2B63" w:rsidRPr="00924D05" w:rsidRDefault="004F2B63" w:rsidP="004F2B63">
      <w:r>
        <w:t xml:space="preserve">The </w:t>
      </w:r>
      <w:r w:rsidR="004B00B0">
        <w:t xml:space="preserve">recent </w:t>
      </w:r>
      <w:r>
        <w:t>increase in the number of claims for Tasmania is a result of legislative changes which came into effect 1 January 2018. Amendments to S97A removed the obligation for an insurance excess.  Employers are now required to have a policy in place which indemnifies them for the full amount of liabilities including the first weekly payment and the first $200 of any benefits payable. The expected impact of this legislative change was an increase in the number of more minor claims being reported.</w:t>
      </w:r>
    </w:p>
    <w:p w14:paraId="3ABA7649" w14:textId="77777777" w:rsidR="006F15AC" w:rsidRPr="00086AB2" w:rsidRDefault="008E3FEF" w:rsidP="001665F1">
      <w:pPr>
        <w:pStyle w:val="Titlesmall"/>
      </w:pPr>
      <w:r w:rsidRPr="00086AB2">
        <w:lastRenderedPageBreak/>
        <w:t>Size of business</w:t>
      </w:r>
    </w:p>
    <w:p w14:paraId="1E589B40" w14:textId="31262506" w:rsidR="006F15AC" w:rsidRPr="00086AB2" w:rsidRDefault="006F15AC" w:rsidP="006F15AC">
      <w:r w:rsidRPr="00086AB2">
        <w:t xml:space="preserve">The number of employees in each of the three business size groups </w:t>
      </w:r>
      <w:r w:rsidR="004B00B0">
        <w:t xml:space="preserve">(in Indicator 9) </w:t>
      </w:r>
      <w:r w:rsidRPr="00086AB2">
        <w:t xml:space="preserve">has been </w:t>
      </w:r>
      <w:r w:rsidR="006E3C9D">
        <w:t>sourced from</w:t>
      </w:r>
      <w:r w:rsidRPr="00086AB2">
        <w:t xml:space="preserve"> the ABS. Estimates of employment figures by ‘Small: less than 20 employees’, ‘Medium: 20–199 employees’ and ‘Large: 200 employees or more’ business size groups published in the ‘Australian Industry’ publication (ABS cat. No. 8155.0) </w:t>
      </w:r>
      <w:r w:rsidR="00C90848">
        <w:t>were</w:t>
      </w:r>
      <w:r w:rsidRPr="00086AB2">
        <w:t xml:space="preserve"> used. These estimates </w:t>
      </w:r>
      <w:r w:rsidR="00C90848">
        <w:t>were</w:t>
      </w:r>
      <w:r w:rsidRPr="00086AB2">
        <w:t xml:space="preserve"> produced annually using a combination of data directly collected from the annual Economic Activity Survey (EAS) conducted by the ABS and Business Activity Statement (BAS) data provided by businesses to the Australian Taxation Office (ATO). As figures in this publication are for ‘Employment’, the ABS Labour Force data were also used in order to be able to exclude self-employed persons from the ‘Australian Industry’ figures.</w:t>
      </w:r>
    </w:p>
    <w:p w14:paraId="484899BA" w14:textId="77777777" w:rsidR="006F15AC" w:rsidRPr="00086AB2" w:rsidRDefault="006F15AC" w:rsidP="006F15AC">
      <w:r w:rsidRPr="00086AB2">
        <w:t>The scope and coverage of these estimates are for the private sector only, which consists of all business entities in the Australian economy except for entities classified as general Government.</w:t>
      </w:r>
    </w:p>
    <w:p w14:paraId="243E463F" w14:textId="77777777" w:rsidR="006F15AC" w:rsidRPr="00086AB2" w:rsidRDefault="006F15AC" w:rsidP="00396555"/>
    <w:p w14:paraId="041991EB" w14:textId="77777777" w:rsidR="008E540E" w:rsidRPr="00086AB2" w:rsidRDefault="008E540E" w:rsidP="00396555">
      <w:pPr>
        <w:sectPr w:rsidR="008E540E" w:rsidRPr="00086AB2" w:rsidSect="009C1651">
          <w:pgSz w:w="11906" w:h="16838"/>
          <w:pgMar w:top="1440" w:right="1800" w:bottom="1440" w:left="1276" w:header="708" w:footer="708" w:gutter="0"/>
          <w:cols w:space="242"/>
          <w:docGrid w:linePitch="360"/>
        </w:sectPr>
      </w:pPr>
    </w:p>
    <w:p w14:paraId="63FF8C3B" w14:textId="77777777" w:rsidR="006F15AC" w:rsidRPr="00086AB2" w:rsidRDefault="006F15AC" w:rsidP="001665F1">
      <w:pPr>
        <w:pStyle w:val="Title"/>
      </w:pPr>
      <w:bookmarkStart w:id="95" w:name="_Toc55294241"/>
      <w:r w:rsidRPr="00086AB2">
        <w:lastRenderedPageBreak/>
        <w:t>Appendix 2 – Jurisdictional contact information</w:t>
      </w:r>
      <w:bookmarkEnd w:id="95"/>
    </w:p>
    <w:p w14:paraId="5DB3A58C" w14:textId="743FFECD" w:rsidR="004841BA" w:rsidRPr="00086AB2" w:rsidRDefault="004841BA" w:rsidP="006D1C78">
      <w:pPr>
        <w:pStyle w:val="SWATableheader"/>
        <w:spacing w:before="120" w:after="120"/>
      </w:pPr>
      <w:r w:rsidRPr="00086AB2">
        <w:t xml:space="preserve">Appendix 2 – Table </w:t>
      </w:r>
      <w:r w:rsidR="006F0762" w:rsidRPr="00086AB2">
        <w:rPr>
          <w:noProof/>
        </w:rPr>
        <w:fldChar w:fldCharType="begin"/>
      </w:r>
      <w:r w:rsidR="006F0762" w:rsidRPr="00086AB2">
        <w:rPr>
          <w:noProof/>
        </w:rPr>
        <w:instrText xml:space="preserve"> SEQ Table \* ARABIC </w:instrText>
      </w:r>
      <w:r w:rsidR="006F0762" w:rsidRPr="00086AB2">
        <w:rPr>
          <w:noProof/>
        </w:rPr>
        <w:fldChar w:fldCharType="separate"/>
      </w:r>
      <w:r w:rsidR="00772B12">
        <w:rPr>
          <w:noProof/>
        </w:rPr>
        <w:t>1</w:t>
      </w:r>
      <w:r w:rsidR="006F0762" w:rsidRPr="00086AB2">
        <w:rPr>
          <w:noProof/>
        </w:rPr>
        <w:fldChar w:fldCharType="end"/>
      </w:r>
      <w:r w:rsidRPr="00086AB2">
        <w:t>: Jurisdictional contact information</w:t>
      </w:r>
    </w:p>
    <w:tbl>
      <w:tblPr>
        <w:tblStyle w:val="LightShading-Accent2"/>
        <w:tblW w:w="5310" w:type="pct"/>
        <w:tblLayout w:type="fixed"/>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339"/>
        <w:gridCol w:w="3326"/>
        <w:gridCol w:w="3705"/>
      </w:tblGrid>
      <w:tr w:rsidR="0032659F" w:rsidRPr="00086AB2" w14:paraId="1D126267" w14:textId="77777777" w:rsidTr="006D1C78">
        <w:trPr>
          <w:cnfStyle w:val="100000000000" w:firstRow="1" w:lastRow="0" w:firstColumn="0" w:lastColumn="0" w:oddVBand="0" w:evenVBand="0" w:oddHBand="0" w:evenHBand="0" w:firstRowFirstColumn="0" w:firstRowLastColumn="0" w:lastRowFirstColumn="0" w:lastRowLastColumn="0"/>
          <w:cantSplit/>
          <w:trHeight w:val="217"/>
          <w:tblHeader/>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4FE2DE33" w14:textId="77777777" w:rsidR="0032659F" w:rsidRPr="00086AB2" w:rsidRDefault="0032659F" w:rsidP="006D1C78">
            <w:pPr>
              <w:spacing w:before="60" w:after="60"/>
            </w:pPr>
            <w:r w:rsidRPr="00086AB2">
              <w:t>Jurisdiction</w:t>
            </w:r>
          </w:p>
        </w:tc>
        <w:tc>
          <w:tcPr>
            <w:tcW w:w="1775" w:type="pct"/>
            <w:vAlign w:val="center"/>
          </w:tcPr>
          <w:p w14:paraId="4D732B69" w14:textId="77777777" w:rsidR="0032659F" w:rsidRPr="00086AB2" w:rsidRDefault="0032659F" w:rsidP="006D1C78">
            <w:pPr>
              <w:spacing w:before="60" w:after="60"/>
              <w:cnfStyle w:val="100000000000" w:firstRow="1" w:lastRow="0" w:firstColumn="0" w:lastColumn="0" w:oddVBand="0" w:evenVBand="0" w:oddHBand="0" w:evenHBand="0" w:firstRowFirstColumn="0" w:firstRowLastColumn="0" w:lastRowFirstColumn="0" w:lastRowLastColumn="0"/>
            </w:pPr>
            <w:r w:rsidRPr="00086AB2">
              <w:t>Organisation</w:t>
            </w:r>
          </w:p>
        </w:tc>
        <w:tc>
          <w:tcPr>
            <w:tcW w:w="1977" w:type="pct"/>
            <w:vAlign w:val="center"/>
          </w:tcPr>
          <w:p w14:paraId="56552FAA" w14:textId="77777777" w:rsidR="0032659F" w:rsidRPr="00086AB2" w:rsidRDefault="0032659F" w:rsidP="006D1C78">
            <w:pPr>
              <w:spacing w:before="60" w:after="60"/>
              <w:cnfStyle w:val="100000000000" w:firstRow="1" w:lastRow="0" w:firstColumn="0" w:lastColumn="0" w:oddVBand="0" w:evenVBand="0" w:oddHBand="0" w:evenHBand="0" w:firstRowFirstColumn="0" w:firstRowLastColumn="0" w:lastRowFirstColumn="0" w:lastRowLastColumn="0"/>
            </w:pPr>
            <w:r w:rsidRPr="00086AB2">
              <w:t>Contact details</w:t>
            </w:r>
          </w:p>
        </w:tc>
      </w:tr>
      <w:tr w:rsidR="00DA3C51" w:rsidRPr="00086AB2" w14:paraId="61438AC2" w14:textId="77777777" w:rsidTr="006D1C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6555D47F" w14:textId="77777777" w:rsidR="00DA3C51" w:rsidRPr="00086AB2" w:rsidRDefault="00DA3C51" w:rsidP="006D1C78">
            <w:pPr>
              <w:spacing w:before="0" w:after="0"/>
              <w:jc w:val="left"/>
            </w:pPr>
            <w:r w:rsidRPr="00086AB2">
              <w:t>New South Wales</w:t>
            </w:r>
          </w:p>
        </w:tc>
        <w:tc>
          <w:tcPr>
            <w:tcW w:w="1775" w:type="pct"/>
          </w:tcPr>
          <w:p w14:paraId="7F3BB055"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r>
              <w:rPr>
                <w:rFonts w:cs="Arial"/>
                <w:szCs w:val="20"/>
              </w:rPr>
              <w:br/>
            </w:r>
          </w:p>
          <w:p w14:paraId="0BC09654"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7653CC42"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SafeWork NSW</w:t>
            </w:r>
          </w:p>
          <w:p w14:paraId="07D00594" w14:textId="7CE99749"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 w:val="14"/>
                <w:szCs w:val="14"/>
              </w:rPr>
            </w:pPr>
          </w:p>
          <w:p w14:paraId="285DD397" w14:textId="77777777" w:rsidR="006D1C78" w:rsidRPr="006D1C78" w:rsidRDefault="006D1C78"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 w:val="14"/>
                <w:szCs w:val="14"/>
              </w:rPr>
            </w:pPr>
          </w:p>
          <w:p w14:paraId="5272AD25"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NSW Workers Compensation Commission</w:t>
            </w:r>
          </w:p>
          <w:p w14:paraId="14694EFE" w14:textId="328B1C4D"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1DC984A6" w14:textId="77777777" w:rsidR="006D1C78" w:rsidRPr="006D1C78" w:rsidRDefault="006D1C78"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 w:val="14"/>
                <w:szCs w:val="14"/>
              </w:rPr>
            </w:pPr>
          </w:p>
          <w:p w14:paraId="481283F2" w14:textId="7B253A40" w:rsidR="00DA3C51" w:rsidRPr="00086AB2"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pPr>
            <w:proofErr w:type="spellStart"/>
            <w:r>
              <w:rPr>
                <w:rFonts w:cs="Arial"/>
                <w:szCs w:val="20"/>
              </w:rPr>
              <w:t>icare</w:t>
            </w:r>
            <w:proofErr w:type="spellEnd"/>
            <w:r>
              <w:rPr>
                <w:rFonts w:cs="Arial"/>
                <w:szCs w:val="20"/>
              </w:rPr>
              <w:t xml:space="preserve"> NSW</w:t>
            </w:r>
          </w:p>
        </w:tc>
        <w:tc>
          <w:tcPr>
            <w:tcW w:w="1977" w:type="pct"/>
          </w:tcPr>
          <w:p w14:paraId="435FA65D" w14:textId="77777777" w:rsidR="00DA3C51" w:rsidRPr="00405BF7"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405BF7">
              <w:rPr>
                <w:rFonts w:eastAsiaTheme="majorEastAsia"/>
              </w:rPr>
              <w:t>13 10 50</w:t>
            </w:r>
          </w:p>
          <w:p w14:paraId="477E1FCB" w14:textId="77777777" w:rsidR="00DA3C51" w:rsidRPr="00405BF7" w:rsidRDefault="00772B12" w:rsidP="006D1C78">
            <w:pPr>
              <w:pStyle w:val="SWALink"/>
              <w:spacing w:before="0" w:after="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67" w:history="1">
              <w:r w:rsidR="00DA3C51" w:rsidRPr="00405BF7">
                <w:rPr>
                  <w:rStyle w:val="Hyperlink"/>
                  <w:rFonts w:eastAsiaTheme="majorEastAsia"/>
                  <w:color w:val="auto"/>
                </w:rPr>
                <w:t>contact@sira.nsw.gov.au</w:t>
              </w:r>
            </w:hyperlink>
          </w:p>
          <w:p w14:paraId="4C9678B3" w14:textId="77777777" w:rsidR="00DA3C51" w:rsidRPr="00405BF7" w:rsidRDefault="00772B12" w:rsidP="006D1C78">
            <w:pPr>
              <w:pStyle w:val="SWALink"/>
              <w:spacing w:before="0" w:after="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68" w:tooltip="Link to State Insurance Regulatory Authority NSW website" w:history="1">
              <w:r w:rsidR="00DA3C51" w:rsidRPr="00405BF7">
                <w:rPr>
                  <w:rStyle w:val="Hyperlink"/>
                  <w:rFonts w:eastAsiaTheme="majorEastAsia"/>
                  <w:color w:val="auto"/>
                </w:rPr>
                <w:t>www.sira.nsw.gov.au</w:t>
              </w:r>
            </w:hyperlink>
          </w:p>
          <w:p w14:paraId="7A35C340" w14:textId="77777777" w:rsidR="00DA3C51" w:rsidRPr="006D1C78"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sz w:val="14"/>
                <w:szCs w:val="18"/>
              </w:rPr>
            </w:pPr>
          </w:p>
          <w:p w14:paraId="43A14F95" w14:textId="184D7E75" w:rsidR="00DA3C51" w:rsidRPr="0014241A" w:rsidRDefault="00772B12"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69" w:history="1">
              <w:r w:rsidR="00272C00" w:rsidRPr="0014241A">
                <w:rPr>
                  <w:rStyle w:val="Hyperlink"/>
                  <w:rFonts w:eastAsiaTheme="majorEastAsia"/>
                  <w:color w:val="auto"/>
                </w:rPr>
                <w:t>contact@safework.nsw.gov.au</w:t>
              </w:r>
            </w:hyperlink>
          </w:p>
          <w:p w14:paraId="1E76D7D4" w14:textId="77777777" w:rsidR="00DA3C51" w:rsidRPr="00405BF7" w:rsidRDefault="00772B12"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70" w:tooltip="SafeWork NSW website" w:history="1">
              <w:r w:rsidR="00DA3C51" w:rsidRPr="00405BF7">
                <w:rPr>
                  <w:rStyle w:val="Hyperlink"/>
                  <w:rFonts w:eastAsiaTheme="majorEastAsia"/>
                  <w:color w:val="auto"/>
                </w:rPr>
                <w:t>www.safework.nsw.gov.au</w:t>
              </w:r>
            </w:hyperlink>
          </w:p>
          <w:p w14:paraId="5042AB8B" w14:textId="77777777" w:rsidR="00DA3C51" w:rsidRPr="006D1C78"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sz w:val="14"/>
                <w:szCs w:val="18"/>
              </w:rPr>
            </w:pPr>
          </w:p>
          <w:p w14:paraId="28BBD0EF"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rPr>
            </w:pPr>
            <w:r>
              <w:rPr>
                <w:rFonts w:eastAsiaTheme="majorEastAsia"/>
              </w:rPr>
              <w:t>1300 368 040</w:t>
            </w:r>
          </w:p>
          <w:p w14:paraId="484B27B5" w14:textId="77777777" w:rsidR="00DA3C51" w:rsidRPr="00405BF7" w:rsidRDefault="00772B12" w:rsidP="006D1C78">
            <w:pPr>
              <w:spacing w:before="0" w:after="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71" w:history="1">
              <w:r w:rsidR="00DA3C51" w:rsidRPr="00405BF7">
                <w:rPr>
                  <w:rStyle w:val="Hyperlink"/>
                  <w:rFonts w:eastAsiaTheme="majorEastAsia"/>
                  <w:color w:val="auto"/>
                </w:rPr>
                <w:t>registry@wcc.nsw.gov.au</w:t>
              </w:r>
            </w:hyperlink>
          </w:p>
          <w:p w14:paraId="063F1E27" w14:textId="77777777" w:rsidR="00DA3C51" w:rsidRPr="007A554C"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A554C">
              <w:rPr>
                <w:rFonts w:eastAsiaTheme="majorEastAsia"/>
              </w:rPr>
              <w:fldChar w:fldCharType="begin"/>
            </w:r>
            <w:r w:rsidRPr="007A554C">
              <w:rPr>
                <w:rFonts w:eastAsiaTheme="majorEastAsia"/>
              </w:rPr>
              <w:instrText xml:space="preserve"> HYPERLINK "http://www.wcc.nsw.gov.au</w:instrText>
            </w:r>
          </w:p>
          <w:p w14:paraId="3E747803" w14:textId="77777777" w:rsidR="00DA3C51" w:rsidRPr="007A554C"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r w:rsidRPr="007A554C">
              <w:rPr>
                <w:rFonts w:eastAsiaTheme="majorEastAsia"/>
              </w:rPr>
              <w:instrText xml:space="preserve">" </w:instrText>
            </w:r>
            <w:r w:rsidRPr="007A554C">
              <w:rPr>
                <w:rFonts w:eastAsiaTheme="majorEastAsia"/>
              </w:rPr>
              <w:fldChar w:fldCharType="separate"/>
            </w:r>
            <w:r w:rsidRPr="007A554C">
              <w:rPr>
                <w:rStyle w:val="Hyperlink"/>
                <w:rFonts w:eastAsiaTheme="majorEastAsia"/>
                <w:color w:val="auto"/>
              </w:rPr>
              <w:t>www.wcc.nsw.gov.au</w:t>
            </w:r>
          </w:p>
          <w:p w14:paraId="4804FA77" w14:textId="77777777" w:rsidR="00DA3C51" w:rsidRPr="0014241A" w:rsidRDefault="00DA3C51" w:rsidP="006D1C78">
            <w:pPr>
              <w:spacing w:before="0" w:after="0"/>
              <w:cnfStyle w:val="000000100000" w:firstRow="0" w:lastRow="0" w:firstColumn="0" w:lastColumn="0" w:oddVBand="0" w:evenVBand="0" w:oddHBand="1" w:evenHBand="0" w:firstRowFirstColumn="0" w:firstRowLastColumn="0" w:lastRowFirstColumn="0" w:lastRowLastColumn="0"/>
              <w:rPr>
                <w:rFonts w:eastAsiaTheme="majorEastAsia"/>
                <w:sz w:val="14"/>
                <w:szCs w:val="18"/>
              </w:rPr>
            </w:pPr>
            <w:r w:rsidRPr="007A554C">
              <w:rPr>
                <w:rFonts w:eastAsiaTheme="majorEastAsia"/>
              </w:rPr>
              <w:fldChar w:fldCharType="end"/>
            </w:r>
          </w:p>
          <w:p w14:paraId="1B0D1DF9" w14:textId="329E762A" w:rsidR="00DA3C51" w:rsidRPr="004471F0" w:rsidRDefault="00772B12" w:rsidP="006D1C78">
            <w:pPr>
              <w:spacing w:before="0" w:after="0"/>
              <w:cnfStyle w:val="000000100000" w:firstRow="0" w:lastRow="0" w:firstColumn="0" w:lastColumn="0" w:oddVBand="0" w:evenVBand="0" w:oddHBand="1" w:evenHBand="0" w:firstRowFirstColumn="0" w:firstRowLastColumn="0" w:lastRowFirstColumn="0" w:lastRowLastColumn="0"/>
              <w:rPr>
                <w:rFonts w:eastAsiaTheme="majorEastAsia"/>
              </w:rPr>
            </w:pPr>
            <w:hyperlink r:id="rId72" w:history="1">
              <w:r w:rsidR="00DA3C51" w:rsidRPr="0014241A">
                <w:rPr>
                  <w:rStyle w:val="Hyperlink"/>
                  <w:rFonts w:eastAsiaTheme="majorEastAsia"/>
                  <w:color w:val="auto"/>
                </w:rPr>
                <w:t>www.icare.nsw.gov.au</w:t>
              </w:r>
            </w:hyperlink>
          </w:p>
        </w:tc>
      </w:tr>
      <w:tr w:rsidR="0032659F" w:rsidRPr="00086AB2" w14:paraId="48C4F6EC" w14:textId="77777777" w:rsidTr="006D1C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772F223E" w14:textId="77777777" w:rsidR="0032659F" w:rsidRPr="00086AB2" w:rsidRDefault="0032659F" w:rsidP="000D5FE6">
            <w:pPr>
              <w:spacing w:before="60" w:after="60"/>
              <w:jc w:val="left"/>
            </w:pPr>
            <w:r w:rsidRPr="00086AB2">
              <w:t>Victoria</w:t>
            </w:r>
          </w:p>
        </w:tc>
        <w:tc>
          <w:tcPr>
            <w:tcW w:w="1775" w:type="pct"/>
          </w:tcPr>
          <w:p w14:paraId="6641A8B2"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WorkSafe Victoria</w:t>
            </w:r>
          </w:p>
        </w:tc>
        <w:tc>
          <w:tcPr>
            <w:tcW w:w="1977" w:type="pct"/>
          </w:tcPr>
          <w:p w14:paraId="7FF19E62"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Advisory Service 1800 136 089</w:t>
            </w:r>
          </w:p>
          <w:p w14:paraId="7356211E"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3" w:history="1">
              <w:r w:rsidR="0032659F" w:rsidRPr="00086AB2">
                <w:rPr>
                  <w:rStyle w:val="Hyperlink"/>
                  <w:rFonts w:eastAsiaTheme="majorEastAsia"/>
                  <w:color w:val="auto"/>
                </w:rPr>
                <w:t>info@worksafe.vic.gov.au</w:t>
              </w:r>
            </w:hyperlink>
          </w:p>
          <w:p w14:paraId="4A415E21"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74" w:tooltip="Link to WorkSafe Victoria website" w:history="1">
              <w:r w:rsidR="0032659F" w:rsidRPr="00086AB2">
                <w:rPr>
                  <w:rStyle w:val="Hyperlink"/>
                  <w:rFonts w:eastAsiaTheme="majorEastAsia"/>
                  <w:color w:val="auto"/>
                </w:rPr>
                <w:t>www.worksafe.vic.gov.au</w:t>
              </w:r>
            </w:hyperlink>
          </w:p>
        </w:tc>
      </w:tr>
      <w:tr w:rsidR="0032659F" w:rsidRPr="00086AB2" w14:paraId="4A894BE8" w14:textId="77777777" w:rsidTr="006D1C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47419AE5" w14:textId="77777777" w:rsidR="0032659F" w:rsidRPr="00086AB2" w:rsidRDefault="0032659F" w:rsidP="000D5FE6">
            <w:pPr>
              <w:spacing w:before="60" w:after="60"/>
              <w:jc w:val="left"/>
            </w:pPr>
            <w:r w:rsidRPr="00086AB2">
              <w:t>Queensland</w:t>
            </w:r>
          </w:p>
        </w:tc>
        <w:tc>
          <w:tcPr>
            <w:tcW w:w="1775" w:type="pct"/>
          </w:tcPr>
          <w:p w14:paraId="3AE010E5" w14:textId="448821B2" w:rsidR="0032659F" w:rsidRPr="00086AB2" w:rsidRDefault="00DA3C51" w:rsidP="00373865">
            <w:pPr>
              <w:spacing w:before="60" w:after="60"/>
              <w:jc w:val="left"/>
              <w:cnfStyle w:val="000000100000" w:firstRow="0" w:lastRow="0" w:firstColumn="0" w:lastColumn="0" w:oddVBand="0" w:evenVBand="0" w:oddHBand="1" w:evenHBand="0" w:firstRowFirstColumn="0" w:firstRowLastColumn="0" w:lastRowFirstColumn="0" w:lastRowLastColumn="0"/>
            </w:pPr>
            <w:r w:rsidRPr="006F15AC">
              <w:rPr>
                <w:rFonts w:cs="Arial"/>
                <w:szCs w:val="20"/>
              </w:rPr>
              <w:t>Office of Industrial Relations</w:t>
            </w:r>
          </w:p>
        </w:tc>
        <w:tc>
          <w:tcPr>
            <w:tcW w:w="1977" w:type="pct"/>
          </w:tcPr>
          <w:p w14:paraId="40F4E287"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Infoline 1300 362 128</w:t>
            </w:r>
          </w:p>
          <w:p w14:paraId="0DA33DDF" w14:textId="77777777" w:rsidR="0032659F" w:rsidRPr="00086AB2" w:rsidRDefault="00772B12"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75" w:history="1">
              <w:r w:rsidR="0032659F" w:rsidRPr="00086AB2">
                <w:rPr>
                  <w:rStyle w:val="Hyperlink"/>
                  <w:rFonts w:eastAsiaTheme="majorEastAsia"/>
                  <w:color w:val="auto"/>
                </w:rPr>
                <w:t>www.worksafe.qld.gov.au</w:t>
              </w:r>
            </w:hyperlink>
          </w:p>
        </w:tc>
      </w:tr>
      <w:tr w:rsidR="0032659F" w:rsidRPr="00086AB2" w14:paraId="5E5F94C2" w14:textId="77777777" w:rsidTr="006D1C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1031F074" w14:textId="77777777" w:rsidR="0032659F" w:rsidRPr="00086AB2" w:rsidRDefault="0032659F" w:rsidP="000D5FE6">
            <w:pPr>
              <w:spacing w:before="60" w:after="60"/>
              <w:jc w:val="left"/>
            </w:pPr>
            <w:r w:rsidRPr="00086AB2">
              <w:t>Western Australia</w:t>
            </w:r>
          </w:p>
        </w:tc>
        <w:tc>
          <w:tcPr>
            <w:tcW w:w="1775" w:type="pct"/>
          </w:tcPr>
          <w:p w14:paraId="66E25E91"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WorkCover WA</w:t>
            </w:r>
          </w:p>
          <w:p w14:paraId="1552C502"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p>
          <w:p w14:paraId="235C9985"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Department of Mines, Industry Regulation and Safety</w:t>
            </w:r>
            <w:r w:rsidR="004F6215" w:rsidRPr="00086AB2">
              <w:t xml:space="preserve">– WorkSafe </w:t>
            </w:r>
          </w:p>
        </w:tc>
        <w:tc>
          <w:tcPr>
            <w:tcW w:w="1977" w:type="pct"/>
          </w:tcPr>
          <w:p w14:paraId="327A5B35"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(08) 9388 5555</w:t>
            </w:r>
          </w:p>
          <w:p w14:paraId="1B09DC91"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6" w:tooltip="Link to WorkCover WA website" w:history="1">
              <w:r w:rsidR="0032659F" w:rsidRPr="00086AB2">
                <w:rPr>
                  <w:rStyle w:val="Hyperlink"/>
                  <w:rFonts w:eastAsiaTheme="majorEastAsia"/>
                  <w:color w:val="auto"/>
                </w:rPr>
                <w:t>www.workcover.wa.gov.au</w:t>
              </w:r>
            </w:hyperlink>
          </w:p>
          <w:p w14:paraId="645F781F"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1300 307 877</w:t>
            </w:r>
          </w:p>
          <w:p w14:paraId="3D90281C"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7" w:tooltip="Link to Department of Mines, Industry Regulation and Safety– WorkSafe website" w:history="1">
              <w:r w:rsidR="0032659F" w:rsidRPr="00086AB2">
                <w:rPr>
                  <w:rStyle w:val="Hyperlink"/>
                  <w:rFonts w:eastAsiaTheme="majorEastAsia"/>
                  <w:color w:val="auto"/>
                </w:rPr>
                <w:t>www.dmirs.wa.gov.au</w:t>
              </w:r>
            </w:hyperlink>
          </w:p>
        </w:tc>
      </w:tr>
      <w:tr w:rsidR="0032659F" w:rsidRPr="00086AB2" w14:paraId="72A25EE5" w14:textId="77777777" w:rsidTr="006D1C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13DAC779" w14:textId="77777777" w:rsidR="0032659F" w:rsidRPr="00086AB2" w:rsidRDefault="0032659F" w:rsidP="000D5FE6">
            <w:pPr>
              <w:spacing w:before="60" w:after="60"/>
              <w:jc w:val="left"/>
            </w:pPr>
            <w:r w:rsidRPr="00086AB2">
              <w:t>South Australia</w:t>
            </w:r>
          </w:p>
        </w:tc>
        <w:tc>
          <w:tcPr>
            <w:tcW w:w="1775" w:type="pct"/>
          </w:tcPr>
          <w:p w14:paraId="4B231D23" w14:textId="77777777" w:rsidR="0032659F" w:rsidRPr="00086AB2" w:rsidRDefault="00B27863" w:rsidP="000D5FE6">
            <w:pPr>
              <w:spacing w:before="60" w:after="60"/>
              <w:jc w:val="left"/>
              <w:cnfStyle w:val="000000100000" w:firstRow="0" w:lastRow="0" w:firstColumn="0" w:lastColumn="0" w:oddVBand="0" w:evenVBand="0" w:oddHBand="1" w:evenHBand="0" w:firstRowFirstColumn="0" w:firstRowLastColumn="0" w:lastRowFirstColumn="0" w:lastRowLastColumn="0"/>
            </w:pPr>
            <w:proofErr w:type="spellStart"/>
            <w:r w:rsidRPr="00086AB2">
              <w:t>Return</w:t>
            </w:r>
            <w:r w:rsidR="00AA4BC3">
              <w:t>T</w:t>
            </w:r>
            <w:r w:rsidRPr="00086AB2">
              <w:t>oWorkSA</w:t>
            </w:r>
            <w:proofErr w:type="spellEnd"/>
          </w:p>
          <w:p w14:paraId="1D2199B0"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p>
          <w:p w14:paraId="2D11C3D7"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SafeWork SA</w:t>
            </w:r>
          </w:p>
        </w:tc>
        <w:tc>
          <w:tcPr>
            <w:tcW w:w="1977" w:type="pct"/>
          </w:tcPr>
          <w:p w14:paraId="1D92CCD9"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13 18 55</w:t>
            </w:r>
          </w:p>
          <w:p w14:paraId="23C96E16" w14:textId="77777777" w:rsidR="0032659F" w:rsidRPr="00086AB2" w:rsidRDefault="00772B12"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8" w:tooltip="Link to Return to Work SA website" w:history="1">
              <w:r w:rsidR="0032659F" w:rsidRPr="00086AB2">
                <w:rPr>
                  <w:rStyle w:val="Hyperlink"/>
                  <w:rFonts w:eastAsiaTheme="majorEastAsia"/>
                  <w:color w:val="auto"/>
                </w:rPr>
                <w:t>www.rtwsa.com</w:t>
              </w:r>
            </w:hyperlink>
          </w:p>
          <w:p w14:paraId="0190FFE3"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1300 365 255</w:t>
            </w:r>
          </w:p>
          <w:p w14:paraId="32B55C4A" w14:textId="77777777" w:rsidR="0032659F" w:rsidRPr="00086AB2" w:rsidRDefault="00772B12"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9" w:tooltip="Link to SafeWork SA website" w:history="1">
              <w:r w:rsidR="0032659F" w:rsidRPr="00086AB2">
                <w:rPr>
                  <w:rStyle w:val="Hyperlink"/>
                  <w:rFonts w:eastAsiaTheme="majorEastAsia"/>
                  <w:color w:val="auto"/>
                </w:rPr>
                <w:t>www.safework.sa.gov.au</w:t>
              </w:r>
            </w:hyperlink>
          </w:p>
        </w:tc>
      </w:tr>
      <w:tr w:rsidR="0032659F" w:rsidRPr="00086AB2" w14:paraId="05FA3E5E" w14:textId="77777777" w:rsidTr="006D1C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5A1F5EA1" w14:textId="77777777" w:rsidR="0032659F" w:rsidRPr="00086AB2" w:rsidRDefault="0032659F" w:rsidP="000D5FE6">
            <w:pPr>
              <w:spacing w:before="60" w:after="60"/>
              <w:jc w:val="left"/>
            </w:pPr>
            <w:r w:rsidRPr="00086AB2">
              <w:t>Tasmania</w:t>
            </w:r>
          </w:p>
        </w:tc>
        <w:tc>
          <w:tcPr>
            <w:tcW w:w="1775" w:type="pct"/>
          </w:tcPr>
          <w:p w14:paraId="007E2A39"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WorkSafe Tasmania</w:t>
            </w:r>
          </w:p>
        </w:tc>
        <w:tc>
          <w:tcPr>
            <w:tcW w:w="1977" w:type="pct"/>
          </w:tcPr>
          <w:p w14:paraId="0326771F"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Helpline</w:t>
            </w:r>
          </w:p>
          <w:p w14:paraId="75B48C65"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1300 366 322 (inside Tas)</w:t>
            </w:r>
          </w:p>
          <w:p w14:paraId="2A7AE382"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(03) 6166 4600 (outside Tas)</w:t>
            </w:r>
          </w:p>
          <w:p w14:paraId="4776B13E"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0" w:history="1">
              <w:r w:rsidR="0032659F" w:rsidRPr="00086AB2">
                <w:rPr>
                  <w:rStyle w:val="Hyperlink"/>
                  <w:rFonts w:eastAsiaTheme="majorEastAsia"/>
                  <w:color w:val="auto"/>
                </w:rPr>
                <w:t>wstinfo@justice.tas.gov.au</w:t>
              </w:r>
            </w:hyperlink>
          </w:p>
          <w:p w14:paraId="2F7A6826"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81" w:tooltip="Link to WorkSafe Tasmania website" w:history="1">
              <w:r w:rsidR="0032659F" w:rsidRPr="00086AB2">
                <w:rPr>
                  <w:rStyle w:val="Hyperlink"/>
                  <w:rFonts w:eastAsiaTheme="majorEastAsia"/>
                  <w:color w:val="auto"/>
                </w:rPr>
                <w:t>www.worksafe.tas.gov.au</w:t>
              </w:r>
            </w:hyperlink>
          </w:p>
        </w:tc>
      </w:tr>
      <w:tr w:rsidR="0032659F" w:rsidRPr="00086AB2" w14:paraId="0E3B67B3" w14:textId="77777777" w:rsidTr="006D1C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6C375757" w14:textId="77777777" w:rsidR="0032659F" w:rsidRPr="00086AB2" w:rsidRDefault="0032659F" w:rsidP="000D5FE6">
            <w:pPr>
              <w:spacing w:before="60" w:after="60"/>
              <w:jc w:val="left"/>
            </w:pPr>
            <w:r w:rsidRPr="00086AB2">
              <w:t>Northern Territory</w:t>
            </w:r>
          </w:p>
        </w:tc>
        <w:tc>
          <w:tcPr>
            <w:tcW w:w="1775" w:type="pct"/>
          </w:tcPr>
          <w:p w14:paraId="221E917A"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NT WorkSafe</w:t>
            </w:r>
          </w:p>
        </w:tc>
        <w:tc>
          <w:tcPr>
            <w:tcW w:w="1977" w:type="pct"/>
          </w:tcPr>
          <w:p w14:paraId="09BFCC51"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086AB2">
              <w:rPr>
                <w:rFonts w:eastAsiaTheme="majorEastAsia"/>
              </w:rPr>
              <w:t>1800 019 115</w:t>
            </w:r>
          </w:p>
          <w:p w14:paraId="1E0DEE7C" w14:textId="77777777" w:rsidR="0032659F" w:rsidRPr="00086AB2" w:rsidRDefault="00772B12"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2" w:history="1">
              <w:r w:rsidR="0032659F" w:rsidRPr="00086AB2">
                <w:rPr>
                  <w:rStyle w:val="Hyperlink"/>
                  <w:rFonts w:eastAsiaTheme="majorEastAsia"/>
                  <w:color w:val="auto"/>
                </w:rPr>
                <w:t>ntworksafe@nt.gov.au</w:t>
              </w:r>
            </w:hyperlink>
          </w:p>
          <w:p w14:paraId="1782C139" w14:textId="77777777" w:rsidR="0032659F" w:rsidRPr="00086AB2" w:rsidRDefault="00772B12" w:rsidP="000D5FE6">
            <w:pPr>
              <w:pStyle w:val="SWALink"/>
              <w:spacing w:before="60" w:after="60"/>
              <w:cnfStyle w:val="000000100000" w:firstRow="0" w:lastRow="0" w:firstColumn="0" w:lastColumn="0" w:oddVBand="0" w:evenVBand="0" w:oddHBand="1" w:evenHBand="0" w:firstRowFirstColumn="0" w:firstRowLastColumn="0" w:lastRowFirstColumn="0" w:lastRowLastColumn="0"/>
            </w:pPr>
            <w:hyperlink r:id="rId83" w:history="1">
              <w:r w:rsidR="0032659F" w:rsidRPr="00086AB2">
                <w:rPr>
                  <w:rStyle w:val="Hyperlink"/>
                  <w:rFonts w:eastAsiaTheme="majorEastAsia"/>
                  <w:color w:val="auto"/>
                </w:rPr>
                <w:t>www.worksafe.nt.gov.au</w:t>
              </w:r>
            </w:hyperlink>
          </w:p>
        </w:tc>
      </w:tr>
      <w:tr w:rsidR="0032659F" w:rsidRPr="00086AB2" w14:paraId="44ED890B" w14:textId="77777777" w:rsidTr="006D1C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1805F627" w14:textId="77777777" w:rsidR="0032659F" w:rsidRPr="00086AB2" w:rsidRDefault="0032659F" w:rsidP="000D5FE6">
            <w:pPr>
              <w:spacing w:before="60" w:after="60"/>
              <w:jc w:val="left"/>
            </w:pPr>
            <w:r w:rsidRPr="00086AB2">
              <w:t>Australian Capital Territory</w:t>
            </w:r>
          </w:p>
        </w:tc>
        <w:tc>
          <w:tcPr>
            <w:tcW w:w="1775" w:type="pct"/>
          </w:tcPr>
          <w:p w14:paraId="37C0EB85" w14:textId="6373FA93" w:rsidR="0032659F" w:rsidRPr="00086AB2" w:rsidRDefault="00DA3C51"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6F15AC">
              <w:rPr>
                <w:rFonts w:cs="Arial"/>
                <w:szCs w:val="20"/>
              </w:rPr>
              <w:t>WorkSafe ACT</w:t>
            </w:r>
          </w:p>
        </w:tc>
        <w:tc>
          <w:tcPr>
            <w:tcW w:w="1977" w:type="pct"/>
          </w:tcPr>
          <w:p w14:paraId="7F180D60"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(02) 6207 3000</w:t>
            </w:r>
          </w:p>
          <w:p w14:paraId="58C627B1" w14:textId="087BF108"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4" w:history="1">
              <w:r w:rsidR="00E61F01" w:rsidRPr="007240E7">
                <w:rPr>
                  <w:rStyle w:val="Hyperlink"/>
                  <w:rFonts w:eastAsiaTheme="majorEastAsia" w:cs="Arial"/>
                  <w:color w:val="auto"/>
                  <w:szCs w:val="20"/>
                </w:rPr>
                <w:t>www.worksafe.act.gov.au</w:t>
              </w:r>
            </w:hyperlink>
          </w:p>
        </w:tc>
      </w:tr>
      <w:tr w:rsidR="0032659F" w:rsidRPr="00086AB2" w14:paraId="6B81DA6F" w14:textId="77777777" w:rsidTr="006D1C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67AF395E" w14:textId="77777777" w:rsidR="0032659F" w:rsidRPr="00086AB2" w:rsidRDefault="0032659F" w:rsidP="000D5FE6">
            <w:pPr>
              <w:spacing w:before="60" w:after="60"/>
              <w:jc w:val="left"/>
            </w:pPr>
            <w:r w:rsidRPr="00086AB2">
              <w:t>Seafarers</w:t>
            </w:r>
          </w:p>
        </w:tc>
        <w:tc>
          <w:tcPr>
            <w:tcW w:w="1775" w:type="pct"/>
          </w:tcPr>
          <w:p w14:paraId="4838CB33"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Seacare Authority</w:t>
            </w:r>
          </w:p>
        </w:tc>
        <w:tc>
          <w:tcPr>
            <w:tcW w:w="1977" w:type="pct"/>
          </w:tcPr>
          <w:p w14:paraId="45D84DA0" w14:textId="77777777"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(02) 6275 0070</w:t>
            </w:r>
          </w:p>
          <w:p w14:paraId="1626D4C2" w14:textId="4431F794" w:rsidR="0032659F" w:rsidRPr="0014241A" w:rsidRDefault="00772B12"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5" w:history="1">
              <w:r w:rsidR="00B82321" w:rsidRPr="0014241A">
                <w:rPr>
                  <w:rStyle w:val="Hyperlink"/>
                  <w:rFonts w:eastAsiaTheme="majorEastAsia"/>
                  <w:color w:val="auto"/>
                </w:rPr>
                <w:t>seacare@comcare.gov.au</w:t>
              </w:r>
            </w:hyperlink>
          </w:p>
          <w:p w14:paraId="6ABCE3F3" w14:textId="77777777" w:rsidR="0032659F" w:rsidRPr="00086AB2" w:rsidRDefault="00772B12"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6" w:tooltip="Link to Seacare Authority website" w:history="1">
              <w:r w:rsidR="0032659F" w:rsidRPr="00086AB2">
                <w:rPr>
                  <w:rStyle w:val="Hyperlink"/>
                  <w:rFonts w:eastAsiaTheme="majorEastAsia"/>
                  <w:color w:val="auto"/>
                </w:rPr>
                <w:t>www.seacare.gov.au</w:t>
              </w:r>
            </w:hyperlink>
          </w:p>
        </w:tc>
      </w:tr>
      <w:tr w:rsidR="0032659F" w:rsidRPr="00086AB2" w14:paraId="1B83E090" w14:textId="77777777" w:rsidTr="006D1C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6FA5C982" w14:textId="77777777" w:rsidR="0032659F" w:rsidRPr="00086AB2" w:rsidRDefault="0032659F" w:rsidP="000D5FE6">
            <w:pPr>
              <w:spacing w:before="60" w:after="60"/>
              <w:jc w:val="left"/>
            </w:pPr>
            <w:r w:rsidRPr="00086AB2">
              <w:t>Australian Government</w:t>
            </w:r>
          </w:p>
        </w:tc>
        <w:tc>
          <w:tcPr>
            <w:tcW w:w="1775" w:type="pct"/>
          </w:tcPr>
          <w:p w14:paraId="463083BA"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Comcare</w:t>
            </w:r>
          </w:p>
        </w:tc>
        <w:tc>
          <w:tcPr>
            <w:tcW w:w="1977" w:type="pct"/>
          </w:tcPr>
          <w:p w14:paraId="4E3A4804" w14:textId="77777777"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1300 366 979</w:t>
            </w:r>
          </w:p>
          <w:p w14:paraId="2CE9AC4D" w14:textId="77777777" w:rsidR="0032659F" w:rsidRPr="00086AB2" w:rsidRDefault="00772B12"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7" w:tooltip="Link to Comcare website" w:history="1">
              <w:r w:rsidR="0032659F" w:rsidRPr="00086AB2">
                <w:rPr>
                  <w:rStyle w:val="Hyperlink"/>
                  <w:rFonts w:eastAsiaTheme="majorEastAsia"/>
                  <w:color w:val="auto"/>
                </w:rPr>
                <w:t>www.comcare.gov.au</w:t>
              </w:r>
            </w:hyperlink>
          </w:p>
        </w:tc>
      </w:tr>
      <w:tr w:rsidR="00DA3C51" w:rsidRPr="00EA124A" w14:paraId="722D85A1" w14:textId="77777777" w:rsidTr="006D1C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Pr>
          <w:p w14:paraId="2D4ABEF1" w14:textId="77777777" w:rsidR="00DA3C51" w:rsidRPr="00086AB2" w:rsidRDefault="00DA3C51" w:rsidP="006D1C78">
            <w:pPr>
              <w:spacing w:before="0" w:after="0"/>
              <w:jc w:val="left"/>
            </w:pPr>
            <w:r w:rsidRPr="00086AB2">
              <w:t>New Zealand</w:t>
            </w:r>
          </w:p>
        </w:tc>
        <w:tc>
          <w:tcPr>
            <w:tcW w:w="1775" w:type="pct"/>
          </w:tcPr>
          <w:p w14:paraId="2989C1B3"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p w14:paraId="24D8BE54"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A0A6F3D"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78BFA18" w14:textId="7360CDB0" w:rsidR="00DA3C51" w:rsidRPr="00086AB2"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pPr>
            <w:r>
              <w:rPr>
                <w:rFonts w:cs="Arial"/>
                <w:szCs w:val="20"/>
              </w:rPr>
              <w:t>Wor</w:t>
            </w:r>
            <w:r w:rsidR="00085F25">
              <w:rPr>
                <w:rFonts w:cs="Arial"/>
                <w:szCs w:val="20"/>
              </w:rPr>
              <w:t>k</w:t>
            </w:r>
            <w:r>
              <w:rPr>
                <w:rFonts w:cs="Arial"/>
                <w:szCs w:val="20"/>
              </w:rPr>
              <w:t>Safe New Zealand</w:t>
            </w:r>
          </w:p>
        </w:tc>
        <w:tc>
          <w:tcPr>
            <w:tcW w:w="1977" w:type="pct"/>
          </w:tcPr>
          <w:p w14:paraId="3D8374FE" w14:textId="77777777" w:rsidR="00DA3C51" w:rsidRPr="006F15AC"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64 7 848 7400</w:t>
            </w:r>
          </w:p>
          <w:p w14:paraId="772C0F3C" w14:textId="77777777" w:rsidR="00DA3C51" w:rsidRDefault="00772B12" w:rsidP="006D1C78">
            <w:pPr>
              <w:spacing w:before="0" w:after="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88" w:tooltip="Accident Compensation Corporation website" w:history="1">
              <w:r w:rsidR="00DA3C51" w:rsidRPr="006F15AC">
                <w:rPr>
                  <w:rStyle w:val="Hyperlinks"/>
                  <w:rFonts w:eastAsiaTheme="majorEastAsia" w:cs="Arial"/>
                  <w:color w:val="auto"/>
                  <w:szCs w:val="20"/>
                </w:rPr>
                <w:t>www.acc.co.nz</w:t>
              </w:r>
            </w:hyperlink>
          </w:p>
          <w:p w14:paraId="70515E44" w14:textId="77777777" w:rsidR="00DA3C51"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p>
          <w:p w14:paraId="7C9A3F13" w14:textId="77777777" w:rsidR="00DA3C51" w:rsidRPr="00C14DCF" w:rsidRDefault="00DA3C51" w:rsidP="006D1C78">
            <w:pPr>
              <w:spacing w:before="0" w:after="0"/>
              <w:jc w:val="left"/>
              <w:cnfStyle w:val="000000100000" w:firstRow="0" w:lastRow="0" w:firstColumn="0" w:lastColumn="0" w:oddVBand="0" w:evenVBand="0" w:oddHBand="1" w:evenHBand="0" w:firstRowFirstColumn="0" w:firstRowLastColumn="0" w:lastRowFirstColumn="0" w:lastRowLastColumn="0"/>
              <w:rPr>
                <w:rFonts w:cs="Arial"/>
                <w:szCs w:val="20"/>
              </w:rPr>
            </w:pPr>
            <w:r w:rsidRPr="00C14DCF">
              <w:rPr>
                <w:rFonts w:cs="Arial"/>
                <w:szCs w:val="20"/>
              </w:rPr>
              <w:t>0800 030 040</w:t>
            </w:r>
          </w:p>
          <w:p w14:paraId="4A532133" w14:textId="2D897E98" w:rsidR="00DA3C51" w:rsidRPr="00A71A8E" w:rsidRDefault="00772B12" w:rsidP="006D1C78">
            <w:pPr>
              <w:spacing w:before="0" w:after="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89" w:history="1">
              <w:r w:rsidR="00DA3C51" w:rsidRPr="00C14DCF">
                <w:rPr>
                  <w:rStyle w:val="Hyperlinks"/>
                  <w:rFonts w:eastAsiaTheme="majorEastAsia"/>
                  <w:color w:val="auto"/>
                </w:rPr>
                <w:t>www.worksafe.govt.nz</w:t>
              </w:r>
            </w:hyperlink>
          </w:p>
        </w:tc>
      </w:tr>
    </w:tbl>
    <w:p w14:paraId="576C651A" w14:textId="77777777" w:rsidR="0032659F" w:rsidRPr="004F6BA7" w:rsidRDefault="0032659F" w:rsidP="0032659F">
      <w:pPr>
        <w:rPr>
          <w:sz w:val="2"/>
          <w:szCs w:val="2"/>
        </w:rPr>
      </w:pPr>
    </w:p>
    <w:sectPr w:rsidR="0032659F" w:rsidRPr="004F6BA7" w:rsidSect="00F21CB1">
      <w:headerReference w:type="first" r:id="rId90"/>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C770F" w14:textId="77777777" w:rsidR="004B52FB" w:rsidRDefault="004B52FB" w:rsidP="003411E8">
      <w:r>
        <w:separator/>
      </w:r>
    </w:p>
  </w:endnote>
  <w:endnote w:type="continuationSeparator" w:id="0">
    <w:p w14:paraId="56D354A5" w14:textId="77777777" w:rsidR="004B52FB" w:rsidRDefault="004B52FB"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938542"/>
      <w:docPartObj>
        <w:docPartGallery w:val="Page Numbers (Bottom of Page)"/>
        <w:docPartUnique/>
      </w:docPartObj>
    </w:sdtPr>
    <w:sdtEndPr>
      <w:rPr>
        <w:noProof/>
      </w:rPr>
    </w:sdtEndPr>
    <w:sdtContent>
      <w:p w14:paraId="2D7C65E7" w14:textId="77777777" w:rsidR="004B52FB" w:rsidRDefault="004B52FB" w:rsidP="00E754C1">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8D5B6" w14:textId="77777777" w:rsidR="004B52FB" w:rsidRDefault="004B52FB">
    <w:pPr>
      <w:pStyle w:val="Footer"/>
      <w:jc w:val="right"/>
    </w:pPr>
  </w:p>
  <w:p w14:paraId="38EB85AD" w14:textId="77777777" w:rsidR="004B52FB" w:rsidRPr="00510E89" w:rsidRDefault="004B52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526014"/>
      <w:docPartObj>
        <w:docPartGallery w:val="Page Numbers (Bottom of Page)"/>
        <w:docPartUnique/>
      </w:docPartObj>
    </w:sdtPr>
    <w:sdtEndPr>
      <w:rPr>
        <w:noProof/>
      </w:rPr>
    </w:sdtEndPr>
    <w:sdtContent>
      <w:p w14:paraId="2F17AD5F" w14:textId="77777777" w:rsidR="004B52FB" w:rsidRPr="00510E89" w:rsidRDefault="004B52FB" w:rsidP="00303E3E">
        <w:pPr>
          <w:pStyle w:val="Footer"/>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450089"/>
      <w:docPartObj>
        <w:docPartGallery w:val="Page Numbers (Bottom of Page)"/>
        <w:docPartUnique/>
      </w:docPartObj>
    </w:sdtPr>
    <w:sdtEndPr>
      <w:rPr>
        <w:noProof/>
      </w:rPr>
    </w:sdtEndPr>
    <w:sdtContent>
      <w:p w14:paraId="700C1641" w14:textId="77777777" w:rsidR="004B52FB" w:rsidRDefault="004B52FB">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ABEA5CA" w14:textId="77777777" w:rsidR="004B52FB" w:rsidRPr="00510E89" w:rsidRDefault="004B5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9864A" w14:textId="77777777" w:rsidR="004B52FB" w:rsidRDefault="004B52FB" w:rsidP="003411E8">
      <w:r>
        <w:separator/>
      </w:r>
    </w:p>
  </w:footnote>
  <w:footnote w:type="continuationSeparator" w:id="0">
    <w:p w14:paraId="46305DA0" w14:textId="77777777" w:rsidR="004B52FB" w:rsidRDefault="004B52FB"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E2BD5" w14:textId="77777777" w:rsidR="004B52FB" w:rsidRDefault="004B52FB"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73357" w14:textId="77777777" w:rsidR="004B52FB" w:rsidRDefault="004B52FB"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8EAA8" w14:textId="77777777" w:rsidR="004B52FB" w:rsidRDefault="004B52FB" w:rsidP="00C07BFE">
    <w:pPr>
      <w:pStyle w:val="Header"/>
      <w:tabs>
        <w:tab w:val="left" w:pos="28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94FD" w14:textId="77777777" w:rsidR="004B52FB" w:rsidRDefault="004B52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1B50C" w14:textId="77777777" w:rsidR="004B52FB" w:rsidRDefault="004B52FB"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320AE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D741B4"/>
    <w:multiLevelType w:val="multilevel"/>
    <w:tmpl w:val="2E0495D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147C0248"/>
    <w:multiLevelType w:val="multilevel"/>
    <w:tmpl w:val="4BDA3DC4"/>
    <w:numStyleLink w:val="SecNumb"/>
  </w:abstractNum>
  <w:abstractNum w:abstractNumId="3" w15:restartNumberingAfterBreak="0">
    <w:nsid w:val="22CD56F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5090CB9"/>
    <w:multiLevelType w:val="hybridMultilevel"/>
    <w:tmpl w:val="2A8225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A84071"/>
    <w:multiLevelType w:val="hybridMultilevel"/>
    <w:tmpl w:val="F3C0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81034CD"/>
    <w:multiLevelType w:val="multilevel"/>
    <w:tmpl w:val="4BDA3DC4"/>
    <w:numStyleLink w:val="SecNumb"/>
  </w:abstractNum>
  <w:abstractNum w:abstractNumId="11" w15:restartNumberingAfterBreak="0">
    <w:nsid w:val="58D07003"/>
    <w:multiLevelType w:val="multilevel"/>
    <w:tmpl w:val="4BDA3DC4"/>
    <w:numStyleLink w:val="SecNumb"/>
  </w:abstractNum>
  <w:abstractNum w:abstractNumId="12" w15:restartNumberingAfterBreak="0">
    <w:nsid w:val="6B137DFE"/>
    <w:multiLevelType w:val="multilevel"/>
    <w:tmpl w:val="4BDA3DC4"/>
    <w:numStyleLink w:val="SecNumb"/>
  </w:abstractNum>
  <w:abstractNum w:abstractNumId="13" w15:restartNumberingAfterBreak="0">
    <w:nsid w:val="70A5293C"/>
    <w:multiLevelType w:val="hybridMultilevel"/>
    <w:tmpl w:val="48CC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084633"/>
    <w:multiLevelType w:val="multilevel"/>
    <w:tmpl w:val="4BDA3DC4"/>
    <w:numStyleLink w:val="SecNumb"/>
  </w:abstractNum>
  <w:abstractNum w:abstractNumId="15"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8"/>
  </w:num>
  <w:num w:numId="2">
    <w:abstractNumId w:val="4"/>
  </w:num>
  <w:num w:numId="3">
    <w:abstractNumId w:val="7"/>
  </w:num>
  <w:num w:numId="4">
    <w:abstractNumId w:val="9"/>
  </w:num>
  <w:num w:numId="5">
    <w:abstractNumId w:val="3"/>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
  </w:num>
  <w:num w:numId="10">
    <w:abstractNumId w:val="10"/>
  </w:num>
  <w:num w:numId="11">
    <w:abstractNumId w:val="11"/>
  </w:num>
  <w:num w:numId="12">
    <w:abstractNumId w:val="1"/>
  </w:num>
  <w:num w:numId="1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1">
      <w:lvl w:ilvl="1">
        <w:start w:val="1"/>
        <w:numFmt w:val="decimal"/>
        <w:pStyle w:val="SWASectionnum2"/>
        <w:lvlText w:val="%1.%2"/>
        <w:lvlJc w:val="left"/>
        <w:pPr>
          <w:ind w:left="142" w:firstLine="0"/>
        </w:pPr>
        <w:rPr>
          <w:rFonts w:hint="default"/>
          <w:b/>
          <w:bCs w:val="0"/>
          <w:color w:val="C00000"/>
        </w:rPr>
      </w:lvl>
    </w:lvlOverride>
  </w:num>
  <w:num w:numId="15">
    <w:abstractNumId w:val="0"/>
  </w:num>
  <w:num w:numId="16">
    <w:abstractNumId w:val="6"/>
  </w:num>
  <w:num w:numId="17">
    <w:abstractNumId w:val="13"/>
  </w:num>
  <w:num w:numId="18">
    <w:abstractNumId w:val="12"/>
    <w:lvlOverride w:ilvl="0">
      <w:startOverride w:val="1"/>
      <w:lvl w:ilvl="0">
        <w:start w:val="1"/>
        <w:numFmt w:val="decimal"/>
        <w:pStyle w:val="SWASectionnumberingheading"/>
        <w:lvlText w:val=""/>
        <w:lvlJc w:val="left"/>
      </w:lvl>
    </w:lvlOverride>
    <w:lvlOverride w:ilvl="1">
      <w:startOverride w:val="4"/>
      <w:lvl w:ilvl="1">
        <w:start w:val="4"/>
        <w:numFmt w:val="decimal"/>
        <w:pStyle w:val="SWASectionnum2"/>
        <w:lvlText w:val="%1.%2"/>
        <w:lvlJc w:val="left"/>
        <w:pPr>
          <w:ind w:left="142" w:firstLine="0"/>
        </w:pPr>
        <w:rPr>
          <w:rFonts w:hint="default"/>
          <w:b/>
          <w:bCs w:val="0"/>
          <w:color w:val="C00000"/>
        </w:rPr>
      </w:lvl>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1159"/>
    <w:rsid w:val="00002196"/>
    <w:rsid w:val="000026C8"/>
    <w:rsid w:val="00002B4C"/>
    <w:rsid w:val="00005797"/>
    <w:rsid w:val="000062EA"/>
    <w:rsid w:val="0000657D"/>
    <w:rsid w:val="00006B89"/>
    <w:rsid w:val="00006FCF"/>
    <w:rsid w:val="00007127"/>
    <w:rsid w:val="0000770D"/>
    <w:rsid w:val="000107AB"/>
    <w:rsid w:val="00012038"/>
    <w:rsid w:val="00012363"/>
    <w:rsid w:val="000135E2"/>
    <w:rsid w:val="00013A5D"/>
    <w:rsid w:val="00020821"/>
    <w:rsid w:val="00020A2B"/>
    <w:rsid w:val="00020DBC"/>
    <w:rsid w:val="000233C2"/>
    <w:rsid w:val="0002378C"/>
    <w:rsid w:val="000244D2"/>
    <w:rsid w:val="00024AB7"/>
    <w:rsid w:val="00026223"/>
    <w:rsid w:val="000265CC"/>
    <w:rsid w:val="000267EE"/>
    <w:rsid w:val="0003037C"/>
    <w:rsid w:val="000304FC"/>
    <w:rsid w:val="00031A5C"/>
    <w:rsid w:val="0003244F"/>
    <w:rsid w:val="00034C08"/>
    <w:rsid w:val="000361A7"/>
    <w:rsid w:val="00036775"/>
    <w:rsid w:val="0004108C"/>
    <w:rsid w:val="00042B7A"/>
    <w:rsid w:val="000520C4"/>
    <w:rsid w:val="0005327F"/>
    <w:rsid w:val="00056EAA"/>
    <w:rsid w:val="00057827"/>
    <w:rsid w:val="00062F12"/>
    <w:rsid w:val="00066D3B"/>
    <w:rsid w:val="0006710C"/>
    <w:rsid w:val="00073A07"/>
    <w:rsid w:val="00075FCD"/>
    <w:rsid w:val="00077148"/>
    <w:rsid w:val="00077368"/>
    <w:rsid w:val="00077D9A"/>
    <w:rsid w:val="00081F90"/>
    <w:rsid w:val="0008200E"/>
    <w:rsid w:val="000847F1"/>
    <w:rsid w:val="00085CC6"/>
    <w:rsid w:val="00085F25"/>
    <w:rsid w:val="000862E5"/>
    <w:rsid w:val="00086AB2"/>
    <w:rsid w:val="00086ABC"/>
    <w:rsid w:val="00087672"/>
    <w:rsid w:val="00087AAF"/>
    <w:rsid w:val="00087E20"/>
    <w:rsid w:val="00092250"/>
    <w:rsid w:val="000925F1"/>
    <w:rsid w:val="0009576A"/>
    <w:rsid w:val="00095DC2"/>
    <w:rsid w:val="000A105F"/>
    <w:rsid w:val="000A1B0E"/>
    <w:rsid w:val="000A1C63"/>
    <w:rsid w:val="000A2013"/>
    <w:rsid w:val="000A34EC"/>
    <w:rsid w:val="000A3553"/>
    <w:rsid w:val="000A4B8E"/>
    <w:rsid w:val="000A4BCB"/>
    <w:rsid w:val="000A56F6"/>
    <w:rsid w:val="000A7E83"/>
    <w:rsid w:val="000B0736"/>
    <w:rsid w:val="000B15CF"/>
    <w:rsid w:val="000B1DE9"/>
    <w:rsid w:val="000B2046"/>
    <w:rsid w:val="000B3499"/>
    <w:rsid w:val="000B386A"/>
    <w:rsid w:val="000B3DD8"/>
    <w:rsid w:val="000B3F36"/>
    <w:rsid w:val="000B4550"/>
    <w:rsid w:val="000B53FF"/>
    <w:rsid w:val="000B630E"/>
    <w:rsid w:val="000B6602"/>
    <w:rsid w:val="000B6868"/>
    <w:rsid w:val="000C1275"/>
    <w:rsid w:val="000C12E2"/>
    <w:rsid w:val="000C1B52"/>
    <w:rsid w:val="000C1C05"/>
    <w:rsid w:val="000C1F50"/>
    <w:rsid w:val="000C25E1"/>
    <w:rsid w:val="000C3198"/>
    <w:rsid w:val="000C33E0"/>
    <w:rsid w:val="000C3F42"/>
    <w:rsid w:val="000C5003"/>
    <w:rsid w:val="000C5435"/>
    <w:rsid w:val="000C6D37"/>
    <w:rsid w:val="000D051B"/>
    <w:rsid w:val="000D0595"/>
    <w:rsid w:val="000D0A29"/>
    <w:rsid w:val="000D0F14"/>
    <w:rsid w:val="000D1127"/>
    <w:rsid w:val="000D14EB"/>
    <w:rsid w:val="000D34EF"/>
    <w:rsid w:val="000D3DCB"/>
    <w:rsid w:val="000D4889"/>
    <w:rsid w:val="000D5FE6"/>
    <w:rsid w:val="000D6509"/>
    <w:rsid w:val="000D7B1C"/>
    <w:rsid w:val="000E0F9F"/>
    <w:rsid w:val="000E124B"/>
    <w:rsid w:val="000E5BB1"/>
    <w:rsid w:val="000F0E39"/>
    <w:rsid w:val="000F11D0"/>
    <w:rsid w:val="000F1560"/>
    <w:rsid w:val="000F4770"/>
    <w:rsid w:val="000F5B6F"/>
    <w:rsid w:val="000F6F1B"/>
    <w:rsid w:val="00100D8A"/>
    <w:rsid w:val="00101310"/>
    <w:rsid w:val="00102FDD"/>
    <w:rsid w:val="001036CC"/>
    <w:rsid w:val="00104B49"/>
    <w:rsid w:val="001070E5"/>
    <w:rsid w:val="001072B4"/>
    <w:rsid w:val="0011179A"/>
    <w:rsid w:val="001129BA"/>
    <w:rsid w:val="00113CA7"/>
    <w:rsid w:val="00114C36"/>
    <w:rsid w:val="00114C42"/>
    <w:rsid w:val="001169B9"/>
    <w:rsid w:val="00117908"/>
    <w:rsid w:val="00121DD9"/>
    <w:rsid w:val="00122143"/>
    <w:rsid w:val="0012261F"/>
    <w:rsid w:val="00123749"/>
    <w:rsid w:val="00124A12"/>
    <w:rsid w:val="00125A36"/>
    <w:rsid w:val="00126416"/>
    <w:rsid w:val="001268F1"/>
    <w:rsid w:val="00126B87"/>
    <w:rsid w:val="0013074D"/>
    <w:rsid w:val="00130DBE"/>
    <w:rsid w:val="00137231"/>
    <w:rsid w:val="00137702"/>
    <w:rsid w:val="00140956"/>
    <w:rsid w:val="00140CC3"/>
    <w:rsid w:val="0014241A"/>
    <w:rsid w:val="00143FC3"/>
    <w:rsid w:val="0014571C"/>
    <w:rsid w:val="00145827"/>
    <w:rsid w:val="00150A8D"/>
    <w:rsid w:val="00151B66"/>
    <w:rsid w:val="001523EB"/>
    <w:rsid w:val="00152591"/>
    <w:rsid w:val="00152A74"/>
    <w:rsid w:val="00153A39"/>
    <w:rsid w:val="001547F2"/>
    <w:rsid w:val="0015524E"/>
    <w:rsid w:val="00155389"/>
    <w:rsid w:val="00160B79"/>
    <w:rsid w:val="00161201"/>
    <w:rsid w:val="001614E5"/>
    <w:rsid w:val="00162DA9"/>
    <w:rsid w:val="001640C3"/>
    <w:rsid w:val="001646E2"/>
    <w:rsid w:val="001658CC"/>
    <w:rsid w:val="001665F1"/>
    <w:rsid w:val="00166EB0"/>
    <w:rsid w:val="00170177"/>
    <w:rsid w:val="001737DD"/>
    <w:rsid w:val="00176650"/>
    <w:rsid w:val="00176E42"/>
    <w:rsid w:val="001817B4"/>
    <w:rsid w:val="0018261F"/>
    <w:rsid w:val="001830D8"/>
    <w:rsid w:val="001858DB"/>
    <w:rsid w:val="00185BB9"/>
    <w:rsid w:val="00185EE4"/>
    <w:rsid w:val="00186239"/>
    <w:rsid w:val="00187A2D"/>
    <w:rsid w:val="00187C51"/>
    <w:rsid w:val="001906D9"/>
    <w:rsid w:val="00190A09"/>
    <w:rsid w:val="00190DC8"/>
    <w:rsid w:val="00192FFC"/>
    <w:rsid w:val="00193005"/>
    <w:rsid w:val="00193D55"/>
    <w:rsid w:val="001941A3"/>
    <w:rsid w:val="0019511C"/>
    <w:rsid w:val="001978D9"/>
    <w:rsid w:val="001A409E"/>
    <w:rsid w:val="001A4236"/>
    <w:rsid w:val="001B2382"/>
    <w:rsid w:val="001B2B87"/>
    <w:rsid w:val="001B3B6C"/>
    <w:rsid w:val="001B67B4"/>
    <w:rsid w:val="001B7208"/>
    <w:rsid w:val="001B75CF"/>
    <w:rsid w:val="001C0B29"/>
    <w:rsid w:val="001C604F"/>
    <w:rsid w:val="001C6352"/>
    <w:rsid w:val="001C7666"/>
    <w:rsid w:val="001D0C0A"/>
    <w:rsid w:val="001D0E9A"/>
    <w:rsid w:val="001D3DDE"/>
    <w:rsid w:val="001D7A7C"/>
    <w:rsid w:val="001D7C48"/>
    <w:rsid w:val="001E2E8F"/>
    <w:rsid w:val="001E38D2"/>
    <w:rsid w:val="001E4110"/>
    <w:rsid w:val="001E50CF"/>
    <w:rsid w:val="001F1A38"/>
    <w:rsid w:val="001F1B86"/>
    <w:rsid w:val="001F2DC1"/>
    <w:rsid w:val="001F33EA"/>
    <w:rsid w:val="001F3CCE"/>
    <w:rsid w:val="001F4AA7"/>
    <w:rsid w:val="001F617E"/>
    <w:rsid w:val="00201491"/>
    <w:rsid w:val="002031C9"/>
    <w:rsid w:val="00203217"/>
    <w:rsid w:val="002064A0"/>
    <w:rsid w:val="00206AD9"/>
    <w:rsid w:val="002072F8"/>
    <w:rsid w:val="00207BFC"/>
    <w:rsid w:val="002108F4"/>
    <w:rsid w:val="00210E9F"/>
    <w:rsid w:val="002122C3"/>
    <w:rsid w:val="002128C4"/>
    <w:rsid w:val="002131D1"/>
    <w:rsid w:val="0021634B"/>
    <w:rsid w:val="00220412"/>
    <w:rsid w:val="00221EB8"/>
    <w:rsid w:val="00222424"/>
    <w:rsid w:val="00222F0C"/>
    <w:rsid w:val="00223D84"/>
    <w:rsid w:val="002306DE"/>
    <w:rsid w:val="0023135E"/>
    <w:rsid w:val="0023228D"/>
    <w:rsid w:val="002334FE"/>
    <w:rsid w:val="00236B76"/>
    <w:rsid w:val="00237B5F"/>
    <w:rsid w:val="0024000A"/>
    <w:rsid w:val="00241255"/>
    <w:rsid w:val="0024317C"/>
    <w:rsid w:val="002437D9"/>
    <w:rsid w:val="0024396E"/>
    <w:rsid w:val="00246940"/>
    <w:rsid w:val="00246B93"/>
    <w:rsid w:val="00246F39"/>
    <w:rsid w:val="00250240"/>
    <w:rsid w:val="00250D42"/>
    <w:rsid w:val="0025250F"/>
    <w:rsid w:val="00252805"/>
    <w:rsid w:val="00256C01"/>
    <w:rsid w:val="00257198"/>
    <w:rsid w:val="0026096D"/>
    <w:rsid w:val="002612ED"/>
    <w:rsid w:val="002634C4"/>
    <w:rsid w:val="00264896"/>
    <w:rsid w:val="0026558F"/>
    <w:rsid w:val="00271678"/>
    <w:rsid w:val="002723A2"/>
    <w:rsid w:val="00272C00"/>
    <w:rsid w:val="00273691"/>
    <w:rsid w:val="00276AF2"/>
    <w:rsid w:val="00276C82"/>
    <w:rsid w:val="00277227"/>
    <w:rsid w:val="00277DAC"/>
    <w:rsid w:val="0028377A"/>
    <w:rsid w:val="002912A1"/>
    <w:rsid w:val="00291B11"/>
    <w:rsid w:val="00294622"/>
    <w:rsid w:val="00294CDB"/>
    <w:rsid w:val="0029532C"/>
    <w:rsid w:val="002A13CF"/>
    <w:rsid w:val="002A170E"/>
    <w:rsid w:val="002A301F"/>
    <w:rsid w:val="002A4936"/>
    <w:rsid w:val="002A4994"/>
    <w:rsid w:val="002A7EB4"/>
    <w:rsid w:val="002B08B1"/>
    <w:rsid w:val="002B3EBB"/>
    <w:rsid w:val="002B5B44"/>
    <w:rsid w:val="002B6B6F"/>
    <w:rsid w:val="002B723F"/>
    <w:rsid w:val="002B78F4"/>
    <w:rsid w:val="002C2153"/>
    <w:rsid w:val="002C3F04"/>
    <w:rsid w:val="002C4451"/>
    <w:rsid w:val="002C5064"/>
    <w:rsid w:val="002C50DE"/>
    <w:rsid w:val="002C6758"/>
    <w:rsid w:val="002C7AAB"/>
    <w:rsid w:val="002D0BDE"/>
    <w:rsid w:val="002D1046"/>
    <w:rsid w:val="002D198D"/>
    <w:rsid w:val="002D25A9"/>
    <w:rsid w:val="002D2D5F"/>
    <w:rsid w:val="002D3758"/>
    <w:rsid w:val="002D6028"/>
    <w:rsid w:val="002D638A"/>
    <w:rsid w:val="002D644E"/>
    <w:rsid w:val="002D7E14"/>
    <w:rsid w:val="002E1736"/>
    <w:rsid w:val="002E355A"/>
    <w:rsid w:val="002E4350"/>
    <w:rsid w:val="002E4773"/>
    <w:rsid w:val="002E5FC6"/>
    <w:rsid w:val="002E6FF9"/>
    <w:rsid w:val="002F182A"/>
    <w:rsid w:val="002F1C0D"/>
    <w:rsid w:val="002F254F"/>
    <w:rsid w:val="002F420E"/>
    <w:rsid w:val="002F51F0"/>
    <w:rsid w:val="00303E3E"/>
    <w:rsid w:val="00304331"/>
    <w:rsid w:val="0030474C"/>
    <w:rsid w:val="00305D4D"/>
    <w:rsid w:val="003070A9"/>
    <w:rsid w:val="003079A2"/>
    <w:rsid w:val="00313829"/>
    <w:rsid w:val="0032103F"/>
    <w:rsid w:val="003238CC"/>
    <w:rsid w:val="00323CFF"/>
    <w:rsid w:val="00324E65"/>
    <w:rsid w:val="003262A8"/>
    <w:rsid w:val="0032659F"/>
    <w:rsid w:val="003269D8"/>
    <w:rsid w:val="00327275"/>
    <w:rsid w:val="00327D86"/>
    <w:rsid w:val="0033014E"/>
    <w:rsid w:val="0033113B"/>
    <w:rsid w:val="0033180F"/>
    <w:rsid w:val="00331B45"/>
    <w:rsid w:val="003325ED"/>
    <w:rsid w:val="003327B2"/>
    <w:rsid w:val="003338FA"/>
    <w:rsid w:val="00333A32"/>
    <w:rsid w:val="0033569C"/>
    <w:rsid w:val="00336841"/>
    <w:rsid w:val="003411E8"/>
    <w:rsid w:val="00343325"/>
    <w:rsid w:val="00345426"/>
    <w:rsid w:val="00345DA2"/>
    <w:rsid w:val="0034620F"/>
    <w:rsid w:val="00346216"/>
    <w:rsid w:val="0034683D"/>
    <w:rsid w:val="00350B31"/>
    <w:rsid w:val="003535BF"/>
    <w:rsid w:val="003558FE"/>
    <w:rsid w:val="00355FA0"/>
    <w:rsid w:val="0035776E"/>
    <w:rsid w:val="00361F8E"/>
    <w:rsid w:val="00362A11"/>
    <w:rsid w:val="0036373C"/>
    <w:rsid w:val="00365B5C"/>
    <w:rsid w:val="00371111"/>
    <w:rsid w:val="0037353F"/>
    <w:rsid w:val="00373865"/>
    <w:rsid w:val="00373889"/>
    <w:rsid w:val="00373B5F"/>
    <w:rsid w:val="00375419"/>
    <w:rsid w:val="00375544"/>
    <w:rsid w:val="00375809"/>
    <w:rsid w:val="00381AA1"/>
    <w:rsid w:val="003825D1"/>
    <w:rsid w:val="00382614"/>
    <w:rsid w:val="00384890"/>
    <w:rsid w:val="0038514A"/>
    <w:rsid w:val="00390D56"/>
    <w:rsid w:val="003931B0"/>
    <w:rsid w:val="0039462E"/>
    <w:rsid w:val="00396555"/>
    <w:rsid w:val="003A3266"/>
    <w:rsid w:val="003A3AC5"/>
    <w:rsid w:val="003A3B13"/>
    <w:rsid w:val="003A4452"/>
    <w:rsid w:val="003A448F"/>
    <w:rsid w:val="003B0F29"/>
    <w:rsid w:val="003B2339"/>
    <w:rsid w:val="003B24D6"/>
    <w:rsid w:val="003B5969"/>
    <w:rsid w:val="003B6A4A"/>
    <w:rsid w:val="003B70CD"/>
    <w:rsid w:val="003C098C"/>
    <w:rsid w:val="003C15FC"/>
    <w:rsid w:val="003C1E2B"/>
    <w:rsid w:val="003C3236"/>
    <w:rsid w:val="003C33AB"/>
    <w:rsid w:val="003C4054"/>
    <w:rsid w:val="003C4F76"/>
    <w:rsid w:val="003C675C"/>
    <w:rsid w:val="003C71E3"/>
    <w:rsid w:val="003D187A"/>
    <w:rsid w:val="003D3906"/>
    <w:rsid w:val="003D450C"/>
    <w:rsid w:val="003D4D13"/>
    <w:rsid w:val="003D4FB2"/>
    <w:rsid w:val="003D527F"/>
    <w:rsid w:val="003D6A95"/>
    <w:rsid w:val="003D7317"/>
    <w:rsid w:val="003D7F25"/>
    <w:rsid w:val="003E0877"/>
    <w:rsid w:val="003E0A80"/>
    <w:rsid w:val="003E13B3"/>
    <w:rsid w:val="003E2D4F"/>
    <w:rsid w:val="003E4485"/>
    <w:rsid w:val="003E4C95"/>
    <w:rsid w:val="003E5581"/>
    <w:rsid w:val="003E58E2"/>
    <w:rsid w:val="003E69EC"/>
    <w:rsid w:val="003E6B57"/>
    <w:rsid w:val="003E7106"/>
    <w:rsid w:val="003F051B"/>
    <w:rsid w:val="003F15A8"/>
    <w:rsid w:val="003F1A5D"/>
    <w:rsid w:val="003F362E"/>
    <w:rsid w:val="003F4219"/>
    <w:rsid w:val="003F59B4"/>
    <w:rsid w:val="00400136"/>
    <w:rsid w:val="004007C3"/>
    <w:rsid w:val="004014F4"/>
    <w:rsid w:val="004035EC"/>
    <w:rsid w:val="00406501"/>
    <w:rsid w:val="004074AF"/>
    <w:rsid w:val="0041076C"/>
    <w:rsid w:val="00410AF3"/>
    <w:rsid w:val="00411127"/>
    <w:rsid w:val="00413A86"/>
    <w:rsid w:val="004162CD"/>
    <w:rsid w:val="004171A8"/>
    <w:rsid w:val="00423212"/>
    <w:rsid w:val="00426389"/>
    <w:rsid w:val="00426D88"/>
    <w:rsid w:val="0043040A"/>
    <w:rsid w:val="00430457"/>
    <w:rsid w:val="00430D6C"/>
    <w:rsid w:val="00431BF2"/>
    <w:rsid w:val="00431EC1"/>
    <w:rsid w:val="00432D38"/>
    <w:rsid w:val="00435945"/>
    <w:rsid w:val="004364D2"/>
    <w:rsid w:val="00440E70"/>
    <w:rsid w:val="004417B4"/>
    <w:rsid w:val="00441875"/>
    <w:rsid w:val="00442BA1"/>
    <w:rsid w:val="004452A7"/>
    <w:rsid w:val="004452FB"/>
    <w:rsid w:val="004454BD"/>
    <w:rsid w:val="004468A1"/>
    <w:rsid w:val="00446EF9"/>
    <w:rsid w:val="004471F0"/>
    <w:rsid w:val="00447C78"/>
    <w:rsid w:val="004502B3"/>
    <w:rsid w:val="004503C0"/>
    <w:rsid w:val="00451318"/>
    <w:rsid w:val="004526C1"/>
    <w:rsid w:val="00452FFF"/>
    <w:rsid w:val="00455002"/>
    <w:rsid w:val="00457DAE"/>
    <w:rsid w:val="00460D35"/>
    <w:rsid w:val="004620F7"/>
    <w:rsid w:val="0046252E"/>
    <w:rsid w:val="00465482"/>
    <w:rsid w:val="004659D5"/>
    <w:rsid w:val="00467151"/>
    <w:rsid w:val="004677BD"/>
    <w:rsid w:val="004714CD"/>
    <w:rsid w:val="004726AA"/>
    <w:rsid w:val="00473E21"/>
    <w:rsid w:val="00473F9D"/>
    <w:rsid w:val="004741AB"/>
    <w:rsid w:val="004748E5"/>
    <w:rsid w:val="00475C85"/>
    <w:rsid w:val="00477588"/>
    <w:rsid w:val="00482668"/>
    <w:rsid w:val="00483568"/>
    <w:rsid w:val="004841BA"/>
    <w:rsid w:val="00484773"/>
    <w:rsid w:val="004848FD"/>
    <w:rsid w:val="004854F9"/>
    <w:rsid w:val="004866F8"/>
    <w:rsid w:val="0048685D"/>
    <w:rsid w:val="00486C4E"/>
    <w:rsid w:val="004911F7"/>
    <w:rsid w:val="004917D0"/>
    <w:rsid w:val="00491C6E"/>
    <w:rsid w:val="00492659"/>
    <w:rsid w:val="004967AC"/>
    <w:rsid w:val="004A2301"/>
    <w:rsid w:val="004A2CA3"/>
    <w:rsid w:val="004A425E"/>
    <w:rsid w:val="004A4C60"/>
    <w:rsid w:val="004A7FAF"/>
    <w:rsid w:val="004B00B0"/>
    <w:rsid w:val="004B18D3"/>
    <w:rsid w:val="004B3AFC"/>
    <w:rsid w:val="004B52FB"/>
    <w:rsid w:val="004B55D8"/>
    <w:rsid w:val="004B646D"/>
    <w:rsid w:val="004B79B6"/>
    <w:rsid w:val="004B7B0F"/>
    <w:rsid w:val="004C0A3D"/>
    <w:rsid w:val="004C13BC"/>
    <w:rsid w:val="004C173D"/>
    <w:rsid w:val="004C1C8A"/>
    <w:rsid w:val="004C5651"/>
    <w:rsid w:val="004C6198"/>
    <w:rsid w:val="004C7164"/>
    <w:rsid w:val="004D2214"/>
    <w:rsid w:val="004D3D3D"/>
    <w:rsid w:val="004D5F92"/>
    <w:rsid w:val="004D7B61"/>
    <w:rsid w:val="004E27C6"/>
    <w:rsid w:val="004E2BF4"/>
    <w:rsid w:val="004E3376"/>
    <w:rsid w:val="004E33BF"/>
    <w:rsid w:val="004E3DB8"/>
    <w:rsid w:val="004E700E"/>
    <w:rsid w:val="004E7BB3"/>
    <w:rsid w:val="004F136C"/>
    <w:rsid w:val="004F1816"/>
    <w:rsid w:val="004F18EC"/>
    <w:rsid w:val="004F2B63"/>
    <w:rsid w:val="004F2DCC"/>
    <w:rsid w:val="004F2E2B"/>
    <w:rsid w:val="004F3B5A"/>
    <w:rsid w:val="004F5608"/>
    <w:rsid w:val="004F6215"/>
    <w:rsid w:val="004F62AD"/>
    <w:rsid w:val="004F6B49"/>
    <w:rsid w:val="004F6BA7"/>
    <w:rsid w:val="004F7AAA"/>
    <w:rsid w:val="004F7FFB"/>
    <w:rsid w:val="00500380"/>
    <w:rsid w:val="00500E11"/>
    <w:rsid w:val="00500F06"/>
    <w:rsid w:val="005017BA"/>
    <w:rsid w:val="00503481"/>
    <w:rsid w:val="0050409C"/>
    <w:rsid w:val="00506CEB"/>
    <w:rsid w:val="00510666"/>
    <w:rsid w:val="00510E89"/>
    <w:rsid w:val="00511132"/>
    <w:rsid w:val="00512BD0"/>
    <w:rsid w:val="0051400B"/>
    <w:rsid w:val="00516970"/>
    <w:rsid w:val="005173F6"/>
    <w:rsid w:val="00517775"/>
    <w:rsid w:val="00517F0C"/>
    <w:rsid w:val="00520154"/>
    <w:rsid w:val="00520584"/>
    <w:rsid w:val="00520D47"/>
    <w:rsid w:val="005225D2"/>
    <w:rsid w:val="00522A78"/>
    <w:rsid w:val="00522E61"/>
    <w:rsid w:val="005233AD"/>
    <w:rsid w:val="005263CE"/>
    <w:rsid w:val="005304BC"/>
    <w:rsid w:val="00530D27"/>
    <w:rsid w:val="00532482"/>
    <w:rsid w:val="00532697"/>
    <w:rsid w:val="00532CDD"/>
    <w:rsid w:val="00534256"/>
    <w:rsid w:val="005342F6"/>
    <w:rsid w:val="005354A4"/>
    <w:rsid w:val="00535E4C"/>
    <w:rsid w:val="00536144"/>
    <w:rsid w:val="00536289"/>
    <w:rsid w:val="00537ADF"/>
    <w:rsid w:val="00537D5A"/>
    <w:rsid w:val="0054162A"/>
    <w:rsid w:val="00541CC4"/>
    <w:rsid w:val="00542532"/>
    <w:rsid w:val="00542E0D"/>
    <w:rsid w:val="00543F5B"/>
    <w:rsid w:val="0054518D"/>
    <w:rsid w:val="00546165"/>
    <w:rsid w:val="00546811"/>
    <w:rsid w:val="00546938"/>
    <w:rsid w:val="00546B67"/>
    <w:rsid w:val="00546E30"/>
    <w:rsid w:val="00551589"/>
    <w:rsid w:val="00552D3D"/>
    <w:rsid w:val="00553741"/>
    <w:rsid w:val="00556AA1"/>
    <w:rsid w:val="00557E06"/>
    <w:rsid w:val="00557FCC"/>
    <w:rsid w:val="005612B6"/>
    <w:rsid w:val="00562419"/>
    <w:rsid w:val="00565FD6"/>
    <w:rsid w:val="00570AF1"/>
    <w:rsid w:val="00570D6E"/>
    <w:rsid w:val="00571636"/>
    <w:rsid w:val="00575B5C"/>
    <w:rsid w:val="005770BF"/>
    <w:rsid w:val="00577EA3"/>
    <w:rsid w:val="00581656"/>
    <w:rsid w:val="005820B5"/>
    <w:rsid w:val="00584F97"/>
    <w:rsid w:val="005865B9"/>
    <w:rsid w:val="005871D9"/>
    <w:rsid w:val="00587F6C"/>
    <w:rsid w:val="0059184D"/>
    <w:rsid w:val="005921B6"/>
    <w:rsid w:val="00592278"/>
    <w:rsid w:val="005932A7"/>
    <w:rsid w:val="00596128"/>
    <w:rsid w:val="00596582"/>
    <w:rsid w:val="005968AB"/>
    <w:rsid w:val="00596DAD"/>
    <w:rsid w:val="005A1539"/>
    <w:rsid w:val="005A15FC"/>
    <w:rsid w:val="005A3862"/>
    <w:rsid w:val="005A4199"/>
    <w:rsid w:val="005A69F8"/>
    <w:rsid w:val="005B03F2"/>
    <w:rsid w:val="005B14A5"/>
    <w:rsid w:val="005B202C"/>
    <w:rsid w:val="005B6DA6"/>
    <w:rsid w:val="005B6DB1"/>
    <w:rsid w:val="005C1488"/>
    <w:rsid w:val="005C1DE2"/>
    <w:rsid w:val="005C345A"/>
    <w:rsid w:val="005C3890"/>
    <w:rsid w:val="005C4874"/>
    <w:rsid w:val="005C4C44"/>
    <w:rsid w:val="005C5739"/>
    <w:rsid w:val="005C5C63"/>
    <w:rsid w:val="005C79F0"/>
    <w:rsid w:val="005D0128"/>
    <w:rsid w:val="005D0CFC"/>
    <w:rsid w:val="005D2190"/>
    <w:rsid w:val="005D73B9"/>
    <w:rsid w:val="005E0079"/>
    <w:rsid w:val="005E07FA"/>
    <w:rsid w:val="005E0917"/>
    <w:rsid w:val="005E335C"/>
    <w:rsid w:val="005E4CAE"/>
    <w:rsid w:val="005E5F2A"/>
    <w:rsid w:val="005F1601"/>
    <w:rsid w:val="005F2FC4"/>
    <w:rsid w:val="005F5FD2"/>
    <w:rsid w:val="00601ED5"/>
    <w:rsid w:val="00603D8A"/>
    <w:rsid w:val="00604F84"/>
    <w:rsid w:val="00605F73"/>
    <w:rsid w:val="00611DD6"/>
    <w:rsid w:val="00612FBC"/>
    <w:rsid w:val="006135D1"/>
    <w:rsid w:val="00615483"/>
    <w:rsid w:val="006156DC"/>
    <w:rsid w:val="00617EB4"/>
    <w:rsid w:val="00620197"/>
    <w:rsid w:val="006209B5"/>
    <w:rsid w:val="00621201"/>
    <w:rsid w:val="0062235B"/>
    <w:rsid w:val="00626DCB"/>
    <w:rsid w:val="00631E22"/>
    <w:rsid w:val="0063282B"/>
    <w:rsid w:val="00632BFB"/>
    <w:rsid w:val="00633700"/>
    <w:rsid w:val="006338CB"/>
    <w:rsid w:val="00634726"/>
    <w:rsid w:val="00637440"/>
    <w:rsid w:val="00640495"/>
    <w:rsid w:val="00643AB8"/>
    <w:rsid w:val="00651D51"/>
    <w:rsid w:val="00652B50"/>
    <w:rsid w:val="00653D2C"/>
    <w:rsid w:val="00653F19"/>
    <w:rsid w:val="00654E9D"/>
    <w:rsid w:val="00655216"/>
    <w:rsid w:val="00655324"/>
    <w:rsid w:val="0065639F"/>
    <w:rsid w:val="00662C78"/>
    <w:rsid w:val="006649E7"/>
    <w:rsid w:val="00664DEE"/>
    <w:rsid w:val="00664F08"/>
    <w:rsid w:val="006654CA"/>
    <w:rsid w:val="00666E37"/>
    <w:rsid w:val="006705DB"/>
    <w:rsid w:val="0067096A"/>
    <w:rsid w:val="00670BCD"/>
    <w:rsid w:val="00671BB0"/>
    <w:rsid w:val="00672AA7"/>
    <w:rsid w:val="006749AF"/>
    <w:rsid w:val="0067564A"/>
    <w:rsid w:val="006761C0"/>
    <w:rsid w:val="00677046"/>
    <w:rsid w:val="006803D3"/>
    <w:rsid w:val="00682CAD"/>
    <w:rsid w:val="00683DC9"/>
    <w:rsid w:val="006878FB"/>
    <w:rsid w:val="006926E8"/>
    <w:rsid w:val="00692B9C"/>
    <w:rsid w:val="006930C4"/>
    <w:rsid w:val="00694381"/>
    <w:rsid w:val="00695014"/>
    <w:rsid w:val="006968E1"/>
    <w:rsid w:val="00697DF8"/>
    <w:rsid w:val="006A047B"/>
    <w:rsid w:val="006A17F7"/>
    <w:rsid w:val="006A1FA9"/>
    <w:rsid w:val="006A2498"/>
    <w:rsid w:val="006A2DCB"/>
    <w:rsid w:val="006A3630"/>
    <w:rsid w:val="006A3D58"/>
    <w:rsid w:val="006A6B87"/>
    <w:rsid w:val="006A7021"/>
    <w:rsid w:val="006B1DC6"/>
    <w:rsid w:val="006B3FF7"/>
    <w:rsid w:val="006B6ED8"/>
    <w:rsid w:val="006B7701"/>
    <w:rsid w:val="006C1A85"/>
    <w:rsid w:val="006C21B2"/>
    <w:rsid w:val="006C23AE"/>
    <w:rsid w:val="006C2470"/>
    <w:rsid w:val="006C3058"/>
    <w:rsid w:val="006C3107"/>
    <w:rsid w:val="006C3863"/>
    <w:rsid w:val="006C4BDC"/>
    <w:rsid w:val="006C4BFF"/>
    <w:rsid w:val="006C5AE4"/>
    <w:rsid w:val="006C5CAB"/>
    <w:rsid w:val="006C736A"/>
    <w:rsid w:val="006D108C"/>
    <w:rsid w:val="006D18D9"/>
    <w:rsid w:val="006D1C78"/>
    <w:rsid w:val="006D1D6B"/>
    <w:rsid w:val="006D6DFB"/>
    <w:rsid w:val="006D72C3"/>
    <w:rsid w:val="006D731E"/>
    <w:rsid w:val="006D7D72"/>
    <w:rsid w:val="006E2105"/>
    <w:rsid w:val="006E3B2A"/>
    <w:rsid w:val="006E3C9D"/>
    <w:rsid w:val="006E5EEB"/>
    <w:rsid w:val="006F0762"/>
    <w:rsid w:val="006F0E3D"/>
    <w:rsid w:val="006F15AC"/>
    <w:rsid w:val="006F32AA"/>
    <w:rsid w:val="006F5644"/>
    <w:rsid w:val="006F5B55"/>
    <w:rsid w:val="00702363"/>
    <w:rsid w:val="00702612"/>
    <w:rsid w:val="007026AC"/>
    <w:rsid w:val="00704D0B"/>
    <w:rsid w:val="00705120"/>
    <w:rsid w:val="00711D93"/>
    <w:rsid w:val="00712B7B"/>
    <w:rsid w:val="00712C2A"/>
    <w:rsid w:val="00713B42"/>
    <w:rsid w:val="0071450B"/>
    <w:rsid w:val="007159DD"/>
    <w:rsid w:val="00720C28"/>
    <w:rsid w:val="007211E7"/>
    <w:rsid w:val="0072127C"/>
    <w:rsid w:val="00722839"/>
    <w:rsid w:val="007231AE"/>
    <w:rsid w:val="00723E67"/>
    <w:rsid w:val="007250D6"/>
    <w:rsid w:val="00725996"/>
    <w:rsid w:val="007263AE"/>
    <w:rsid w:val="0072773D"/>
    <w:rsid w:val="00733B0B"/>
    <w:rsid w:val="00742F12"/>
    <w:rsid w:val="0074369A"/>
    <w:rsid w:val="007439D9"/>
    <w:rsid w:val="007443D0"/>
    <w:rsid w:val="00746222"/>
    <w:rsid w:val="0075034A"/>
    <w:rsid w:val="00750EF2"/>
    <w:rsid w:val="0075111E"/>
    <w:rsid w:val="007533AF"/>
    <w:rsid w:val="00755AA2"/>
    <w:rsid w:val="00756635"/>
    <w:rsid w:val="00762385"/>
    <w:rsid w:val="007653A6"/>
    <w:rsid w:val="0076725A"/>
    <w:rsid w:val="007729EA"/>
    <w:rsid w:val="00772B12"/>
    <w:rsid w:val="0077351E"/>
    <w:rsid w:val="00773F5A"/>
    <w:rsid w:val="007744ED"/>
    <w:rsid w:val="00774ED0"/>
    <w:rsid w:val="00775BB6"/>
    <w:rsid w:val="007760D4"/>
    <w:rsid w:val="00777AFC"/>
    <w:rsid w:val="00781310"/>
    <w:rsid w:val="00782438"/>
    <w:rsid w:val="00782BAF"/>
    <w:rsid w:val="0078550F"/>
    <w:rsid w:val="00785DA3"/>
    <w:rsid w:val="00785DC4"/>
    <w:rsid w:val="00787181"/>
    <w:rsid w:val="00787A6B"/>
    <w:rsid w:val="007921F9"/>
    <w:rsid w:val="007938AC"/>
    <w:rsid w:val="00795CFD"/>
    <w:rsid w:val="00796C6E"/>
    <w:rsid w:val="007A0F15"/>
    <w:rsid w:val="007A2925"/>
    <w:rsid w:val="007A319C"/>
    <w:rsid w:val="007A4057"/>
    <w:rsid w:val="007A4A11"/>
    <w:rsid w:val="007B02F4"/>
    <w:rsid w:val="007B0EF3"/>
    <w:rsid w:val="007B3AAE"/>
    <w:rsid w:val="007B4751"/>
    <w:rsid w:val="007B65C3"/>
    <w:rsid w:val="007B7C3E"/>
    <w:rsid w:val="007C15C6"/>
    <w:rsid w:val="007C1D0C"/>
    <w:rsid w:val="007C232B"/>
    <w:rsid w:val="007C477F"/>
    <w:rsid w:val="007C57D9"/>
    <w:rsid w:val="007C5D5D"/>
    <w:rsid w:val="007C63BA"/>
    <w:rsid w:val="007C79C4"/>
    <w:rsid w:val="007C7C5D"/>
    <w:rsid w:val="007D179E"/>
    <w:rsid w:val="007D1A23"/>
    <w:rsid w:val="007D2274"/>
    <w:rsid w:val="007E15F6"/>
    <w:rsid w:val="007E6B62"/>
    <w:rsid w:val="007E7776"/>
    <w:rsid w:val="007F03B6"/>
    <w:rsid w:val="007F1AAB"/>
    <w:rsid w:val="007F3BDA"/>
    <w:rsid w:val="007F489B"/>
    <w:rsid w:val="007F5071"/>
    <w:rsid w:val="007F6B25"/>
    <w:rsid w:val="007F6E2A"/>
    <w:rsid w:val="007F7514"/>
    <w:rsid w:val="00802A18"/>
    <w:rsid w:val="00802ACF"/>
    <w:rsid w:val="008048C3"/>
    <w:rsid w:val="008065F8"/>
    <w:rsid w:val="00806D10"/>
    <w:rsid w:val="00806FDC"/>
    <w:rsid w:val="008100E9"/>
    <w:rsid w:val="00812A53"/>
    <w:rsid w:val="00812EB7"/>
    <w:rsid w:val="00813740"/>
    <w:rsid w:val="00816022"/>
    <w:rsid w:val="00817B6F"/>
    <w:rsid w:val="008203EB"/>
    <w:rsid w:val="008234FC"/>
    <w:rsid w:val="00823C73"/>
    <w:rsid w:val="00824488"/>
    <w:rsid w:val="00825E2C"/>
    <w:rsid w:val="00827AA8"/>
    <w:rsid w:val="008305DE"/>
    <w:rsid w:val="00832514"/>
    <w:rsid w:val="00832AB0"/>
    <w:rsid w:val="00834D1F"/>
    <w:rsid w:val="00836CBF"/>
    <w:rsid w:val="00841238"/>
    <w:rsid w:val="00842F87"/>
    <w:rsid w:val="00844845"/>
    <w:rsid w:val="008448B6"/>
    <w:rsid w:val="00844A16"/>
    <w:rsid w:val="008450EE"/>
    <w:rsid w:val="008467BA"/>
    <w:rsid w:val="00847DAC"/>
    <w:rsid w:val="00851276"/>
    <w:rsid w:val="00852B8E"/>
    <w:rsid w:val="00852BE5"/>
    <w:rsid w:val="00853B6F"/>
    <w:rsid w:val="00854B05"/>
    <w:rsid w:val="008552DB"/>
    <w:rsid w:val="0085542B"/>
    <w:rsid w:val="00855E05"/>
    <w:rsid w:val="00860A77"/>
    <w:rsid w:val="00861808"/>
    <w:rsid w:val="00861FAA"/>
    <w:rsid w:val="00862931"/>
    <w:rsid w:val="0086437C"/>
    <w:rsid w:val="0086524D"/>
    <w:rsid w:val="00865E8A"/>
    <w:rsid w:val="00866BE0"/>
    <w:rsid w:val="00866F67"/>
    <w:rsid w:val="00871001"/>
    <w:rsid w:val="00871933"/>
    <w:rsid w:val="00872634"/>
    <w:rsid w:val="00873B5B"/>
    <w:rsid w:val="0087506A"/>
    <w:rsid w:val="008753E3"/>
    <w:rsid w:val="008756A7"/>
    <w:rsid w:val="00876D39"/>
    <w:rsid w:val="00877629"/>
    <w:rsid w:val="008829F7"/>
    <w:rsid w:val="008836DD"/>
    <w:rsid w:val="00886C65"/>
    <w:rsid w:val="008902C4"/>
    <w:rsid w:val="008907A9"/>
    <w:rsid w:val="00896B42"/>
    <w:rsid w:val="00897D3A"/>
    <w:rsid w:val="008A2458"/>
    <w:rsid w:val="008A2EA5"/>
    <w:rsid w:val="008A3A60"/>
    <w:rsid w:val="008A3C40"/>
    <w:rsid w:val="008A5722"/>
    <w:rsid w:val="008A57E6"/>
    <w:rsid w:val="008A7E8C"/>
    <w:rsid w:val="008B0E1D"/>
    <w:rsid w:val="008B1C44"/>
    <w:rsid w:val="008B76E8"/>
    <w:rsid w:val="008C178B"/>
    <w:rsid w:val="008C2462"/>
    <w:rsid w:val="008C6CA2"/>
    <w:rsid w:val="008C746B"/>
    <w:rsid w:val="008C7FAD"/>
    <w:rsid w:val="008D1736"/>
    <w:rsid w:val="008D1E7A"/>
    <w:rsid w:val="008D1ED3"/>
    <w:rsid w:val="008D2A61"/>
    <w:rsid w:val="008D367D"/>
    <w:rsid w:val="008D4BB9"/>
    <w:rsid w:val="008D6FAE"/>
    <w:rsid w:val="008D771A"/>
    <w:rsid w:val="008E013C"/>
    <w:rsid w:val="008E0DDC"/>
    <w:rsid w:val="008E3FEF"/>
    <w:rsid w:val="008E4270"/>
    <w:rsid w:val="008E540E"/>
    <w:rsid w:val="008E63C4"/>
    <w:rsid w:val="008F17CC"/>
    <w:rsid w:val="008F29A3"/>
    <w:rsid w:val="008F3ABB"/>
    <w:rsid w:val="008F46FB"/>
    <w:rsid w:val="008F5520"/>
    <w:rsid w:val="009023E2"/>
    <w:rsid w:val="00903EEF"/>
    <w:rsid w:val="00903F63"/>
    <w:rsid w:val="00904B2E"/>
    <w:rsid w:val="00904BC5"/>
    <w:rsid w:val="00905154"/>
    <w:rsid w:val="00905393"/>
    <w:rsid w:val="00905555"/>
    <w:rsid w:val="0090560C"/>
    <w:rsid w:val="0090731F"/>
    <w:rsid w:val="00914B75"/>
    <w:rsid w:val="00914DFF"/>
    <w:rsid w:val="00920E7B"/>
    <w:rsid w:val="009213EE"/>
    <w:rsid w:val="00921410"/>
    <w:rsid w:val="00922181"/>
    <w:rsid w:val="0092532C"/>
    <w:rsid w:val="00930562"/>
    <w:rsid w:val="00930D43"/>
    <w:rsid w:val="00933D31"/>
    <w:rsid w:val="00933EBA"/>
    <w:rsid w:val="00934DED"/>
    <w:rsid w:val="00937113"/>
    <w:rsid w:val="009372B0"/>
    <w:rsid w:val="00937370"/>
    <w:rsid w:val="00937CA0"/>
    <w:rsid w:val="00944A50"/>
    <w:rsid w:val="009453D0"/>
    <w:rsid w:val="00947F6E"/>
    <w:rsid w:val="00950091"/>
    <w:rsid w:val="00954393"/>
    <w:rsid w:val="009548EF"/>
    <w:rsid w:val="00954954"/>
    <w:rsid w:val="00957093"/>
    <w:rsid w:val="00960040"/>
    <w:rsid w:val="00960792"/>
    <w:rsid w:val="00960BBF"/>
    <w:rsid w:val="00963657"/>
    <w:rsid w:val="00963EAF"/>
    <w:rsid w:val="00964B21"/>
    <w:rsid w:val="00970F05"/>
    <w:rsid w:val="00971B9B"/>
    <w:rsid w:val="0097214F"/>
    <w:rsid w:val="00973785"/>
    <w:rsid w:val="00974471"/>
    <w:rsid w:val="0097641C"/>
    <w:rsid w:val="009773E2"/>
    <w:rsid w:val="00977671"/>
    <w:rsid w:val="009779A4"/>
    <w:rsid w:val="009802FF"/>
    <w:rsid w:val="009804A7"/>
    <w:rsid w:val="00980545"/>
    <w:rsid w:val="009851FB"/>
    <w:rsid w:val="00985691"/>
    <w:rsid w:val="00986780"/>
    <w:rsid w:val="00987217"/>
    <w:rsid w:val="009912BB"/>
    <w:rsid w:val="00992B0D"/>
    <w:rsid w:val="00992C7A"/>
    <w:rsid w:val="009932C1"/>
    <w:rsid w:val="0099413B"/>
    <w:rsid w:val="00994B8B"/>
    <w:rsid w:val="00995BA9"/>
    <w:rsid w:val="009A0C8C"/>
    <w:rsid w:val="009A45E0"/>
    <w:rsid w:val="009A4D9D"/>
    <w:rsid w:val="009A5EC1"/>
    <w:rsid w:val="009A63AF"/>
    <w:rsid w:val="009A642B"/>
    <w:rsid w:val="009A7E68"/>
    <w:rsid w:val="009B4398"/>
    <w:rsid w:val="009B56BC"/>
    <w:rsid w:val="009B60EF"/>
    <w:rsid w:val="009B6AB8"/>
    <w:rsid w:val="009B6F6C"/>
    <w:rsid w:val="009B7F51"/>
    <w:rsid w:val="009C1651"/>
    <w:rsid w:val="009C199B"/>
    <w:rsid w:val="009C1D77"/>
    <w:rsid w:val="009C2254"/>
    <w:rsid w:val="009C4703"/>
    <w:rsid w:val="009C4830"/>
    <w:rsid w:val="009C4F86"/>
    <w:rsid w:val="009C571C"/>
    <w:rsid w:val="009C7741"/>
    <w:rsid w:val="009D33E5"/>
    <w:rsid w:val="009D46FF"/>
    <w:rsid w:val="009D62AB"/>
    <w:rsid w:val="009D7A7E"/>
    <w:rsid w:val="009E0A2E"/>
    <w:rsid w:val="009E0D95"/>
    <w:rsid w:val="009E47D0"/>
    <w:rsid w:val="009E4E76"/>
    <w:rsid w:val="009E66B2"/>
    <w:rsid w:val="009E676F"/>
    <w:rsid w:val="009E69F4"/>
    <w:rsid w:val="009E6BC5"/>
    <w:rsid w:val="009F0FB1"/>
    <w:rsid w:val="009F2A51"/>
    <w:rsid w:val="009F2F68"/>
    <w:rsid w:val="009F59E5"/>
    <w:rsid w:val="009F61B4"/>
    <w:rsid w:val="009F70C1"/>
    <w:rsid w:val="009F722E"/>
    <w:rsid w:val="009F7F83"/>
    <w:rsid w:val="00A005BC"/>
    <w:rsid w:val="00A01597"/>
    <w:rsid w:val="00A015DD"/>
    <w:rsid w:val="00A0181B"/>
    <w:rsid w:val="00A02157"/>
    <w:rsid w:val="00A0229E"/>
    <w:rsid w:val="00A02A5E"/>
    <w:rsid w:val="00A03033"/>
    <w:rsid w:val="00A03D67"/>
    <w:rsid w:val="00A03E3D"/>
    <w:rsid w:val="00A04BB6"/>
    <w:rsid w:val="00A06964"/>
    <w:rsid w:val="00A10BB5"/>
    <w:rsid w:val="00A11CC8"/>
    <w:rsid w:val="00A1240B"/>
    <w:rsid w:val="00A16F18"/>
    <w:rsid w:val="00A17097"/>
    <w:rsid w:val="00A20009"/>
    <w:rsid w:val="00A200D7"/>
    <w:rsid w:val="00A211DB"/>
    <w:rsid w:val="00A212D5"/>
    <w:rsid w:val="00A22256"/>
    <w:rsid w:val="00A23B70"/>
    <w:rsid w:val="00A2443F"/>
    <w:rsid w:val="00A2488B"/>
    <w:rsid w:val="00A279FF"/>
    <w:rsid w:val="00A27B48"/>
    <w:rsid w:val="00A323F1"/>
    <w:rsid w:val="00A32719"/>
    <w:rsid w:val="00A33B98"/>
    <w:rsid w:val="00A36F08"/>
    <w:rsid w:val="00A379C3"/>
    <w:rsid w:val="00A37C09"/>
    <w:rsid w:val="00A40589"/>
    <w:rsid w:val="00A4395E"/>
    <w:rsid w:val="00A4491C"/>
    <w:rsid w:val="00A45023"/>
    <w:rsid w:val="00A45D0C"/>
    <w:rsid w:val="00A45E9A"/>
    <w:rsid w:val="00A47D8D"/>
    <w:rsid w:val="00A47F72"/>
    <w:rsid w:val="00A50B85"/>
    <w:rsid w:val="00A52EB7"/>
    <w:rsid w:val="00A54093"/>
    <w:rsid w:val="00A55C6D"/>
    <w:rsid w:val="00A55D5B"/>
    <w:rsid w:val="00A579E3"/>
    <w:rsid w:val="00A6010C"/>
    <w:rsid w:val="00A6195D"/>
    <w:rsid w:val="00A619D3"/>
    <w:rsid w:val="00A61D78"/>
    <w:rsid w:val="00A63218"/>
    <w:rsid w:val="00A65046"/>
    <w:rsid w:val="00A65A8D"/>
    <w:rsid w:val="00A66DE3"/>
    <w:rsid w:val="00A67489"/>
    <w:rsid w:val="00A678A2"/>
    <w:rsid w:val="00A71A8E"/>
    <w:rsid w:val="00A735E6"/>
    <w:rsid w:val="00A74989"/>
    <w:rsid w:val="00A74AA0"/>
    <w:rsid w:val="00A750D9"/>
    <w:rsid w:val="00A81111"/>
    <w:rsid w:val="00A82ECD"/>
    <w:rsid w:val="00A85577"/>
    <w:rsid w:val="00A86AE0"/>
    <w:rsid w:val="00A90C6E"/>
    <w:rsid w:val="00A9216A"/>
    <w:rsid w:val="00A93189"/>
    <w:rsid w:val="00A93A35"/>
    <w:rsid w:val="00A945EC"/>
    <w:rsid w:val="00A9493F"/>
    <w:rsid w:val="00A965F7"/>
    <w:rsid w:val="00A96678"/>
    <w:rsid w:val="00A96DF5"/>
    <w:rsid w:val="00A97019"/>
    <w:rsid w:val="00A97199"/>
    <w:rsid w:val="00AA10E5"/>
    <w:rsid w:val="00AA3BF8"/>
    <w:rsid w:val="00AA4BC3"/>
    <w:rsid w:val="00AA4FCD"/>
    <w:rsid w:val="00AA6958"/>
    <w:rsid w:val="00AA7CE2"/>
    <w:rsid w:val="00AB20B9"/>
    <w:rsid w:val="00AB2237"/>
    <w:rsid w:val="00AB50F8"/>
    <w:rsid w:val="00AB59A4"/>
    <w:rsid w:val="00AC0720"/>
    <w:rsid w:val="00AC09E8"/>
    <w:rsid w:val="00AC0B4E"/>
    <w:rsid w:val="00AC5DAE"/>
    <w:rsid w:val="00AC629B"/>
    <w:rsid w:val="00AD11A7"/>
    <w:rsid w:val="00AD165B"/>
    <w:rsid w:val="00AD1689"/>
    <w:rsid w:val="00AD18AF"/>
    <w:rsid w:val="00AD4195"/>
    <w:rsid w:val="00AD46C8"/>
    <w:rsid w:val="00AD517E"/>
    <w:rsid w:val="00AD53DE"/>
    <w:rsid w:val="00AD555E"/>
    <w:rsid w:val="00AD5D3E"/>
    <w:rsid w:val="00AE0846"/>
    <w:rsid w:val="00AE1169"/>
    <w:rsid w:val="00AE29EB"/>
    <w:rsid w:val="00AE31AA"/>
    <w:rsid w:val="00AE320E"/>
    <w:rsid w:val="00AE56CB"/>
    <w:rsid w:val="00AF080C"/>
    <w:rsid w:val="00AF0B5E"/>
    <w:rsid w:val="00AF1522"/>
    <w:rsid w:val="00AF1525"/>
    <w:rsid w:val="00AF184D"/>
    <w:rsid w:val="00AF222E"/>
    <w:rsid w:val="00AF36A8"/>
    <w:rsid w:val="00AF4B6B"/>
    <w:rsid w:val="00AF548B"/>
    <w:rsid w:val="00AF6A93"/>
    <w:rsid w:val="00AF6AE8"/>
    <w:rsid w:val="00AF6CDB"/>
    <w:rsid w:val="00AF7464"/>
    <w:rsid w:val="00AF7807"/>
    <w:rsid w:val="00B023B0"/>
    <w:rsid w:val="00B05BF3"/>
    <w:rsid w:val="00B06626"/>
    <w:rsid w:val="00B06C28"/>
    <w:rsid w:val="00B07D8D"/>
    <w:rsid w:val="00B07EFB"/>
    <w:rsid w:val="00B104BC"/>
    <w:rsid w:val="00B1089A"/>
    <w:rsid w:val="00B10C63"/>
    <w:rsid w:val="00B124F0"/>
    <w:rsid w:val="00B12C74"/>
    <w:rsid w:val="00B145EF"/>
    <w:rsid w:val="00B170EE"/>
    <w:rsid w:val="00B17B6F"/>
    <w:rsid w:val="00B20E83"/>
    <w:rsid w:val="00B23017"/>
    <w:rsid w:val="00B24501"/>
    <w:rsid w:val="00B245F9"/>
    <w:rsid w:val="00B2665B"/>
    <w:rsid w:val="00B27863"/>
    <w:rsid w:val="00B278AE"/>
    <w:rsid w:val="00B27D87"/>
    <w:rsid w:val="00B30010"/>
    <w:rsid w:val="00B311C7"/>
    <w:rsid w:val="00B3207F"/>
    <w:rsid w:val="00B331F4"/>
    <w:rsid w:val="00B34860"/>
    <w:rsid w:val="00B368F4"/>
    <w:rsid w:val="00B36D1C"/>
    <w:rsid w:val="00B36EA8"/>
    <w:rsid w:val="00B40F4F"/>
    <w:rsid w:val="00B41082"/>
    <w:rsid w:val="00B416A1"/>
    <w:rsid w:val="00B44D54"/>
    <w:rsid w:val="00B45EC1"/>
    <w:rsid w:val="00B46A8F"/>
    <w:rsid w:val="00B47075"/>
    <w:rsid w:val="00B509D2"/>
    <w:rsid w:val="00B51041"/>
    <w:rsid w:val="00B5123A"/>
    <w:rsid w:val="00B51D5F"/>
    <w:rsid w:val="00B61A03"/>
    <w:rsid w:val="00B62B15"/>
    <w:rsid w:val="00B63106"/>
    <w:rsid w:val="00B63E9C"/>
    <w:rsid w:val="00B707BF"/>
    <w:rsid w:val="00B745EF"/>
    <w:rsid w:val="00B747C9"/>
    <w:rsid w:val="00B747D9"/>
    <w:rsid w:val="00B77327"/>
    <w:rsid w:val="00B773DE"/>
    <w:rsid w:val="00B77CBC"/>
    <w:rsid w:val="00B77DC6"/>
    <w:rsid w:val="00B82321"/>
    <w:rsid w:val="00B82AB3"/>
    <w:rsid w:val="00B8433E"/>
    <w:rsid w:val="00B87886"/>
    <w:rsid w:val="00B90B21"/>
    <w:rsid w:val="00B947BA"/>
    <w:rsid w:val="00B94D7D"/>
    <w:rsid w:val="00B94DB8"/>
    <w:rsid w:val="00BA10FF"/>
    <w:rsid w:val="00BA122F"/>
    <w:rsid w:val="00BA1642"/>
    <w:rsid w:val="00BA4296"/>
    <w:rsid w:val="00BA5013"/>
    <w:rsid w:val="00BA6E40"/>
    <w:rsid w:val="00BA71A4"/>
    <w:rsid w:val="00BB174F"/>
    <w:rsid w:val="00BB258E"/>
    <w:rsid w:val="00BB45BD"/>
    <w:rsid w:val="00BB657C"/>
    <w:rsid w:val="00BB7E7B"/>
    <w:rsid w:val="00BC00A8"/>
    <w:rsid w:val="00BC0DA2"/>
    <w:rsid w:val="00BC0DB4"/>
    <w:rsid w:val="00BC1622"/>
    <w:rsid w:val="00BC3EB7"/>
    <w:rsid w:val="00BC56BB"/>
    <w:rsid w:val="00BC6D23"/>
    <w:rsid w:val="00BD0130"/>
    <w:rsid w:val="00BD078E"/>
    <w:rsid w:val="00BD3B97"/>
    <w:rsid w:val="00BE09B4"/>
    <w:rsid w:val="00BE7BA6"/>
    <w:rsid w:val="00BF0281"/>
    <w:rsid w:val="00BF0BC0"/>
    <w:rsid w:val="00BF414C"/>
    <w:rsid w:val="00BF41CC"/>
    <w:rsid w:val="00BF6A3E"/>
    <w:rsid w:val="00C00338"/>
    <w:rsid w:val="00C006D3"/>
    <w:rsid w:val="00C00AA1"/>
    <w:rsid w:val="00C01973"/>
    <w:rsid w:val="00C03800"/>
    <w:rsid w:val="00C046C8"/>
    <w:rsid w:val="00C051CA"/>
    <w:rsid w:val="00C062D0"/>
    <w:rsid w:val="00C06417"/>
    <w:rsid w:val="00C06A5F"/>
    <w:rsid w:val="00C07BFE"/>
    <w:rsid w:val="00C152B2"/>
    <w:rsid w:val="00C162A5"/>
    <w:rsid w:val="00C1632A"/>
    <w:rsid w:val="00C16BEF"/>
    <w:rsid w:val="00C2036F"/>
    <w:rsid w:val="00C20CBD"/>
    <w:rsid w:val="00C24B25"/>
    <w:rsid w:val="00C277BE"/>
    <w:rsid w:val="00C31798"/>
    <w:rsid w:val="00C31FE1"/>
    <w:rsid w:val="00C3234A"/>
    <w:rsid w:val="00C32EE8"/>
    <w:rsid w:val="00C355C7"/>
    <w:rsid w:val="00C4127C"/>
    <w:rsid w:val="00C457C5"/>
    <w:rsid w:val="00C458AC"/>
    <w:rsid w:val="00C4681E"/>
    <w:rsid w:val="00C47954"/>
    <w:rsid w:val="00C50144"/>
    <w:rsid w:val="00C5258B"/>
    <w:rsid w:val="00C60373"/>
    <w:rsid w:val="00C60939"/>
    <w:rsid w:val="00C627A3"/>
    <w:rsid w:val="00C63B88"/>
    <w:rsid w:val="00C63DB5"/>
    <w:rsid w:val="00C672AF"/>
    <w:rsid w:val="00C676C5"/>
    <w:rsid w:val="00C67B81"/>
    <w:rsid w:val="00C706EA"/>
    <w:rsid w:val="00C7073D"/>
    <w:rsid w:val="00C70B73"/>
    <w:rsid w:val="00C72BC4"/>
    <w:rsid w:val="00C7349A"/>
    <w:rsid w:val="00C75841"/>
    <w:rsid w:val="00C7771C"/>
    <w:rsid w:val="00C80966"/>
    <w:rsid w:val="00C82D5F"/>
    <w:rsid w:val="00C82E83"/>
    <w:rsid w:val="00C8587B"/>
    <w:rsid w:val="00C85DF5"/>
    <w:rsid w:val="00C868A7"/>
    <w:rsid w:val="00C870F4"/>
    <w:rsid w:val="00C87D5A"/>
    <w:rsid w:val="00C90848"/>
    <w:rsid w:val="00C9153F"/>
    <w:rsid w:val="00C9188C"/>
    <w:rsid w:val="00C92473"/>
    <w:rsid w:val="00C92808"/>
    <w:rsid w:val="00C95003"/>
    <w:rsid w:val="00C95BE6"/>
    <w:rsid w:val="00C963FE"/>
    <w:rsid w:val="00C965EC"/>
    <w:rsid w:val="00C97937"/>
    <w:rsid w:val="00CA0167"/>
    <w:rsid w:val="00CA0AEE"/>
    <w:rsid w:val="00CA1091"/>
    <w:rsid w:val="00CA11BD"/>
    <w:rsid w:val="00CA12F7"/>
    <w:rsid w:val="00CA1A71"/>
    <w:rsid w:val="00CA2B01"/>
    <w:rsid w:val="00CA3385"/>
    <w:rsid w:val="00CA4B65"/>
    <w:rsid w:val="00CA4F45"/>
    <w:rsid w:val="00CA500F"/>
    <w:rsid w:val="00CB106E"/>
    <w:rsid w:val="00CB1DC2"/>
    <w:rsid w:val="00CB4022"/>
    <w:rsid w:val="00CB632E"/>
    <w:rsid w:val="00CC1458"/>
    <w:rsid w:val="00CC3D68"/>
    <w:rsid w:val="00CC620E"/>
    <w:rsid w:val="00CD15AB"/>
    <w:rsid w:val="00CD3124"/>
    <w:rsid w:val="00CD38DF"/>
    <w:rsid w:val="00CD3A5D"/>
    <w:rsid w:val="00CD5072"/>
    <w:rsid w:val="00CD5319"/>
    <w:rsid w:val="00CD61E0"/>
    <w:rsid w:val="00CD7279"/>
    <w:rsid w:val="00CE0388"/>
    <w:rsid w:val="00CE058C"/>
    <w:rsid w:val="00CE1065"/>
    <w:rsid w:val="00CE312F"/>
    <w:rsid w:val="00CE32DD"/>
    <w:rsid w:val="00CE5647"/>
    <w:rsid w:val="00CE5E41"/>
    <w:rsid w:val="00CE65B5"/>
    <w:rsid w:val="00CE7D48"/>
    <w:rsid w:val="00CE7F34"/>
    <w:rsid w:val="00CF1262"/>
    <w:rsid w:val="00CF3626"/>
    <w:rsid w:val="00CF5A77"/>
    <w:rsid w:val="00D019D0"/>
    <w:rsid w:val="00D0220F"/>
    <w:rsid w:val="00D03248"/>
    <w:rsid w:val="00D0719C"/>
    <w:rsid w:val="00D07625"/>
    <w:rsid w:val="00D10D6A"/>
    <w:rsid w:val="00D115A2"/>
    <w:rsid w:val="00D11ACB"/>
    <w:rsid w:val="00D130B1"/>
    <w:rsid w:val="00D13B53"/>
    <w:rsid w:val="00D14023"/>
    <w:rsid w:val="00D16F5F"/>
    <w:rsid w:val="00D20B68"/>
    <w:rsid w:val="00D212CD"/>
    <w:rsid w:val="00D219FB"/>
    <w:rsid w:val="00D21BD2"/>
    <w:rsid w:val="00D21F34"/>
    <w:rsid w:val="00D225AE"/>
    <w:rsid w:val="00D272B1"/>
    <w:rsid w:val="00D275E1"/>
    <w:rsid w:val="00D27A4E"/>
    <w:rsid w:val="00D30D61"/>
    <w:rsid w:val="00D3178A"/>
    <w:rsid w:val="00D31EE0"/>
    <w:rsid w:val="00D324CF"/>
    <w:rsid w:val="00D32BBD"/>
    <w:rsid w:val="00D32BDA"/>
    <w:rsid w:val="00D34FAE"/>
    <w:rsid w:val="00D36694"/>
    <w:rsid w:val="00D40155"/>
    <w:rsid w:val="00D40BD3"/>
    <w:rsid w:val="00D423FE"/>
    <w:rsid w:val="00D44551"/>
    <w:rsid w:val="00D506CC"/>
    <w:rsid w:val="00D51FC8"/>
    <w:rsid w:val="00D52EE4"/>
    <w:rsid w:val="00D57A42"/>
    <w:rsid w:val="00D60313"/>
    <w:rsid w:val="00D61318"/>
    <w:rsid w:val="00D61607"/>
    <w:rsid w:val="00D62C46"/>
    <w:rsid w:val="00D6322B"/>
    <w:rsid w:val="00D63C2C"/>
    <w:rsid w:val="00D64A2A"/>
    <w:rsid w:val="00D64E89"/>
    <w:rsid w:val="00D65777"/>
    <w:rsid w:val="00D65A9F"/>
    <w:rsid w:val="00D66878"/>
    <w:rsid w:val="00D66E7E"/>
    <w:rsid w:val="00D717FD"/>
    <w:rsid w:val="00D71E74"/>
    <w:rsid w:val="00D7210C"/>
    <w:rsid w:val="00D72DFE"/>
    <w:rsid w:val="00D73D0A"/>
    <w:rsid w:val="00D8013D"/>
    <w:rsid w:val="00D80333"/>
    <w:rsid w:val="00D80A8D"/>
    <w:rsid w:val="00D81BDF"/>
    <w:rsid w:val="00D81E0F"/>
    <w:rsid w:val="00D835A5"/>
    <w:rsid w:val="00D850AC"/>
    <w:rsid w:val="00D85ED6"/>
    <w:rsid w:val="00D87A9B"/>
    <w:rsid w:val="00D911F6"/>
    <w:rsid w:val="00D91F95"/>
    <w:rsid w:val="00D923E0"/>
    <w:rsid w:val="00D92EEF"/>
    <w:rsid w:val="00D93660"/>
    <w:rsid w:val="00D95DC9"/>
    <w:rsid w:val="00DA0498"/>
    <w:rsid w:val="00DA154E"/>
    <w:rsid w:val="00DA3C51"/>
    <w:rsid w:val="00DA5307"/>
    <w:rsid w:val="00DA55B0"/>
    <w:rsid w:val="00DA599C"/>
    <w:rsid w:val="00DA7030"/>
    <w:rsid w:val="00DA788B"/>
    <w:rsid w:val="00DA7B3C"/>
    <w:rsid w:val="00DB2911"/>
    <w:rsid w:val="00DB2A21"/>
    <w:rsid w:val="00DB55AA"/>
    <w:rsid w:val="00DB656E"/>
    <w:rsid w:val="00DB6855"/>
    <w:rsid w:val="00DB7651"/>
    <w:rsid w:val="00DB7658"/>
    <w:rsid w:val="00DB77DF"/>
    <w:rsid w:val="00DC0542"/>
    <w:rsid w:val="00DC0C9F"/>
    <w:rsid w:val="00DC241B"/>
    <w:rsid w:val="00DC4EFB"/>
    <w:rsid w:val="00DC5FCF"/>
    <w:rsid w:val="00DD0D94"/>
    <w:rsid w:val="00DD1296"/>
    <w:rsid w:val="00DD1DAB"/>
    <w:rsid w:val="00DD27A4"/>
    <w:rsid w:val="00DD528E"/>
    <w:rsid w:val="00DD7C2F"/>
    <w:rsid w:val="00DE0924"/>
    <w:rsid w:val="00DE3D56"/>
    <w:rsid w:val="00DE46E7"/>
    <w:rsid w:val="00DE4B79"/>
    <w:rsid w:val="00DE5A56"/>
    <w:rsid w:val="00DE6453"/>
    <w:rsid w:val="00DF3960"/>
    <w:rsid w:val="00DF61B1"/>
    <w:rsid w:val="00DF6A44"/>
    <w:rsid w:val="00DF77C5"/>
    <w:rsid w:val="00E018E7"/>
    <w:rsid w:val="00E04C70"/>
    <w:rsid w:val="00E05E24"/>
    <w:rsid w:val="00E0674A"/>
    <w:rsid w:val="00E07409"/>
    <w:rsid w:val="00E1127D"/>
    <w:rsid w:val="00E13B93"/>
    <w:rsid w:val="00E14533"/>
    <w:rsid w:val="00E15ACD"/>
    <w:rsid w:val="00E15FFF"/>
    <w:rsid w:val="00E1664F"/>
    <w:rsid w:val="00E16C87"/>
    <w:rsid w:val="00E20CEA"/>
    <w:rsid w:val="00E2507D"/>
    <w:rsid w:val="00E26F12"/>
    <w:rsid w:val="00E326E7"/>
    <w:rsid w:val="00E33651"/>
    <w:rsid w:val="00E36032"/>
    <w:rsid w:val="00E36F0E"/>
    <w:rsid w:val="00E4067A"/>
    <w:rsid w:val="00E40D55"/>
    <w:rsid w:val="00E418E9"/>
    <w:rsid w:val="00E4483A"/>
    <w:rsid w:val="00E4549A"/>
    <w:rsid w:val="00E51431"/>
    <w:rsid w:val="00E517F6"/>
    <w:rsid w:val="00E52CA4"/>
    <w:rsid w:val="00E53DAB"/>
    <w:rsid w:val="00E54DD1"/>
    <w:rsid w:val="00E55876"/>
    <w:rsid w:val="00E5660F"/>
    <w:rsid w:val="00E570D7"/>
    <w:rsid w:val="00E602C5"/>
    <w:rsid w:val="00E61F01"/>
    <w:rsid w:val="00E7337C"/>
    <w:rsid w:val="00E73AA5"/>
    <w:rsid w:val="00E74178"/>
    <w:rsid w:val="00E754C1"/>
    <w:rsid w:val="00E76BFC"/>
    <w:rsid w:val="00E80575"/>
    <w:rsid w:val="00E806FA"/>
    <w:rsid w:val="00E81B98"/>
    <w:rsid w:val="00E82228"/>
    <w:rsid w:val="00E840FC"/>
    <w:rsid w:val="00E841F7"/>
    <w:rsid w:val="00E85147"/>
    <w:rsid w:val="00E86FAA"/>
    <w:rsid w:val="00E901F0"/>
    <w:rsid w:val="00E90AFF"/>
    <w:rsid w:val="00E9291D"/>
    <w:rsid w:val="00E92A06"/>
    <w:rsid w:val="00E92F5B"/>
    <w:rsid w:val="00E93608"/>
    <w:rsid w:val="00E94155"/>
    <w:rsid w:val="00E95FB0"/>
    <w:rsid w:val="00E96FB2"/>
    <w:rsid w:val="00EA124A"/>
    <w:rsid w:val="00EA19D7"/>
    <w:rsid w:val="00EA1A19"/>
    <w:rsid w:val="00EA2403"/>
    <w:rsid w:val="00EA37E9"/>
    <w:rsid w:val="00EA53BE"/>
    <w:rsid w:val="00EA579B"/>
    <w:rsid w:val="00EA66A0"/>
    <w:rsid w:val="00EA7F49"/>
    <w:rsid w:val="00EB1750"/>
    <w:rsid w:val="00EB37ED"/>
    <w:rsid w:val="00EB3C0B"/>
    <w:rsid w:val="00EB3F6A"/>
    <w:rsid w:val="00EB4D6D"/>
    <w:rsid w:val="00EB5D4F"/>
    <w:rsid w:val="00EB7B48"/>
    <w:rsid w:val="00EC0217"/>
    <w:rsid w:val="00EC04B3"/>
    <w:rsid w:val="00EC052E"/>
    <w:rsid w:val="00EC0D15"/>
    <w:rsid w:val="00EC3612"/>
    <w:rsid w:val="00EC3FF6"/>
    <w:rsid w:val="00EC5605"/>
    <w:rsid w:val="00EC6A3B"/>
    <w:rsid w:val="00EC7F95"/>
    <w:rsid w:val="00EC7FD1"/>
    <w:rsid w:val="00ED0CA6"/>
    <w:rsid w:val="00ED2224"/>
    <w:rsid w:val="00ED23FB"/>
    <w:rsid w:val="00ED29D6"/>
    <w:rsid w:val="00ED47E7"/>
    <w:rsid w:val="00ED5074"/>
    <w:rsid w:val="00ED5149"/>
    <w:rsid w:val="00ED616C"/>
    <w:rsid w:val="00ED6C96"/>
    <w:rsid w:val="00EE0400"/>
    <w:rsid w:val="00EE14ED"/>
    <w:rsid w:val="00EF05F1"/>
    <w:rsid w:val="00EF06C2"/>
    <w:rsid w:val="00EF2F78"/>
    <w:rsid w:val="00EF41A4"/>
    <w:rsid w:val="00EF4870"/>
    <w:rsid w:val="00EF5DBF"/>
    <w:rsid w:val="00EF6FC3"/>
    <w:rsid w:val="00EF7D72"/>
    <w:rsid w:val="00F00D0A"/>
    <w:rsid w:val="00F00D34"/>
    <w:rsid w:val="00F01178"/>
    <w:rsid w:val="00F01955"/>
    <w:rsid w:val="00F021DB"/>
    <w:rsid w:val="00F042AA"/>
    <w:rsid w:val="00F05D0E"/>
    <w:rsid w:val="00F06DD7"/>
    <w:rsid w:val="00F06EB7"/>
    <w:rsid w:val="00F0705A"/>
    <w:rsid w:val="00F10454"/>
    <w:rsid w:val="00F12AF9"/>
    <w:rsid w:val="00F13F2B"/>
    <w:rsid w:val="00F17473"/>
    <w:rsid w:val="00F20315"/>
    <w:rsid w:val="00F208CC"/>
    <w:rsid w:val="00F21CB1"/>
    <w:rsid w:val="00F21F84"/>
    <w:rsid w:val="00F22966"/>
    <w:rsid w:val="00F26DB0"/>
    <w:rsid w:val="00F2764E"/>
    <w:rsid w:val="00F2768E"/>
    <w:rsid w:val="00F30119"/>
    <w:rsid w:val="00F301C4"/>
    <w:rsid w:val="00F30B6D"/>
    <w:rsid w:val="00F31FB6"/>
    <w:rsid w:val="00F36BBF"/>
    <w:rsid w:val="00F3763B"/>
    <w:rsid w:val="00F37B76"/>
    <w:rsid w:val="00F42D37"/>
    <w:rsid w:val="00F448AA"/>
    <w:rsid w:val="00F44D85"/>
    <w:rsid w:val="00F457B0"/>
    <w:rsid w:val="00F463DB"/>
    <w:rsid w:val="00F5071A"/>
    <w:rsid w:val="00F51F06"/>
    <w:rsid w:val="00F52244"/>
    <w:rsid w:val="00F56151"/>
    <w:rsid w:val="00F60444"/>
    <w:rsid w:val="00F60AA4"/>
    <w:rsid w:val="00F60D57"/>
    <w:rsid w:val="00F61FBE"/>
    <w:rsid w:val="00F625BD"/>
    <w:rsid w:val="00F63633"/>
    <w:rsid w:val="00F63E4D"/>
    <w:rsid w:val="00F6424C"/>
    <w:rsid w:val="00F6499F"/>
    <w:rsid w:val="00F70D98"/>
    <w:rsid w:val="00F714F3"/>
    <w:rsid w:val="00F7155E"/>
    <w:rsid w:val="00F7260D"/>
    <w:rsid w:val="00F7275E"/>
    <w:rsid w:val="00F72AD2"/>
    <w:rsid w:val="00F7343A"/>
    <w:rsid w:val="00F735AE"/>
    <w:rsid w:val="00F74ABF"/>
    <w:rsid w:val="00F74ACD"/>
    <w:rsid w:val="00F76693"/>
    <w:rsid w:val="00F76E6A"/>
    <w:rsid w:val="00F81B48"/>
    <w:rsid w:val="00F82060"/>
    <w:rsid w:val="00F82202"/>
    <w:rsid w:val="00F822D1"/>
    <w:rsid w:val="00F869DA"/>
    <w:rsid w:val="00F879E2"/>
    <w:rsid w:val="00F90579"/>
    <w:rsid w:val="00F907CD"/>
    <w:rsid w:val="00F93DAC"/>
    <w:rsid w:val="00F9424C"/>
    <w:rsid w:val="00F96BDA"/>
    <w:rsid w:val="00FA067D"/>
    <w:rsid w:val="00FA090D"/>
    <w:rsid w:val="00FA102B"/>
    <w:rsid w:val="00FA3010"/>
    <w:rsid w:val="00FA40C9"/>
    <w:rsid w:val="00FA79AD"/>
    <w:rsid w:val="00FA79D4"/>
    <w:rsid w:val="00FB4C0A"/>
    <w:rsid w:val="00FB6E7D"/>
    <w:rsid w:val="00FC0609"/>
    <w:rsid w:val="00FC0FF9"/>
    <w:rsid w:val="00FC3DA6"/>
    <w:rsid w:val="00FC4D41"/>
    <w:rsid w:val="00FC4DA1"/>
    <w:rsid w:val="00FC501E"/>
    <w:rsid w:val="00FC5A5A"/>
    <w:rsid w:val="00FD3219"/>
    <w:rsid w:val="00FD33C3"/>
    <w:rsid w:val="00FD3BFE"/>
    <w:rsid w:val="00FE04A3"/>
    <w:rsid w:val="00FE24C1"/>
    <w:rsid w:val="00FE2E07"/>
    <w:rsid w:val="00FE386E"/>
    <w:rsid w:val="00FE4955"/>
    <w:rsid w:val="00FE7959"/>
    <w:rsid w:val="00FF022B"/>
    <w:rsid w:val="00FF2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A7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SWA Normal"/>
    <w:qFormat/>
    <w:rsid w:val="00536144"/>
    <w:pPr>
      <w:spacing w:after="12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B51041"/>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B51041"/>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2"/>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162DA9"/>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162DA9"/>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14"/>
      </w:numPr>
      <w:tabs>
        <w:tab w:val="clear" w:pos="284"/>
        <w:tab w:val="num" w:pos="426"/>
      </w:tabs>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7653A6"/>
    <w:pPr>
      <w:tabs>
        <w:tab w:val="left" w:pos="284"/>
        <w:tab w:val="right" w:leader="dot" w:pos="8820"/>
      </w:tabs>
      <w:spacing w:before="200"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4"/>
      </w:numPr>
      <w:ind w:left="1077" w:hanging="357"/>
    </w:pPr>
  </w:style>
  <w:style w:type="paragraph" w:styleId="Caption">
    <w:name w:val="caption"/>
    <w:basedOn w:val="Normal"/>
    <w:next w:val="Normal"/>
    <w:uiPriority w:val="35"/>
    <w:unhideWhenUsed/>
    <w:qFormat/>
    <w:rsid w:val="00D10D6A"/>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semiHidden/>
    <w:unhideWhenUsed/>
    <w:rsid w:val="00D10D6A"/>
  </w:style>
  <w:style w:type="character" w:customStyle="1" w:styleId="BodyTextChar">
    <w:name w:val="Body Text Char"/>
    <w:basedOn w:val="DefaultParagraphFont"/>
    <w:link w:val="BodyText"/>
    <w:uiPriority w:val="99"/>
    <w:semiHidden/>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ind w:left="0"/>
    </w:pPr>
    <w:rPr>
      <w:sz w:val="32"/>
    </w:rPr>
  </w:style>
  <w:style w:type="numbering" w:customStyle="1" w:styleId="SecNumb">
    <w:name w:val="SecNumb"/>
    <w:uiPriority w:val="99"/>
    <w:rsid w:val="00C00338"/>
    <w:pPr>
      <w:numPr>
        <w:numId w:val="6"/>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styleId="CommentReference">
    <w:name w:val="annotation reference"/>
    <w:basedOn w:val="DefaultParagraphFont"/>
    <w:uiPriority w:val="99"/>
    <w:semiHidden/>
    <w:unhideWhenUsed/>
    <w:rsid w:val="007E7776"/>
    <w:rPr>
      <w:sz w:val="16"/>
      <w:szCs w:val="16"/>
    </w:rPr>
  </w:style>
  <w:style w:type="paragraph" w:styleId="CommentText">
    <w:name w:val="annotation text"/>
    <w:basedOn w:val="Normal"/>
    <w:link w:val="CommentTextChar"/>
    <w:uiPriority w:val="99"/>
    <w:unhideWhenUsed/>
    <w:rsid w:val="007E7776"/>
    <w:rPr>
      <w:szCs w:val="20"/>
    </w:rPr>
  </w:style>
  <w:style w:type="character" w:customStyle="1" w:styleId="CommentTextChar">
    <w:name w:val="Comment Text Char"/>
    <w:basedOn w:val="DefaultParagraphFont"/>
    <w:link w:val="CommentText"/>
    <w:uiPriority w:val="99"/>
    <w:rsid w:val="007E7776"/>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E7776"/>
    <w:rPr>
      <w:b/>
      <w:bCs/>
    </w:rPr>
  </w:style>
  <w:style w:type="character" w:customStyle="1" w:styleId="CommentSubjectChar">
    <w:name w:val="Comment Subject Char"/>
    <w:basedOn w:val="CommentTextChar"/>
    <w:link w:val="CommentSubject"/>
    <w:uiPriority w:val="99"/>
    <w:semiHidden/>
    <w:rsid w:val="007E7776"/>
    <w:rPr>
      <w:rFonts w:ascii="Arial" w:eastAsia="Times New Roman" w:hAnsi="Arial" w:cs="Times New Roman"/>
      <w:b/>
      <w:bCs/>
      <w:sz w:val="20"/>
      <w:szCs w:val="20"/>
      <w:lang w:eastAsia="en-AU"/>
    </w:rPr>
  </w:style>
  <w:style w:type="paragraph" w:styleId="ListBullet">
    <w:name w:val="List Bullet"/>
    <w:basedOn w:val="Normal"/>
    <w:uiPriority w:val="99"/>
    <w:unhideWhenUsed/>
    <w:rsid w:val="003F4219"/>
    <w:pPr>
      <w:numPr>
        <w:numId w:val="15"/>
      </w:numPr>
      <w:contextualSpacing/>
    </w:pPr>
  </w:style>
  <w:style w:type="paragraph" w:customStyle="1" w:styleId="Disclaimer">
    <w:name w:val="Disclaimer"/>
    <w:basedOn w:val="Normal"/>
    <w:uiPriority w:val="2"/>
    <w:rsid w:val="00077D9A"/>
    <w:pPr>
      <w:spacing w:after="60"/>
      <w:jc w:val="left"/>
    </w:pPr>
    <w:rPr>
      <w:rFonts w:eastAsiaTheme="minorHAnsi" w:cs="Arial"/>
      <w:sz w:val="16"/>
      <w:szCs w:val="16"/>
      <w:lang w:eastAsia="en-US"/>
    </w:rPr>
  </w:style>
  <w:style w:type="character" w:styleId="UnresolvedMention">
    <w:name w:val="Unresolved Mention"/>
    <w:basedOn w:val="DefaultParagraphFont"/>
    <w:uiPriority w:val="99"/>
    <w:semiHidden/>
    <w:unhideWhenUsed/>
    <w:rsid w:val="00AF36A8"/>
    <w:rPr>
      <w:color w:val="605E5C"/>
      <w:shd w:val="clear" w:color="auto" w:fill="E1DFDD"/>
    </w:rPr>
  </w:style>
  <w:style w:type="paragraph" w:styleId="Revision">
    <w:name w:val="Revision"/>
    <w:hidden/>
    <w:uiPriority w:val="99"/>
    <w:semiHidden/>
    <w:rsid w:val="0032103F"/>
    <w:pPr>
      <w:spacing w:after="0" w:line="240" w:lineRule="auto"/>
    </w:pPr>
    <w:rPr>
      <w:rFonts w:ascii="Arial" w:eastAsia="Times New Roman" w:hAnsi="Arial" w:cs="Times New Roman"/>
      <w:sz w:val="20"/>
      <w:szCs w:val="24"/>
      <w:lang w:eastAsia="en-AU"/>
    </w:rPr>
  </w:style>
  <w:style w:type="paragraph" w:styleId="TableofFigures">
    <w:name w:val="table of figures"/>
    <w:basedOn w:val="Normal"/>
    <w:next w:val="Normal"/>
    <w:uiPriority w:val="99"/>
    <w:unhideWhenUsed/>
    <w:rsid w:val="00E1127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865">
      <w:bodyDiv w:val="1"/>
      <w:marLeft w:val="0"/>
      <w:marRight w:val="0"/>
      <w:marTop w:val="0"/>
      <w:marBottom w:val="0"/>
      <w:divBdr>
        <w:top w:val="none" w:sz="0" w:space="0" w:color="auto"/>
        <w:left w:val="none" w:sz="0" w:space="0" w:color="auto"/>
        <w:bottom w:val="none" w:sz="0" w:space="0" w:color="auto"/>
        <w:right w:val="none" w:sz="0" w:space="0" w:color="auto"/>
      </w:divBdr>
    </w:div>
    <w:div w:id="74329201">
      <w:bodyDiv w:val="1"/>
      <w:marLeft w:val="0"/>
      <w:marRight w:val="0"/>
      <w:marTop w:val="0"/>
      <w:marBottom w:val="0"/>
      <w:divBdr>
        <w:top w:val="none" w:sz="0" w:space="0" w:color="auto"/>
        <w:left w:val="none" w:sz="0" w:space="0" w:color="auto"/>
        <w:bottom w:val="none" w:sz="0" w:space="0" w:color="auto"/>
        <w:right w:val="none" w:sz="0" w:space="0" w:color="auto"/>
      </w:divBdr>
    </w:div>
    <w:div w:id="212351351">
      <w:bodyDiv w:val="1"/>
      <w:marLeft w:val="0"/>
      <w:marRight w:val="0"/>
      <w:marTop w:val="0"/>
      <w:marBottom w:val="0"/>
      <w:divBdr>
        <w:top w:val="none" w:sz="0" w:space="0" w:color="auto"/>
        <w:left w:val="none" w:sz="0" w:space="0" w:color="auto"/>
        <w:bottom w:val="none" w:sz="0" w:space="0" w:color="auto"/>
        <w:right w:val="none" w:sz="0" w:space="0" w:color="auto"/>
      </w:divBdr>
    </w:div>
    <w:div w:id="566917176">
      <w:bodyDiv w:val="1"/>
      <w:marLeft w:val="0"/>
      <w:marRight w:val="0"/>
      <w:marTop w:val="0"/>
      <w:marBottom w:val="0"/>
      <w:divBdr>
        <w:top w:val="none" w:sz="0" w:space="0" w:color="auto"/>
        <w:left w:val="none" w:sz="0" w:space="0" w:color="auto"/>
        <w:bottom w:val="none" w:sz="0" w:space="0" w:color="auto"/>
        <w:right w:val="none" w:sz="0" w:space="0" w:color="auto"/>
      </w:divBdr>
    </w:div>
    <w:div w:id="579339294">
      <w:bodyDiv w:val="1"/>
      <w:marLeft w:val="0"/>
      <w:marRight w:val="0"/>
      <w:marTop w:val="0"/>
      <w:marBottom w:val="0"/>
      <w:divBdr>
        <w:top w:val="none" w:sz="0" w:space="0" w:color="auto"/>
        <w:left w:val="none" w:sz="0" w:space="0" w:color="auto"/>
        <w:bottom w:val="none" w:sz="0" w:space="0" w:color="auto"/>
        <w:right w:val="none" w:sz="0" w:space="0" w:color="auto"/>
      </w:divBdr>
    </w:div>
    <w:div w:id="674578057">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98045309">
      <w:bodyDiv w:val="1"/>
      <w:marLeft w:val="0"/>
      <w:marRight w:val="0"/>
      <w:marTop w:val="0"/>
      <w:marBottom w:val="0"/>
      <w:divBdr>
        <w:top w:val="none" w:sz="0" w:space="0" w:color="auto"/>
        <w:left w:val="none" w:sz="0" w:space="0" w:color="auto"/>
        <w:bottom w:val="none" w:sz="0" w:space="0" w:color="auto"/>
        <w:right w:val="none" w:sz="0" w:space="0" w:color="auto"/>
      </w:divBdr>
    </w:div>
    <w:div w:id="717167163">
      <w:bodyDiv w:val="1"/>
      <w:marLeft w:val="0"/>
      <w:marRight w:val="0"/>
      <w:marTop w:val="0"/>
      <w:marBottom w:val="0"/>
      <w:divBdr>
        <w:top w:val="none" w:sz="0" w:space="0" w:color="auto"/>
        <w:left w:val="none" w:sz="0" w:space="0" w:color="auto"/>
        <w:bottom w:val="none" w:sz="0" w:space="0" w:color="auto"/>
        <w:right w:val="none" w:sz="0" w:space="0" w:color="auto"/>
      </w:divBdr>
    </w:div>
    <w:div w:id="747729208">
      <w:bodyDiv w:val="1"/>
      <w:marLeft w:val="0"/>
      <w:marRight w:val="0"/>
      <w:marTop w:val="0"/>
      <w:marBottom w:val="0"/>
      <w:divBdr>
        <w:top w:val="none" w:sz="0" w:space="0" w:color="auto"/>
        <w:left w:val="none" w:sz="0" w:space="0" w:color="auto"/>
        <w:bottom w:val="none" w:sz="0" w:space="0" w:color="auto"/>
        <w:right w:val="none" w:sz="0" w:space="0" w:color="auto"/>
      </w:divBdr>
    </w:div>
    <w:div w:id="1017731259">
      <w:bodyDiv w:val="1"/>
      <w:marLeft w:val="0"/>
      <w:marRight w:val="0"/>
      <w:marTop w:val="0"/>
      <w:marBottom w:val="0"/>
      <w:divBdr>
        <w:top w:val="none" w:sz="0" w:space="0" w:color="auto"/>
        <w:left w:val="none" w:sz="0" w:space="0" w:color="auto"/>
        <w:bottom w:val="none" w:sz="0" w:space="0" w:color="auto"/>
        <w:right w:val="none" w:sz="0" w:space="0" w:color="auto"/>
      </w:divBdr>
    </w:div>
    <w:div w:id="1111315088">
      <w:bodyDiv w:val="1"/>
      <w:marLeft w:val="0"/>
      <w:marRight w:val="0"/>
      <w:marTop w:val="0"/>
      <w:marBottom w:val="0"/>
      <w:divBdr>
        <w:top w:val="none" w:sz="0" w:space="0" w:color="auto"/>
        <w:left w:val="none" w:sz="0" w:space="0" w:color="auto"/>
        <w:bottom w:val="none" w:sz="0" w:space="0" w:color="auto"/>
        <w:right w:val="none" w:sz="0" w:space="0" w:color="auto"/>
      </w:divBdr>
    </w:div>
    <w:div w:id="1161888058">
      <w:bodyDiv w:val="1"/>
      <w:marLeft w:val="0"/>
      <w:marRight w:val="0"/>
      <w:marTop w:val="0"/>
      <w:marBottom w:val="0"/>
      <w:divBdr>
        <w:top w:val="none" w:sz="0" w:space="0" w:color="auto"/>
        <w:left w:val="none" w:sz="0" w:space="0" w:color="auto"/>
        <w:bottom w:val="none" w:sz="0" w:space="0" w:color="auto"/>
        <w:right w:val="none" w:sz="0" w:space="0" w:color="auto"/>
      </w:divBdr>
    </w:div>
    <w:div w:id="1239099306">
      <w:bodyDiv w:val="1"/>
      <w:marLeft w:val="0"/>
      <w:marRight w:val="0"/>
      <w:marTop w:val="0"/>
      <w:marBottom w:val="0"/>
      <w:divBdr>
        <w:top w:val="none" w:sz="0" w:space="0" w:color="auto"/>
        <w:left w:val="none" w:sz="0" w:space="0" w:color="auto"/>
        <w:bottom w:val="none" w:sz="0" w:space="0" w:color="auto"/>
        <w:right w:val="none" w:sz="0" w:space="0" w:color="auto"/>
      </w:divBdr>
    </w:div>
    <w:div w:id="1296792217">
      <w:bodyDiv w:val="1"/>
      <w:marLeft w:val="0"/>
      <w:marRight w:val="0"/>
      <w:marTop w:val="0"/>
      <w:marBottom w:val="0"/>
      <w:divBdr>
        <w:top w:val="none" w:sz="0" w:space="0" w:color="auto"/>
        <w:left w:val="none" w:sz="0" w:space="0" w:color="auto"/>
        <w:bottom w:val="none" w:sz="0" w:space="0" w:color="auto"/>
        <w:right w:val="none" w:sz="0" w:space="0" w:color="auto"/>
      </w:divBdr>
    </w:div>
    <w:div w:id="1541015582">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1950528">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jpeg"/><Relationship Id="rId42" Type="http://schemas.openxmlformats.org/officeDocument/2006/relationships/hyperlink" Target="https://www.safeworkaustralia.gov.au/about-us/australian-work-health-and-safety-strategy-2012-2022"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hyperlink" Target="http://www.sira.nsw.gov.au/" TargetMode="External"/><Relationship Id="rId84" Type="http://schemas.openxmlformats.org/officeDocument/2006/relationships/hyperlink" Target="https://www.worksafe.act.gov.au/" TargetMode="External"/><Relationship Id="rId89" Type="http://schemas.openxmlformats.org/officeDocument/2006/relationships/hyperlink" Target="http://www.worksafe.govt.nz" TargetMode="External"/><Relationship Id="rId16" Type="http://schemas.openxmlformats.org/officeDocument/2006/relationships/hyperlink" Target="https://www.safeworkaustralia.gov.au/" TargetMode="External"/><Relationship Id="rId11" Type="http://schemas.openxmlformats.org/officeDocument/2006/relationships/image" Target="media/image1.jpeg"/><Relationship Id="rId32" Type="http://schemas.openxmlformats.org/officeDocument/2006/relationships/hyperlink" Target="https://www.safeworkaustralia.gov.au/doc/type-occurrence-classification-system-toocs-3rd-edition-may-2008" TargetMode="External"/><Relationship Id="rId37" Type="http://schemas.openxmlformats.org/officeDocument/2006/relationships/image" Target="media/image12.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www.worksafe.vic.gov.au/" TargetMode="External"/><Relationship Id="rId79" Type="http://schemas.openxmlformats.org/officeDocument/2006/relationships/hyperlink" Target="http://www.safework.sa.gov.au/" TargetMode="External"/><Relationship Id="rId5" Type="http://schemas.openxmlformats.org/officeDocument/2006/relationships/webSettings" Target="webSettings.xml"/><Relationship Id="rId90" Type="http://schemas.openxmlformats.org/officeDocument/2006/relationships/header" Target="header5.xml"/><Relationship Id="rId14" Type="http://schemas.openxmlformats.org/officeDocument/2006/relationships/hyperlink" Target="https://www.safeworkaustralia.gov.au/collection/australian-workers-compensation-statistics"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hyperlink" Target="https://www.safeworkaustralia.gov.au/collection/work-related-traumatic-injury-fatalities" TargetMode="External"/><Relationship Id="rId35" Type="http://schemas.openxmlformats.org/officeDocument/2006/relationships/image" Target="media/image10.png"/><Relationship Id="rId43" Type="http://schemas.openxmlformats.org/officeDocument/2006/relationships/hyperlink" Target="https://www.safeworkaustralia.gov.au/collection/australian-workers-compensation-statistics"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hyperlink" Target="mailto:contact@safework.nsw.gov.au" TargetMode="External"/><Relationship Id="rId77" Type="http://schemas.openxmlformats.org/officeDocument/2006/relationships/hyperlink" Target="http://www.dmirs.wa.gov.au/" TargetMode="Externa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hyperlink" Target="http://www.icare.nsw.gov.au" TargetMode="External"/><Relationship Id="rId80" Type="http://schemas.openxmlformats.org/officeDocument/2006/relationships/hyperlink" Target="mailto:wstinfo@justice.tas.gov.au" TargetMode="External"/><Relationship Id="rId85" Type="http://schemas.openxmlformats.org/officeDocument/2006/relationships/hyperlink" Target="mailto:seacare@comcare.gov.au" TargetMode="External"/><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hyperlink" Target="https://www.safeworkaustralia.gov.au/statistics-and-research/statistics/statistics"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yperlink" Target="mailto:contact@sira.nsw.gov.au" TargetMode="External"/><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www.safework.nsw.gov.au/" TargetMode="External"/><Relationship Id="rId75" Type="http://schemas.openxmlformats.org/officeDocument/2006/relationships/hyperlink" Target="https://www.worksafe.qld.gov.au/" TargetMode="External"/><Relationship Id="rId83" Type="http://schemas.openxmlformats.org/officeDocument/2006/relationships/hyperlink" Target="http://www.worksafe.nt.gov.au/Pages/default.aspx" TargetMode="External"/><Relationship Id="rId88" Type="http://schemas.openxmlformats.org/officeDocument/2006/relationships/hyperlink" Target="http://www.acc.co.nz/"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collection/comparison-workers-compensation-arrangements-australia-and-new-zealand" TargetMode="Externa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hyperlink" Target="https://www.mesothelioma-australia.com/publications-and-data/publications" TargetMode="External"/><Relationship Id="rId44" Type="http://schemas.openxmlformats.org/officeDocument/2006/relationships/header" Target="header4.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yperlink" Target="https://www.safeworkaustralia.gov.au/collection/work-related-traumatic-injury-fatalities" TargetMode="External"/><Relationship Id="rId73" Type="http://schemas.openxmlformats.org/officeDocument/2006/relationships/hyperlink" Target="mailto:info@worksafe.vic.gov.au" TargetMode="External"/><Relationship Id="rId78" Type="http://schemas.openxmlformats.org/officeDocument/2006/relationships/hyperlink" Target="http://www.rtwsa.com/" TargetMode="External"/><Relationship Id="rId81" Type="http://schemas.openxmlformats.org/officeDocument/2006/relationships/hyperlink" Target="http://www.worksafe.tas.gov.au/" TargetMode="External"/><Relationship Id="rId86" Type="http://schemas.openxmlformats.org/officeDocument/2006/relationships/hyperlink" Target="http://www.seacare.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swa.gov.au" TargetMode="External"/><Relationship Id="rId18" Type="http://schemas.openxmlformats.org/officeDocument/2006/relationships/hyperlink" Target="https://www.safeworkaustralia.gov.au/collection/national-return-work-survey-2018"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www.workcover.wa.gov.au/" TargetMode="External"/><Relationship Id="rId7" Type="http://schemas.openxmlformats.org/officeDocument/2006/relationships/endnotes" Target="endnotes.xml"/><Relationship Id="rId71" Type="http://schemas.openxmlformats.org/officeDocument/2006/relationships/hyperlink" Target="mailto:registry@wcc.nsw.gov.a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safeworkaustralia.gov.au/workers-compensation/comparing-australias-workers-compensation-schemes" TargetMode="External"/><Relationship Id="rId24" Type="http://schemas.openxmlformats.org/officeDocument/2006/relationships/image" Target="media/image3.jpeg"/><Relationship Id="rId40" Type="http://schemas.openxmlformats.org/officeDocument/2006/relationships/image" Target="media/image15.png"/><Relationship Id="rId45" Type="http://schemas.openxmlformats.org/officeDocument/2006/relationships/image" Target="media/image17.png"/><Relationship Id="rId66" Type="http://schemas.openxmlformats.org/officeDocument/2006/relationships/hyperlink" Target="https://www.safeworkaustralia.gov.au/doc/type-occurrence-classification-system-toocs-3rd-edition-may-2008" TargetMode="External"/><Relationship Id="rId87" Type="http://schemas.openxmlformats.org/officeDocument/2006/relationships/hyperlink" Target="http://www.comcare.gov.au/" TargetMode="External"/><Relationship Id="rId61" Type="http://schemas.openxmlformats.org/officeDocument/2006/relationships/image" Target="media/image33.png"/><Relationship Id="rId82" Type="http://schemas.openxmlformats.org/officeDocument/2006/relationships/hyperlink" Target="mailto:ntworksafe@nt.gov.au" TargetMode="External"/><Relationship Id="rId1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60D33-D904-4CEB-91C2-F29F809A4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10971</Words>
  <Characters>62538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2021-01-05T21:45:00Z</dcterms:created>
  <dcterms:modified xsi:type="dcterms:W3CDTF">2021-02-05T04:01:00Z</dcterms:modified>
</cp:coreProperties>
</file>