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F5589" w14:textId="4828627C" w:rsidR="00AA7C33" w:rsidRDefault="0024667E" w:rsidP="00AA7C33">
      <w:pPr>
        <w:spacing w:before="0" w:after="200" w:line="276" w:lineRule="auto"/>
        <w:jc w:val="left"/>
        <w:rPr>
          <w:noProof/>
        </w:rPr>
      </w:pPr>
      <w:bookmarkStart w:id="0" w:name="_Toc56776895"/>
      <w:r>
        <w:rPr>
          <w:noProof/>
        </w:rPr>
        <w:drawing>
          <wp:anchor distT="0" distB="0" distL="114300" distR="114300" simplePos="0" relativeHeight="251658240" behindDoc="0" locked="0" layoutInCell="1" allowOverlap="1" wp14:anchorId="4B5D0E54" wp14:editId="6FB20A19">
            <wp:simplePos x="0" y="0"/>
            <wp:positionH relativeFrom="column">
              <wp:posOffset>-838835</wp:posOffset>
            </wp:positionH>
            <wp:positionV relativeFrom="paragraph">
              <wp:posOffset>-658495</wp:posOffset>
            </wp:positionV>
            <wp:extent cx="7562850" cy="10687685"/>
            <wp:effectExtent l="0" t="0" r="0" b="0"/>
            <wp:wrapNone/>
            <wp:docPr id="1" name="Picture 1" descr="This image is the title page for the report: Comparative Performance Monitoring Report 23rd edition.  This section is on Workers’ Compensation Disp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title page for the report: Comparative Performance Monitoring Report 23rd edition.  This section is on Workers’ Compensation Dispu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068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C33">
        <w:rPr>
          <w:noProof/>
        </w:rPr>
        <w:br w:type="page"/>
      </w:r>
    </w:p>
    <w:p w14:paraId="62913C76" w14:textId="0415E024" w:rsidR="00AA7C33" w:rsidRPr="001D7C48" w:rsidRDefault="00AA7C33" w:rsidP="00AA7C33">
      <w:pPr>
        <w:spacing w:after="120"/>
        <w:ind w:left="-1276"/>
      </w:pPr>
    </w:p>
    <w:p w14:paraId="78C976F2" w14:textId="1AC4B58D" w:rsidR="00AA7C33" w:rsidRDefault="00AA7C33" w:rsidP="00AA7C33">
      <w:pPr>
        <w:spacing w:before="0" w:after="200" w:line="276" w:lineRule="auto"/>
        <w:jc w:val="left"/>
        <w:rPr>
          <w:rFonts w:eastAsiaTheme="majorEastAsia" w:cstheme="majorBidi"/>
          <w:b/>
          <w:color w:val="AF1E2D"/>
          <w:spacing w:val="-3"/>
          <w:sz w:val="14"/>
          <w:szCs w:val="14"/>
          <w:lang w:eastAsia="en-US"/>
        </w:rPr>
      </w:pPr>
    </w:p>
    <w:p w14:paraId="63E51A52" w14:textId="77777777" w:rsidR="00AA7C33" w:rsidRPr="001D7C48" w:rsidRDefault="00AA7C33" w:rsidP="00AA7C33">
      <w:pPr>
        <w:pStyle w:val="SWADisclaimerheading"/>
      </w:pPr>
      <w:r w:rsidRPr="001D7C48">
        <w:t>Disclaimer</w:t>
      </w:r>
    </w:p>
    <w:p w14:paraId="672FB818" w14:textId="656B725D" w:rsidR="00AA7C33" w:rsidRDefault="00AA7C33" w:rsidP="00AA7C33">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2CB657AC" w14:textId="77777777" w:rsidR="00AA7C33" w:rsidRDefault="00AA7C33" w:rsidP="00AA7C33">
      <w:pPr>
        <w:pStyle w:val="SWADisclaimerbodytext"/>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6A4E2AFD" w14:textId="77777777" w:rsidR="00AA7C33" w:rsidRPr="00077D9A" w:rsidRDefault="00AA7C33" w:rsidP="00AA7C33">
      <w:pPr>
        <w:autoSpaceDE w:val="0"/>
        <w:autoSpaceDN w:val="0"/>
        <w:rPr>
          <w:b/>
          <w:bCs/>
          <w:color w:val="000000"/>
          <w:sz w:val="14"/>
          <w:szCs w:val="14"/>
          <w:lang w:eastAsia="ko-KR"/>
        </w:rPr>
      </w:pPr>
      <w:r w:rsidRPr="00077D9A">
        <w:rPr>
          <w:b/>
          <w:bCs/>
          <w:color w:val="000000"/>
          <w:sz w:val="14"/>
          <w:szCs w:val="14"/>
          <w:lang w:eastAsia="ko-KR"/>
        </w:rPr>
        <w:t>ISSN 2209-9158</w:t>
      </w:r>
    </w:p>
    <w:p w14:paraId="53D40D04" w14:textId="77777777" w:rsidR="00AA7C33" w:rsidRPr="008530EB" w:rsidRDefault="00AA7C33" w:rsidP="00AA7C33">
      <w:pPr>
        <w:pStyle w:val="SWADisclaimerheading"/>
      </w:pPr>
      <w:r>
        <w:t>Creative Commons</w:t>
      </w:r>
    </w:p>
    <w:p w14:paraId="09043BE2" w14:textId="02654EE2" w:rsidR="00AA7C33" w:rsidRPr="00A034C4" w:rsidRDefault="00AA7C33" w:rsidP="00AA7C33">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0279F006" w14:textId="77777777" w:rsidR="00AA7C33" w:rsidRPr="00A034C4" w:rsidRDefault="00AA7C33" w:rsidP="00AA7C33">
      <w:pPr>
        <w:pStyle w:val="SWADisclaimerheading"/>
        <w:rPr>
          <w:color w:val="145B85"/>
        </w:rPr>
      </w:pPr>
      <w:r>
        <w:t>Contact information</w:t>
      </w:r>
    </w:p>
    <w:p w14:paraId="1AF9BC05" w14:textId="5FE9E2C8" w:rsidR="00AA7C33" w:rsidRPr="00D60313" w:rsidRDefault="00AA7C33" w:rsidP="00AA7C33">
      <w:pPr>
        <w:pStyle w:val="SWADisclaimerheading"/>
        <w:sectPr w:rsidR="00AA7C33" w:rsidRPr="00D60313" w:rsidSect="00106011">
          <w:footerReference w:type="default" r:id="rId8"/>
          <w:pgSz w:w="11906" w:h="16838" w:code="9"/>
          <w:pgMar w:top="992" w:right="1797" w:bottom="1440" w:left="1276" w:header="709" w:footer="709" w:gutter="0"/>
          <w:cols w:space="242"/>
          <w:vAlign w:val="bottom"/>
          <w:titlePg/>
          <w:docGrid w:linePitch="360"/>
        </w:sectPr>
      </w:pPr>
      <w:r w:rsidRPr="00A034C4">
        <w:rPr>
          <w:rFonts w:eastAsia="Times New Roman" w:cs="Times New Roman"/>
          <w:b w:val="0"/>
          <w:color w:val="auto"/>
          <w:spacing w:val="0"/>
          <w:lang w:eastAsia="en-AU"/>
        </w:rPr>
        <w:t xml:space="preserve">Safe Work Australia | </w:t>
      </w:r>
      <w:hyperlink r:id="rId9" w:tooltip="Safe Work Australia email address" w:history="1">
        <w:r w:rsidRPr="00A034C4">
          <w:rPr>
            <w:rStyle w:val="Hyperlink"/>
            <w:rFonts w:eastAsia="Times New Roman" w:cs="Times New Roman"/>
            <w:b w:val="0"/>
            <w:spacing w:val="0"/>
          </w:rPr>
          <w:t>mailto:info@swa.gov.au</w:t>
        </w:r>
      </w:hyperlink>
      <w:r w:rsidRPr="00A034C4">
        <w:rPr>
          <w:rFonts w:eastAsia="Times New Roman" w:cs="Times New Roman"/>
          <w:b w:val="0"/>
          <w:color w:val="auto"/>
          <w:spacing w:val="0"/>
          <w:lang w:eastAsia="en-AU"/>
        </w:rPr>
        <w:t xml:space="preserve"> | </w:t>
      </w:r>
      <w:hyperlink r:id="rId10" w:history="1">
        <w:r w:rsidRPr="00A034C4">
          <w:rPr>
            <w:rStyle w:val="Hyperlink"/>
            <w:rFonts w:eastAsia="Times New Roman" w:cs="Times New Roman"/>
            <w:b w:val="0"/>
            <w:spacing w:val="0"/>
          </w:rPr>
          <w:t>www.swa.gov.au</w:t>
        </w:r>
      </w:hyperlink>
    </w:p>
    <w:sdt>
      <w:sdtPr>
        <w:rPr>
          <w:rFonts w:eastAsia="Times New Roman" w:cs="Times New Roman"/>
          <w:b w:val="0"/>
          <w:bCs w:val="0"/>
          <w:color w:val="auto"/>
          <w:sz w:val="20"/>
          <w:szCs w:val="24"/>
          <w:lang w:val="en-AU" w:eastAsia="en-AU"/>
        </w:rPr>
        <w:id w:val="-348337337"/>
        <w:docPartObj>
          <w:docPartGallery w:val="Table of Contents"/>
          <w:docPartUnique/>
        </w:docPartObj>
      </w:sdtPr>
      <w:sdtEndPr>
        <w:rPr>
          <w:noProof/>
        </w:rPr>
      </w:sdtEndPr>
      <w:sdtContent>
        <w:p w14:paraId="5CDA5F12" w14:textId="01A016FE" w:rsidR="00986D99" w:rsidRDefault="00986D99">
          <w:pPr>
            <w:pStyle w:val="TOCHeading"/>
          </w:pPr>
          <w:r>
            <w:t>Contents</w:t>
          </w:r>
        </w:p>
        <w:p w14:paraId="7A378DE8" w14:textId="0A43522E" w:rsidR="00A67C4A" w:rsidRDefault="00986D99" w:rsidP="00A67C4A">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80188295" w:history="1">
            <w:r w:rsidR="00A67C4A" w:rsidRPr="005F3914">
              <w:rPr>
                <w:rStyle w:val="Hyperlink"/>
                <w:rFonts w:eastAsiaTheme="majorEastAsia"/>
              </w:rPr>
              <w:t>Foreword</w:t>
            </w:r>
            <w:r w:rsidR="00A67C4A">
              <w:rPr>
                <w:webHidden/>
              </w:rPr>
              <w:tab/>
            </w:r>
            <w:r w:rsidR="00A67C4A">
              <w:rPr>
                <w:webHidden/>
              </w:rPr>
              <w:fldChar w:fldCharType="begin"/>
            </w:r>
            <w:r w:rsidR="00A67C4A">
              <w:rPr>
                <w:webHidden/>
              </w:rPr>
              <w:instrText xml:space="preserve"> PAGEREF _Toc80188295 \h </w:instrText>
            </w:r>
            <w:r w:rsidR="00A67C4A">
              <w:rPr>
                <w:webHidden/>
              </w:rPr>
            </w:r>
            <w:r w:rsidR="00A67C4A">
              <w:rPr>
                <w:webHidden/>
              </w:rPr>
              <w:fldChar w:fldCharType="separate"/>
            </w:r>
            <w:r w:rsidR="00AF5B1B">
              <w:rPr>
                <w:webHidden/>
              </w:rPr>
              <w:t>4</w:t>
            </w:r>
            <w:r w:rsidR="00A67C4A">
              <w:rPr>
                <w:webHidden/>
              </w:rPr>
              <w:fldChar w:fldCharType="end"/>
            </w:r>
          </w:hyperlink>
        </w:p>
        <w:p w14:paraId="404BE488" w14:textId="3126F767" w:rsidR="00A67C4A" w:rsidRDefault="00FD67A1" w:rsidP="00A67C4A">
          <w:pPr>
            <w:pStyle w:val="TOC1"/>
            <w:rPr>
              <w:rFonts w:asciiTheme="minorHAnsi" w:eastAsiaTheme="minorEastAsia" w:hAnsiTheme="minorHAnsi" w:cstheme="minorBidi"/>
              <w:sz w:val="22"/>
              <w:szCs w:val="22"/>
            </w:rPr>
          </w:pPr>
          <w:hyperlink w:anchor="_Toc80188296" w:history="1">
            <w:r w:rsidR="00A67C4A" w:rsidRPr="005F3914">
              <w:rPr>
                <w:rStyle w:val="Hyperlink"/>
                <w:rFonts w:eastAsiaTheme="majorEastAsia"/>
              </w:rPr>
              <w:t>1.</w:t>
            </w:r>
            <w:r w:rsidR="00A67C4A">
              <w:rPr>
                <w:rFonts w:asciiTheme="minorHAnsi" w:eastAsiaTheme="minorEastAsia" w:hAnsiTheme="minorHAnsi" w:cstheme="minorBidi"/>
                <w:sz w:val="22"/>
                <w:szCs w:val="22"/>
              </w:rPr>
              <w:tab/>
            </w:r>
            <w:r w:rsidR="00A67C4A" w:rsidRPr="005F3914">
              <w:rPr>
                <w:rStyle w:val="Hyperlink"/>
                <w:rFonts w:eastAsiaTheme="majorEastAsia"/>
              </w:rPr>
              <w:t>Introduction</w:t>
            </w:r>
            <w:r w:rsidR="00A67C4A">
              <w:rPr>
                <w:webHidden/>
              </w:rPr>
              <w:tab/>
            </w:r>
            <w:r w:rsidR="00A67C4A">
              <w:rPr>
                <w:webHidden/>
              </w:rPr>
              <w:fldChar w:fldCharType="begin"/>
            </w:r>
            <w:r w:rsidR="00A67C4A">
              <w:rPr>
                <w:webHidden/>
              </w:rPr>
              <w:instrText xml:space="preserve"> PAGEREF _Toc80188296 \h </w:instrText>
            </w:r>
            <w:r w:rsidR="00A67C4A">
              <w:rPr>
                <w:webHidden/>
              </w:rPr>
            </w:r>
            <w:r w:rsidR="00A67C4A">
              <w:rPr>
                <w:webHidden/>
              </w:rPr>
              <w:fldChar w:fldCharType="separate"/>
            </w:r>
            <w:r w:rsidR="00AF5B1B">
              <w:rPr>
                <w:webHidden/>
              </w:rPr>
              <w:t>5</w:t>
            </w:r>
            <w:r w:rsidR="00A67C4A">
              <w:rPr>
                <w:webHidden/>
              </w:rPr>
              <w:fldChar w:fldCharType="end"/>
            </w:r>
          </w:hyperlink>
        </w:p>
        <w:p w14:paraId="3A8B1AEF" w14:textId="59EE97C7" w:rsidR="00A67C4A" w:rsidRDefault="00FD67A1" w:rsidP="00A67C4A">
          <w:pPr>
            <w:pStyle w:val="TOC1"/>
            <w:rPr>
              <w:rFonts w:asciiTheme="minorHAnsi" w:eastAsiaTheme="minorEastAsia" w:hAnsiTheme="minorHAnsi" w:cstheme="minorBidi"/>
              <w:sz w:val="22"/>
              <w:szCs w:val="22"/>
            </w:rPr>
          </w:pPr>
          <w:hyperlink w:anchor="_Toc80188297" w:history="1">
            <w:r w:rsidR="00A67C4A" w:rsidRPr="005F3914">
              <w:rPr>
                <w:rStyle w:val="Hyperlink"/>
                <w:rFonts w:eastAsiaTheme="majorEastAsia"/>
              </w:rPr>
              <w:t>1.1</w:t>
            </w:r>
            <w:r w:rsidR="00A67C4A">
              <w:rPr>
                <w:rFonts w:asciiTheme="minorHAnsi" w:eastAsiaTheme="minorEastAsia" w:hAnsiTheme="minorHAnsi" w:cstheme="minorBidi"/>
                <w:sz w:val="22"/>
                <w:szCs w:val="22"/>
              </w:rPr>
              <w:tab/>
            </w:r>
            <w:r w:rsidR="00A67C4A" w:rsidRPr="005F3914">
              <w:rPr>
                <w:rStyle w:val="Hyperlink"/>
                <w:rFonts w:eastAsiaTheme="majorEastAsia"/>
              </w:rPr>
              <w:t>Disputation rate</w:t>
            </w:r>
            <w:r w:rsidR="00A67C4A">
              <w:rPr>
                <w:webHidden/>
              </w:rPr>
              <w:tab/>
            </w:r>
            <w:r w:rsidR="00A67C4A">
              <w:rPr>
                <w:webHidden/>
              </w:rPr>
              <w:fldChar w:fldCharType="begin"/>
            </w:r>
            <w:r w:rsidR="00A67C4A">
              <w:rPr>
                <w:webHidden/>
              </w:rPr>
              <w:instrText xml:space="preserve"> PAGEREF _Toc80188297 \h </w:instrText>
            </w:r>
            <w:r w:rsidR="00A67C4A">
              <w:rPr>
                <w:webHidden/>
              </w:rPr>
            </w:r>
            <w:r w:rsidR="00A67C4A">
              <w:rPr>
                <w:webHidden/>
              </w:rPr>
              <w:fldChar w:fldCharType="separate"/>
            </w:r>
            <w:r w:rsidR="00AF5B1B">
              <w:rPr>
                <w:webHidden/>
              </w:rPr>
              <w:t>5</w:t>
            </w:r>
            <w:r w:rsidR="00A67C4A">
              <w:rPr>
                <w:webHidden/>
              </w:rPr>
              <w:fldChar w:fldCharType="end"/>
            </w:r>
          </w:hyperlink>
        </w:p>
        <w:p w14:paraId="05952163" w14:textId="5770D8FE" w:rsidR="00A67C4A" w:rsidRDefault="00FD67A1" w:rsidP="00A67C4A">
          <w:pPr>
            <w:pStyle w:val="TOC1"/>
            <w:rPr>
              <w:rFonts w:asciiTheme="minorHAnsi" w:eastAsiaTheme="minorEastAsia" w:hAnsiTheme="minorHAnsi" w:cstheme="minorBidi"/>
              <w:sz w:val="22"/>
              <w:szCs w:val="22"/>
            </w:rPr>
          </w:pPr>
          <w:hyperlink w:anchor="_Toc80188298" w:history="1">
            <w:r w:rsidR="00A67C4A" w:rsidRPr="005F3914">
              <w:rPr>
                <w:rStyle w:val="Hyperlink"/>
                <w:rFonts w:eastAsiaTheme="majorEastAsia"/>
              </w:rPr>
              <w:t>1.2</w:t>
            </w:r>
            <w:r w:rsidR="00A67C4A">
              <w:rPr>
                <w:rFonts w:asciiTheme="minorHAnsi" w:eastAsiaTheme="minorEastAsia" w:hAnsiTheme="minorHAnsi" w:cstheme="minorBidi"/>
                <w:sz w:val="22"/>
                <w:szCs w:val="22"/>
              </w:rPr>
              <w:tab/>
            </w:r>
            <w:r w:rsidR="00A67C4A" w:rsidRPr="005F3914">
              <w:rPr>
                <w:rStyle w:val="Hyperlink"/>
                <w:rFonts w:eastAsiaTheme="majorEastAsia"/>
              </w:rPr>
              <w:t>Dispute resolution</w:t>
            </w:r>
            <w:r w:rsidR="00A67C4A">
              <w:rPr>
                <w:webHidden/>
              </w:rPr>
              <w:tab/>
            </w:r>
            <w:r w:rsidR="00A67C4A">
              <w:rPr>
                <w:webHidden/>
              </w:rPr>
              <w:fldChar w:fldCharType="begin"/>
            </w:r>
            <w:r w:rsidR="00A67C4A">
              <w:rPr>
                <w:webHidden/>
              </w:rPr>
              <w:instrText xml:space="preserve"> PAGEREF _Toc80188298 \h </w:instrText>
            </w:r>
            <w:r w:rsidR="00A67C4A">
              <w:rPr>
                <w:webHidden/>
              </w:rPr>
            </w:r>
            <w:r w:rsidR="00A67C4A">
              <w:rPr>
                <w:webHidden/>
              </w:rPr>
              <w:fldChar w:fldCharType="separate"/>
            </w:r>
            <w:r w:rsidR="00AF5B1B">
              <w:rPr>
                <w:webHidden/>
              </w:rPr>
              <w:t>6</w:t>
            </w:r>
            <w:r w:rsidR="00A67C4A">
              <w:rPr>
                <w:webHidden/>
              </w:rPr>
              <w:fldChar w:fldCharType="end"/>
            </w:r>
          </w:hyperlink>
        </w:p>
        <w:p w14:paraId="452E8F48" w14:textId="7DBE5BB5" w:rsidR="00A67C4A" w:rsidRDefault="00FD67A1" w:rsidP="00A67C4A">
          <w:pPr>
            <w:pStyle w:val="TOC1"/>
            <w:rPr>
              <w:rFonts w:asciiTheme="minorHAnsi" w:eastAsiaTheme="minorEastAsia" w:hAnsiTheme="minorHAnsi" w:cstheme="minorBidi"/>
              <w:sz w:val="22"/>
              <w:szCs w:val="22"/>
            </w:rPr>
          </w:pPr>
          <w:hyperlink w:anchor="_Toc80188299" w:history="1">
            <w:r w:rsidR="00A67C4A" w:rsidRPr="005F3914">
              <w:rPr>
                <w:rStyle w:val="Hyperlink"/>
                <w:rFonts w:eastAsiaTheme="majorEastAsia"/>
              </w:rPr>
              <w:t>Appendix 1 – Jurisdictional contact information</w:t>
            </w:r>
            <w:r w:rsidR="00A67C4A">
              <w:rPr>
                <w:webHidden/>
              </w:rPr>
              <w:tab/>
            </w:r>
            <w:r w:rsidR="00A67C4A">
              <w:rPr>
                <w:webHidden/>
              </w:rPr>
              <w:fldChar w:fldCharType="begin"/>
            </w:r>
            <w:r w:rsidR="00A67C4A">
              <w:rPr>
                <w:webHidden/>
              </w:rPr>
              <w:instrText xml:space="preserve"> PAGEREF _Toc80188299 \h </w:instrText>
            </w:r>
            <w:r w:rsidR="00A67C4A">
              <w:rPr>
                <w:webHidden/>
              </w:rPr>
            </w:r>
            <w:r w:rsidR="00A67C4A">
              <w:rPr>
                <w:webHidden/>
              </w:rPr>
              <w:fldChar w:fldCharType="separate"/>
            </w:r>
            <w:r w:rsidR="00AF5B1B">
              <w:rPr>
                <w:webHidden/>
              </w:rPr>
              <w:t>8</w:t>
            </w:r>
            <w:r w:rsidR="00A67C4A">
              <w:rPr>
                <w:webHidden/>
              </w:rPr>
              <w:fldChar w:fldCharType="end"/>
            </w:r>
          </w:hyperlink>
        </w:p>
        <w:p w14:paraId="407E0B68" w14:textId="263B9F77" w:rsidR="00986D99" w:rsidRDefault="00986D99">
          <w:r>
            <w:rPr>
              <w:b/>
              <w:bCs/>
              <w:noProof/>
            </w:rPr>
            <w:fldChar w:fldCharType="end"/>
          </w:r>
        </w:p>
      </w:sdtContent>
    </w:sdt>
    <w:p w14:paraId="2D31C35F" w14:textId="6866B841" w:rsidR="00AA7C33" w:rsidRDefault="00AA7C33" w:rsidP="00AA7C33">
      <w:pPr>
        <w:spacing w:before="180" w:after="180"/>
      </w:pPr>
      <w:bookmarkStart w:id="1" w:name="_Hlk56776859"/>
    </w:p>
    <w:p w14:paraId="6920EA20" w14:textId="77777777" w:rsidR="00AA7C33" w:rsidRDefault="00AA7C33" w:rsidP="00AA7C33">
      <w:pPr>
        <w:spacing w:before="0" w:after="200" w:line="276" w:lineRule="auto"/>
        <w:jc w:val="left"/>
        <w:rPr>
          <w:rFonts w:ascii="Arial Bold" w:eastAsiaTheme="majorEastAsia" w:hAnsi="Arial Bold" w:cs="Arial"/>
          <w:b/>
          <w:bCs/>
          <w:color w:val="C00000"/>
          <w:kern w:val="28"/>
          <w:sz w:val="36"/>
          <w:szCs w:val="32"/>
          <w:lang w:eastAsia="en-US"/>
        </w:rPr>
      </w:pPr>
      <w:bookmarkStart w:id="2" w:name="_Toc56599599"/>
      <w:bookmarkStart w:id="3" w:name="_Toc79584098"/>
      <w:bookmarkEnd w:id="1"/>
      <w:r>
        <w:br w:type="page"/>
      </w:r>
    </w:p>
    <w:p w14:paraId="014EFEFF" w14:textId="77777777" w:rsidR="001928BE" w:rsidRDefault="001928BE" w:rsidP="001928BE">
      <w:pPr>
        <w:pStyle w:val="Title"/>
        <w:tabs>
          <w:tab w:val="center" w:pos="8222"/>
        </w:tabs>
      </w:pPr>
      <w:bookmarkStart w:id="4" w:name="_Toc80188295"/>
      <w:bookmarkStart w:id="5" w:name="_Hlk54968570"/>
      <w:bookmarkEnd w:id="2"/>
      <w:bookmarkEnd w:id="3"/>
      <w:r>
        <w:lastRenderedPageBreak/>
        <w:t>Foreword</w:t>
      </w:r>
      <w:bookmarkEnd w:id="4"/>
    </w:p>
    <w:p w14:paraId="4E9937E8" w14:textId="77777777" w:rsidR="001928BE" w:rsidRDefault="001928BE" w:rsidP="00297EBA">
      <w:r>
        <w:t>This is the 23</w:t>
      </w:r>
      <w:r w:rsidRPr="0023498B">
        <w:rPr>
          <w:vertAlign w:val="superscript"/>
        </w:rPr>
        <w:t>rd</w:t>
      </w:r>
      <w:r>
        <w:t xml:space="preserve"> edition of the Comparative Performance Monitoring (CPM) report which provides trend analyses about work health and safety and workers’ compensation schemes operating in Australia and New Zealand. </w:t>
      </w:r>
    </w:p>
    <w:p w14:paraId="67028CC2" w14:textId="77777777" w:rsidR="001928BE" w:rsidRDefault="001928BE" w:rsidP="00297EBA">
      <w:r>
        <w:t>This report has been compiled and coordinated by Safe Work Australia with assistance from representatives of all work health and safety and workers’ compensation authorities in Australia and New Zealand. Through a partnership of governments, employers and employees, Safe Work Australia leads the development of national policy to improve WHS and workers’ compensation arrangements across Australia.</w:t>
      </w:r>
    </w:p>
    <w:p w14:paraId="67DECCBC" w14:textId="6D5AFCE4" w:rsidR="001928BE" w:rsidRDefault="001928BE" w:rsidP="00297EBA">
      <w:r>
        <w:t xml:space="preserve">The report is </w:t>
      </w:r>
      <w:r w:rsidR="00AE60CC">
        <w:t xml:space="preserve">presented in the </w:t>
      </w:r>
      <w:r>
        <w:t>following sections:</w:t>
      </w:r>
    </w:p>
    <w:p w14:paraId="69613577" w14:textId="77777777" w:rsidR="001928BE" w:rsidRPr="00E336F9"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bookmarkStart w:id="6" w:name="_Hlk79738017"/>
      <w:r w:rsidRPr="00E336F9">
        <w:rPr>
          <w:rStyle w:val="SWALinkChar"/>
          <w:i/>
        </w:rPr>
        <w:t>Work health and safety performance</w:t>
      </w:r>
      <w:r w:rsidRPr="00661369">
        <w:rPr>
          <w:rStyle w:val="SWALinkChar"/>
          <w:iCs/>
          <w:u w:val="none"/>
        </w:rPr>
        <w:t xml:space="preserve"> – provides an overview of work health and safety performance across Australia and New Zealand through analysing trends in serious claim rates and work-related fatalities across jurisdictions.</w:t>
      </w:r>
    </w:p>
    <w:p w14:paraId="514D0905" w14:textId="77777777" w:rsidR="001928BE" w:rsidRPr="00E336F9"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bookmarkStart w:id="7" w:name="_Hlk83800420"/>
      <w:r w:rsidRPr="00E336F9">
        <w:rPr>
          <w:rStyle w:val="SWALinkChar"/>
          <w:i/>
        </w:rPr>
        <w:t>Work health and safety compliance and enforcement activities</w:t>
      </w:r>
      <w:r w:rsidRPr="00E336F9">
        <w:rPr>
          <w:rStyle w:val="SWALinkChar"/>
          <w:i/>
          <w:u w:val="none"/>
        </w:rPr>
        <w:t xml:space="preserve"> </w:t>
      </w:r>
      <w:bookmarkEnd w:id="7"/>
      <w:r w:rsidRPr="00E336F9">
        <w:rPr>
          <w:rStyle w:val="SWALinkChar"/>
          <w:iCs/>
          <w:u w:val="none"/>
        </w:rPr>
        <w:t>– includes a jurisdictional comparison of workplace interventions, inspectorate activity, safety notices, enforceable undertakings, legal proceedings and fines.</w:t>
      </w:r>
    </w:p>
    <w:p w14:paraId="135FE926" w14:textId="77777777" w:rsidR="001928BE" w:rsidRPr="00E336F9"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E336F9">
        <w:rPr>
          <w:rStyle w:val="SWALinkChar"/>
          <w:i/>
        </w:rPr>
        <w:t>Workers’ compensation premiums</w:t>
      </w:r>
      <w:r w:rsidRPr="00661369">
        <w:rPr>
          <w:rStyle w:val="SWALinkChar"/>
          <w:i/>
          <w:u w:val="none"/>
        </w:rPr>
        <w:t xml:space="preserve"> - </w:t>
      </w:r>
      <w:r w:rsidRPr="00661369">
        <w:rPr>
          <w:rStyle w:val="SWALinkChar"/>
          <w:rFonts w:eastAsiaTheme="majorEastAsia"/>
          <w:iCs/>
          <w:u w:val="none"/>
        </w:rPr>
        <w:t>includes a national and jurisdictional overview of the standardised average premium rates by industry in the past 5 years.</w:t>
      </w:r>
    </w:p>
    <w:p w14:paraId="61801299" w14:textId="77777777" w:rsidR="001928BE" w:rsidRPr="00E336F9"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E336F9">
        <w:rPr>
          <w:rStyle w:val="SWALinkChar"/>
          <w:i/>
        </w:rPr>
        <w:t>Entitlements under workers’ compensation (scenarios)</w:t>
      </w:r>
      <w:r w:rsidRPr="00E336F9">
        <w:rPr>
          <w:rStyle w:val="SWALinkChar"/>
          <w:i/>
          <w:u w:val="none"/>
        </w:rPr>
        <w:t xml:space="preserve"> </w:t>
      </w:r>
      <w:r w:rsidRPr="00E336F9">
        <w:rPr>
          <w:rStyle w:val="SWALinkChar"/>
          <w:iCs/>
          <w:u w:val="none"/>
        </w:rPr>
        <w:t>– illustrates the differences in entitlement levels across jurisdictions under several scenarios.</w:t>
      </w:r>
    </w:p>
    <w:p w14:paraId="09564F7A" w14:textId="63CB6F02" w:rsidR="001928BE" w:rsidRPr="00E336F9"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E336F9">
        <w:rPr>
          <w:rStyle w:val="SWALinkChar"/>
          <w:i/>
        </w:rPr>
        <w:t xml:space="preserve">Workers’ compensation </w:t>
      </w:r>
      <w:r w:rsidRPr="00BD2C17">
        <w:rPr>
          <w:rStyle w:val="SWALinkChar"/>
          <w:i/>
        </w:rPr>
        <w:t>funding – assets, liabilities and expenditure</w:t>
      </w:r>
      <w:r w:rsidRPr="00E336F9">
        <w:rPr>
          <w:rStyle w:val="SWALinkChar"/>
          <w:iCs/>
          <w:u w:val="none"/>
        </w:rPr>
        <w:t xml:space="preserve"> – includes information about the different funding arrangements of the schemes and </w:t>
      </w:r>
      <w:r>
        <w:rPr>
          <w:rStyle w:val="SWALinkChar"/>
          <w:iCs/>
          <w:u w:val="none"/>
        </w:rPr>
        <w:t xml:space="preserve">compares </w:t>
      </w:r>
      <w:r w:rsidRPr="00E336F9">
        <w:rPr>
          <w:rStyle w:val="SWALinkChar"/>
          <w:iCs/>
          <w:u w:val="none"/>
        </w:rPr>
        <w:t xml:space="preserve">the </w:t>
      </w:r>
      <w:r>
        <w:rPr>
          <w:rStyle w:val="SWALinkChar"/>
          <w:iCs/>
          <w:u w:val="none"/>
        </w:rPr>
        <w:t xml:space="preserve">differences in </w:t>
      </w:r>
      <w:r w:rsidRPr="00E336F9">
        <w:rPr>
          <w:rStyle w:val="SWALinkChar"/>
          <w:iCs/>
          <w:u w:val="none"/>
        </w:rPr>
        <w:t xml:space="preserve">scheme funding </w:t>
      </w:r>
      <w:r>
        <w:rPr>
          <w:rStyle w:val="SWALinkChar"/>
          <w:iCs/>
          <w:u w:val="none"/>
        </w:rPr>
        <w:t>arrangements and finances.</w:t>
      </w:r>
    </w:p>
    <w:p w14:paraId="4F33B145" w14:textId="77777777" w:rsidR="001928BE" w:rsidRPr="00E336F9" w:rsidRDefault="001928BE" w:rsidP="00AF5B1B">
      <w:pPr>
        <w:pStyle w:val="ListParagraph"/>
        <w:numPr>
          <w:ilvl w:val="0"/>
          <w:numId w:val="4"/>
        </w:numPr>
        <w:tabs>
          <w:tab w:val="left" w:pos="709"/>
        </w:tabs>
        <w:overflowPunct w:val="0"/>
        <w:autoSpaceDE w:val="0"/>
        <w:autoSpaceDN w:val="0"/>
        <w:adjustRightInd w:val="0"/>
        <w:spacing w:before="120" w:after="120"/>
        <w:ind w:left="714" w:hanging="357"/>
        <w:contextualSpacing w:val="0"/>
        <w:textAlignment w:val="baseline"/>
        <w:rPr>
          <w:rStyle w:val="SWALinkChar"/>
          <w:i/>
        </w:rPr>
      </w:pPr>
      <w:r w:rsidRPr="00E336F9">
        <w:rPr>
          <w:rStyle w:val="SWALinkChar"/>
          <w:i/>
        </w:rPr>
        <w:t xml:space="preserve">Workers’ compensation </w:t>
      </w:r>
      <w:r>
        <w:rPr>
          <w:rStyle w:val="SWALinkChar"/>
          <w:i/>
        </w:rPr>
        <w:t xml:space="preserve">disputes </w:t>
      </w:r>
      <w:r w:rsidRPr="00967173">
        <w:rPr>
          <w:rStyle w:val="SWALinkChar"/>
          <w:iCs/>
          <w:u w:val="none"/>
        </w:rPr>
        <w:t>– includes information about disputes against an insurer’s decision or decisions relating to compensation</w:t>
      </w:r>
      <w:r>
        <w:rPr>
          <w:rStyle w:val="SWALinkChar"/>
          <w:iCs/>
          <w:u w:val="none"/>
        </w:rPr>
        <w:t xml:space="preserve"> (this section).</w:t>
      </w:r>
    </w:p>
    <w:bookmarkEnd w:id="6"/>
    <w:p w14:paraId="0D247584" w14:textId="132FAC86" w:rsidR="001928BE" w:rsidRDefault="001928BE" w:rsidP="00297EBA">
      <w:r>
        <w:t xml:space="preserve">Previous editions of the CPM report also included </w:t>
      </w:r>
      <w:bookmarkStart w:id="8" w:name="_Hlk80886161"/>
      <w:r>
        <w:t xml:space="preserve">return to work rates </w:t>
      </w:r>
      <w:bookmarkEnd w:id="8"/>
      <w:r>
        <w:t xml:space="preserve">as measured in the National Return to Work Survey. At the time of writing, the latest available survey results </w:t>
      </w:r>
      <w:r w:rsidR="00FB6582">
        <w:t xml:space="preserve">were </w:t>
      </w:r>
      <w:r>
        <w:t xml:space="preserve">from the 2018 Survey. For trend data on the return to work rates (from 2012 to 2018) please refer to the </w:t>
      </w:r>
      <w:hyperlink r:id="rId11" w:history="1">
        <w:r w:rsidRPr="00CE25E6">
          <w:rPr>
            <w:rStyle w:val="Hyperlink"/>
            <w:i/>
            <w:iCs/>
            <w:color w:val="000000" w:themeColor="text1"/>
          </w:rPr>
          <w:t>22</w:t>
        </w:r>
        <w:r w:rsidRPr="00CE25E6">
          <w:rPr>
            <w:rStyle w:val="Hyperlink"/>
            <w:i/>
            <w:iCs/>
            <w:color w:val="000000" w:themeColor="text1"/>
            <w:vertAlign w:val="superscript"/>
          </w:rPr>
          <w:t>nd</w:t>
        </w:r>
        <w:r w:rsidRPr="00CE25E6">
          <w:rPr>
            <w:rStyle w:val="Hyperlink"/>
            <w:i/>
            <w:iCs/>
            <w:color w:val="000000" w:themeColor="text1"/>
          </w:rPr>
          <w:t xml:space="preserve"> edition of the CPM (Part</w:t>
        </w:r>
        <w:r w:rsidR="002F6DB6" w:rsidRPr="00CE25E6">
          <w:rPr>
            <w:rStyle w:val="Hyperlink"/>
            <w:i/>
            <w:iCs/>
            <w:color w:val="000000" w:themeColor="text1"/>
          </w:rPr>
          <w:t> </w:t>
        </w:r>
        <w:r w:rsidRPr="00CE25E6">
          <w:rPr>
            <w:rStyle w:val="Hyperlink"/>
            <w:i/>
            <w:iCs/>
            <w:color w:val="000000" w:themeColor="text1"/>
          </w:rPr>
          <w:t>3)</w:t>
        </w:r>
      </w:hyperlink>
      <w:r w:rsidRPr="00164D43">
        <w:rPr>
          <w:color w:val="000000" w:themeColor="text1"/>
        </w:rPr>
        <w:t>.</w:t>
      </w:r>
      <w:r w:rsidR="003933BB" w:rsidRPr="003933BB">
        <w:t xml:space="preserve"> </w:t>
      </w:r>
      <w:r w:rsidR="003933BB">
        <w:rPr>
          <w:color w:val="000000" w:themeColor="text1"/>
        </w:rPr>
        <w:t>Results from t</w:t>
      </w:r>
      <w:r w:rsidR="003933BB">
        <w:t xml:space="preserve">he 2021 National Return to Work Survey will be published on the </w:t>
      </w:r>
      <w:hyperlink r:id="rId12" w:history="1">
        <w:r w:rsidR="003933BB" w:rsidRPr="00777EF7">
          <w:rPr>
            <w:rStyle w:val="Hyperlink"/>
            <w:rFonts w:eastAsiaTheme="majorEastAsia"/>
            <w:color w:val="auto"/>
          </w:rPr>
          <w:t>Safe Work Australia</w:t>
        </w:r>
      </w:hyperlink>
      <w:r w:rsidR="003933BB" w:rsidRPr="00777EF7">
        <w:t xml:space="preserve"> website from late 2021. </w:t>
      </w:r>
    </w:p>
    <w:p w14:paraId="4ABD0D70" w14:textId="0CEF77FF" w:rsidR="001928BE" w:rsidRDefault="001928BE" w:rsidP="00297EBA">
      <w:r>
        <w:t xml:space="preserve">Readers </w:t>
      </w:r>
      <w:r w:rsidRPr="00164D43">
        <w:rPr>
          <w:color w:val="000000" w:themeColor="text1"/>
        </w:rPr>
        <w:t xml:space="preserve">may find the </w:t>
      </w:r>
      <w:hyperlink r:id="rId13" w:history="1">
        <w:r w:rsidRPr="00164D43">
          <w:rPr>
            <w:rStyle w:val="SWALinkChar"/>
            <w:i/>
            <w:color w:val="000000" w:themeColor="text1"/>
          </w:rPr>
          <w:t>Comparison of Workers’ Compensation Arrangements in Australia and New Zealand</w:t>
        </w:r>
      </w:hyperlink>
      <w:r w:rsidRPr="00164D43">
        <w:rPr>
          <w:color w:val="000000" w:themeColor="text1"/>
        </w:rPr>
        <w:t xml:space="preserve"> </w:t>
      </w:r>
      <w:r>
        <w:t>useful as it discusses the way that each scheme deals with key aspects such as coverage, benefits, self</w:t>
      </w:r>
      <w:r w:rsidR="008C0B61">
        <w:noBreakHyphen/>
      </w:r>
      <w:r>
        <w:t xml:space="preserve">insurance, common law and disputes. </w:t>
      </w:r>
    </w:p>
    <w:p w14:paraId="51B95C46" w14:textId="77777777" w:rsidR="001928BE" w:rsidRDefault="001928BE" w:rsidP="00297EBA">
      <w:pPr>
        <w:rPr>
          <w:i/>
          <w:iCs/>
        </w:rPr>
      </w:pPr>
      <w:r>
        <w:rPr>
          <w:i/>
          <w:iCs/>
        </w:rPr>
        <w:t>About the data</w:t>
      </w:r>
    </w:p>
    <w:p w14:paraId="4F15DA6C" w14:textId="0AD12272" w:rsidR="001928BE" w:rsidRDefault="001928BE" w:rsidP="00297EBA">
      <w:r>
        <w:t xml:space="preserve">Data in this publication may differ from jurisdictional annual reports due to the use of different definitions and the application of adjustment factors to aid in the comparability of data. </w:t>
      </w:r>
    </w:p>
    <w:p w14:paraId="14233447" w14:textId="0030CA98" w:rsidR="00AF5B1B" w:rsidRDefault="00AF5B1B" w:rsidP="00297EBA">
      <w:r w:rsidRPr="00AF5B1B">
        <w:t xml:space="preserve">These statistics should be considered in the broader context of </w:t>
      </w:r>
      <w:r w:rsidR="00027017">
        <w:t xml:space="preserve">the COVID-19 pandemic </w:t>
      </w:r>
      <w:r w:rsidRPr="00AF5B1B">
        <w:t xml:space="preserve">when comparing data over previous periods. The potential impact of the COVID-19 pandemic on this data are explored in the </w:t>
      </w:r>
      <w:hyperlink r:id="rId14" w:history="1">
        <w:r w:rsidRPr="00777EF7">
          <w:rPr>
            <w:rStyle w:val="Hyperlink"/>
            <w:i/>
            <w:iCs/>
            <w:color w:val="auto"/>
          </w:rPr>
          <w:t xml:space="preserve">COVID-19 and </w:t>
        </w:r>
        <w:r w:rsidR="008C1C34" w:rsidRPr="00777EF7">
          <w:rPr>
            <w:rStyle w:val="Hyperlink"/>
            <w:i/>
            <w:iCs/>
            <w:color w:val="auto"/>
          </w:rPr>
          <w:t xml:space="preserve">Safe Work Australia </w:t>
        </w:r>
        <w:r w:rsidR="00770794" w:rsidRPr="00777EF7">
          <w:rPr>
            <w:rStyle w:val="Hyperlink"/>
            <w:i/>
            <w:iCs/>
            <w:color w:val="auto"/>
          </w:rPr>
          <w:t>data</w:t>
        </w:r>
      </w:hyperlink>
      <w:r w:rsidR="00770794" w:rsidRPr="00777EF7">
        <w:t xml:space="preserve"> </w:t>
      </w:r>
      <w:r w:rsidRPr="00AF5B1B">
        <w:t>report.</w:t>
      </w:r>
    </w:p>
    <w:p w14:paraId="146937C8" w14:textId="00A07544" w:rsidR="001928BE" w:rsidRDefault="001928BE" w:rsidP="00297EBA">
      <w:pPr>
        <w:pStyle w:val="SWABullets"/>
        <w:numPr>
          <w:ilvl w:val="0"/>
          <w:numId w:val="0"/>
        </w:numPr>
      </w:pPr>
      <w:r>
        <w:t xml:space="preserve">The CPM does not currently include information or data from other </w:t>
      </w:r>
      <w:r w:rsidR="00F06D45">
        <w:t>industry-</w:t>
      </w:r>
      <w:r>
        <w:t xml:space="preserve">specific regulators that have responsibilities with respect to WHS and workers’ compensation. These include national </w:t>
      </w:r>
      <w:r w:rsidR="00C32305">
        <w:t>industry-</w:t>
      </w:r>
      <w:r>
        <w:t>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238D9F44" w14:textId="5BEB7DA0" w:rsidR="001928BE" w:rsidRPr="00164D43" w:rsidRDefault="008F1E87" w:rsidP="00297EBA">
      <w:pPr>
        <w:rPr>
          <w:color w:val="000000" w:themeColor="text1"/>
        </w:rPr>
      </w:pPr>
      <w:r w:rsidRPr="008F1E87">
        <w:t>In this report ‘Australian Government’ is used for indicators relating to WHS and workers’ compensation matters under the Australian Government jurisdiction, while ‘Comcare’ is used for the indicators relating to premium rates and entitlements.</w:t>
      </w:r>
    </w:p>
    <w:p w14:paraId="253DE14F" w14:textId="550DD0E9" w:rsidR="000714D9" w:rsidRDefault="000714D9" w:rsidP="00297EBA">
      <w:pPr>
        <w:pStyle w:val="SWASectionnumberingheading"/>
        <w:spacing w:before="200" w:after="0"/>
      </w:pPr>
      <w:r w:rsidRPr="001928BE">
        <w:rPr>
          <w:rFonts w:eastAsia="Times New Roman" w:cs="Times New Roman"/>
          <w:b w:val="0"/>
          <w:color w:val="auto"/>
          <w:sz w:val="20"/>
          <w:szCs w:val="24"/>
        </w:rPr>
        <w:br w:type="page"/>
      </w:r>
      <w:r>
        <w:rPr>
          <w:b w:val="0"/>
        </w:rPr>
        <w:lastRenderedPageBreak/>
        <w:t xml:space="preserve"> </w:t>
      </w:r>
      <w:bookmarkStart w:id="9" w:name="_Toc80188296"/>
      <w:r>
        <w:t>Introduction</w:t>
      </w:r>
      <w:bookmarkEnd w:id="9"/>
    </w:p>
    <w:p w14:paraId="0E1468B8" w14:textId="2CDB7754" w:rsidR="000714D9" w:rsidRDefault="000714D9" w:rsidP="00307616">
      <w:pPr>
        <w:spacing w:before="120" w:after="120" w:line="276" w:lineRule="auto"/>
      </w:pPr>
      <w:r w:rsidRPr="000714D9">
        <w:t>A dispute is an appeal to a formal mechanism, such as a review officer, conciliation or mediation service, against an insurer’s decision or decisions relating to compensation. Disputes exclude common law and redemptions and commutations unless they are processed as disputes through the jurisdiction’s dispute resolution system.</w:t>
      </w:r>
    </w:p>
    <w:p w14:paraId="7A7DABE0" w14:textId="64D88923" w:rsidR="008F1E87" w:rsidRDefault="008C067B" w:rsidP="00307616">
      <w:pPr>
        <w:spacing w:before="120" w:after="120" w:line="276" w:lineRule="auto"/>
      </w:pPr>
      <w:r>
        <w:t xml:space="preserve">Data on disputes related to the Australian Capital Territory (Private) Compensation scheme </w:t>
      </w:r>
      <w:r w:rsidR="00A256E1">
        <w:t xml:space="preserve">are not reported in the </w:t>
      </w:r>
      <w:r w:rsidR="00A256E1" w:rsidRPr="00A256E1">
        <w:t>Comparative Performance Monitoring</w:t>
      </w:r>
      <w:r w:rsidR="00A256E1">
        <w:t xml:space="preserve"> Report.</w:t>
      </w:r>
    </w:p>
    <w:p w14:paraId="2AD63A31" w14:textId="6B4458C4" w:rsidR="000714D9" w:rsidRPr="00D05BF2" w:rsidRDefault="000714D9" w:rsidP="00307616">
      <w:pPr>
        <w:pStyle w:val="SWASectionnum2"/>
        <w:numPr>
          <w:ilvl w:val="1"/>
          <w:numId w:val="6"/>
        </w:numPr>
        <w:tabs>
          <w:tab w:val="num" w:pos="709"/>
        </w:tabs>
        <w:spacing w:before="240" w:after="120"/>
        <w:ind w:left="1440" w:hanging="1440"/>
      </w:pPr>
      <w:bookmarkStart w:id="10" w:name="_Toc476564190"/>
      <w:bookmarkStart w:id="11" w:name="_Toc56776899"/>
      <w:bookmarkStart w:id="12" w:name="_Toc80188297"/>
      <w:r w:rsidRPr="00D05BF2">
        <w:t>Disputation rate</w:t>
      </w:r>
      <w:bookmarkEnd w:id="10"/>
      <w:bookmarkEnd w:id="11"/>
      <w:bookmarkEnd w:id="12"/>
      <w:r>
        <w:t xml:space="preserve"> </w:t>
      </w:r>
    </w:p>
    <w:p w14:paraId="28569853" w14:textId="1C94625B" w:rsidR="000714D9" w:rsidRDefault="0047221B" w:rsidP="00B7119D">
      <w:pPr>
        <w:pStyle w:val="BodyJustified"/>
        <w:numPr>
          <w:ilvl w:val="0"/>
          <w:numId w:val="0"/>
        </w:numPr>
      </w:pPr>
      <w:r>
        <w:t>Indicator 2</w:t>
      </w:r>
      <w:r w:rsidR="00324D27">
        <w:t>1</w:t>
      </w:r>
      <w:r>
        <w:t xml:space="preserve"> shows</w:t>
      </w:r>
      <w:r w:rsidR="000714D9">
        <w:t xml:space="preserve"> the number of new disputes as a proportion of ‘active’ claims in the reference financial year. An active claim is described as any claim on which a payment of any type was made during the reference financial year (including claims with medical treatment costs only) regardless of when that claim was lodged.</w:t>
      </w:r>
    </w:p>
    <w:p w14:paraId="1D1E6932" w14:textId="3CBE971D" w:rsidR="000714D9" w:rsidRDefault="000714D9" w:rsidP="00B7119D">
      <w:pPr>
        <w:pStyle w:val="BodyJustified"/>
        <w:numPr>
          <w:ilvl w:val="0"/>
          <w:numId w:val="0"/>
        </w:numPr>
      </w:pPr>
      <w:r>
        <w:t xml:space="preserve">The measure includes all disputes lodged for the year against any active claim that had any type of payment in the reference financial year. However, there could be a small number of disputes lodged against claims that are not active, </w:t>
      </w:r>
      <w:r w:rsidRPr="00D50A62">
        <w:t>such as</w:t>
      </w:r>
      <w:r>
        <w:t xml:space="preserve"> liability disputes. The comparison of disputation rates between jurisdictions must be </w:t>
      </w:r>
      <w:r w:rsidR="00B973B6">
        <w:t xml:space="preserve">made </w:t>
      </w:r>
      <w:r>
        <w:t xml:space="preserve">with caution due to jurisdictional differences in scheme design, types of decisions that can be appealed, dispute resolution models and the cost of appeals. </w:t>
      </w:r>
    </w:p>
    <w:p w14:paraId="0D147B57" w14:textId="77777777" w:rsidR="000714D9" w:rsidRPr="00986D99" w:rsidRDefault="000714D9" w:rsidP="00307616">
      <w:pPr>
        <w:spacing w:before="120"/>
        <w:rPr>
          <w:b/>
          <w:bCs/>
          <w:sz w:val="28"/>
          <w:szCs w:val="28"/>
        </w:rPr>
      </w:pPr>
      <w:r w:rsidRPr="00986D99">
        <w:rPr>
          <w:b/>
          <w:bCs/>
          <w:sz w:val="28"/>
          <w:szCs w:val="28"/>
        </w:rPr>
        <w:t>National</w:t>
      </w:r>
    </w:p>
    <w:p w14:paraId="345E6D1E" w14:textId="034A97A1" w:rsidR="000714D9" w:rsidRDefault="000714D9" w:rsidP="00DC5804">
      <w:pPr>
        <w:pStyle w:val="BodyJustified"/>
      </w:pPr>
      <w:r>
        <w:t xml:space="preserve">The Australian disputation rate (4.5% of active claims) in 2019–20 has </w:t>
      </w:r>
      <w:r w:rsidRPr="00524F55">
        <w:rPr>
          <w:b/>
          <w:bCs/>
          <w:color w:val="B94F25"/>
        </w:rPr>
        <w:t>decreased by 26%</w:t>
      </w:r>
      <w:r w:rsidRPr="00524F55">
        <w:rPr>
          <w:color w:val="B94F25"/>
        </w:rPr>
        <w:t xml:space="preserve"> </w:t>
      </w:r>
      <w:r>
        <w:t>since 201</w:t>
      </w:r>
      <w:r w:rsidR="00DE5D03">
        <w:t>5</w:t>
      </w:r>
      <w:r>
        <w:t xml:space="preserve">–16. </w:t>
      </w:r>
    </w:p>
    <w:p w14:paraId="3D54FDE6" w14:textId="77777777" w:rsidR="00DE5D03" w:rsidRPr="00986D99" w:rsidRDefault="00DE5D03" w:rsidP="00307616">
      <w:pPr>
        <w:spacing w:before="120"/>
        <w:rPr>
          <w:b/>
          <w:bCs/>
          <w:sz w:val="28"/>
          <w:szCs w:val="28"/>
        </w:rPr>
      </w:pPr>
      <w:r w:rsidRPr="00986D99">
        <w:rPr>
          <w:b/>
          <w:bCs/>
          <w:sz w:val="28"/>
          <w:szCs w:val="28"/>
        </w:rPr>
        <w:t>Jurisdictions</w:t>
      </w:r>
    </w:p>
    <w:p w14:paraId="5429D3A2" w14:textId="4C202F4C" w:rsidR="00DE5D03" w:rsidRDefault="006846FC" w:rsidP="00DC5804">
      <w:pPr>
        <w:pStyle w:val="BodyJustified"/>
      </w:pPr>
      <w:r>
        <w:t>7</w:t>
      </w:r>
      <w:r w:rsidR="00DE5D03">
        <w:t xml:space="preserve"> out of </w:t>
      </w:r>
      <w:r>
        <w:t>9</w:t>
      </w:r>
      <w:r w:rsidR="00DE5D03">
        <w:t xml:space="preserve"> </w:t>
      </w:r>
      <w:r w:rsidR="000714D9">
        <w:t xml:space="preserve">Australian jurisdictions recorded decreases in disputation rates during the </w:t>
      </w:r>
      <w:proofErr w:type="gramStart"/>
      <w:r>
        <w:t xml:space="preserve">5 </w:t>
      </w:r>
      <w:r w:rsidR="000714D9">
        <w:t>year</w:t>
      </w:r>
      <w:proofErr w:type="gramEnd"/>
      <w:r w:rsidR="000714D9">
        <w:t xml:space="preserve"> period</w:t>
      </w:r>
      <w:r w:rsidR="00DE5D03">
        <w:t xml:space="preserve"> (2015–16 to 2019–20)</w:t>
      </w:r>
      <w:r w:rsidR="000714D9">
        <w:t xml:space="preserve">. </w:t>
      </w:r>
    </w:p>
    <w:p w14:paraId="338F4039" w14:textId="14027B02" w:rsidR="00DE5D03" w:rsidRDefault="00DE5D03" w:rsidP="00DC5804">
      <w:pPr>
        <w:pStyle w:val="BodyJustified"/>
        <w:numPr>
          <w:ilvl w:val="0"/>
          <w:numId w:val="15"/>
        </w:numPr>
      </w:pPr>
      <w:r>
        <w:t>The largest decrease was in New South Wales (</w:t>
      </w:r>
      <w:r w:rsidR="000F153A">
        <w:rPr>
          <w:rFonts w:ascii="Wingdings 3" w:eastAsia="Times New Roman" w:hAnsi="Wingdings 3"/>
          <w:b/>
          <w:bCs/>
          <w:color w:val="B94F25"/>
        </w:rPr>
        <w:t>i</w:t>
      </w:r>
      <w:r w:rsidR="000F153A">
        <w:rPr>
          <w:rFonts w:eastAsia="Times New Roman"/>
          <w:b/>
          <w:bCs/>
          <w:color w:val="B94F25"/>
        </w:rPr>
        <w:t xml:space="preserve"> </w:t>
      </w:r>
      <w:r w:rsidR="000F153A" w:rsidRPr="00524F55">
        <w:rPr>
          <w:b/>
          <w:bCs/>
          <w:color w:val="B94F25"/>
        </w:rPr>
        <w:t xml:space="preserve">down </w:t>
      </w:r>
      <w:r w:rsidRPr="000F153A">
        <w:rPr>
          <w:b/>
          <w:bCs/>
          <w:color w:val="B94F25"/>
        </w:rPr>
        <w:t>45%</w:t>
      </w:r>
      <w:r>
        <w:t>), followed by Victoria (</w:t>
      </w:r>
      <w:r w:rsidR="00B470D0">
        <w:rPr>
          <w:rFonts w:ascii="Wingdings 3" w:eastAsia="Times New Roman" w:hAnsi="Wingdings 3"/>
          <w:b/>
          <w:bCs/>
          <w:color w:val="B94F25"/>
        </w:rPr>
        <w:t>i</w:t>
      </w:r>
      <w:r w:rsidR="00B470D0">
        <w:rPr>
          <w:rFonts w:eastAsia="Times New Roman"/>
          <w:b/>
          <w:bCs/>
          <w:color w:val="B94F25"/>
        </w:rPr>
        <w:t xml:space="preserve"> </w:t>
      </w:r>
      <w:r w:rsidRPr="00524F55">
        <w:rPr>
          <w:b/>
          <w:bCs/>
          <w:color w:val="B94F25"/>
        </w:rPr>
        <w:t>down 28%</w:t>
      </w:r>
      <w:r>
        <w:t>).</w:t>
      </w:r>
    </w:p>
    <w:p w14:paraId="6E1F3599" w14:textId="0304DB46" w:rsidR="00DE5D03" w:rsidRDefault="00DE5D03" w:rsidP="00DC5804">
      <w:pPr>
        <w:pStyle w:val="BodyJustified"/>
        <w:numPr>
          <w:ilvl w:val="0"/>
          <w:numId w:val="15"/>
        </w:numPr>
      </w:pPr>
      <w:r>
        <w:t xml:space="preserve">The </w:t>
      </w:r>
      <w:r w:rsidR="006846FC">
        <w:t>2</w:t>
      </w:r>
      <w:r>
        <w:t xml:space="preserve"> jurisdictions recording increases were Western Australia (</w:t>
      </w:r>
      <w:r w:rsidR="000F153A">
        <w:rPr>
          <w:rFonts w:ascii="Wingdings 3" w:eastAsia="Times New Roman" w:hAnsi="Wingdings 3"/>
          <w:b/>
          <w:bCs/>
          <w:color w:val="00518E"/>
        </w:rPr>
        <w:t>h</w:t>
      </w:r>
      <w:r w:rsidR="000F153A">
        <w:rPr>
          <w:rFonts w:eastAsia="Times New Roman"/>
          <w:b/>
          <w:bCs/>
          <w:color w:val="00518E"/>
        </w:rPr>
        <w:t xml:space="preserve"> </w:t>
      </w:r>
      <w:r w:rsidRPr="00B470D0">
        <w:rPr>
          <w:b/>
          <w:bCs/>
          <w:color w:val="00518E"/>
        </w:rPr>
        <w:t>up 14%</w:t>
      </w:r>
      <w:r>
        <w:t>) and Tasmania (</w:t>
      </w:r>
      <w:r w:rsidR="000F153A">
        <w:rPr>
          <w:rFonts w:ascii="Wingdings 3" w:eastAsia="Times New Roman" w:hAnsi="Wingdings 3"/>
          <w:b/>
          <w:bCs/>
          <w:color w:val="00518E"/>
        </w:rPr>
        <w:t>h</w:t>
      </w:r>
      <w:r w:rsidR="000669E5">
        <w:rPr>
          <w:rFonts w:eastAsia="Times New Roman"/>
          <w:b/>
          <w:bCs/>
          <w:color w:val="00518E"/>
        </w:rPr>
        <w:t> </w:t>
      </w:r>
      <w:r w:rsidRPr="00B470D0">
        <w:rPr>
          <w:b/>
          <w:bCs/>
          <w:color w:val="00518E"/>
        </w:rPr>
        <w:t>up</w:t>
      </w:r>
      <w:r w:rsidR="000669E5">
        <w:rPr>
          <w:b/>
          <w:bCs/>
          <w:color w:val="00518E"/>
        </w:rPr>
        <w:t> </w:t>
      </w:r>
      <w:r w:rsidRPr="00B470D0">
        <w:rPr>
          <w:b/>
          <w:bCs/>
          <w:color w:val="00518E"/>
        </w:rPr>
        <w:t>4%</w:t>
      </w:r>
      <w:r>
        <w:t>).</w:t>
      </w:r>
    </w:p>
    <w:p w14:paraId="6395410D" w14:textId="77777777" w:rsidR="000714D9" w:rsidRDefault="000714D9" w:rsidP="00DC5804">
      <w:pPr>
        <w:pStyle w:val="BodyJustified"/>
      </w:pPr>
      <w:r>
        <w:t xml:space="preserve">The New Zealand disputation rate is very low (0.7%) because of the universal nature of its accident compensation scheme. Since people are covered whether the incident occurs at work, home, on the road, playing sport and whether they are employed, self-employed or a non-earner (child, pensioner, student, unemployed) there are very few disputes relating to cover. </w:t>
      </w:r>
    </w:p>
    <w:p w14:paraId="6FED7642" w14:textId="038DF75B" w:rsidR="000714D9" w:rsidRDefault="000714D9" w:rsidP="00CA3A19">
      <w:pPr>
        <w:pStyle w:val="SWATableheader"/>
        <w:spacing w:before="120" w:after="120" w:line="240" w:lineRule="auto"/>
      </w:pPr>
      <w:bookmarkStart w:id="13" w:name="_Ref464220602"/>
      <w:r>
        <w:t xml:space="preserve">Indicator </w:t>
      </w:r>
      <w:r>
        <w:rPr>
          <w:noProof/>
        </w:rPr>
        <w:t>2</w:t>
      </w:r>
      <w:bookmarkEnd w:id="13"/>
      <w:r w:rsidR="00324D27">
        <w:rPr>
          <w:noProof/>
        </w:rPr>
        <w:t>1</w:t>
      </w:r>
      <w:r>
        <w:t xml:space="preserve"> – Proportion of claims with dispute </w:t>
      </w:r>
    </w:p>
    <w:p w14:paraId="03DEC51B" w14:textId="2555FA5E" w:rsidR="000714D9" w:rsidRDefault="00604CAD" w:rsidP="00840020">
      <w:pPr>
        <w:pStyle w:val="Figureheading"/>
        <w:spacing w:before="0" w:after="0"/>
        <w:ind w:left="0" w:firstLine="0"/>
        <w:jc w:val="center"/>
      </w:pPr>
      <w:r>
        <w:rPr>
          <w:noProof/>
        </w:rPr>
        <w:drawing>
          <wp:inline distT="0" distB="0" distL="0" distR="0" wp14:anchorId="13DEB8B9" wp14:editId="6E72AD28">
            <wp:extent cx="5792890" cy="2372711"/>
            <wp:effectExtent l="0" t="0" r="0" b="5080"/>
            <wp:docPr id="4" name="Picture 4" descr="This bar graph shows the proportion of claims with disputes by jurisdiction from 2015-16 to 2019-20, and a line indicating the Australian average f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bar graph shows the proportion of claims with disputes by jurisdiction from 2015-16 to 2019-20, and a line indicating the Australian average for 2019-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2890" cy="2372711"/>
                    </a:xfrm>
                    <a:prstGeom prst="rect">
                      <a:avLst/>
                    </a:prstGeom>
                    <a:noFill/>
                  </pic:spPr>
                </pic:pic>
              </a:graphicData>
            </a:graphic>
          </wp:inline>
        </w:drawing>
      </w:r>
    </w:p>
    <w:p w14:paraId="143C4B7E" w14:textId="045ED6A6" w:rsidR="000714D9" w:rsidRPr="00FF028E" w:rsidRDefault="000714D9" w:rsidP="00967173">
      <w:pPr>
        <w:pStyle w:val="SWASectionnum2"/>
        <w:numPr>
          <w:ilvl w:val="1"/>
          <w:numId w:val="6"/>
        </w:numPr>
        <w:tabs>
          <w:tab w:val="num" w:pos="709"/>
        </w:tabs>
        <w:ind w:left="1440" w:hanging="1440"/>
      </w:pPr>
      <w:bookmarkStart w:id="14" w:name="_Toc476564191"/>
      <w:bookmarkStart w:id="15" w:name="_Toc56776900"/>
      <w:bookmarkStart w:id="16" w:name="_Toc80188298"/>
      <w:r w:rsidRPr="00FF028E">
        <w:lastRenderedPageBreak/>
        <w:t>Dispute resolution</w:t>
      </w:r>
      <w:bookmarkEnd w:id="14"/>
      <w:bookmarkEnd w:id="15"/>
      <w:bookmarkEnd w:id="16"/>
      <w:r>
        <w:t xml:space="preserve"> </w:t>
      </w:r>
    </w:p>
    <w:p w14:paraId="6828DA77" w14:textId="23C168B5" w:rsidR="000714D9" w:rsidRDefault="000714D9" w:rsidP="001928BE">
      <w:pPr>
        <w:pStyle w:val="BodyJustified"/>
        <w:numPr>
          <w:ilvl w:val="0"/>
          <w:numId w:val="0"/>
        </w:numPr>
      </w:pPr>
      <w:r w:rsidRPr="00745967">
        <w:t xml:space="preserve">The </w:t>
      </w:r>
      <w:r>
        <w:t xml:space="preserve">speed with which </w:t>
      </w:r>
      <w:r w:rsidRPr="00745967">
        <w:t>dispute</w:t>
      </w:r>
      <w:r>
        <w:t>s</w:t>
      </w:r>
      <w:r w:rsidRPr="00745967">
        <w:t xml:space="preserve"> </w:t>
      </w:r>
      <w:r>
        <w:t xml:space="preserve">are </w:t>
      </w:r>
      <w:r w:rsidRPr="00745967">
        <w:t>resol</w:t>
      </w:r>
      <w:r>
        <w:t>ved</w:t>
      </w:r>
      <w:r w:rsidRPr="00745967">
        <w:t xml:space="preserve"> depends on the </w:t>
      </w:r>
      <w:r w:rsidRPr="009F50FF">
        <w:t xml:space="preserve">systems and processes </w:t>
      </w:r>
      <w:r>
        <w:t xml:space="preserve">that are </w:t>
      </w:r>
      <w:r w:rsidRPr="009F50FF">
        <w:t xml:space="preserve">in place for each jurisdiction. Generally, the simpler the process, the faster the dispute is resolved. Where there is a lag in collection, </w:t>
      </w:r>
      <w:proofErr w:type="gramStart"/>
      <w:r w:rsidRPr="009F50FF">
        <w:t>exchange</w:t>
      </w:r>
      <w:proofErr w:type="gramEnd"/>
      <w:r w:rsidRPr="009F50FF">
        <w:t xml:space="preserve"> and lodg</w:t>
      </w:r>
      <w:r>
        <w:t>m</w:t>
      </w:r>
      <w:r w:rsidRPr="009F50FF">
        <w:t xml:space="preserve">ent of information by one or more parties, disputes are likely to be more adversarial and therefore </w:t>
      </w:r>
      <w:r>
        <w:t>more costly</w:t>
      </w:r>
      <w:r w:rsidRPr="009F50FF">
        <w:t xml:space="preserve">. A high </w:t>
      </w:r>
      <w:r>
        <w:t>percentage</w:t>
      </w:r>
      <w:r w:rsidRPr="009F50FF">
        <w:t xml:space="preserve"> of disputes resolved in a longer time frame may also indicate that there are a high number of more complex disputes being dealt with within a jurisdiction, or that there are some mandatory medical or legal processes in place that inherently delay resolution. </w:t>
      </w:r>
      <w:r w:rsidR="006846FC">
        <w:t xml:space="preserve"> </w:t>
      </w:r>
    </w:p>
    <w:p w14:paraId="3F08FEBB" w14:textId="77777777" w:rsidR="00967173" w:rsidRPr="00986D99" w:rsidRDefault="00967173" w:rsidP="00CA3A19">
      <w:pPr>
        <w:spacing w:after="200"/>
        <w:rPr>
          <w:b/>
          <w:bCs/>
          <w:sz w:val="28"/>
          <w:szCs w:val="28"/>
        </w:rPr>
      </w:pPr>
      <w:r w:rsidRPr="00986D99">
        <w:rPr>
          <w:b/>
          <w:bCs/>
          <w:sz w:val="28"/>
          <w:szCs w:val="28"/>
        </w:rPr>
        <w:t>National</w:t>
      </w:r>
    </w:p>
    <w:p w14:paraId="1D7359F0" w14:textId="78571DAB" w:rsidR="00967173" w:rsidRDefault="006846FC" w:rsidP="001928BE">
      <w:pPr>
        <w:pStyle w:val="BodyJustified"/>
        <w:numPr>
          <w:ilvl w:val="0"/>
          <w:numId w:val="0"/>
        </w:numPr>
      </w:pPr>
      <w:r>
        <w:t>Indicator 2</w:t>
      </w:r>
      <w:r w:rsidR="00324D27">
        <w:t>2</w:t>
      </w:r>
      <w:r>
        <w:t xml:space="preserve"> shows that i</w:t>
      </w:r>
      <w:r w:rsidR="000714D9" w:rsidRPr="009F50FF">
        <w:t xml:space="preserve">n the past </w:t>
      </w:r>
      <w:r>
        <w:t>5</w:t>
      </w:r>
      <w:r w:rsidR="000714D9" w:rsidRPr="009F50FF">
        <w:t xml:space="preserve"> years</w:t>
      </w:r>
      <w:r w:rsidR="00967173">
        <w:t>, 2015–16 to 2019–20</w:t>
      </w:r>
      <w:r w:rsidR="000714D9" w:rsidRPr="009F50FF">
        <w:t xml:space="preserve"> in Austr</w:t>
      </w:r>
      <w:r w:rsidR="000714D9">
        <w:t>alia</w:t>
      </w:r>
      <w:r w:rsidR="00247636">
        <w:t>,</w:t>
      </w:r>
      <w:r w:rsidR="000714D9">
        <w:t xml:space="preserve"> </w:t>
      </w:r>
      <w:r w:rsidR="001E11C5">
        <w:t>disputes have take</w:t>
      </w:r>
      <w:r w:rsidR="007B1EDB">
        <w:t>n</w:t>
      </w:r>
      <w:r w:rsidR="001E11C5">
        <w:t xml:space="preserve"> longer to resolve with</w:t>
      </w:r>
      <w:r w:rsidR="00967173">
        <w:t>:</w:t>
      </w:r>
    </w:p>
    <w:p w14:paraId="5702BDFF" w14:textId="6FA217B4" w:rsidR="00967173" w:rsidRDefault="000714D9">
      <w:pPr>
        <w:pStyle w:val="BodyJustified"/>
      </w:pPr>
      <w:r>
        <w:t xml:space="preserve">a substantial decrease </w:t>
      </w:r>
      <w:r w:rsidRPr="00C47630">
        <w:t>(</w:t>
      </w:r>
      <w:r w:rsidR="000F153A">
        <w:rPr>
          <w:rFonts w:ascii="Wingdings 3" w:eastAsia="Times New Roman" w:hAnsi="Wingdings 3"/>
          <w:b/>
          <w:bCs/>
          <w:color w:val="B94F25"/>
        </w:rPr>
        <w:t>i</w:t>
      </w:r>
      <w:r w:rsidR="000F153A">
        <w:rPr>
          <w:rFonts w:eastAsia="Times New Roman"/>
          <w:b/>
          <w:bCs/>
          <w:color w:val="B94F25"/>
        </w:rPr>
        <w:t xml:space="preserve"> </w:t>
      </w:r>
      <w:r w:rsidRPr="000F153A">
        <w:rPr>
          <w:b/>
          <w:bCs/>
          <w:color w:val="B94F25"/>
        </w:rPr>
        <w:t>down 2</w:t>
      </w:r>
      <w:r w:rsidR="006124C2" w:rsidRPr="000F153A">
        <w:rPr>
          <w:b/>
          <w:bCs/>
          <w:color w:val="B94F25"/>
        </w:rPr>
        <w:t>6</w:t>
      </w:r>
      <w:r w:rsidRPr="000F153A">
        <w:rPr>
          <w:b/>
          <w:bCs/>
          <w:color w:val="B94F25"/>
        </w:rPr>
        <w:t>%</w:t>
      </w:r>
      <w:r w:rsidRPr="00C47630">
        <w:t>) in the proportion of disputes resolved within one month</w:t>
      </w:r>
      <w:r w:rsidR="001E11C5">
        <w:t>, and</w:t>
      </w:r>
    </w:p>
    <w:p w14:paraId="02520231" w14:textId="65802A4E" w:rsidR="000714D9" w:rsidRDefault="001928BE">
      <w:pPr>
        <w:pStyle w:val="BodyJustified"/>
      </w:pPr>
      <w:r>
        <w:t>d</w:t>
      </w:r>
      <w:r w:rsidR="001E11C5">
        <w:t xml:space="preserve">ecreases in </w:t>
      </w:r>
      <w:r w:rsidR="00967173">
        <w:t>t</w:t>
      </w:r>
      <w:r w:rsidR="000714D9" w:rsidRPr="00C47630">
        <w:t xml:space="preserve">he percentage of disputes resolved within </w:t>
      </w:r>
      <w:r w:rsidR="006124C2">
        <w:t>3</w:t>
      </w:r>
      <w:r w:rsidR="000714D9" w:rsidRPr="00C47630">
        <w:t xml:space="preserve"> </w:t>
      </w:r>
      <w:r w:rsidR="000714D9">
        <w:t>months</w:t>
      </w:r>
      <w:r w:rsidR="00967173">
        <w:t xml:space="preserve">, </w:t>
      </w:r>
      <w:r w:rsidR="006124C2">
        <w:t>6</w:t>
      </w:r>
      <w:r w:rsidR="00967173">
        <w:t xml:space="preserve"> </w:t>
      </w:r>
      <w:proofErr w:type="gramStart"/>
      <w:r w:rsidR="00967173">
        <w:t>months</w:t>
      </w:r>
      <w:proofErr w:type="gramEnd"/>
      <w:r w:rsidR="00967173">
        <w:t xml:space="preserve"> and </w:t>
      </w:r>
      <w:r w:rsidR="006124C2">
        <w:t xml:space="preserve">9 </w:t>
      </w:r>
      <w:r w:rsidR="00967173">
        <w:t>months (</w:t>
      </w:r>
      <w:r w:rsidR="000F153A">
        <w:rPr>
          <w:rFonts w:ascii="Wingdings 3" w:eastAsia="Times New Roman" w:hAnsi="Wingdings 3"/>
          <w:b/>
          <w:bCs/>
          <w:color w:val="B94F25"/>
        </w:rPr>
        <w:t>i</w:t>
      </w:r>
      <w:r w:rsidR="000669E5">
        <w:rPr>
          <w:rFonts w:eastAsia="Times New Roman"/>
          <w:b/>
          <w:bCs/>
          <w:color w:val="B94F25"/>
        </w:rPr>
        <w:t> </w:t>
      </w:r>
      <w:r w:rsidR="000F153A" w:rsidRPr="00524F55">
        <w:rPr>
          <w:b/>
          <w:bCs/>
          <w:color w:val="B94F25"/>
        </w:rPr>
        <w:t>down</w:t>
      </w:r>
      <w:r w:rsidR="00967173">
        <w:t xml:space="preserve"> </w:t>
      </w:r>
      <w:r w:rsidR="006124C2" w:rsidRPr="000F153A">
        <w:rPr>
          <w:b/>
          <w:bCs/>
          <w:color w:val="B94F25"/>
        </w:rPr>
        <w:t>7</w:t>
      </w:r>
      <w:r w:rsidR="00967173" w:rsidRPr="000F153A">
        <w:rPr>
          <w:b/>
          <w:bCs/>
          <w:color w:val="B94F25"/>
        </w:rPr>
        <w:t xml:space="preserve">%, </w:t>
      </w:r>
      <w:r w:rsidR="006124C2" w:rsidRPr="000F153A">
        <w:rPr>
          <w:b/>
          <w:bCs/>
          <w:color w:val="B94F25"/>
        </w:rPr>
        <w:t>4</w:t>
      </w:r>
      <w:r w:rsidR="00967173" w:rsidRPr="000F153A">
        <w:rPr>
          <w:b/>
          <w:bCs/>
          <w:color w:val="B94F25"/>
        </w:rPr>
        <w:t xml:space="preserve">% and </w:t>
      </w:r>
      <w:r w:rsidR="006124C2" w:rsidRPr="000F153A">
        <w:rPr>
          <w:b/>
          <w:bCs/>
          <w:color w:val="B94F25"/>
        </w:rPr>
        <w:t>2</w:t>
      </w:r>
      <w:r w:rsidR="00967173" w:rsidRPr="000F153A">
        <w:rPr>
          <w:b/>
          <w:bCs/>
          <w:color w:val="B94F25"/>
        </w:rPr>
        <w:t>%</w:t>
      </w:r>
      <w:r w:rsidR="00B973B6">
        <w:rPr>
          <w:b/>
          <w:bCs/>
          <w:color w:val="B94F25"/>
        </w:rPr>
        <w:t>,</w:t>
      </w:r>
      <w:r w:rsidR="00967173" w:rsidRPr="000F153A">
        <w:rPr>
          <w:color w:val="B94F25"/>
        </w:rPr>
        <w:t xml:space="preserve"> </w:t>
      </w:r>
      <w:r w:rsidR="00967173">
        <w:t>respectively).</w:t>
      </w:r>
    </w:p>
    <w:p w14:paraId="67459595" w14:textId="3BAC23AE" w:rsidR="007369C5" w:rsidRPr="007369C5" w:rsidRDefault="007369C5" w:rsidP="003D5332">
      <w:pPr>
        <w:pStyle w:val="BodyJustified"/>
        <w:rPr>
          <w:lang w:val="en-AU" w:eastAsia="en-AU"/>
        </w:rPr>
      </w:pPr>
      <w:r w:rsidRPr="00C47630">
        <w:t>In 201</w:t>
      </w:r>
      <w:r>
        <w:t>9</w:t>
      </w:r>
      <w:r w:rsidRPr="00C47630">
        <w:t>–</w:t>
      </w:r>
      <w:r>
        <w:t>20</w:t>
      </w:r>
      <w:r w:rsidRPr="00C47630">
        <w:t>, more than half the disputes (</w:t>
      </w:r>
      <w:r>
        <w:t>59%</w:t>
      </w:r>
      <w:r w:rsidRPr="00C47630">
        <w:t xml:space="preserve">) were resolved within </w:t>
      </w:r>
      <w:r>
        <w:t>3</w:t>
      </w:r>
      <w:r w:rsidRPr="00C47630">
        <w:t xml:space="preserve"> months of the date of lodgment on average </w:t>
      </w:r>
      <w:r>
        <w:t>in</w:t>
      </w:r>
      <w:r w:rsidRPr="00C47630">
        <w:t xml:space="preserve"> Australia. </w:t>
      </w:r>
    </w:p>
    <w:p w14:paraId="15FE0C6B" w14:textId="77777777" w:rsidR="006124C2" w:rsidRPr="006124C2" w:rsidRDefault="006124C2" w:rsidP="00CA3A19">
      <w:pPr>
        <w:spacing w:after="200"/>
        <w:rPr>
          <w:b/>
          <w:bCs/>
          <w:sz w:val="28"/>
          <w:szCs w:val="28"/>
        </w:rPr>
      </w:pPr>
      <w:r w:rsidRPr="006124C2">
        <w:rPr>
          <w:b/>
          <w:bCs/>
          <w:sz w:val="28"/>
          <w:szCs w:val="28"/>
        </w:rPr>
        <w:t>Jurisdictions</w:t>
      </w:r>
    </w:p>
    <w:p w14:paraId="7DD0272D" w14:textId="1F347BCE" w:rsidR="006124C2" w:rsidRDefault="006124C2">
      <w:pPr>
        <w:pStyle w:val="BodyJustified"/>
      </w:pPr>
      <w:r>
        <w:t>Tasmania and Western Australia resolved the highest proportion of disputes</w:t>
      </w:r>
      <w:r w:rsidR="007218D5">
        <w:t xml:space="preserve"> within 3 months</w:t>
      </w:r>
      <w:r>
        <w:t xml:space="preserve"> (74% each), followed by Queensland (71%).</w:t>
      </w:r>
      <w:r w:rsidR="007218D5">
        <w:t xml:space="preserve"> Since 2015</w:t>
      </w:r>
      <w:r w:rsidR="006846FC" w:rsidRPr="00C47630">
        <w:t>–</w:t>
      </w:r>
      <w:r w:rsidR="007218D5">
        <w:t>16, Tasmania recorded an increase in this proportion (</w:t>
      </w:r>
      <w:r w:rsidR="001D0F74">
        <w:rPr>
          <w:rFonts w:ascii="Wingdings 3" w:eastAsia="Times New Roman" w:hAnsi="Wingdings 3"/>
          <w:b/>
          <w:bCs/>
          <w:color w:val="00518E"/>
        </w:rPr>
        <w:t>h</w:t>
      </w:r>
      <w:r w:rsidR="001D0F74">
        <w:rPr>
          <w:rFonts w:eastAsia="Times New Roman"/>
          <w:b/>
          <w:bCs/>
          <w:color w:val="00518E"/>
        </w:rPr>
        <w:t xml:space="preserve"> up 5%</w:t>
      </w:r>
      <w:r w:rsidR="007218D5">
        <w:t xml:space="preserve">) while Western Australia and Queensland </w:t>
      </w:r>
      <w:r w:rsidR="0047221B">
        <w:t xml:space="preserve">both </w:t>
      </w:r>
      <w:r w:rsidR="007218D5">
        <w:t>recorded decrease</w:t>
      </w:r>
      <w:r w:rsidR="0047221B">
        <w:t>s</w:t>
      </w:r>
      <w:r w:rsidR="007218D5">
        <w:t xml:space="preserve"> (</w:t>
      </w:r>
      <w:r w:rsidR="003123BE">
        <w:rPr>
          <w:rFonts w:ascii="Wingdings 3" w:eastAsia="Times New Roman" w:hAnsi="Wingdings 3"/>
          <w:b/>
          <w:bCs/>
          <w:color w:val="B94F25"/>
        </w:rPr>
        <w:t>i</w:t>
      </w:r>
      <w:r w:rsidR="000669E5">
        <w:rPr>
          <w:rFonts w:eastAsia="Times New Roman"/>
          <w:b/>
          <w:bCs/>
          <w:color w:val="B94F25"/>
        </w:rPr>
        <w:t> </w:t>
      </w:r>
      <w:r w:rsidR="003123BE">
        <w:rPr>
          <w:rFonts w:eastAsia="Times New Roman"/>
          <w:b/>
          <w:bCs/>
          <w:color w:val="B94F25"/>
        </w:rPr>
        <w:t>down</w:t>
      </w:r>
      <w:r w:rsidR="000669E5">
        <w:rPr>
          <w:rFonts w:eastAsia="Times New Roman"/>
          <w:b/>
          <w:bCs/>
          <w:color w:val="B94F25"/>
        </w:rPr>
        <w:t> </w:t>
      </w:r>
      <w:r w:rsidR="007218D5" w:rsidRPr="003123BE">
        <w:rPr>
          <w:b/>
          <w:bCs/>
          <w:color w:val="B94F25"/>
        </w:rPr>
        <w:t>5% and 18%</w:t>
      </w:r>
      <w:r w:rsidR="007218D5" w:rsidRPr="003123BE">
        <w:rPr>
          <w:color w:val="B94F25"/>
        </w:rPr>
        <w:t xml:space="preserve"> </w:t>
      </w:r>
      <w:r w:rsidR="007218D5">
        <w:t>respectively).</w:t>
      </w:r>
    </w:p>
    <w:p w14:paraId="47C113AC" w14:textId="0D1CB69A" w:rsidR="00597D28" w:rsidRDefault="00597D28">
      <w:pPr>
        <w:pStyle w:val="BodyJustified"/>
      </w:pPr>
      <w:r w:rsidRPr="00D150EE">
        <w:t>In New South Wales</w:t>
      </w:r>
      <w:r>
        <w:t xml:space="preserve"> there has been a</w:t>
      </w:r>
      <w:r w:rsidR="0047221B">
        <w:t xml:space="preserve"> large</w:t>
      </w:r>
      <w:r>
        <w:t xml:space="preserve"> decrease in</w:t>
      </w:r>
      <w:r w:rsidR="007218D5">
        <w:t xml:space="preserve"> the proportion of disputes resolved within one month since 2015</w:t>
      </w:r>
      <w:r w:rsidR="006846FC" w:rsidRPr="00C47630">
        <w:t>–</w:t>
      </w:r>
      <w:r w:rsidR="007218D5">
        <w:t>16 (</w:t>
      </w:r>
      <w:r w:rsidR="003123BE">
        <w:rPr>
          <w:rFonts w:ascii="Wingdings 3" w:eastAsia="Times New Roman" w:hAnsi="Wingdings 3"/>
          <w:b/>
          <w:bCs/>
          <w:color w:val="B94F25"/>
        </w:rPr>
        <w:t>i</w:t>
      </w:r>
      <w:r w:rsidR="003123BE">
        <w:rPr>
          <w:rFonts w:eastAsia="Times New Roman"/>
          <w:b/>
          <w:bCs/>
          <w:color w:val="B94F25"/>
        </w:rPr>
        <w:t xml:space="preserve"> down</w:t>
      </w:r>
      <w:r w:rsidR="007218D5">
        <w:t xml:space="preserve"> </w:t>
      </w:r>
      <w:r w:rsidR="007218D5" w:rsidRPr="003123BE">
        <w:rPr>
          <w:b/>
          <w:bCs/>
          <w:color w:val="B94F25"/>
        </w:rPr>
        <w:t>64%</w:t>
      </w:r>
      <w:r w:rsidR="007218D5">
        <w:t>)</w:t>
      </w:r>
      <w:r w:rsidRPr="00D150EE">
        <w:t xml:space="preserve">, </w:t>
      </w:r>
      <w:r w:rsidR="007218D5">
        <w:t xml:space="preserve">however </w:t>
      </w:r>
      <w:r>
        <w:t xml:space="preserve">there were increases in the resolution rates for </w:t>
      </w:r>
      <w:r w:rsidR="00B973B6">
        <w:t xml:space="preserve">all </w:t>
      </w:r>
      <w:r>
        <w:t xml:space="preserve">other time periods </w:t>
      </w:r>
      <w:r w:rsidR="00B973B6">
        <w:t xml:space="preserve">for disputes resolved within </w:t>
      </w:r>
      <w:r w:rsidR="00B73F5F">
        <w:t>3 months</w:t>
      </w:r>
      <w:r w:rsidR="00104CFC">
        <w:t xml:space="preserve"> </w:t>
      </w:r>
      <w:r>
        <w:t>(</w:t>
      </w:r>
      <w:r w:rsidR="003A108C">
        <w:rPr>
          <w:rFonts w:ascii="Wingdings 3" w:eastAsia="Times New Roman" w:hAnsi="Wingdings 3"/>
          <w:b/>
          <w:bCs/>
          <w:color w:val="00518E"/>
        </w:rPr>
        <w:t>h</w:t>
      </w:r>
      <w:r w:rsidR="003A108C">
        <w:rPr>
          <w:rFonts w:eastAsia="Times New Roman"/>
          <w:b/>
          <w:bCs/>
          <w:color w:val="00518E"/>
        </w:rPr>
        <w:t xml:space="preserve"> up</w:t>
      </w:r>
      <w:r>
        <w:t xml:space="preserve"> </w:t>
      </w:r>
      <w:r w:rsidRPr="003A108C">
        <w:rPr>
          <w:b/>
          <w:bCs/>
          <w:color w:val="00518E"/>
        </w:rPr>
        <w:t>18</w:t>
      </w:r>
      <w:r w:rsidRPr="00513613">
        <w:rPr>
          <w:b/>
          <w:bCs/>
          <w:color w:val="00518E"/>
        </w:rPr>
        <w:t>%</w:t>
      </w:r>
      <w:r w:rsidR="00B73F5F" w:rsidRPr="00824B91">
        <w:t>)</w:t>
      </w:r>
      <w:r w:rsidRPr="00824B91">
        <w:t xml:space="preserve">, </w:t>
      </w:r>
      <w:r w:rsidR="00B73F5F" w:rsidRPr="00824B91">
        <w:t>6 months (</w:t>
      </w:r>
      <w:r w:rsidR="00EB2B10">
        <w:rPr>
          <w:rFonts w:ascii="Wingdings 3" w:eastAsia="Times New Roman" w:hAnsi="Wingdings 3"/>
          <w:b/>
          <w:bCs/>
          <w:color w:val="00518E"/>
        </w:rPr>
        <w:t>h</w:t>
      </w:r>
      <w:r w:rsidR="00EB2B10">
        <w:rPr>
          <w:rFonts w:eastAsia="Times New Roman"/>
          <w:b/>
          <w:bCs/>
          <w:color w:val="00518E"/>
        </w:rPr>
        <w:t xml:space="preserve"> up</w:t>
      </w:r>
      <w:r w:rsidR="00EB2B10">
        <w:t xml:space="preserve"> </w:t>
      </w:r>
      <w:r w:rsidRPr="003A108C">
        <w:rPr>
          <w:b/>
          <w:bCs/>
          <w:color w:val="00518E"/>
        </w:rPr>
        <w:t>7%</w:t>
      </w:r>
      <w:r w:rsidR="00B73F5F" w:rsidRPr="00824B91">
        <w:t>) and 9 months</w:t>
      </w:r>
      <w:r w:rsidRPr="00824B91">
        <w:t xml:space="preserve"> </w:t>
      </w:r>
      <w:r w:rsidR="00EB2B10" w:rsidRPr="00824B91">
        <w:t>(</w:t>
      </w:r>
      <w:r w:rsidR="00EB2B10">
        <w:rPr>
          <w:rFonts w:ascii="Wingdings 3" w:eastAsia="Times New Roman" w:hAnsi="Wingdings 3"/>
          <w:b/>
          <w:bCs/>
          <w:color w:val="00518E"/>
        </w:rPr>
        <w:t>h</w:t>
      </w:r>
      <w:r w:rsidR="00513613">
        <w:rPr>
          <w:rFonts w:eastAsia="Times New Roman"/>
          <w:b/>
          <w:bCs/>
          <w:color w:val="00518E"/>
        </w:rPr>
        <w:t> </w:t>
      </w:r>
      <w:r w:rsidR="00EB2B10">
        <w:rPr>
          <w:rFonts w:eastAsia="Times New Roman"/>
          <w:b/>
          <w:bCs/>
          <w:color w:val="00518E"/>
        </w:rPr>
        <w:t>up</w:t>
      </w:r>
      <w:r w:rsidR="00513613">
        <w:t> </w:t>
      </w:r>
      <w:r w:rsidRPr="003A108C">
        <w:rPr>
          <w:b/>
          <w:bCs/>
          <w:color w:val="00518E"/>
        </w:rPr>
        <w:t>5%</w:t>
      </w:r>
      <w:r>
        <w:t>)</w:t>
      </w:r>
      <w:r w:rsidR="007218D5">
        <w:t xml:space="preserve">. </w:t>
      </w:r>
      <w:proofErr w:type="gramStart"/>
      <w:r w:rsidR="007218D5">
        <w:t>Overall</w:t>
      </w:r>
      <w:proofErr w:type="gramEnd"/>
      <w:r w:rsidR="007218D5">
        <w:t xml:space="preserve"> 63% of disputes were resolved within 3</w:t>
      </w:r>
      <w:r w:rsidR="0047221B">
        <w:t xml:space="preserve"> months</w:t>
      </w:r>
      <w:r>
        <w:t xml:space="preserve">.  </w:t>
      </w:r>
    </w:p>
    <w:p w14:paraId="366488C7" w14:textId="2195F8E8" w:rsidR="00597D28" w:rsidRPr="0047221B" w:rsidRDefault="00597D28" w:rsidP="001928BE">
      <w:pPr>
        <w:pStyle w:val="BodyJustified"/>
      </w:pPr>
      <w:r w:rsidRPr="0047221B">
        <w:t xml:space="preserve">Timeliness figures for </w:t>
      </w:r>
      <w:r w:rsidR="00FE7FF1">
        <w:t>New South Wales</w:t>
      </w:r>
      <w:r w:rsidR="00575365" w:rsidRPr="0047221B">
        <w:t xml:space="preserve"> </w:t>
      </w:r>
      <w:r w:rsidR="00B973B6">
        <w:t>were</w:t>
      </w:r>
      <w:r w:rsidR="00B973B6" w:rsidRPr="0047221B">
        <w:t xml:space="preserve"> </w:t>
      </w:r>
      <w:r w:rsidRPr="0047221B">
        <w:t>affected by activities such as medical specialist assessments in permanent impairment disputes and internal appeal processes for decisions by Arbitrators and assessments by Approved Medical Specialists.</w:t>
      </w:r>
    </w:p>
    <w:p w14:paraId="180E369B" w14:textId="56BDA3F5" w:rsidR="006846FC" w:rsidRDefault="0047221B" w:rsidP="00DC5804">
      <w:pPr>
        <w:pStyle w:val="BodyJustified"/>
      </w:pPr>
      <w:r>
        <w:t xml:space="preserve">Victoria also experienced </w:t>
      </w:r>
      <w:r w:rsidRPr="0047221B">
        <w:t>decrease</w:t>
      </w:r>
      <w:r>
        <w:t>s</w:t>
      </w:r>
      <w:r w:rsidRPr="0047221B">
        <w:t xml:space="preserve"> in the proportion of disputes resolved </w:t>
      </w:r>
      <w:r w:rsidR="006846FC" w:rsidRPr="0047221B">
        <w:t>since 2015</w:t>
      </w:r>
      <w:r w:rsidR="006846FC" w:rsidRPr="00C47630">
        <w:t>–</w:t>
      </w:r>
      <w:r w:rsidR="006846FC" w:rsidRPr="0047221B">
        <w:t>16</w:t>
      </w:r>
      <w:r w:rsidR="006846FC">
        <w:t xml:space="preserve"> – with </w:t>
      </w:r>
      <w:r w:rsidR="006846FC" w:rsidRPr="0047221B">
        <w:t xml:space="preserve">rates for one </w:t>
      </w:r>
      <w:r w:rsidR="006846FC">
        <w:t xml:space="preserve">month </w:t>
      </w:r>
      <w:r w:rsidR="006846FC" w:rsidRPr="0047221B">
        <w:t>(</w:t>
      </w:r>
      <w:r w:rsidR="00256655">
        <w:rPr>
          <w:rFonts w:ascii="Wingdings 3" w:eastAsia="Times New Roman" w:hAnsi="Wingdings 3"/>
          <w:b/>
          <w:bCs/>
          <w:color w:val="B94F25"/>
        </w:rPr>
        <w:t>i</w:t>
      </w:r>
      <w:r w:rsidR="00256655">
        <w:rPr>
          <w:rFonts w:eastAsia="Times New Roman"/>
          <w:b/>
          <w:bCs/>
          <w:color w:val="B94F25"/>
        </w:rPr>
        <w:t xml:space="preserve"> down</w:t>
      </w:r>
      <w:r w:rsidR="006846FC" w:rsidRPr="0047221B">
        <w:t xml:space="preserve"> </w:t>
      </w:r>
      <w:r w:rsidR="006846FC" w:rsidRPr="00256655">
        <w:rPr>
          <w:b/>
          <w:bCs/>
          <w:color w:val="B94F25"/>
        </w:rPr>
        <w:t>44%</w:t>
      </w:r>
      <w:r w:rsidR="006846FC" w:rsidRPr="0047221B">
        <w:t xml:space="preserve">), </w:t>
      </w:r>
      <w:r w:rsidR="006846FC">
        <w:t xml:space="preserve">3 months </w:t>
      </w:r>
      <w:r w:rsidR="006846FC" w:rsidRPr="0047221B">
        <w:t>(</w:t>
      </w:r>
      <w:r w:rsidR="00256655">
        <w:rPr>
          <w:rFonts w:ascii="Wingdings 3" w:eastAsia="Times New Roman" w:hAnsi="Wingdings 3"/>
          <w:b/>
          <w:bCs/>
          <w:color w:val="B94F25"/>
        </w:rPr>
        <w:t>i</w:t>
      </w:r>
      <w:r w:rsidR="00256655">
        <w:rPr>
          <w:rFonts w:eastAsia="Times New Roman"/>
          <w:b/>
          <w:bCs/>
          <w:color w:val="B94F25"/>
        </w:rPr>
        <w:t xml:space="preserve"> down</w:t>
      </w:r>
      <w:r w:rsidR="006846FC" w:rsidRPr="0047221B">
        <w:t xml:space="preserve"> </w:t>
      </w:r>
      <w:r w:rsidR="006846FC" w:rsidRPr="00256655">
        <w:rPr>
          <w:b/>
          <w:bCs/>
          <w:color w:val="B94F25"/>
        </w:rPr>
        <w:t>16%</w:t>
      </w:r>
      <w:r w:rsidR="006846FC" w:rsidRPr="0047221B">
        <w:t>)</w:t>
      </w:r>
      <w:r w:rsidR="006846FC">
        <w:t xml:space="preserve">, 6 </w:t>
      </w:r>
      <w:r w:rsidR="006846FC" w:rsidRPr="0047221B">
        <w:t>months (</w:t>
      </w:r>
      <w:r w:rsidR="00256655">
        <w:rPr>
          <w:rFonts w:ascii="Wingdings 3" w:eastAsia="Times New Roman" w:hAnsi="Wingdings 3"/>
          <w:b/>
          <w:bCs/>
          <w:color w:val="B94F25"/>
        </w:rPr>
        <w:t>i</w:t>
      </w:r>
      <w:r w:rsidR="00256655">
        <w:rPr>
          <w:rFonts w:eastAsia="Times New Roman"/>
          <w:b/>
          <w:bCs/>
          <w:color w:val="B94F25"/>
        </w:rPr>
        <w:t xml:space="preserve"> down</w:t>
      </w:r>
      <w:r w:rsidR="006846FC" w:rsidRPr="0047221B">
        <w:t xml:space="preserve"> </w:t>
      </w:r>
      <w:r w:rsidR="006846FC" w:rsidRPr="00256655">
        <w:rPr>
          <w:b/>
          <w:bCs/>
          <w:color w:val="B94F25"/>
        </w:rPr>
        <w:t>9%</w:t>
      </w:r>
      <w:r w:rsidR="006846FC" w:rsidRPr="0047221B">
        <w:t>)</w:t>
      </w:r>
      <w:r w:rsidR="006846FC">
        <w:t xml:space="preserve"> and 9 months </w:t>
      </w:r>
      <w:r w:rsidR="006846FC" w:rsidRPr="0047221B">
        <w:t>(</w:t>
      </w:r>
      <w:r w:rsidR="00256655">
        <w:rPr>
          <w:rFonts w:ascii="Wingdings 3" w:eastAsia="Times New Roman" w:hAnsi="Wingdings 3"/>
          <w:b/>
          <w:bCs/>
          <w:color w:val="B94F25"/>
        </w:rPr>
        <w:t>i</w:t>
      </w:r>
      <w:r w:rsidR="00256655">
        <w:rPr>
          <w:rFonts w:eastAsia="Times New Roman"/>
          <w:b/>
          <w:bCs/>
          <w:color w:val="B94F25"/>
        </w:rPr>
        <w:t xml:space="preserve"> down</w:t>
      </w:r>
      <w:r w:rsidR="006846FC" w:rsidRPr="0047221B">
        <w:t xml:space="preserve"> </w:t>
      </w:r>
      <w:r w:rsidR="006846FC" w:rsidRPr="00256655">
        <w:rPr>
          <w:b/>
          <w:bCs/>
          <w:color w:val="B94F25"/>
        </w:rPr>
        <w:t>4%</w:t>
      </w:r>
      <w:r w:rsidR="006846FC" w:rsidRPr="0047221B">
        <w:t>)</w:t>
      </w:r>
      <w:r w:rsidR="006846FC">
        <w:t xml:space="preserve"> all decreasing.</w:t>
      </w:r>
    </w:p>
    <w:p w14:paraId="5CEC0B47" w14:textId="77777777" w:rsidR="006846FC" w:rsidRDefault="006846FC" w:rsidP="00DC5804">
      <w:pPr>
        <w:pStyle w:val="BodyJustified"/>
      </w:pPr>
      <w:r w:rsidRPr="0047221B">
        <w:t xml:space="preserve">The resolution times for Victoria are affected by the compulsory conciliation process, which may or may not involve medical panel referral, and the fact that court litigation can only occur at the conclusion of the compulsory conciliation process. </w:t>
      </w:r>
    </w:p>
    <w:p w14:paraId="00C5D7C9" w14:textId="7178CA63" w:rsidR="00597D28" w:rsidRPr="00597D28" w:rsidRDefault="000714D9" w:rsidP="00DC5804">
      <w:pPr>
        <w:pStyle w:val="BodyJustified"/>
      </w:pPr>
      <w:r w:rsidRPr="00597D28">
        <w:t xml:space="preserve">Comcare disputes generally </w:t>
      </w:r>
      <w:r w:rsidR="0047221B">
        <w:t>take</w:t>
      </w:r>
      <w:r w:rsidRPr="00597D28">
        <w:t xml:space="preserve"> more time to resolve than disputes in other jurisdictions. </w:t>
      </w:r>
      <w:r w:rsidR="00597D28" w:rsidRPr="00597D28">
        <w:t xml:space="preserve">Comcare recorded the lowest proportion of disputes resolved for </w:t>
      </w:r>
      <w:r w:rsidR="006846FC">
        <w:t>3</w:t>
      </w:r>
      <w:r w:rsidR="00597D28" w:rsidRPr="00597D28">
        <w:t xml:space="preserve"> out of </w:t>
      </w:r>
      <w:r w:rsidR="006846FC">
        <w:t>4</w:t>
      </w:r>
      <w:r w:rsidR="00597D28" w:rsidRPr="00597D28">
        <w:t xml:space="preserve"> time periods in </w:t>
      </w:r>
      <w:r w:rsidR="000669E5">
        <w:t xml:space="preserve">      </w:t>
      </w:r>
      <w:r w:rsidR="00597D28" w:rsidRPr="00597D28">
        <w:t>2019–20, with only 35% being completed within 9 months.</w:t>
      </w:r>
    </w:p>
    <w:p w14:paraId="450F8DF5" w14:textId="1B77215C" w:rsidR="00597D28" w:rsidRPr="00597D28" w:rsidRDefault="000714D9" w:rsidP="00DC5804">
      <w:pPr>
        <w:pStyle w:val="BodyJustified"/>
      </w:pPr>
      <w:r w:rsidRPr="00597D28">
        <w:t xml:space="preserve">As Comcare disputes are referred to an external and independent body (Administrative Appeals Tribunal), </w:t>
      </w:r>
      <w:r w:rsidR="00B973B6">
        <w:t>Comcare</w:t>
      </w:r>
      <w:r w:rsidR="00B90B68">
        <w:t xml:space="preserve"> reported it</w:t>
      </w:r>
      <w:r w:rsidR="00B973B6" w:rsidRPr="00597D28">
        <w:t xml:space="preserve"> </w:t>
      </w:r>
      <w:r w:rsidRPr="00597D28">
        <w:t xml:space="preserve">has minimal control over the associated time frames for dispute resolution. Disputes tend to be complex and require a long time to resolve. </w:t>
      </w:r>
    </w:p>
    <w:p w14:paraId="2C3CA73E" w14:textId="04D4DA07" w:rsidR="00597D28" w:rsidRPr="00597D28" w:rsidRDefault="000714D9" w:rsidP="00DC5804">
      <w:pPr>
        <w:pStyle w:val="BodyJustified"/>
      </w:pPr>
      <w:r w:rsidRPr="00597D28">
        <w:t xml:space="preserve">Seacare </w:t>
      </w:r>
      <w:r w:rsidR="006124C2" w:rsidRPr="00597D28">
        <w:t>reco</w:t>
      </w:r>
      <w:r w:rsidR="00597D28" w:rsidRPr="00597D28">
        <w:t>r</w:t>
      </w:r>
      <w:r w:rsidR="006124C2" w:rsidRPr="00597D28">
        <w:t>ded the lowest proportion of disputes resolved within one mont</w:t>
      </w:r>
      <w:r w:rsidR="00597D28" w:rsidRPr="00597D28">
        <w:t xml:space="preserve">h, with </w:t>
      </w:r>
      <w:r w:rsidR="006124C2" w:rsidRPr="00597D28">
        <w:t xml:space="preserve">only 40% completed within 9 months.  </w:t>
      </w:r>
    </w:p>
    <w:p w14:paraId="47219DC9" w14:textId="1D9E6149" w:rsidR="000714D9" w:rsidRPr="00597D28" w:rsidRDefault="000714D9" w:rsidP="00DC5804">
      <w:pPr>
        <w:pStyle w:val="BodyJustified"/>
      </w:pPr>
      <w:r w:rsidRPr="00597D28">
        <w:lastRenderedPageBreak/>
        <w:t>The time it takes to resolve applications in the seafarers’ jurisdiction is influenced by many factors</w:t>
      </w:r>
      <w:r w:rsidR="00597D28" w:rsidRPr="00597D28">
        <w:t xml:space="preserve"> (such as</w:t>
      </w:r>
      <w:r w:rsidR="0047221B">
        <w:t xml:space="preserve"> the </w:t>
      </w:r>
      <w:r w:rsidR="0047221B" w:rsidRPr="00597D28">
        <w:t>nature and complexity of the decisions</w:t>
      </w:r>
      <w:r w:rsidR="0047221B">
        <w:t>,</w:t>
      </w:r>
      <w:r w:rsidR="00597D28" w:rsidRPr="00597D28">
        <w:t xml:space="preserve"> </w:t>
      </w:r>
      <w:r w:rsidRPr="00597D28">
        <w:t>time needed by parties to obtain further evidence</w:t>
      </w:r>
      <w:r w:rsidR="0047221B">
        <w:t xml:space="preserve"> or to agree to a resolution</w:t>
      </w:r>
      <w:r w:rsidR="00597D28" w:rsidRPr="00597D28">
        <w:t>)</w:t>
      </w:r>
      <w:r w:rsidRPr="00597D28">
        <w:t xml:space="preserve">. </w:t>
      </w:r>
      <w:r w:rsidR="00597D28" w:rsidRPr="00597D28">
        <w:t>As t</w:t>
      </w:r>
      <w:r w:rsidRPr="00597D28">
        <w:t xml:space="preserve">he number of applications made to the Administrative Appeals Tribunal </w:t>
      </w:r>
      <w:r w:rsidR="0047221B">
        <w:t xml:space="preserve">(who hear the disputes) </w:t>
      </w:r>
      <w:r w:rsidRPr="00597D28">
        <w:t>is relatively small</w:t>
      </w:r>
      <w:r w:rsidR="00597D28" w:rsidRPr="00597D28">
        <w:t xml:space="preserve">, any changes in the </w:t>
      </w:r>
      <w:r w:rsidRPr="00597D28">
        <w:t xml:space="preserve">number of cases </w:t>
      </w:r>
      <w:proofErr w:type="spellStart"/>
      <w:r w:rsidRPr="00597D28">
        <w:t>finalised</w:t>
      </w:r>
      <w:proofErr w:type="spellEnd"/>
      <w:r w:rsidRPr="00597D28">
        <w:t xml:space="preserve"> can result in relatively large percentage changes in the resolution rates within the specified time frames. </w:t>
      </w:r>
    </w:p>
    <w:p w14:paraId="460F0853" w14:textId="59FE95FE" w:rsidR="000714D9" w:rsidRDefault="000714D9" w:rsidP="00DC5804">
      <w:pPr>
        <w:pStyle w:val="BodyJustified"/>
      </w:pPr>
      <w:r w:rsidRPr="00A93613">
        <w:t xml:space="preserve">The proportion of disputes resolved in New Zealand </w:t>
      </w:r>
      <w:r>
        <w:t>in 201</w:t>
      </w:r>
      <w:r w:rsidR="00597D28">
        <w:t>9</w:t>
      </w:r>
      <w:r>
        <w:t>–</w:t>
      </w:r>
      <w:r w:rsidR="00597D28">
        <w:t>20</w:t>
      </w:r>
      <w:r>
        <w:t xml:space="preserve"> was</w:t>
      </w:r>
      <w:r w:rsidRPr="00A93613">
        <w:t xml:space="preserve"> </w:t>
      </w:r>
      <w:r>
        <w:t>higher</w:t>
      </w:r>
      <w:r w:rsidRPr="00A93613">
        <w:t xml:space="preserve"> than the Australian average for the </w:t>
      </w:r>
      <w:proofErr w:type="gramStart"/>
      <w:r w:rsidR="006846FC">
        <w:t>1</w:t>
      </w:r>
      <w:r>
        <w:t xml:space="preserve">, </w:t>
      </w:r>
      <w:r w:rsidR="006846FC">
        <w:t>6</w:t>
      </w:r>
      <w:r>
        <w:t xml:space="preserve"> and </w:t>
      </w:r>
      <w:r w:rsidR="006846FC">
        <w:t>9</w:t>
      </w:r>
      <w:r>
        <w:t xml:space="preserve"> month</w:t>
      </w:r>
      <w:proofErr w:type="gramEnd"/>
      <w:r>
        <w:t xml:space="preserve"> time periods,</w:t>
      </w:r>
      <w:r w:rsidRPr="00A93613">
        <w:t xml:space="preserve"> but </w:t>
      </w:r>
      <w:r>
        <w:t>lower</w:t>
      </w:r>
      <w:r w:rsidRPr="00A93613">
        <w:t xml:space="preserve"> than the Australian average for </w:t>
      </w:r>
      <w:r>
        <w:t xml:space="preserve">the </w:t>
      </w:r>
      <w:r w:rsidR="006846FC">
        <w:t>3</w:t>
      </w:r>
      <w:r w:rsidR="00B7119D">
        <w:t> </w:t>
      </w:r>
      <w:r>
        <w:t>month time period.</w:t>
      </w:r>
    </w:p>
    <w:p w14:paraId="42995DBB" w14:textId="74BCEC8C" w:rsidR="000714D9" w:rsidRPr="00C569D9" w:rsidRDefault="000714D9" w:rsidP="00CA3A19">
      <w:pPr>
        <w:pStyle w:val="SWATableheader"/>
        <w:spacing w:before="240" w:after="240" w:line="240" w:lineRule="auto"/>
        <w:rPr>
          <w:color w:val="00B050"/>
          <w:sz w:val="18"/>
          <w:szCs w:val="18"/>
        </w:rPr>
      </w:pPr>
      <w:bookmarkStart w:id="17" w:name="_Ref464457932"/>
      <w:r>
        <w:t xml:space="preserve">Indicator </w:t>
      </w:r>
      <w:r>
        <w:rPr>
          <w:noProof/>
        </w:rPr>
        <w:t>2</w:t>
      </w:r>
      <w:bookmarkEnd w:id="17"/>
      <w:r w:rsidR="00324D27">
        <w:rPr>
          <w:noProof/>
        </w:rPr>
        <w:t>2</w:t>
      </w:r>
      <w:r>
        <w:t xml:space="preserve"> – Percentage of disputes resolved within selected time periods (cumulative) </w:t>
      </w:r>
    </w:p>
    <w:tbl>
      <w:tblPr>
        <w:tblW w:w="9371" w:type="dxa"/>
        <w:tblInd w:w="93" w:type="dxa"/>
        <w:tblLook w:val="04A0" w:firstRow="1" w:lastRow="0" w:firstColumn="1" w:lastColumn="0" w:noHBand="0" w:noVBand="1"/>
        <w:tblCaption w:val="Indicator 22 – Percentage of disputes resolved within selected time periods (cumulative) "/>
        <w:tblDescription w:val="This table shows the percentage of disputes resolved within selected time periods (within a month, within 3 months, within 6 months, and within 9 months) for Australian jurisdictions and New Zealand, in 2015-16 and in 2019-20."/>
      </w:tblPr>
      <w:tblGrid>
        <w:gridCol w:w="3134"/>
        <w:gridCol w:w="1559"/>
        <w:gridCol w:w="1559"/>
        <w:gridCol w:w="1559"/>
        <w:gridCol w:w="1560"/>
      </w:tblGrid>
      <w:tr w:rsidR="000714D9" w:rsidRPr="006A7092" w14:paraId="3C009CDE" w14:textId="1D57184C" w:rsidTr="000714D9">
        <w:trPr>
          <w:cantSplit/>
          <w:trHeight w:val="454"/>
          <w:tblHeader/>
        </w:trPr>
        <w:tc>
          <w:tcPr>
            <w:tcW w:w="3134" w:type="dxa"/>
            <w:tcBorders>
              <w:top w:val="nil"/>
              <w:left w:val="single" w:sz="8" w:space="0" w:color="FFFFFF"/>
              <w:bottom w:val="single" w:sz="8" w:space="0" w:color="FFFFFF"/>
              <w:right w:val="single" w:sz="8" w:space="0" w:color="FFFFFF"/>
            </w:tcBorders>
            <w:shd w:val="clear" w:color="000000" w:fill="AF1E2D"/>
            <w:vAlign w:val="center"/>
            <w:hideMark/>
          </w:tcPr>
          <w:p w14:paraId="10ADB9DC" w14:textId="23F341FF" w:rsidR="000714D9" w:rsidRPr="006A7092" w:rsidRDefault="000714D9" w:rsidP="000714D9">
            <w:pPr>
              <w:spacing w:before="0"/>
              <w:jc w:val="left"/>
              <w:rPr>
                <w:rFonts w:cs="Arial"/>
                <w:b/>
                <w:bCs/>
                <w:color w:val="FFFFFF"/>
                <w:sz w:val="18"/>
                <w:szCs w:val="18"/>
              </w:rPr>
            </w:pPr>
            <w:r w:rsidRPr="006A7092">
              <w:rPr>
                <w:rFonts w:cs="Arial"/>
                <w:b/>
                <w:bCs/>
                <w:color w:val="FFFFFF"/>
                <w:sz w:val="18"/>
                <w:szCs w:val="18"/>
              </w:rPr>
              <w:t>Jurisdiction</w:t>
            </w:r>
            <w:r>
              <w:rPr>
                <w:rFonts w:cs="Arial"/>
                <w:b/>
                <w:bCs/>
                <w:color w:val="FFFFFF"/>
                <w:sz w:val="18"/>
                <w:szCs w:val="18"/>
              </w:rPr>
              <w:t>*</w:t>
            </w:r>
          </w:p>
        </w:tc>
        <w:tc>
          <w:tcPr>
            <w:tcW w:w="1559" w:type="dxa"/>
            <w:tcBorders>
              <w:top w:val="nil"/>
              <w:left w:val="nil"/>
              <w:bottom w:val="single" w:sz="8" w:space="0" w:color="FFFFFF"/>
              <w:right w:val="single" w:sz="8" w:space="0" w:color="FFFFFF"/>
            </w:tcBorders>
            <w:shd w:val="clear" w:color="000000" w:fill="AF1E2D"/>
            <w:vAlign w:val="center"/>
            <w:hideMark/>
          </w:tcPr>
          <w:p w14:paraId="73BFE81D" w14:textId="4FDE253D" w:rsidR="000714D9" w:rsidRPr="006A7092" w:rsidRDefault="000714D9" w:rsidP="000714D9">
            <w:pPr>
              <w:spacing w:before="0"/>
              <w:jc w:val="center"/>
              <w:rPr>
                <w:rFonts w:cs="Arial"/>
                <w:b/>
                <w:bCs/>
                <w:color w:val="FFFFFF"/>
                <w:sz w:val="18"/>
                <w:szCs w:val="18"/>
              </w:rPr>
            </w:pPr>
            <w:r>
              <w:rPr>
                <w:rFonts w:cs="Arial"/>
                <w:b/>
                <w:bCs/>
                <w:color w:val="FFFFFF"/>
                <w:sz w:val="18"/>
                <w:szCs w:val="18"/>
              </w:rPr>
              <w:t>Within</w:t>
            </w:r>
            <w:r>
              <w:rPr>
                <w:rFonts w:cs="Arial"/>
                <w:b/>
                <w:bCs/>
                <w:color w:val="FFFFFF"/>
                <w:sz w:val="18"/>
                <w:szCs w:val="18"/>
              </w:rPr>
              <w:br/>
            </w:r>
            <w:r w:rsidRPr="006A7092">
              <w:rPr>
                <w:rFonts w:cs="Arial"/>
                <w:b/>
                <w:bCs/>
                <w:color w:val="FFFFFF"/>
                <w:sz w:val="18"/>
                <w:szCs w:val="18"/>
              </w:rPr>
              <w:t>1 month</w:t>
            </w:r>
          </w:p>
        </w:tc>
        <w:tc>
          <w:tcPr>
            <w:tcW w:w="1559" w:type="dxa"/>
            <w:tcBorders>
              <w:top w:val="nil"/>
              <w:left w:val="nil"/>
              <w:bottom w:val="single" w:sz="8" w:space="0" w:color="FFFFFF"/>
              <w:right w:val="single" w:sz="8" w:space="0" w:color="FFFFFF"/>
            </w:tcBorders>
            <w:shd w:val="clear" w:color="000000" w:fill="AF1E2D"/>
            <w:vAlign w:val="center"/>
            <w:hideMark/>
          </w:tcPr>
          <w:p w14:paraId="24388D68" w14:textId="06F8CA7F" w:rsidR="000714D9" w:rsidRPr="006A7092" w:rsidRDefault="000714D9" w:rsidP="000714D9">
            <w:pPr>
              <w:spacing w:before="0"/>
              <w:jc w:val="center"/>
              <w:rPr>
                <w:rFonts w:cs="Arial"/>
                <w:b/>
                <w:bCs/>
                <w:color w:val="FFFFFF"/>
                <w:sz w:val="18"/>
                <w:szCs w:val="18"/>
              </w:rPr>
            </w:pPr>
            <w:r w:rsidRPr="006A7092">
              <w:rPr>
                <w:rFonts w:cs="Arial"/>
                <w:b/>
                <w:bCs/>
                <w:color w:val="FFFFFF"/>
                <w:sz w:val="18"/>
                <w:szCs w:val="18"/>
              </w:rPr>
              <w:t>Within 3 months</w:t>
            </w:r>
          </w:p>
        </w:tc>
        <w:tc>
          <w:tcPr>
            <w:tcW w:w="1559" w:type="dxa"/>
            <w:tcBorders>
              <w:top w:val="nil"/>
              <w:left w:val="nil"/>
              <w:bottom w:val="single" w:sz="8" w:space="0" w:color="FFFFFF"/>
              <w:right w:val="single" w:sz="8" w:space="0" w:color="FFFFFF"/>
            </w:tcBorders>
            <w:shd w:val="clear" w:color="000000" w:fill="AF1E2D"/>
            <w:vAlign w:val="center"/>
            <w:hideMark/>
          </w:tcPr>
          <w:p w14:paraId="2895A5C6" w14:textId="06E04D7B" w:rsidR="000714D9" w:rsidRPr="006A7092" w:rsidRDefault="000714D9" w:rsidP="000714D9">
            <w:pPr>
              <w:spacing w:before="0"/>
              <w:jc w:val="center"/>
              <w:rPr>
                <w:rFonts w:cs="Arial"/>
                <w:b/>
                <w:bCs/>
                <w:color w:val="FFFFFF"/>
                <w:sz w:val="18"/>
                <w:szCs w:val="18"/>
              </w:rPr>
            </w:pPr>
            <w:r w:rsidRPr="006A7092">
              <w:rPr>
                <w:rFonts w:cs="Arial"/>
                <w:b/>
                <w:bCs/>
                <w:color w:val="FFFFFF"/>
                <w:sz w:val="18"/>
                <w:szCs w:val="18"/>
              </w:rPr>
              <w:t>Within 6 months</w:t>
            </w:r>
          </w:p>
        </w:tc>
        <w:tc>
          <w:tcPr>
            <w:tcW w:w="1560" w:type="dxa"/>
            <w:tcBorders>
              <w:top w:val="nil"/>
              <w:left w:val="nil"/>
              <w:bottom w:val="single" w:sz="8" w:space="0" w:color="FFFFFF"/>
              <w:right w:val="single" w:sz="8" w:space="0" w:color="FFFFFF"/>
            </w:tcBorders>
            <w:shd w:val="clear" w:color="000000" w:fill="AF1E2D"/>
            <w:vAlign w:val="center"/>
            <w:hideMark/>
          </w:tcPr>
          <w:p w14:paraId="1005725A" w14:textId="0507F538" w:rsidR="000714D9" w:rsidRPr="006A7092" w:rsidRDefault="000714D9" w:rsidP="000714D9">
            <w:pPr>
              <w:spacing w:before="0"/>
              <w:jc w:val="center"/>
              <w:rPr>
                <w:rFonts w:cs="Arial"/>
                <w:b/>
                <w:bCs/>
                <w:color w:val="FFFFFF"/>
                <w:sz w:val="18"/>
                <w:szCs w:val="18"/>
              </w:rPr>
            </w:pPr>
            <w:r w:rsidRPr="006A7092">
              <w:rPr>
                <w:rFonts w:cs="Arial"/>
                <w:b/>
                <w:bCs/>
                <w:color w:val="FFFFFF"/>
                <w:sz w:val="18"/>
                <w:szCs w:val="18"/>
              </w:rPr>
              <w:t>Within 9 months</w:t>
            </w:r>
          </w:p>
        </w:tc>
      </w:tr>
      <w:tr w:rsidR="000714D9" w:rsidRPr="006A7092" w14:paraId="00392C4F" w14:textId="735AC3F0" w:rsidTr="000714D9">
        <w:trPr>
          <w:trHeight w:val="340"/>
        </w:trPr>
        <w:tc>
          <w:tcPr>
            <w:tcW w:w="3134" w:type="dxa"/>
            <w:tcBorders>
              <w:top w:val="nil"/>
              <w:left w:val="single" w:sz="8" w:space="0" w:color="FFFFFF"/>
              <w:bottom w:val="single" w:sz="8" w:space="0" w:color="FFFFFF"/>
            </w:tcBorders>
            <w:shd w:val="clear" w:color="000000" w:fill="808080"/>
            <w:noWrap/>
            <w:vAlign w:val="center"/>
            <w:hideMark/>
          </w:tcPr>
          <w:p w14:paraId="7E8ED6FF" w14:textId="2D07D3AC" w:rsidR="000714D9" w:rsidRPr="006A7092" w:rsidRDefault="000714D9" w:rsidP="000714D9">
            <w:pPr>
              <w:spacing w:before="0"/>
              <w:jc w:val="left"/>
              <w:rPr>
                <w:rFonts w:cs="Arial"/>
                <w:b/>
                <w:bCs/>
                <w:color w:val="FFFFFF" w:themeColor="background1"/>
                <w:sz w:val="18"/>
                <w:szCs w:val="18"/>
              </w:rPr>
            </w:pPr>
            <w:r>
              <w:rPr>
                <w:rFonts w:cs="Arial"/>
                <w:b/>
                <w:bCs/>
                <w:color w:val="FFFFFF" w:themeColor="background1"/>
                <w:sz w:val="18"/>
                <w:szCs w:val="16"/>
              </w:rPr>
              <w:t>201</w:t>
            </w:r>
            <w:r w:rsidR="00967173">
              <w:rPr>
                <w:rFonts w:cs="Arial"/>
                <w:b/>
                <w:bCs/>
                <w:color w:val="FFFFFF" w:themeColor="background1"/>
                <w:sz w:val="18"/>
                <w:szCs w:val="16"/>
              </w:rPr>
              <w:t>5</w:t>
            </w:r>
            <w:r>
              <w:rPr>
                <w:rFonts w:cs="Arial"/>
                <w:b/>
                <w:bCs/>
                <w:color w:val="FFFFFF" w:themeColor="background1"/>
                <w:sz w:val="18"/>
                <w:szCs w:val="16"/>
              </w:rPr>
              <w:t>–</w:t>
            </w:r>
            <w:r w:rsidRPr="006A7092">
              <w:rPr>
                <w:rFonts w:cs="Arial"/>
                <w:b/>
                <w:bCs/>
                <w:color w:val="FFFFFF" w:themeColor="background1"/>
                <w:sz w:val="18"/>
                <w:szCs w:val="16"/>
              </w:rPr>
              <w:t>1</w:t>
            </w:r>
            <w:r w:rsidR="00967173">
              <w:rPr>
                <w:rFonts w:cs="Arial"/>
                <w:b/>
                <w:bCs/>
                <w:color w:val="FFFFFF" w:themeColor="background1"/>
                <w:sz w:val="18"/>
                <w:szCs w:val="16"/>
              </w:rPr>
              <w:t>6</w:t>
            </w:r>
          </w:p>
        </w:tc>
        <w:tc>
          <w:tcPr>
            <w:tcW w:w="1559" w:type="dxa"/>
            <w:tcBorders>
              <w:top w:val="single" w:sz="8" w:space="0" w:color="FFFFFF"/>
              <w:bottom w:val="single" w:sz="8" w:space="0" w:color="FFFFFF"/>
            </w:tcBorders>
            <w:shd w:val="clear" w:color="000000" w:fill="808080"/>
            <w:noWrap/>
            <w:vAlign w:val="center"/>
            <w:hideMark/>
          </w:tcPr>
          <w:p w14:paraId="48DAF97C" w14:textId="433A47E9" w:rsidR="000714D9" w:rsidRPr="006A7092" w:rsidRDefault="000714D9" w:rsidP="000714D9">
            <w:pPr>
              <w:spacing w:before="0"/>
              <w:jc w:val="right"/>
              <w:rPr>
                <w:rFonts w:cs="Arial"/>
                <w:b/>
                <w:bCs/>
                <w:color w:val="FFFFFF" w:themeColor="background1"/>
                <w:sz w:val="18"/>
                <w:szCs w:val="18"/>
              </w:rPr>
            </w:pPr>
            <w:r w:rsidRPr="006A7092">
              <w:rPr>
                <w:rFonts w:cs="Arial"/>
                <w:b/>
                <w:bCs/>
                <w:color w:val="FFFFFF" w:themeColor="background1"/>
                <w:sz w:val="18"/>
                <w:szCs w:val="18"/>
              </w:rPr>
              <w:t> </w:t>
            </w:r>
          </w:p>
        </w:tc>
        <w:tc>
          <w:tcPr>
            <w:tcW w:w="1559" w:type="dxa"/>
            <w:tcBorders>
              <w:top w:val="single" w:sz="8" w:space="0" w:color="FFFFFF"/>
              <w:bottom w:val="single" w:sz="8" w:space="0" w:color="FFFFFF"/>
            </w:tcBorders>
            <w:shd w:val="clear" w:color="000000" w:fill="808080"/>
            <w:noWrap/>
            <w:vAlign w:val="center"/>
            <w:hideMark/>
          </w:tcPr>
          <w:p w14:paraId="13A1E5D6" w14:textId="5A345FED" w:rsidR="000714D9" w:rsidRPr="006A7092" w:rsidRDefault="000714D9" w:rsidP="000714D9">
            <w:pPr>
              <w:spacing w:before="0"/>
              <w:jc w:val="right"/>
              <w:rPr>
                <w:rFonts w:cs="Arial"/>
                <w:b/>
                <w:bCs/>
                <w:color w:val="FFFFFF" w:themeColor="background1"/>
                <w:sz w:val="18"/>
                <w:szCs w:val="18"/>
              </w:rPr>
            </w:pPr>
            <w:r w:rsidRPr="006A7092">
              <w:rPr>
                <w:rFonts w:cs="Arial"/>
                <w:b/>
                <w:bCs/>
                <w:color w:val="FFFFFF" w:themeColor="background1"/>
                <w:sz w:val="18"/>
                <w:szCs w:val="18"/>
              </w:rPr>
              <w:t> </w:t>
            </w:r>
          </w:p>
        </w:tc>
        <w:tc>
          <w:tcPr>
            <w:tcW w:w="1559" w:type="dxa"/>
            <w:tcBorders>
              <w:top w:val="single" w:sz="8" w:space="0" w:color="FFFFFF"/>
              <w:bottom w:val="single" w:sz="8" w:space="0" w:color="FFFFFF"/>
            </w:tcBorders>
            <w:shd w:val="clear" w:color="000000" w:fill="808080"/>
            <w:noWrap/>
            <w:vAlign w:val="center"/>
            <w:hideMark/>
          </w:tcPr>
          <w:p w14:paraId="44FB09C6" w14:textId="08A6DF4B" w:rsidR="000714D9" w:rsidRPr="006A7092" w:rsidRDefault="000714D9" w:rsidP="000714D9">
            <w:pPr>
              <w:spacing w:before="0"/>
              <w:jc w:val="right"/>
              <w:rPr>
                <w:rFonts w:cs="Arial"/>
                <w:b/>
                <w:bCs/>
                <w:color w:val="FFFFFF" w:themeColor="background1"/>
                <w:sz w:val="18"/>
                <w:szCs w:val="18"/>
              </w:rPr>
            </w:pPr>
            <w:r w:rsidRPr="006A7092">
              <w:rPr>
                <w:rFonts w:cs="Arial"/>
                <w:b/>
                <w:bCs/>
                <w:color w:val="FFFFFF" w:themeColor="background1"/>
                <w:sz w:val="18"/>
                <w:szCs w:val="18"/>
              </w:rPr>
              <w:t> </w:t>
            </w:r>
          </w:p>
        </w:tc>
        <w:tc>
          <w:tcPr>
            <w:tcW w:w="1560" w:type="dxa"/>
            <w:tcBorders>
              <w:top w:val="nil"/>
              <w:left w:val="nil"/>
              <w:bottom w:val="single" w:sz="8" w:space="0" w:color="FFFFFF"/>
              <w:right w:val="single" w:sz="8" w:space="0" w:color="FFFFFF"/>
            </w:tcBorders>
            <w:shd w:val="clear" w:color="000000" w:fill="808080"/>
            <w:vAlign w:val="center"/>
            <w:hideMark/>
          </w:tcPr>
          <w:p w14:paraId="6DB2D242" w14:textId="5F5C4F4A" w:rsidR="000714D9" w:rsidRPr="006A7092" w:rsidRDefault="000714D9" w:rsidP="000714D9">
            <w:pPr>
              <w:spacing w:before="0"/>
              <w:jc w:val="right"/>
              <w:rPr>
                <w:rFonts w:cs="Arial"/>
                <w:b/>
                <w:bCs/>
                <w:color w:val="FFFFFF" w:themeColor="background1"/>
                <w:sz w:val="18"/>
                <w:szCs w:val="18"/>
              </w:rPr>
            </w:pPr>
            <w:r w:rsidRPr="006A7092">
              <w:rPr>
                <w:rFonts w:cs="Arial"/>
                <w:b/>
                <w:bCs/>
                <w:color w:val="FFFFFF" w:themeColor="background1"/>
                <w:sz w:val="18"/>
                <w:szCs w:val="18"/>
              </w:rPr>
              <w:t> </w:t>
            </w:r>
          </w:p>
        </w:tc>
      </w:tr>
      <w:tr w:rsidR="00967173" w:rsidRPr="006A7092" w14:paraId="51D5D39F" w14:textId="512CD290"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2C658FC4" w14:textId="512B8B1D" w:rsidR="00967173" w:rsidRPr="00967173" w:rsidRDefault="00967173" w:rsidP="00967173">
            <w:pPr>
              <w:spacing w:before="0"/>
              <w:jc w:val="left"/>
              <w:rPr>
                <w:rFonts w:cs="Arial"/>
                <w:color w:val="000000"/>
                <w:sz w:val="18"/>
                <w:szCs w:val="16"/>
              </w:rPr>
            </w:pPr>
            <w:r w:rsidRPr="00967173">
              <w:rPr>
                <w:rFonts w:cs="Arial"/>
                <w:color w:val="000000"/>
                <w:sz w:val="18"/>
                <w:szCs w:val="16"/>
              </w:rPr>
              <w:t>New South Wales</w:t>
            </w:r>
          </w:p>
        </w:tc>
        <w:tc>
          <w:tcPr>
            <w:tcW w:w="1559" w:type="dxa"/>
            <w:tcBorders>
              <w:top w:val="nil"/>
              <w:left w:val="nil"/>
              <w:bottom w:val="single" w:sz="8" w:space="0" w:color="FFFFFF"/>
              <w:right w:val="single" w:sz="8" w:space="0" w:color="FFFFFF"/>
            </w:tcBorders>
            <w:shd w:val="clear" w:color="auto" w:fill="EFD3D2"/>
            <w:noWrap/>
            <w:vAlign w:val="center"/>
            <w:hideMark/>
          </w:tcPr>
          <w:p w14:paraId="4F492D77" w14:textId="13000846"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22.8</w:t>
            </w:r>
          </w:p>
        </w:tc>
        <w:tc>
          <w:tcPr>
            <w:tcW w:w="1559" w:type="dxa"/>
            <w:tcBorders>
              <w:top w:val="nil"/>
              <w:left w:val="nil"/>
              <w:bottom w:val="single" w:sz="8" w:space="0" w:color="FFFFFF"/>
              <w:right w:val="single" w:sz="8" w:space="0" w:color="FFFFFF"/>
            </w:tcBorders>
            <w:shd w:val="clear" w:color="auto" w:fill="EFD3D2"/>
            <w:noWrap/>
            <w:vAlign w:val="center"/>
            <w:hideMark/>
          </w:tcPr>
          <w:p w14:paraId="45621F99" w14:textId="4FF767EE"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53.5</w:t>
            </w:r>
          </w:p>
        </w:tc>
        <w:tc>
          <w:tcPr>
            <w:tcW w:w="1559" w:type="dxa"/>
            <w:tcBorders>
              <w:top w:val="nil"/>
              <w:left w:val="nil"/>
              <w:bottom w:val="single" w:sz="8" w:space="0" w:color="FFFFFF"/>
              <w:right w:val="single" w:sz="8" w:space="0" w:color="FFFFFF"/>
            </w:tcBorders>
            <w:shd w:val="clear" w:color="auto" w:fill="EFD3D2"/>
            <w:noWrap/>
            <w:vAlign w:val="center"/>
            <w:hideMark/>
          </w:tcPr>
          <w:p w14:paraId="6063039A" w14:textId="7AF12ABF"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81.9</w:t>
            </w:r>
          </w:p>
        </w:tc>
        <w:tc>
          <w:tcPr>
            <w:tcW w:w="1560" w:type="dxa"/>
            <w:tcBorders>
              <w:top w:val="nil"/>
              <w:left w:val="nil"/>
              <w:bottom w:val="single" w:sz="8" w:space="0" w:color="FFFFFF"/>
              <w:right w:val="single" w:sz="8" w:space="0" w:color="FFFFFF"/>
            </w:tcBorders>
            <w:shd w:val="clear" w:color="auto" w:fill="EFD3D2"/>
            <w:vAlign w:val="center"/>
            <w:hideMark/>
          </w:tcPr>
          <w:p w14:paraId="518E0EAD" w14:textId="0CD136B7"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90.2</w:t>
            </w:r>
          </w:p>
        </w:tc>
      </w:tr>
      <w:tr w:rsidR="00967173" w:rsidRPr="006A7092" w14:paraId="15EC2CA3" w14:textId="38F4700F"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13244D43" w14:textId="12A2532C" w:rsidR="00967173" w:rsidRPr="00967173" w:rsidRDefault="00967173" w:rsidP="00967173">
            <w:pPr>
              <w:spacing w:before="0"/>
              <w:jc w:val="left"/>
              <w:rPr>
                <w:rFonts w:cs="Arial"/>
                <w:color w:val="000000"/>
                <w:sz w:val="18"/>
                <w:szCs w:val="16"/>
              </w:rPr>
            </w:pPr>
            <w:r w:rsidRPr="00967173">
              <w:rPr>
                <w:rFonts w:cs="Arial"/>
                <w:color w:val="000000"/>
                <w:sz w:val="18"/>
                <w:szCs w:val="16"/>
              </w:rPr>
              <w:t>Victoria</w:t>
            </w:r>
          </w:p>
        </w:tc>
        <w:tc>
          <w:tcPr>
            <w:tcW w:w="1559" w:type="dxa"/>
            <w:tcBorders>
              <w:top w:val="nil"/>
              <w:left w:val="nil"/>
              <w:bottom w:val="single" w:sz="8" w:space="0" w:color="FFFFFF"/>
              <w:right w:val="single" w:sz="8" w:space="0" w:color="FFFFFF"/>
            </w:tcBorders>
            <w:shd w:val="clear" w:color="auto" w:fill="auto"/>
            <w:noWrap/>
            <w:vAlign w:val="center"/>
            <w:hideMark/>
          </w:tcPr>
          <w:p w14:paraId="72B4B64A" w14:textId="36305131"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14.8</w:t>
            </w:r>
          </w:p>
        </w:tc>
        <w:tc>
          <w:tcPr>
            <w:tcW w:w="1559" w:type="dxa"/>
            <w:tcBorders>
              <w:top w:val="nil"/>
              <w:left w:val="nil"/>
              <w:bottom w:val="single" w:sz="8" w:space="0" w:color="FFFFFF"/>
              <w:right w:val="single" w:sz="8" w:space="0" w:color="FFFFFF"/>
            </w:tcBorders>
            <w:shd w:val="clear" w:color="auto" w:fill="auto"/>
            <w:noWrap/>
            <w:vAlign w:val="center"/>
            <w:hideMark/>
          </w:tcPr>
          <w:p w14:paraId="19C22281" w14:textId="1721CF64"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66.5</w:t>
            </w:r>
          </w:p>
        </w:tc>
        <w:tc>
          <w:tcPr>
            <w:tcW w:w="1559" w:type="dxa"/>
            <w:tcBorders>
              <w:top w:val="nil"/>
              <w:left w:val="nil"/>
              <w:bottom w:val="single" w:sz="8" w:space="0" w:color="FFFFFF"/>
              <w:right w:val="single" w:sz="8" w:space="0" w:color="FFFFFF"/>
            </w:tcBorders>
            <w:shd w:val="clear" w:color="auto" w:fill="auto"/>
            <w:noWrap/>
            <w:vAlign w:val="center"/>
            <w:hideMark/>
          </w:tcPr>
          <w:p w14:paraId="47B27ED0" w14:textId="230B2E0F"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84.0</w:t>
            </w:r>
          </w:p>
        </w:tc>
        <w:tc>
          <w:tcPr>
            <w:tcW w:w="1560" w:type="dxa"/>
            <w:tcBorders>
              <w:top w:val="nil"/>
              <w:left w:val="nil"/>
              <w:bottom w:val="single" w:sz="8" w:space="0" w:color="FFFFFF"/>
              <w:right w:val="single" w:sz="8" w:space="0" w:color="FFFFFF"/>
            </w:tcBorders>
            <w:shd w:val="clear" w:color="auto" w:fill="auto"/>
            <w:vAlign w:val="center"/>
            <w:hideMark/>
          </w:tcPr>
          <w:p w14:paraId="25B7C423" w14:textId="4052863C"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92.4</w:t>
            </w:r>
          </w:p>
        </w:tc>
      </w:tr>
      <w:tr w:rsidR="00967173" w:rsidRPr="006A7092" w14:paraId="6B582050" w14:textId="031668E9"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20792C5A" w14:textId="68E0B057" w:rsidR="00967173" w:rsidRPr="00967173" w:rsidRDefault="00967173" w:rsidP="00967173">
            <w:pPr>
              <w:spacing w:before="0"/>
              <w:jc w:val="left"/>
              <w:rPr>
                <w:rFonts w:cs="Arial"/>
                <w:color w:val="000000"/>
                <w:sz w:val="18"/>
                <w:szCs w:val="16"/>
              </w:rPr>
            </w:pPr>
            <w:r w:rsidRPr="00967173">
              <w:rPr>
                <w:rFonts w:cs="Arial"/>
                <w:color w:val="000000"/>
                <w:sz w:val="18"/>
                <w:szCs w:val="16"/>
              </w:rPr>
              <w:t>Queensland</w:t>
            </w:r>
          </w:p>
        </w:tc>
        <w:tc>
          <w:tcPr>
            <w:tcW w:w="1559" w:type="dxa"/>
            <w:tcBorders>
              <w:top w:val="nil"/>
              <w:left w:val="nil"/>
              <w:bottom w:val="single" w:sz="8" w:space="0" w:color="FFFFFF"/>
              <w:right w:val="single" w:sz="8" w:space="0" w:color="FFFFFF"/>
            </w:tcBorders>
            <w:shd w:val="clear" w:color="auto" w:fill="EFD3D2"/>
            <w:noWrap/>
            <w:vAlign w:val="center"/>
            <w:hideMark/>
          </w:tcPr>
          <w:p w14:paraId="63A748F1" w14:textId="5AA7B380"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9.2</w:t>
            </w:r>
          </w:p>
        </w:tc>
        <w:tc>
          <w:tcPr>
            <w:tcW w:w="1559" w:type="dxa"/>
            <w:tcBorders>
              <w:top w:val="nil"/>
              <w:left w:val="nil"/>
              <w:bottom w:val="single" w:sz="8" w:space="0" w:color="FFFFFF"/>
              <w:right w:val="single" w:sz="8" w:space="0" w:color="FFFFFF"/>
            </w:tcBorders>
            <w:shd w:val="clear" w:color="auto" w:fill="EFD3D2"/>
            <w:noWrap/>
            <w:vAlign w:val="center"/>
            <w:hideMark/>
          </w:tcPr>
          <w:p w14:paraId="23A633FF" w14:textId="429F58AE"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86.5</w:t>
            </w:r>
          </w:p>
        </w:tc>
        <w:tc>
          <w:tcPr>
            <w:tcW w:w="1559" w:type="dxa"/>
            <w:tcBorders>
              <w:top w:val="nil"/>
              <w:left w:val="nil"/>
              <w:bottom w:val="single" w:sz="8" w:space="0" w:color="FFFFFF"/>
              <w:right w:val="single" w:sz="8" w:space="0" w:color="FFFFFF"/>
            </w:tcBorders>
            <w:shd w:val="clear" w:color="auto" w:fill="EFD3D2"/>
            <w:noWrap/>
            <w:vAlign w:val="center"/>
            <w:hideMark/>
          </w:tcPr>
          <w:p w14:paraId="3A258D70" w14:textId="5ABFB208"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95.7</w:t>
            </w:r>
          </w:p>
        </w:tc>
        <w:tc>
          <w:tcPr>
            <w:tcW w:w="1560" w:type="dxa"/>
            <w:tcBorders>
              <w:top w:val="nil"/>
              <w:left w:val="nil"/>
              <w:bottom w:val="single" w:sz="8" w:space="0" w:color="FFFFFF"/>
              <w:right w:val="single" w:sz="8" w:space="0" w:color="FFFFFF"/>
            </w:tcBorders>
            <w:shd w:val="clear" w:color="auto" w:fill="EFD3D2"/>
            <w:vAlign w:val="center"/>
            <w:hideMark/>
          </w:tcPr>
          <w:p w14:paraId="4DAFC652" w14:textId="1B180221"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97.5</w:t>
            </w:r>
          </w:p>
        </w:tc>
      </w:tr>
      <w:tr w:rsidR="00967173" w:rsidRPr="006A7092" w14:paraId="73895DFA" w14:textId="6C081E9B"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2EDC85D0" w14:textId="1A517A89" w:rsidR="00967173" w:rsidRPr="00967173" w:rsidRDefault="00967173" w:rsidP="00967173">
            <w:pPr>
              <w:spacing w:before="0"/>
              <w:jc w:val="left"/>
              <w:rPr>
                <w:rFonts w:cs="Arial"/>
                <w:color w:val="000000"/>
                <w:sz w:val="18"/>
                <w:szCs w:val="16"/>
              </w:rPr>
            </w:pPr>
            <w:r w:rsidRPr="00967173">
              <w:rPr>
                <w:rFonts w:cs="Arial"/>
                <w:color w:val="000000"/>
                <w:sz w:val="18"/>
                <w:szCs w:val="16"/>
              </w:rPr>
              <w:t>Western Australia</w:t>
            </w:r>
          </w:p>
        </w:tc>
        <w:tc>
          <w:tcPr>
            <w:tcW w:w="1559" w:type="dxa"/>
            <w:tcBorders>
              <w:top w:val="nil"/>
              <w:left w:val="nil"/>
              <w:bottom w:val="single" w:sz="8" w:space="0" w:color="FFFFFF"/>
              <w:right w:val="single" w:sz="8" w:space="0" w:color="FFFFFF"/>
            </w:tcBorders>
            <w:shd w:val="clear" w:color="auto" w:fill="auto"/>
            <w:noWrap/>
            <w:vAlign w:val="center"/>
            <w:hideMark/>
          </w:tcPr>
          <w:p w14:paraId="5D065401" w14:textId="3EFD98A4"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41.5</w:t>
            </w:r>
          </w:p>
        </w:tc>
        <w:tc>
          <w:tcPr>
            <w:tcW w:w="1559" w:type="dxa"/>
            <w:tcBorders>
              <w:top w:val="nil"/>
              <w:left w:val="nil"/>
              <w:bottom w:val="single" w:sz="8" w:space="0" w:color="FFFFFF"/>
              <w:right w:val="single" w:sz="8" w:space="0" w:color="FFFFFF"/>
            </w:tcBorders>
            <w:shd w:val="clear" w:color="auto" w:fill="auto"/>
            <w:noWrap/>
            <w:vAlign w:val="center"/>
            <w:hideMark/>
          </w:tcPr>
          <w:p w14:paraId="56D1833A" w14:textId="1C20CC94"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77.8</w:t>
            </w:r>
          </w:p>
        </w:tc>
        <w:tc>
          <w:tcPr>
            <w:tcW w:w="1559" w:type="dxa"/>
            <w:tcBorders>
              <w:top w:val="nil"/>
              <w:left w:val="nil"/>
              <w:bottom w:val="single" w:sz="8" w:space="0" w:color="FFFFFF"/>
              <w:right w:val="single" w:sz="8" w:space="0" w:color="FFFFFF"/>
            </w:tcBorders>
            <w:shd w:val="clear" w:color="auto" w:fill="auto"/>
            <w:noWrap/>
            <w:vAlign w:val="center"/>
            <w:hideMark/>
          </w:tcPr>
          <w:p w14:paraId="3EA4323E" w14:textId="29638D12"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86.6</w:t>
            </w:r>
          </w:p>
        </w:tc>
        <w:tc>
          <w:tcPr>
            <w:tcW w:w="1560" w:type="dxa"/>
            <w:tcBorders>
              <w:top w:val="nil"/>
              <w:left w:val="nil"/>
              <w:bottom w:val="single" w:sz="8" w:space="0" w:color="FFFFFF"/>
              <w:right w:val="single" w:sz="8" w:space="0" w:color="FFFFFF"/>
            </w:tcBorders>
            <w:shd w:val="clear" w:color="auto" w:fill="auto"/>
            <w:vAlign w:val="center"/>
            <w:hideMark/>
          </w:tcPr>
          <w:p w14:paraId="3C285D20" w14:textId="6C2895CF"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93.5</w:t>
            </w:r>
          </w:p>
        </w:tc>
      </w:tr>
      <w:tr w:rsidR="00967173" w:rsidRPr="006A7092" w14:paraId="0ED1C8B9" w14:textId="76AAD7DF"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77E7395A" w14:textId="09D59A11" w:rsidR="00967173" w:rsidRPr="00967173" w:rsidRDefault="00967173" w:rsidP="00967173">
            <w:pPr>
              <w:spacing w:before="0"/>
              <w:jc w:val="left"/>
              <w:rPr>
                <w:rFonts w:cs="Arial"/>
                <w:color w:val="000000"/>
                <w:sz w:val="18"/>
                <w:szCs w:val="16"/>
              </w:rPr>
            </w:pPr>
            <w:r w:rsidRPr="00967173">
              <w:rPr>
                <w:rFonts w:cs="Arial"/>
                <w:color w:val="000000"/>
                <w:sz w:val="18"/>
                <w:szCs w:val="16"/>
              </w:rPr>
              <w:t>Tasmania</w:t>
            </w:r>
          </w:p>
        </w:tc>
        <w:tc>
          <w:tcPr>
            <w:tcW w:w="1559" w:type="dxa"/>
            <w:tcBorders>
              <w:top w:val="nil"/>
              <w:left w:val="nil"/>
              <w:bottom w:val="single" w:sz="8" w:space="0" w:color="FFFFFF"/>
              <w:right w:val="single" w:sz="8" w:space="0" w:color="FFFFFF"/>
            </w:tcBorders>
            <w:shd w:val="clear" w:color="auto" w:fill="EFD3D2"/>
            <w:noWrap/>
            <w:vAlign w:val="center"/>
            <w:hideMark/>
          </w:tcPr>
          <w:p w14:paraId="7C902382" w14:textId="030A5582"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60.9</w:t>
            </w:r>
          </w:p>
        </w:tc>
        <w:tc>
          <w:tcPr>
            <w:tcW w:w="1559" w:type="dxa"/>
            <w:tcBorders>
              <w:top w:val="nil"/>
              <w:left w:val="nil"/>
              <w:bottom w:val="single" w:sz="8" w:space="0" w:color="FFFFFF"/>
              <w:right w:val="single" w:sz="8" w:space="0" w:color="FFFFFF"/>
            </w:tcBorders>
            <w:shd w:val="clear" w:color="auto" w:fill="EFD3D2"/>
            <w:noWrap/>
            <w:vAlign w:val="center"/>
            <w:hideMark/>
          </w:tcPr>
          <w:p w14:paraId="40AF2F22" w14:textId="2DEE8285"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70.9</w:t>
            </w:r>
          </w:p>
        </w:tc>
        <w:tc>
          <w:tcPr>
            <w:tcW w:w="1559" w:type="dxa"/>
            <w:tcBorders>
              <w:top w:val="nil"/>
              <w:left w:val="nil"/>
              <w:bottom w:val="single" w:sz="8" w:space="0" w:color="FFFFFF"/>
              <w:right w:val="single" w:sz="8" w:space="0" w:color="FFFFFF"/>
            </w:tcBorders>
            <w:shd w:val="clear" w:color="auto" w:fill="EFD3D2"/>
            <w:noWrap/>
            <w:vAlign w:val="center"/>
            <w:hideMark/>
          </w:tcPr>
          <w:p w14:paraId="1BAFFD67" w14:textId="763A5D99"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80.8</w:t>
            </w:r>
          </w:p>
        </w:tc>
        <w:tc>
          <w:tcPr>
            <w:tcW w:w="1560" w:type="dxa"/>
            <w:tcBorders>
              <w:top w:val="nil"/>
              <w:left w:val="nil"/>
              <w:bottom w:val="single" w:sz="8" w:space="0" w:color="FFFFFF"/>
              <w:right w:val="single" w:sz="8" w:space="0" w:color="FFFFFF"/>
            </w:tcBorders>
            <w:shd w:val="clear" w:color="auto" w:fill="EFD3D2"/>
            <w:vAlign w:val="center"/>
            <w:hideMark/>
          </w:tcPr>
          <w:p w14:paraId="499907EC" w14:textId="1A77880B"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88.3</w:t>
            </w:r>
          </w:p>
        </w:tc>
      </w:tr>
      <w:tr w:rsidR="00967173" w:rsidRPr="006A7092" w14:paraId="336B0545" w14:textId="03D7727F"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210E0879" w14:textId="15417744" w:rsidR="00967173" w:rsidRPr="00967173" w:rsidRDefault="00967173" w:rsidP="00967173">
            <w:pPr>
              <w:spacing w:before="0"/>
              <w:jc w:val="left"/>
              <w:rPr>
                <w:rFonts w:cs="Arial"/>
                <w:color w:val="000000"/>
                <w:sz w:val="18"/>
                <w:szCs w:val="16"/>
              </w:rPr>
            </w:pPr>
            <w:r w:rsidRPr="00967173">
              <w:rPr>
                <w:rFonts w:cs="Arial"/>
                <w:color w:val="000000"/>
                <w:sz w:val="18"/>
                <w:szCs w:val="16"/>
              </w:rPr>
              <w:t>Comcare</w:t>
            </w:r>
          </w:p>
        </w:tc>
        <w:tc>
          <w:tcPr>
            <w:tcW w:w="1559" w:type="dxa"/>
            <w:tcBorders>
              <w:top w:val="nil"/>
              <w:left w:val="nil"/>
              <w:bottom w:val="single" w:sz="8" w:space="0" w:color="FFFFFF"/>
              <w:right w:val="single" w:sz="8" w:space="0" w:color="FFFFFF"/>
            </w:tcBorders>
            <w:shd w:val="clear" w:color="auto" w:fill="auto"/>
            <w:noWrap/>
            <w:vAlign w:val="center"/>
            <w:hideMark/>
          </w:tcPr>
          <w:p w14:paraId="3267C454" w14:textId="2555E6B5"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3.9</w:t>
            </w:r>
          </w:p>
        </w:tc>
        <w:tc>
          <w:tcPr>
            <w:tcW w:w="1559" w:type="dxa"/>
            <w:tcBorders>
              <w:top w:val="nil"/>
              <w:left w:val="nil"/>
              <w:bottom w:val="single" w:sz="8" w:space="0" w:color="FFFFFF"/>
              <w:right w:val="single" w:sz="8" w:space="0" w:color="FFFFFF"/>
            </w:tcBorders>
            <w:shd w:val="clear" w:color="auto" w:fill="auto"/>
            <w:noWrap/>
            <w:vAlign w:val="center"/>
            <w:hideMark/>
          </w:tcPr>
          <w:p w14:paraId="51E39119" w14:textId="376C829D"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14.6</w:t>
            </w:r>
          </w:p>
        </w:tc>
        <w:tc>
          <w:tcPr>
            <w:tcW w:w="1559" w:type="dxa"/>
            <w:tcBorders>
              <w:top w:val="nil"/>
              <w:left w:val="nil"/>
              <w:bottom w:val="single" w:sz="8" w:space="0" w:color="FFFFFF"/>
              <w:right w:val="single" w:sz="8" w:space="0" w:color="FFFFFF"/>
            </w:tcBorders>
            <w:shd w:val="clear" w:color="auto" w:fill="auto"/>
            <w:noWrap/>
            <w:vAlign w:val="center"/>
            <w:hideMark/>
          </w:tcPr>
          <w:p w14:paraId="224249F8" w14:textId="7C558F18"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30.8</w:t>
            </w:r>
          </w:p>
        </w:tc>
        <w:tc>
          <w:tcPr>
            <w:tcW w:w="1560" w:type="dxa"/>
            <w:tcBorders>
              <w:top w:val="nil"/>
              <w:left w:val="nil"/>
              <w:bottom w:val="single" w:sz="8" w:space="0" w:color="FFFFFF"/>
              <w:right w:val="single" w:sz="8" w:space="0" w:color="FFFFFF"/>
            </w:tcBorders>
            <w:shd w:val="clear" w:color="auto" w:fill="auto"/>
            <w:vAlign w:val="center"/>
            <w:hideMark/>
          </w:tcPr>
          <w:p w14:paraId="641C796C" w14:textId="61CCAB60"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46.8</w:t>
            </w:r>
          </w:p>
        </w:tc>
      </w:tr>
      <w:tr w:rsidR="00967173" w:rsidRPr="006A7092" w14:paraId="6B5F36CC" w14:textId="2265B033" w:rsidTr="000714D9">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2BB5E429" w14:textId="4CC86952" w:rsidR="00967173" w:rsidRPr="00967173" w:rsidRDefault="00967173" w:rsidP="00967173">
            <w:pPr>
              <w:spacing w:before="0"/>
              <w:jc w:val="left"/>
              <w:rPr>
                <w:rFonts w:cs="Arial"/>
                <w:color w:val="000000"/>
                <w:sz w:val="18"/>
                <w:szCs w:val="16"/>
              </w:rPr>
            </w:pPr>
            <w:r w:rsidRPr="00967173">
              <w:rPr>
                <w:rFonts w:cs="Arial"/>
                <w:color w:val="000000"/>
                <w:sz w:val="18"/>
                <w:szCs w:val="16"/>
              </w:rPr>
              <w:t>Seacare</w:t>
            </w:r>
          </w:p>
        </w:tc>
        <w:tc>
          <w:tcPr>
            <w:tcW w:w="1559" w:type="dxa"/>
            <w:tcBorders>
              <w:top w:val="nil"/>
              <w:left w:val="nil"/>
              <w:bottom w:val="single" w:sz="8" w:space="0" w:color="FFFFFF"/>
              <w:right w:val="single" w:sz="8" w:space="0" w:color="FFFFFF"/>
            </w:tcBorders>
            <w:shd w:val="clear" w:color="auto" w:fill="EFD3D2"/>
            <w:noWrap/>
            <w:vAlign w:val="center"/>
            <w:hideMark/>
          </w:tcPr>
          <w:p w14:paraId="7BFEC64B" w14:textId="426F7025"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1.6</w:t>
            </w:r>
          </w:p>
        </w:tc>
        <w:tc>
          <w:tcPr>
            <w:tcW w:w="1559" w:type="dxa"/>
            <w:tcBorders>
              <w:top w:val="nil"/>
              <w:left w:val="nil"/>
              <w:bottom w:val="single" w:sz="8" w:space="0" w:color="FFFFFF"/>
              <w:right w:val="single" w:sz="8" w:space="0" w:color="FFFFFF"/>
            </w:tcBorders>
            <w:shd w:val="clear" w:color="auto" w:fill="EFD3D2"/>
            <w:noWrap/>
            <w:vAlign w:val="center"/>
            <w:hideMark/>
          </w:tcPr>
          <w:p w14:paraId="780A1D6F" w14:textId="2C632C47"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14.1</w:t>
            </w:r>
          </w:p>
        </w:tc>
        <w:tc>
          <w:tcPr>
            <w:tcW w:w="1559" w:type="dxa"/>
            <w:tcBorders>
              <w:top w:val="nil"/>
              <w:left w:val="nil"/>
              <w:bottom w:val="single" w:sz="8" w:space="0" w:color="FFFFFF"/>
              <w:right w:val="single" w:sz="8" w:space="0" w:color="FFFFFF"/>
            </w:tcBorders>
            <w:shd w:val="clear" w:color="auto" w:fill="EFD3D2"/>
            <w:noWrap/>
            <w:vAlign w:val="center"/>
            <w:hideMark/>
          </w:tcPr>
          <w:p w14:paraId="371824A2" w14:textId="5033FFF6"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29.7</w:t>
            </w:r>
          </w:p>
        </w:tc>
        <w:tc>
          <w:tcPr>
            <w:tcW w:w="1560" w:type="dxa"/>
            <w:tcBorders>
              <w:top w:val="nil"/>
              <w:left w:val="nil"/>
              <w:bottom w:val="single" w:sz="8" w:space="0" w:color="FFFFFF"/>
              <w:right w:val="single" w:sz="8" w:space="0" w:color="FFFFFF"/>
            </w:tcBorders>
            <w:shd w:val="clear" w:color="auto" w:fill="EFD3D2"/>
            <w:vAlign w:val="center"/>
            <w:hideMark/>
          </w:tcPr>
          <w:p w14:paraId="344237B0" w14:textId="79B7FCAF"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39.1</w:t>
            </w:r>
          </w:p>
        </w:tc>
      </w:tr>
      <w:tr w:rsidR="00967173" w:rsidRPr="006A7092" w14:paraId="0437DB18" w14:textId="74D6B605" w:rsidTr="000714D9">
        <w:trPr>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3EC62479" w14:textId="5E05807A" w:rsidR="00967173" w:rsidRPr="00967173" w:rsidRDefault="00967173" w:rsidP="00967173">
            <w:pPr>
              <w:spacing w:before="0"/>
              <w:jc w:val="left"/>
              <w:rPr>
                <w:rFonts w:cs="Arial"/>
                <w:b/>
                <w:bCs/>
                <w:color w:val="000000"/>
                <w:sz w:val="18"/>
                <w:szCs w:val="16"/>
              </w:rPr>
            </w:pPr>
            <w:r w:rsidRPr="00967173">
              <w:rPr>
                <w:rFonts w:cs="Arial"/>
                <w:b/>
                <w:bCs/>
                <w:color w:val="000000"/>
                <w:sz w:val="18"/>
                <w:szCs w:val="16"/>
              </w:rPr>
              <w:t>Australia</w:t>
            </w:r>
          </w:p>
        </w:tc>
        <w:tc>
          <w:tcPr>
            <w:tcW w:w="1559" w:type="dxa"/>
            <w:tcBorders>
              <w:top w:val="nil"/>
              <w:left w:val="nil"/>
              <w:bottom w:val="single" w:sz="8" w:space="0" w:color="FFFFFF"/>
              <w:right w:val="single" w:sz="8" w:space="0" w:color="FFFFFF"/>
            </w:tcBorders>
            <w:shd w:val="clear" w:color="auto" w:fill="auto"/>
            <w:noWrap/>
            <w:vAlign w:val="center"/>
            <w:hideMark/>
          </w:tcPr>
          <w:p w14:paraId="5272133E" w14:textId="7AB7DD17" w:rsidR="00967173" w:rsidRPr="00967173" w:rsidRDefault="00967173" w:rsidP="00967173">
            <w:pPr>
              <w:spacing w:before="0"/>
              <w:jc w:val="right"/>
              <w:rPr>
                <w:rFonts w:cs="Arial"/>
                <w:b/>
                <w:bCs/>
                <w:color w:val="000000"/>
                <w:sz w:val="18"/>
                <w:szCs w:val="16"/>
              </w:rPr>
            </w:pPr>
            <w:r w:rsidRPr="00967173">
              <w:rPr>
                <w:rFonts w:cs="Arial"/>
                <w:b/>
                <w:bCs/>
                <w:color w:val="000000"/>
                <w:sz w:val="18"/>
                <w:szCs w:val="16"/>
              </w:rPr>
              <w:t xml:space="preserve">  19.7</w:t>
            </w:r>
          </w:p>
        </w:tc>
        <w:tc>
          <w:tcPr>
            <w:tcW w:w="1559" w:type="dxa"/>
            <w:tcBorders>
              <w:top w:val="nil"/>
              <w:left w:val="nil"/>
              <w:bottom w:val="single" w:sz="8" w:space="0" w:color="FFFFFF"/>
              <w:right w:val="single" w:sz="8" w:space="0" w:color="FFFFFF"/>
            </w:tcBorders>
            <w:shd w:val="clear" w:color="auto" w:fill="auto"/>
            <w:noWrap/>
            <w:vAlign w:val="center"/>
            <w:hideMark/>
          </w:tcPr>
          <w:p w14:paraId="7D5910D4" w14:textId="5DE61F2D" w:rsidR="00967173" w:rsidRPr="00967173" w:rsidRDefault="00967173" w:rsidP="00967173">
            <w:pPr>
              <w:spacing w:before="0"/>
              <w:jc w:val="right"/>
              <w:rPr>
                <w:rFonts w:cs="Arial"/>
                <w:b/>
                <w:bCs/>
                <w:color w:val="000000"/>
                <w:sz w:val="18"/>
                <w:szCs w:val="16"/>
              </w:rPr>
            </w:pPr>
            <w:r w:rsidRPr="00967173">
              <w:rPr>
                <w:rFonts w:cs="Arial"/>
                <w:b/>
                <w:bCs/>
                <w:color w:val="000000"/>
                <w:sz w:val="18"/>
                <w:szCs w:val="16"/>
              </w:rPr>
              <w:t xml:space="preserve">  63.4</w:t>
            </w:r>
          </w:p>
        </w:tc>
        <w:tc>
          <w:tcPr>
            <w:tcW w:w="1559" w:type="dxa"/>
            <w:tcBorders>
              <w:top w:val="nil"/>
              <w:left w:val="nil"/>
              <w:bottom w:val="single" w:sz="8" w:space="0" w:color="FFFFFF"/>
              <w:right w:val="single" w:sz="8" w:space="0" w:color="FFFFFF"/>
            </w:tcBorders>
            <w:shd w:val="clear" w:color="auto" w:fill="auto"/>
            <w:noWrap/>
            <w:vAlign w:val="center"/>
            <w:hideMark/>
          </w:tcPr>
          <w:p w14:paraId="5CE79704" w14:textId="1AF17F7D" w:rsidR="00967173" w:rsidRPr="00967173" w:rsidRDefault="00967173" w:rsidP="00967173">
            <w:pPr>
              <w:spacing w:before="0"/>
              <w:jc w:val="right"/>
              <w:rPr>
                <w:rFonts w:cs="Arial"/>
                <w:b/>
                <w:bCs/>
                <w:color w:val="000000"/>
                <w:sz w:val="18"/>
                <w:szCs w:val="16"/>
              </w:rPr>
            </w:pPr>
            <w:r w:rsidRPr="00967173">
              <w:rPr>
                <w:rFonts w:cs="Arial"/>
                <w:b/>
                <w:bCs/>
                <w:color w:val="000000"/>
                <w:sz w:val="18"/>
                <w:szCs w:val="16"/>
              </w:rPr>
              <w:t xml:space="preserve">  81.9</w:t>
            </w:r>
          </w:p>
        </w:tc>
        <w:tc>
          <w:tcPr>
            <w:tcW w:w="1560" w:type="dxa"/>
            <w:tcBorders>
              <w:top w:val="nil"/>
              <w:left w:val="nil"/>
              <w:bottom w:val="single" w:sz="8" w:space="0" w:color="FFFFFF"/>
              <w:right w:val="single" w:sz="8" w:space="0" w:color="FFFFFF"/>
            </w:tcBorders>
            <w:shd w:val="clear" w:color="auto" w:fill="auto"/>
            <w:vAlign w:val="center"/>
            <w:hideMark/>
          </w:tcPr>
          <w:p w14:paraId="3B9953FD" w14:textId="564A20BC" w:rsidR="00967173" w:rsidRPr="00967173" w:rsidRDefault="00967173" w:rsidP="00967173">
            <w:pPr>
              <w:spacing w:before="0"/>
              <w:jc w:val="right"/>
              <w:rPr>
                <w:rFonts w:cs="Arial"/>
                <w:b/>
                <w:bCs/>
                <w:color w:val="000000"/>
                <w:sz w:val="18"/>
                <w:szCs w:val="16"/>
              </w:rPr>
            </w:pPr>
            <w:r w:rsidRPr="00967173">
              <w:rPr>
                <w:rFonts w:cs="Arial"/>
                <w:b/>
                <w:bCs/>
                <w:color w:val="000000"/>
                <w:sz w:val="18"/>
                <w:szCs w:val="16"/>
              </w:rPr>
              <w:t xml:space="preserve">  89.5</w:t>
            </w:r>
          </w:p>
        </w:tc>
      </w:tr>
      <w:tr w:rsidR="00967173" w:rsidRPr="006A7092" w14:paraId="7DD414B6" w14:textId="157E6E96" w:rsidTr="000714D9">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6DDCD473" w14:textId="00718654" w:rsidR="00967173" w:rsidRPr="00967173" w:rsidRDefault="00967173" w:rsidP="00967173">
            <w:pPr>
              <w:spacing w:before="0"/>
              <w:jc w:val="left"/>
              <w:rPr>
                <w:rFonts w:cs="Arial"/>
                <w:color w:val="000000"/>
                <w:sz w:val="18"/>
                <w:szCs w:val="16"/>
              </w:rPr>
            </w:pPr>
            <w:r w:rsidRPr="00967173">
              <w:rPr>
                <w:rFonts w:cs="Arial"/>
                <w:color w:val="000000"/>
                <w:sz w:val="18"/>
                <w:szCs w:val="16"/>
              </w:rPr>
              <w:t>New Zealand</w:t>
            </w:r>
          </w:p>
        </w:tc>
        <w:tc>
          <w:tcPr>
            <w:tcW w:w="1559" w:type="dxa"/>
            <w:tcBorders>
              <w:top w:val="nil"/>
              <w:left w:val="nil"/>
              <w:bottom w:val="single" w:sz="8" w:space="0" w:color="FFFFFF"/>
              <w:right w:val="single" w:sz="8" w:space="0" w:color="FFFFFF"/>
            </w:tcBorders>
            <w:shd w:val="clear" w:color="auto" w:fill="EFD3D2"/>
            <w:noWrap/>
            <w:vAlign w:val="center"/>
            <w:hideMark/>
          </w:tcPr>
          <w:p w14:paraId="4BCF2A7A" w14:textId="580C1427"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16.5</w:t>
            </w:r>
          </w:p>
        </w:tc>
        <w:tc>
          <w:tcPr>
            <w:tcW w:w="1559" w:type="dxa"/>
            <w:tcBorders>
              <w:top w:val="nil"/>
              <w:left w:val="nil"/>
              <w:bottom w:val="single" w:sz="8" w:space="0" w:color="FFFFFF"/>
              <w:right w:val="single" w:sz="8" w:space="0" w:color="FFFFFF"/>
            </w:tcBorders>
            <w:shd w:val="clear" w:color="auto" w:fill="EFD3D2"/>
            <w:noWrap/>
            <w:vAlign w:val="center"/>
            <w:hideMark/>
          </w:tcPr>
          <w:p w14:paraId="659D56F8" w14:textId="2F6B0D89"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62.2</w:t>
            </w:r>
          </w:p>
        </w:tc>
        <w:tc>
          <w:tcPr>
            <w:tcW w:w="1559" w:type="dxa"/>
            <w:tcBorders>
              <w:top w:val="nil"/>
              <w:left w:val="nil"/>
              <w:bottom w:val="single" w:sz="8" w:space="0" w:color="FFFFFF"/>
              <w:right w:val="single" w:sz="8" w:space="0" w:color="FFFFFF"/>
            </w:tcBorders>
            <w:shd w:val="clear" w:color="auto" w:fill="EFD3D2"/>
            <w:noWrap/>
            <w:vAlign w:val="center"/>
            <w:hideMark/>
          </w:tcPr>
          <w:p w14:paraId="601E6153" w14:textId="614524DC"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89.7</w:t>
            </w:r>
          </w:p>
        </w:tc>
        <w:tc>
          <w:tcPr>
            <w:tcW w:w="1560" w:type="dxa"/>
            <w:tcBorders>
              <w:top w:val="nil"/>
              <w:left w:val="nil"/>
              <w:bottom w:val="single" w:sz="8" w:space="0" w:color="FFFFFF"/>
              <w:right w:val="single" w:sz="8" w:space="0" w:color="FFFFFF"/>
            </w:tcBorders>
            <w:shd w:val="clear" w:color="auto" w:fill="EFD3D2"/>
            <w:vAlign w:val="center"/>
            <w:hideMark/>
          </w:tcPr>
          <w:p w14:paraId="0888A950" w14:textId="11195FD7" w:rsidR="00967173" w:rsidRPr="00967173" w:rsidRDefault="00967173" w:rsidP="00967173">
            <w:pPr>
              <w:spacing w:before="0"/>
              <w:jc w:val="right"/>
              <w:rPr>
                <w:rFonts w:cs="Arial"/>
                <w:color w:val="000000"/>
                <w:sz w:val="18"/>
                <w:szCs w:val="16"/>
              </w:rPr>
            </w:pPr>
            <w:r w:rsidRPr="00967173">
              <w:rPr>
                <w:rFonts w:cs="Arial"/>
                <w:color w:val="000000"/>
                <w:sz w:val="18"/>
                <w:szCs w:val="16"/>
              </w:rPr>
              <w:t xml:space="preserve">  96.0</w:t>
            </w:r>
          </w:p>
        </w:tc>
      </w:tr>
      <w:tr w:rsidR="000714D9" w:rsidRPr="006A7092" w14:paraId="2C77D865" w14:textId="69A36C02" w:rsidTr="000714D9">
        <w:trPr>
          <w:cantSplit/>
          <w:trHeight w:val="340"/>
        </w:trPr>
        <w:tc>
          <w:tcPr>
            <w:tcW w:w="3134" w:type="dxa"/>
            <w:tcBorders>
              <w:top w:val="nil"/>
              <w:left w:val="single" w:sz="8" w:space="0" w:color="FFFFFF"/>
              <w:bottom w:val="single" w:sz="8" w:space="0" w:color="FFFFFF"/>
            </w:tcBorders>
            <w:shd w:val="clear" w:color="000000" w:fill="808080"/>
            <w:noWrap/>
            <w:vAlign w:val="center"/>
            <w:hideMark/>
          </w:tcPr>
          <w:p w14:paraId="4C2B823A" w14:textId="202A8958" w:rsidR="000714D9" w:rsidRPr="00681482" w:rsidRDefault="000714D9" w:rsidP="000714D9">
            <w:pPr>
              <w:spacing w:before="0"/>
              <w:jc w:val="left"/>
              <w:rPr>
                <w:rFonts w:cs="Arial"/>
                <w:b/>
                <w:bCs/>
                <w:color w:val="FFFFFF" w:themeColor="background1"/>
                <w:sz w:val="18"/>
                <w:szCs w:val="18"/>
              </w:rPr>
            </w:pPr>
            <w:r w:rsidRPr="00681482">
              <w:rPr>
                <w:rFonts w:cs="Arial"/>
                <w:b/>
                <w:bCs/>
                <w:color w:val="FFFFFF" w:themeColor="background1"/>
                <w:sz w:val="18"/>
                <w:szCs w:val="18"/>
              </w:rPr>
              <w:t>2019</w:t>
            </w:r>
            <w:r w:rsidR="00967173" w:rsidRPr="00681482">
              <w:rPr>
                <w:rFonts w:cs="Arial"/>
                <w:b/>
                <w:bCs/>
                <w:color w:val="FFFFFF" w:themeColor="background1"/>
                <w:sz w:val="18"/>
                <w:szCs w:val="18"/>
              </w:rPr>
              <w:t>–20</w:t>
            </w:r>
            <w:r w:rsidRPr="00681482">
              <w:rPr>
                <w:rFonts w:cs="Arial"/>
                <w:b/>
                <w:bCs/>
                <w:color w:val="FFFFFF" w:themeColor="background1"/>
                <w:sz w:val="18"/>
                <w:szCs w:val="18"/>
              </w:rPr>
              <w:tab/>
            </w:r>
            <w:r w:rsidRPr="00681482">
              <w:rPr>
                <w:rFonts w:cs="Arial"/>
                <w:b/>
                <w:bCs/>
                <w:color w:val="FFFFFF" w:themeColor="background1"/>
                <w:sz w:val="18"/>
                <w:szCs w:val="18"/>
              </w:rPr>
              <w:tab/>
            </w:r>
          </w:p>
        </w:tc>
        <w:tc>
          <w:tcPr>
            <w:tcW w:w="1559" w:type="dxa"/>
            <w:tcBorders>
              <w:top w:val="single" w:sz="8" w:space="0" w:color="FFFFFF"/>
              <w:bottom w:val="single" w:sz="8" w:space="0" w:color="FFFFFF"/>
            </w:tcBorders>
            <w:shd w:val="clear" w:color="000000" w:fill="808080"/>
            <w:noWrap/>
            <w:vAlign w:val="center"/>
            <w:hideMark/>
          </w:tcPr>
          <w:p w14:paraId="3C2FCB81" w14:textId="2E6DE4CC" w:rsidR="000714D9" w:rsidRPr="00681482" w:rsidRDefault="000714D9" w:rsidP="000714D9">
            <w:pPr>
              <w:spacing w:before="0"/>
              <w:jc w:val="right"/>
              <w:rPr>
                <w:rFonts w:cs="Arial"/>
                <w:b/>
                <w:bCs/>
                <w:color w:val="FFFFFF" w:themeColor="background1"/>
                <w:sz w:val="18"/>
                <w:szCs w:val="18"/>
              </w:rPr>
            </w:pPr>
            <w:r w:rsidRPr="00681482">
              <w:rPr>
                <w:rFonts w:cs="Arial"/>
                <w:b/>
                <w:bCs/>
                <w:color w:val="FFFFFF" w:themeColor="background1"/>
                <w:sz w:val="18"/>
                <w:szCs w:val="18"/>
              </w:rPr>
              <w:t> </w:t>
            </w:r>
          </w:p>
        </w:tc>
        <w:tc>
          <w:tcPr>
            <w:tcW w:w="1559" w:type="dxa"/>
            <w:tcBorders>
              <w:top w:val="single" w:sz="8" w:space="0" w:color="FFFFFF"/>
              <w:bottom w:val="single" w:sz="8" w:space="0" w:color="FFFFFF"/>
            </w:tcBorders>
            <w:shd w:val="clear" w:color="000000" w:fill="808080"/>
            <w:noWrap/>
            <w:vAlign w:val="center"/>
            <w:hideMark/>
          </w:tcPr>
          <w:p w14:paraId="109EE4F0" w14:textId="1CA90822" w:rsidR="000714D9" w:rsidRPr="00681482" w:rsidRDefault="000714D9" w:rsidP="000714D9">
            <w:pPr>
              <w:spacing w:before="0"/>
              <w:jc w:val="right"/>
              <w:rPr>
                <w:rFonts w:cs="Arial"/>
                <w:b/>
                <w:bCs/>
                <w:color w:val="FFFFFF" w:themeColor="background1"/>
                <w:sz w:val="18"/>
                <w:szCs w:val="18"/>
              </w:rPr>
            </w:pPr>
            <w:r w:rsidRPr="00681482">
              <w:rPr>
                <w:rFonts w:cs="Arial"/>
                <w:b/>
                <w:bCs/>
                <w:color w:val="FFFFFF" w:themeColor="background1"/>
                <w:sz w:val="18"/>
                <w:szCs w:val="18"/>
              </w:rPr>
              <w:t> </w:t>
            </w:r>
          </w:p>
        </w:tc>
        <w:tc>
          <w:tcPr>
            <w:tcW w:w="1559" w:type="dxa"/>
            <w:tcBorders>
              <w:top w:val="single" w:sz="8" w:space="0" w:color="FFFFFF"/>
              <w:bottom w:val="single" w:sz="8" w:space="0" w:color="FFFFFF"/>
            </w:tcBorders>
            <w:shd w:val="clear" w:color="000000" w:fill="808080"/>
            <w:noWrap/>
            <w:vAlign w:val="center"/>
            <w:hideMark/>
          </w:tcPr>
          <w:p w14:paraId="3AC19332" w14:textId="5BEE14F3" w:rsidR="000714D9" w:rsidRPr="00681482" w:rsidRDefault="000714D9" w:rsidP="000714D9">
            <w:pPr>
              <w:spacing w:before="0"/>
              <w:jc w:val="right"/>
              <w:rPr>
                <w:rFonts w:cs="Arial"/>
                <w:b/>
                <w:bCs/>
                <w:color w:val="FFFFFF" w:themeColor="background1"/>
                <w:sz w:val="18"/>
                <w:szCs w:val="18"/>
              </w:rPr>
            </w:pPr>
            <w:r w:rsidRPr="00681482">
              <w:rPr>
                <w:rFonts w:cs="Arial"/>
                <w:b/>
                <w:bCs/>
                <w:color w:val="FFFFFF" w:themeColor="background1"/>
                <w:sz w:val="18"/>
                <w:szCs w:val="18"/>
              </w:rPr>
              <w:t> </w:t>
            </w:r>
          </w:p>
        </w:tc>
        <w:tc>
          <w:tcPr>
            <w:tcW w:w="1560" w:type="dxa"/>
            <w:tcBorders>
              <w:top w:val="nil"/>
              <w:left w:val="nil"/>
              <w:bottom w:val="single" w:sz="8" w:space="0" w:color="FFFFFF"/>
              <w:right w:val="single" w:sz="8" w:space="0" w:color="FFFFFF"/>
            </w:tcBorders>
            <w:shd w:val="clear" w:color="000000" w:fill="808080"/>
            <w:vAlign w:val="center"/>
            <w:hideMark/>
          </w:tcPr>
          <w:p w14:paraId="2F38ADFF" w14:textId="2B9E0E9D" w:rsidR="000714D9" w:rsidRPr="00681482" w:rsidRDefault="000714D9" w:rsidP="000714D9">
            <w:pPr>
              <w:spacing w:before="0"/>
              <w:jc w:val="right"/>
              <w:rPr>
                <w:rFonts w:cs="Arial"/>
                <w:b/>
                <w:bCs/>
                <w:color w:val="FFFFFF" w:themeColor="background1"/>
                <w:sz w:val="18"/>
                <w:szCs w:val="18"/>
              </w:rPr>
            </w:pPr>
            <w:r w:rsidRPr="00681482">
              <w:rPr>
                <w:rFonts w:cs="Arial"/>
                <w:b/>
                <w:bCs/>
                <w:color w:val="FFFFFF" w:themeColor="background1"/>
                <w:sz w:val="18"/>
                <w:szCs w:val="18"/>
              </w:rPr>
              <w:t> </w:t>
            </w:r>
          </w:p>
        </w:tc>
      </w:tr>
      <w:tr w:rsidR="006124C2" w:rsidRPr="006A7092" w14:paraId="5722D1F1" w14:textId="7CC33297" w:rsidTr="000714D9">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0CB55C7B" w14:textId="112E489B" w:rsidR="006124C2" w:rsidRPr="00681482" w:rsidRDefault="006124C2" w:rsidP="006124C2">
            <w:pPr>
              <w:spacing w:before="0"/>
              <w:jc w:val="left"/>
              <w:rPr>
                <w:rFonts w:cs="Arial"/>
                <w:sz w:val="18"/>
                <w:szCs w:val="18"/>
              </w:rPr>
            </w:pPr>
            <w:r w:rsidRPr="00681482">
              <w:rPr>
                <w:rFonts w:cs="Arial"/>
                <w:sz w:val="18"/>
                <w:szCs w:val="18"/>
              </w:rPr>
              <w:t>New South Wales</w:t>
            </w:r>
          </w:p>
        </w:tc>
        <w:tc>
          <w:tcPr>
            <w:tcW w:w="1559" w:type="dxa"/>
            <w:tcBorders>
              <w:top w:val="nil"/>
              <w:left w:val="nil"/>
              <w:bottom w:val="single" w:sz="8" w:space="0" w:color="FFFFFF"/>
              <w:right w:val="single" w:sz="8" w:space="0" w:color="FFFFFF"/>
            </w:tcBorders>
            <w:shd w:val="clear" w:color="auto" w:fill="EFD3D2"/>
            <w:noWrap/>
            <w:vAlign w:val="center"/>
            <w:hideMark/>
          </w:tcPr>
          <w:p w14:paraId="24A9A098" w14:textId="2E827F12" w:rsidR="006124C2" w:rsidRPr="00681482" w:rsidRDefault="006124C2" w:rsidP="006124C2">
            <w:pPr>
              <w:spacing w:before="0"/>
              <w:jc w:val="right"/>
              <w:rPr>
                <w:rFonts w:cs="Arial"/>
                <w:sz w:val="18"/>
                <w:szCs w:val="18"/>
              </w:rPr>
            </w:pPr>
            <w:r w:rsidRPr="00681482">
              <w:rPr>
                <w:rFonts w:cs="Arial"/>
                <w:sz w:val="18"/>
                <w:szCs w:val="18"/>
              </w:rPr>
              <w:t xml:space="preserve">  8.1</w:t>
            </w:r>
          </w:p>
        </w:tc>
        <w:tc>
          <w:tcPr>
            <w:tcW w:w="1559" w:type="dxa"/>
            <w:tcBorders>
              <w:top w:val="nil"/>
              <w:left w:val="nil"/>
              <w:bottom w:val="single" w:sz="8" w:space="0" w:color="FFFFFF"/>
              <w:right w:val="single" w:sz="8" w:space="0" w:color="FFFFFF"/>
            </w:tcBorders>
            <w:shd w:val="clear" w:color="auto" w:fill="EFD3D2"/>
            <w:noWrap/>
            <w:vAlign w:val="center"/>
            <w:hideMark/>
          </w:tcPr>
          <w:p w14:paraId="1A82ACC1" w14:textId="58FECDB9" w:rsidR="006124C2" w:rsidRPr="00681482" w:rsidRDefault="006124C2" w:rsidP="006124C2">
            <w:pPr>
              <w:spacing w:before="0"/>
              <w:jc w:val="right"/>
              <w:rPr>
                <w:rFonts w:cs="Arial"/>
                <w:sz w:val="18"/>
                <w:szCs w:val="18"/>
              </w:rPr>
            </w:pPr>
            <w:r w:rsidRPr="00681482">
              <w:rPr>
                <w:rFonts w:cs="Arial"/>
                <w:sz w:val="18"/>
                <w:szCs w:val="18"/>
              </w:rPr>
              <w:t xml:space="preserve">  63.1</w:t>
            </w:r>
          </w:p>
        </w:tc>
        <w:tc>
          <w:tcPr>
            <w:tcW w:w="1559" w:type="dxa"/>
            <w:tcBorders>
              <w:top w:val="nil"/>
              <w:left w:val="nil"/>
              <w:bottom w:val="single" w:sz="8" w:space="0" w:color="FFFFFF"/>
              <w:right w:val="single" w:sz="8" w:space="0" w:color="FFFFFF"/>
            </w:tcBorders>
            <w:shd w:val="clear" w:color="auto" w:fill="EFD3D2"/>
            <w:noWrap/>
            <w:vAlign w:val="center"/>
            <w:hideMark/>
          </w:tcPr>
          <w:p w14:paraId="222A312C" w14:textId="71675E9D" w:rsidR="006124C2" w:rsidRPr="00681482" w:rsidRDefault="006124C2" w:rsidP="006124C2">
            <w:pPr>
              <w:spacing w:before="0"/>
              <w:jc w:val="right"/>
              <w:rPr>
                <w:rFonts w:cs="Arial"/>
                <w:sz w:val="18"/>
                <w:szCs w:val="18"/>
              </w:rPr>
            </w:pPr>
            <w:r w:rsidRPr="00681482">
              <w:rPr>
                <w:rFonts w:cs="Arial"/>
                <w:sz w:val="18"/>
                <w:szCs w:val="18"/>
              </w:rPr>
              <w:t xml:space="preserve">  87.8</w:t>
            </w:r>
          </w:p>
        </w:tc>
        <w:tc>
          <w:tcPr>
            <w:tcW w:w="1560" w:type="dxa"/>
            <w:tcBorders>
              <w:top w:val="nil"/>
              <w:left w:val="nil"/>
              <w:bottom w:val="single" w:sz="8" w:space="0" w:color="FFFFFF"/>
              <w:right w:val="single" w:sz="8" w:space="0" w:color="FFFFFF"/>
            </w:tcBorders>
            <w:shd w:val="clear" w:color="auto" w:fill="EFD3D2"/>
            <w:vAlign w:val="center"/>
            <w:hideMark/>
          </w:tcPr>
          <w:p w14:paraId="47AD1C48" w14:textId="5B7042E5" w:rsidR="006124C2" w:rsidRPr="00681482" w:rsidRDefault="006124C2" w:rsidP="006124C2">
            <w:pPr>
              <w:spacing w:before="0"/>
              <w:jc w:val="right"/>
              <w:rPr>
                <w:rFonts w:cs="Arial"/>
                <w:sz w:val="18"/>
                <w:szCs w:val="18"/>
              </w:rPr>
            </w:pPr>
            <w:r w:rsidRPr="00681482">
              <w:rPr>
                <w:rFonts w:cs="Arial"/>
                <w:sz w:val="18"/>
                <w:szCs w:val="18"/>
              </w:rPr>
              <w:t xml:space="preserve">  95.0</w:t>
            </w:r>
          </w:p>
        </w:tc>
      </w:tr>
      <w:tr w:rsidR="006124C2" w:rsidRPr="006A7092" w14:paraId="3E211C1C" w14:textId="7B28D6D7" w:rsidTr="000714D9">
        <w:trPr>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6DDCF7F2" w14:textId="1E246671" w:rsidR="006124C2" w:rsidRPr="00681482" w:rsidRDefault="006124C2" w:rsidP="006124C2">
            <w:pPr>
              <w:spacing w:before="0"/>
              <w:jc w:val="left"/>
              <w:rPr>
                <w:rFonts w:cs="Arial"/>
                <w:sz w:val="18"/>
                <w:szCs w:val="18"/>
              </w:rPr>
            </w:pPr>
            <w:r w:rsidRPr="00681482">
              <w:rPr>
                <w:rFonts w:cs="Arial"/>
                <w:sz w:val="18"/>
                <w:szCs w:val="18"/>
              </w:rPr>
              <w:t>Victoria</w:t>
            </w:r>
          </w:p>
        </w:tc>
        <w:tc>
          <w:tcPr>
            <w:tcW w:w="1559" w:type="dxa"/>
            <w:tcBorders>
              <w:top w:val="nil"/>
              <w:left w:val="nil"/>
              <w:bottom w:val="single" w:sz="8" w:space="0" w:color="FFFFFF"/>
              <w:right w:val="single" w:sz="8" w:space="0" w:color="FFFFFF"/>
            </w:tcBorders>
            <w:shd w:val="clear" w:color="auto" w:fill="auto"/>
            <w:noWrap/>
            <w:vAlign w:val="center"/>
            <w:hideMark/>
          </w:tcPr>
          <w:p w14:paraId="5120E03F" w14:textId="028A71E9" w:rsidR="006124C2" w:rsidRPr="00681482" w:rsidRDefault="006124C2" w:rsidP="006124C2">
            <w:pPr>
              <w:spacing w:before="0"/>
              <w:jc w:val="right"/>
              <w:rPr>
                <w:rFonts w:cs="Arial"/>
                <w:sz w:val="18"/>
                <w:szCs w:val="18"/>
              </w:rPr>
            </w:pPr>
            <w:r w:rsidRPr="00681482">
              <w:rPr>
                <w:rFonts w:cs="Arial"/>
                <w:sz w:val="18"/>
                <w:szCs w:val="18"/>
              </w:rPr>
              <w:t xml:space="preserve">  8.4</w:t>
            </w:r>
          </w:p>
        </w:tc>
        <w:tc>
          <w:tcPr>
            <w:tcW w:w="1559" w:type="dxa"/>
            <w:tcBorders>
              <w:top w:val="nil"/>
              <w:left w:val="nil"/>
              <w:bottom w:val="single" w:sz="8" w:space="0" w:color="FFFFFF"/>
              <w:right w:val="single" w:sz="8" w:space="0" w:color="FFFFFF"/>
            </w:tcBorders>
            <w:shd w:val="clear" w:color="auto" w:fill="auto"/>
            <w:noWrap/>
            <w:vAlign w:val="center"/>
            <w:hideMark/>
          </w:tcPr>
          <w:p w14:paraId="7547A8ED" w14:textId="126FB93B" w:rsidR="006124C2" w:rsidRPr="00681482" w:rsidRDefault="006124C2" w:rsidP="006124C2">
            <w:pPr>
              <w:spacing w:before="0"/>
              <w:jc w:val="right"/>
              <w:rPr>
                <w:rFonts w:cs="Arial"/>
                <w:sz w:val="18"/>
                <w:szCs w:val="18"/>
              </w:rPr>
            </w:pPr>
            <w:r w:rsidRPr="00681482">
              <w:rPr>
                <w:rFonts w:cs="Arial"/>
                <w:sz w:val="18"/>
                <w:szCs w:val="18"/>
              </w:rPr>
              <w:t xml:space="preserve">  56.0</w:t>
            </w:r>
          </w:p>
        </w:tc>
        <w:tc>
          <w:tcPr>
            <w:tcW w:w="1559" w:type="dxa"/>
            <w:tcBorders>
              <w:top w:val="nil"/>
              <w:left w:val="nil"/>
              <w:bottom w:val="single" w:sz="8" w:space="0" w:color="FFFFFF"/>
              <w:right w:val="single" w:sz="8" w:space="0" w:color="FFFFFF"/>
            </w:tcBorders>
            <w:shd w:val="clear" w:color="auto" w:fill="auto"/>
            <w:noWrap/>
            <w:vAlign w:val="center"/>
            <w:hideMark/>
          </w:tcPr>
          <w:p w14:paraId="59287658" w14:textId="1F4DD085" w:rsidR="006124C2" w:rsidRPr="00681482" w:rsidRDefault="006124C2" w:rsidP="006124C2">
            <w:pPr>
              <w:spacing w:before="0"/>
              <w:jc w:val="right"/>
              <w:rPr>
                <w:rFonts w:cs="Arial"/>
                <w:sz w:val="18"/>
                <w:szCs w:val="18"/>
              </w:rPr>
            </w:pPr>
            <w:r w:rsidRPr="00681482">
              <w:rPr>
                <w:rFonts w:cs="Arial"/>
                <w:sz w:val="18"/>
                <w:szCs w:val="18"/>
              </w:rPr>
              <w:t xml:space="preserve">  76.5</w:t>
            </w:r>
          </w:p>
        </w:tc>
        <w:tc>
          <w:tcPr>
            <w:tcW w:w="1560" w:type="dxa"/>
            <w:tcBorders>
              <w:top w:val="nil"/>
              <w:left w:val="nil"/>
              <w:bottom w:val="single" w:sz="8" w:space="0" w:color="FFFFFF"/>
              <w:right w:val="single" w:sz="8" w:space="0" w:color="FFFFFF"/>
            </w:tcBorders>
            <w:shd w:val="clear" w:color="auto" w:fill="auto"/>
            <w:vAlign w:val="center"/>
            <w:hideMark/>
          </w:tcPr>
          <w:p w14:paraId="0050FDB1" w14:textId="06295830" w:rsidR="006124C2" w:rsidRPr="00681482" w:rsidRDefault="006124C2" w:rsidP="006124C2">
            <w:pPr>
              <w:spacing w:before="0"/>
              <w:jc w:val="right"/>
              <w:rPr>
                <w:rFonts w:cs="Arial"/>
                <w:sz w:val="18"/>
                <w:szCs w:val="18"/>
              </w:rPr>
            </w:pPr>
            <w:r w:rsidRPr="00681482">
              <w:rPr>
                <w:rFonts w:cs="Arial"/>
                <w:sz w:val="18"/>
                <w:szCs w:val="18"/>
              </w:rPr>
              <w:t xml:space="preserve">  89.1</w:t>
            </w:r>
          </w:p>
        </w:tc>
      </w:tr>
      <w:tr w:rsidR="006124C2" w:rsidRPr="006A7092" w14:paraId="7D1ED6DA" w14:textId="703AD6C2" w:rsidTr="000714D9">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1740297B" w14:textId="34514188" w:rsidR="006124C2" w:rsidRPr="00681482" w:rsidRDefault="006124C2" w:rsidP="006124C2">
            <w:pPr>
              <w:spacing w:before="0"/>
              <w:jc w:val="left"/>
              <w:rPr>
                <w:rFonts w:cs="Arial"/>
                <w:sz w:val="18"/>
                <w:szCs w:val="18"/>
              </w:rPr>
            </w:pPr>
            <w:r w:rsidRPr="00681482">
              <w:rPr>
                <w:rFonts w:cs="Arial"/>
                <w:sz w:val="18"/>
                <w:szCs w:val="18"/>
              </w:rPr>
              <w:t>Queensland</w:t>
            </w:r>
          </w:p>
        </w:tc>
        <w:tc>
          <w:tcPr>
            <w:tcW w:w="1559" w:type="dxa"/>
            <w:tcBorders>
              <w:top w:val="nil"/>
              <w:left w:val="nil"/>
              <w:bottom w:val="single" w:sz="8" w:space="0" w:color="FFFFFF"/>
              <w:right w:val="single" w:sz="8" w:space="0" w:color="FFFFFF"/>
            </w:tcBorders>
            <w:shd w:val="clear" w:color="auto" w:fill="EFD3D2"/>
            <w:noWrap/>
            <w:vAlign w:val="center"/>
            <w:hideMark/>
          </w:tcPr>
          <w:p w14:paraId="1384043D" w14:textId="753514BC" w:rsidR="006124C2" w:rsidRPr="00681482" w:rsidRDefault="006124C2" w:rsidP="006124C2">
            <w:pPr>
              <w:spacing w:before="0"/>
              <w:jc w:val="right"/>
              <w:rPr>
                <w:rFonts w:cs="Arial"/>
                <w:sz w:val="18"/>
                <w:szCs w:val="18"/>
              </w:rPr>
            </w:pPr>
            <w:r w:rsidRPr="00681482">
              <w:rPr>
                <w:rFonts w:cs="Arial"/>
                <w:sz w:val="18"/>
                <w:szCs w:val="18"/>
              </w:rPr>
              <w:t xml:space="preserve">  7.7</w:t>
            </w:r>
          </w:p>
        </w:tc>
        <w:tc>
          <w:tcPr>
            <w:tcW w:w="1559" w:type="dxa"/>
            <w:tcBorders>
              <w:top w:val="nil"/>
              <w:left w:val="nil"/>
              <w:bottom w:val="single" w:sz="8" w:space="0" w:color="FFFFFF"/>
              <w:right w:val="single" w:sz="8" w:space="0" w:color="FFFFFF"/>
            </w:tcBorders>
            <w:shd w:val="clear" w:color="auto" w:fill="EFD3D2"/>
            <w:noWrap/>
            <w:vAlign w:val="center"/>
            <w:hideMark/>
          </w:tcPr>
          <w:p w14:paraId="4AA3669C" w14:textId="38F0C61B" w:rsidR="006124C2" w:rsidRPr="00681482" w:rsidRDefault="006124C2" w:rsidP="006124C2">
            <w:pPr>
              <w:spacing w:before="0"/>
              <w:jc w:val="right"/>
              <w:rPr>
                <w:rFonts w:cs="Arial"/>
                <w:sz w:val="18"/>
                <w:szCs w:val="18"/>
              </w:rPr>
            </w:pPr>
            <w:r w:rsidRPr="00681482">
              <w:rPr>
                <w:rFonts w:cs="Arial"/>
                <w:sz w:val="18"/>
                <w:szCs w:val="18"/>
              </w:rPr>
              <w:t xml:space="preserve">  70.7</w:t>
            </w:r>
          </w:p>
        </w:tc>
        <w:tc>
          <w:tcPr>
            <w:tcW w:w="1559" w:type="dxa"/>
            <w:tcBorders>
              <w:top w:val="nil"/>
              <w:left w:val="nil"/>
              <w:bottom w:val="single" w:sz="8" w:space="0" w:color="FFFFFF"/>
              <w:right w:val="single" w:sz="8" w:space="0" w:color="FFFFFF"/>
            </w:tcBorders>
            <w:shd w:val="clear" w:color="auto" w:fill="EFD3D2"/>
            <w:noWrap/>
            <w:vAlign w:val="center"/>
            <w:hideMark/>
          </w:tcPr>
          <w:p w14:paraId="79A44F54" w14:textId="22BA01E7" w:rsidR="006124C2" w:rsidRPr="00681482" w:rsidRDefault="006124C2" w:rsidP="006124C2">
            <w:pPr>
              <w:spacing w:before="0"/>
              <w:jc w:val="right"/>
              <w:rPr>
                <w:rFonts w:cs="Arial"/>
                <w:sz w:val="18"/>
                <w:szCs w:val="18"/>
              </w:rPr>
            </w:pPr>
            <w:r w:rsidRPr="00681482">
              <w:rPr>
                <w:rFonts w:cs="Arial"/>
                <w:sz w:val="18"/>
                <w:szCs w:val="18"/>
              </w:rPr>
              <w:t xml:space="preserve">  93.6</w:t>
            </w:r>
          </w:p>
        </w:tc>
        <w:tc>
          <w:tcPr>
            <w:tcW w:w="1560" w:type="dxa"/>
            <w:tcBorders>
              <w:top w:val="nil"/>
              <w:left w:val="nil"/>
              <w:bottom w:val="single" w:sz="8" w:space="0" w:color="FFFFFF"/>
              <w:right w:val="single" w:sz="8" w:space="0" w:color="FFFFFF"/>
            </w:tcBorders>
            <w:shd w:val="clear" w:color="auto" w:fill="EFD3D2"/>
            <w:vAlign w:val="center"/>
            <w:hideMark/>
          </w:tcPr>
          <w:p w14:paraId="2F842F7F" w14:textId="59676FDA" w:rsidR="006124C2" w:rsidRPr="00681482" w:rsidRDefault="006124C2" w:rsidP="006124C2">
            <w:pPr>
              <w:spacing w:before="0"/>
              <w:jc w:val="right"/>
              <w:rPr>
                <w:rFonts w:cs="Arial"/>
                <w:sz w:val="18"/>
                <w:szCs w:val="18"/>
              </w:rPr>
            </w:pPr>
            <w:r w:rsidRPr="00681482">
              <w:rPr>
                <w:rFonts w:cs="Arial"/>
                <w:sz w:val="18"/>
                <w:szCs w:val="18"/>
              </w:rPr>
              <w:t xml:space="preserve">  95.0</w:t>
            </w:r>
          </w:p>
        </w:tc>
      </w:tr>
      <w:tr w:rsidR="006124C2" w:rsidRPr="006A7092" w14:paraId="1EC00A39" w14:textId="1C31B7A0" w:rsidTr="000714D9">
        <w:trPr>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2325607C" w14:textId="6E90C8DF" w:rsidR="006124C2" w:rsidRPr="00681482" w:rsidRDefault="006124C2" w:rsidP="006124C2">
            <w:pPr>
              <w:spacing w:before="0"/>
              <w:jc w:val="left"/>
              <w:rPr>
                <w:rFonts w:cs="Arial"/>
                <w:sz w:val="18"/>
                <w:szCs w:val="18"/>
              </w:rPr>
            </w:pPr>
            <w:r w:rsidRPr="00681482">
              <w:rPr>
                <w:rFonts w:cs="Arial"/>
                <w:sz w:val="18"/>
                <w:szCs w:val="18"/>
              </w:rPr>
              <w:t>Western Australia</w:t>
            </w:r>
          </w:p>
        </w:tc>
        <w:tc>
          <w:tcPr>
            <w:tcW w:w="1559" w:type="dxa"/>
            <w:tcBorders>
              <w:top w:val="nil"/>
              <w:left w:val="nil"/>
              <w:bottom w:val="single" w:sz="8" w:space="0" w:color="FFFFFF"/>
              <w:right w:val="single" w:sz="8" w:space="0" w:color="FFFFFF"/>
            </w:tcBorders>
            <w:shd w:val="clear" w:color="auto" w:fill="auto"/>
            <w:noWrap/>
            <w:vAlign w:val="center"/>
            <w:hideMark/>
          </w:tcPr>
          <w:p w14:paraId="6BF32F1D" w14:textId="488269AA" w:rsidR="006124C2" w:rsidRPr="00681482" w:rsidRDefault="006124C2" w:rsidP="006124C2">
            <w:pPr>
              <w:spacing w:before="0"/>
              <w:jc w:val="right"/>
              <w:rPr>
                <w:rFonts w:cs="Arial"/>
                <w:sz w:val="18"/>
                <w:szCs w:val="18"/>
              </w:rPr>
            </w:pPr>
            <w:r w:rsidRPr="00681482">
              <w:rPr>
                <w:rFonts w:cs="Arial"/>
                <w:sz w:val="18"/>
                <w:szCs w:val="18"/>
              </w:rPr>
              <w:t xml:space="preserve">  40.2</w:t>
            </w:r>
          </w:p>
        </w:tc>
        <w:tc>
          <w:tcPr>
            <w:tcW w:w="1559" w:type="dxa"/>
            <w:tcBorders>
              <w:top w:val="nil"/>
              <w:left w:val="nil"/>
              <w:bottom w:val="single" w:sz="8" w:space="0" w:color="FFFFFF"/>
              <w:right w:val="single" w:sz="8" w:space="0" w:color="FFFFFF"/>
            </w:tcBorders>
            <w:shd w:val="clear" w:color="auto" w:fill="auto"/>
            <w:noWrap/>
            <w:vAlign w:val="center"/>
            <w:hideMark/>
          </w:tcPr>
          <w:p w14:paraId="6B6362F8" w14:textId="340685DE" w:rsidR="006124C2" w:rsidRPr="00681482" w:rsidRDefault="006124C2" w:rsidP="006124C2">
            <w:pPr>
              <w:spacing w:before="0"/>
              <w:jc w:val="right"/>
              <w:rPr>
                <w:rFonts w:cs="Arial"/>
                <w:sz w:val="18"/>
                <w:szCs w:val="18"/>
              </w:rPr>
            </w:pPr>
            <w:r w:rsidRPr="00681482">
              <w:rPr>
                <w:rFonts w:cs="Arial"/>
                <w:sz w:val="18"/>
                <w:szCs w:val="18"/>
              </w:rPr>
              <w:t xml:space="preserve">  73.6</w:t>
            </w:r>
          </w:p>
        </w:tc>
        <w:tc>
          <w:tcPr>
            <w:tcW w:w="1559" w:type="dxa"/>
            <w:tcBorders>
              <w:top w:val="nil"/>
              <w:left w:val="nil"/>
              <w:bottom w:val="single" w:sz="8" w:space="0" w:color="FFFFFF"/>
              <w:right w:val="single" w:sz="8" w:space="0" w:color="FFFFFF"/>
            </w:tcBorders>
            <w:shd w:val="clear" w:color="auto" w:fill="auto"/>
            <w:noWrap/>
            <w:vAlign w:val="center"/>
            <w:hideMark/>
          </w:tcPr>
          <w:p w14:paraId="5ED8B29D" w14:textId="385EB7AD" w:rsidR="006124C2" w:rsidRPr="00681482" w:rsidRDefault="006124C2" w:rsidP="006124C2">
            <w:pPr>
              <w:spacing w:before="0"/>
              <w:jc w:val="right"/>
              <w:rPr>
                <w:rFonts w:cs="Arial"/>
                <w:sz w:val="18"/>
                <w:szCs w:val="18"/>
              </w:rPr>
            </w:pPr>
            <w:r w:rsidRPr="00681482">
              <w:rPr>
                <w:rFonts w:cs="Arial"/>
                <w:sz w:val="18"/>
                <w:szCs w:val="18"/>
              </w:rPr>
              <w:t xml:space="preserve">  85.3</w:t>
            </w:r>
          </w:p>
        </w:tc>
        <w:tc>
          <w:tcPr>
            <w:tcW w:w="1560" w:type="dxa"/>
            <w:tcBorders>
              <w:top w:val="nil"/>
              <w:left w:val="nil"/>
              <w:bottom w:val="single" w:sz="8" w:space="0" w:color="FFFFFF"/>
              <w:right w:val="single" w:sz="8" w:space="0" w:color="FFFFFF"/>
            </w:tcBorders>
            <w:shd w:val="clear" w:color="auto" w:fill="auto"/>
            <w:vAlign w:val="center"/>
            <w:hideMark/>
          </w:tcPr>
          <w:p w14:paraId="3A4907E1" w14:textId="72254E17" w:rsidR="006124C2" w:rsidRPr="00681482" w:rsidRDefault="006124C2" w:rsidP="006124C2">
            <w:pPr>
              <w:spacing w:before="0"/>
              <w:jc w:val="right"/>
              <w:rPr>
                <w:rFonts w:cs="Arial"/>
                <w:sz w:val="18"/>
                <w:szCs w:val="18"/>
              </w:rPr>
            </w:pPr>
            <w:r w:rsidRPr="00681482">
              <w:rPr>
                <w:rFonts w:cs="Arial"/>
                <w:sz w:val="18"/>
                <w:szCs w:val="18"/>
              </w:rPr>
              <w:t xml:space="preserve">  93.2</w:t>
            </w:r>
          </w:p>
        </w:tc>
      </w:tr>
      <w:tr w:rsidR="006124C2" w:rsidRPr="006A7092" w14:paraId="301C96E6" w14:textId="1D9D3FFA" w:rsidTr="000714D9">
        <w:trPr>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4854EB1F" w14:textId="4D86FCBB" w:rsidR="006124C2" w:rsidRPr="00681482" w:rsidRDefault="006124C2" w:rsidP="006124C2">
            <w:pPr>
              <w:spacing w:before="0"/>
              <w:jc w:val="left"/>
              <w:rPr>
                <w:rFonts w:cs="Arial"/>
                <w:sz w:val="18"/>
                <w:szCs w:val="18"/>
              </w:rPr>
            </w:pPr>
            <w:r w:rsidRPr="00681482">
              <w:rPr>
                <w:rFonts w:cs="Arial"/>
                <w:sz w:val="18"/>
                <w:szCs w:val="18"/>
              </w:rPr>
              <w:t>Tasmania</w:t>
            </w:r>
          </w:p>
        </w:tc>
        <w:tc>
          <w:tcPr>
            <w:tcW w:w="1559" w:type="dxa"/>
            <w:tcBorders>
              <w:top w:val="nil"/>
              <w:left w:val="nil"/>
              <w:bottom w:val="single" w:sz="8" w:space="0" w:color="FFFFFF"/>
              <w:right w:val="single" w:sz="8" w:space="0" w:color="FFFFFF"/>
            </w:tcBorders>
            <w:shd w:val="clear" w:color="auto" w:fill="EFD3D2"/>
            <w:noWrap/>
            <w:vAlign w:val="center"/>
            <w:hideMark/>
          </w:tcPr>
          <w:p w14:paraId="7CCCE9DC" w14:textId="1758C342" w:rsidR="006124C2" w:rsidRPr="00681482" w:rsidRDefault="006124C2" w:rsidP="006124C2">
            <w:pPr>
              <w:spacing w:before="0"/>
              <w:jc w:val="right"/>
              <w:rPr>
                <w:rFonts w:cs="Arial"/>
                <w:sz w:val="18"/>
                <w:szCs w:val="18"/>
              </w:rPr>
            </w:pPr>
            <w:r w:rsidRPr="00681482">
              <w:rPr>
                <w:rFonts w:cs="Arial"/>
                <w:sz w:val="18"/>
                <w:szCs w:val="18"/>
              </w:rPr>
              <w:t xml:space="preserve">  65.5</w:t>
            </w:r>
          </w:p>
        </w:tc>
        <w:tc>
          <w:tcPr>
            <w:tcW w:w="1559" w:type="dxa"/>
            <w:tcBorders>
              <w:top w:val="nil"/>
              <w:left w:val="nil"/>
              <w:bottom w:val="single" w:sz="8" w:space="0" w:color="FFFFFF"/>
              <w:right w:val="single" w:sz="8" w:space="0" w:color="FFFFFF"/>
            </w:tcBorders>
            <w:shd w:val="clear" w:color="auto" w:fill="EFD3D2"/>
            <w:noWrap/>
            <w:vAlign w:val="center"/>
            <w:hideMark/>
          </w:tcPr>
          <w:p w14:paraId="5C34A8D0" w14:textId="26036E36" w:rsidR="006124C2" w:rsidRPr="00681482" w:rsidRDefault="006124C2" w:rsidP="006124C2">
            <w:pPr>
              <w:spacing w:before="0"/>
              <w:jc w:val="right"/>
              <w:rPr>
                <w:rFonts w:cs="Arial"/>
                <w:sz w:val="18"/>
                <w:szCs w:val="18"/>
              </w:rPr>
            </w:pPr>
            <w:r w:rsidRPr="00681482">
              <w:rPr>
                <w:rFonts w:cs="Arial"/>
                <w:sz w:val="18"/>
                <w:szCs w:val="18"/>
              </w:rPr>
              <w:t xml:space="preserve">  74.1</w:t>
            </w:r>
          </w:p>
        </w:tc>
        <w:tc>
          <w:tcPr>
            <w:tcW w:w="1559" w:type="dxa"/>
            <w:tcBorders>
              <w:top w:val="nil"/>
              <w:left w:val="nil"/>
              <w:bottom w:val="single" w:sz="8" w:space="0" w:color="FFFFFF"/>
              <w:right w:val="single" w:sz="8" w:space="0" w:color="FFFFFF"/>
            </w:tcBorders>
            <w:shd w:val="clear" w:color="auto" w:fill="EFD3D2"/>
            <w:noWrap/>
            <w:vAlign w:val="center"/>
            <w:hideMark/>
          </w:tcPr>
          <w:p w14:paraId="6B3D1232" w14:textId="7E565CF8" w:rsidR="006124C2" w:rsidRPr="00681482" w:rsidRDefault="006124C2" w:rsidP="006124C2">
            <w:pPr>
              <w:spacing w:before="0"/>
              <w:jc w:val="right"/>
              <w:rPr>
                <w:rFonts w:cs="Arial"/>
                <w:sz w:val="18"/>
                <w:szCs w:val="18"/>
              </w:rPr>
            </w:pPr>
            <w:r w:rsidRPr="00681482">
              <w:rPr>
                <w:rFonts w:cs="Arial"/>
                <w:sz w:val="18"/>
                <w:szCs w:val="18"/>
              </w:rPr>
              <w:t xml:space="preserve">  85.3</w:t>
            </w:r>
          </w:p>
        </w:tc>
        <w:tc>
          <w:tcPr>
            <w:tcW w:w="1560" w:type="dxa"/>
            <w:tcBorders>
              <w:top w:val="nil"/>
              <w:left w:val="nil"/>
              <w:bottom w:val="single" w:sz="8" w:space="0" w:color="FFFFFF"/>
              <w:right w:val="single" w:sz="8" w:space="0" w:color="FFFFFF"/>
            </w:tcBorders>
            <w:shd w:val="clear" w:color="auto" w:fill="EFD3D2"/>
            <w:vAlign w:val="center"/>
            <w:hideMark/>
          </w:tcPr>
          <w:p w14:paraId="20EFF1D1" w14:textId="04E34365" w:rsidR="006124C2" w:rsidRPr="00681482" w:rsidRDefault="006124C2" w:rsidP="006124C2">
            <w:pPr>
              <w:spacing w:before="0"/>
              <w:jc w:val="right"/>
              <w:rPr>
                <w:rFonts w:cs="Arial"/>
                <w:sz w:val="18"/>
                <w:szCs w:val="18"/>
              </w:rPr>
            </w:pPr>
            <w:r w:rsidRPr="00681482">
              <w:rPr>
                <w:rFonts w:cs="Arial"/>
                <w:sz w:val="18"/>
                <w:szCs w:val="18"/>
              </w:rPr>
              <w:t xml:space="preserve">  94.4</w:t>
            </w:r>
          </w:p>
        </w:tc>
      </w:tr>
      <w:tr w:rsidR="006124C2" w:rsidRPr="006A7092" w14:paraId="11F10D93" w14:textId="35E03613" w:rsidTr="000714D9">
        <w:trPr>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53D5C354" w14:textId="49B49531" w:rsidR="006124C2" w:rsidRPr="00681482" w:rsidRDefault="006124C2" w:rsidP="006124C2">
            <w:pPr>
              <w:spacing w:before="0"/>
              <w:jc w:val="left"/>
              <w:rPr>
                <w:rFonts w:cs="Arial"/>
                <w:sz w:val="18"/>
                <w:szCs w:val="18"/>
              </w:rPr>
            </w:pPr>
            <w:r w:rsidRPr="00681482">
              <w:rPr>
                <w:rFonts w:cs="Arial"/>
                <w:sz w:val="18"/>
                <w:szCs w:val="18"/>
              </w:rPr>
              <w:t>Comcare</w:t>
            </w:r>
          </w:p>
        </w:tc>
        <w:tc>
          <w:tcPr>
            <w:tcW w:w="1559" w:type="dxa"/>
            <w:tcBorders>
              <w:top w:val="nil"/>
              <w:left w:val="nil"/>
              <w:bottom w:val="single" w:sz="8" w:space="0" w:color="FFFFFF"/>
              <w:right w:val="single" w:sz="8" w:space="0" w:color="FFFFFF"/>
            </w:tcBorders>
            <w:shd w:val="clear" w:color="auto" w:fill="auto"/>
            <w:noWrap/>
            <w:vAlign w:val="center"/>
            <w:hideMark/>
          </w:tcPr>
          <w:p w14:paraId="4AB35C2F" w14:textId="4D65A56C" w:rsidR="006124C2" w:rsidRPr="00681482" w:rsidRDefault="006124C2" w:rsidP="006124C2">
            <w:pPr>
              <w:spacing w:before="0"/>
              <w:jc w:val="right"/>
              <w:rPr>
                <w:rFonts w:cs="Arial"/>
                <w:sz w:val="18"/>
                <w:szCs w:val="18"/>
              </w:rPr>
            </w:pPr>
            <w:r w:rsidRPr="00681482">
              <w:rPr>
                <w:rFonts w:cs="Arial"/>
                <w:sz w:val="18"/>
                <w:szCs w:val="18"/>
              </w:rPr>
              <w:t xml:space="preserve">  4.2</w:t>
            </w:r>
          </w:p>
        </w:tc>
        <w:tc>
          <w:tcPr>
            <w:tcW w:w="1559" w:type="dxa"/>
            <w:tcBorders>
              <w:top w:val="nil"/>
              <w:left w:val="nil"/>
              <w:bottom w:val="single" w:sz="8" w:space="0" w:color="FFFFFF"/>
              <w:right w:val="single" w:sz="8" w:space="0" w:color="FFFFFF"/>
            </w:tcBorders>
            <w:shd w:val="clear" w:color="auto" w:fill="auto"/>
            <w:noWrap/>
            <w:vAlign w:val="center"/>
            <w:hideMark/>
          </w:tcPr>
          <w:p w14:paraId="5DE45BC7" w14:textId="2D8EC837" w:rsidR="006124C2" w:rsidRPr="00681482" w:rsidRDefault="006124C2" w:rsidP="006124C2">
            <w:pPr>
              <w:spacing w:before="0"/>
              <w:jc w:val="right"/>
              <w:rPr>
                <w:rFonts w:cs="Arial"/>
                <w:sz w:val="18"/>
                <w:szCs w:val="18"/>
              </w:rPr>
            </w:pPr>
            <w:r w:rsidRPr="00681482">
              <w:rPr>
                <w:rFonts w:cs="Arial"/>
                <w:sz w:val="18"/>
                <w:szCs w:val="18"/>
              </w:rPr>
              <w:t xml:space="preserve">  12.5</w:t>
            </w:r>
          </w:p>
        </w:tc>
        <w:tc>
          <w:tcPr>
            <w:tcW w:w="1559" w:type="dxa"/>
            <w:tcBorders>
              <w:top w:val="nil"/>
              <w:left w:val="nil"/>
              <w:bottom w:val="single" w:sz="8" w:space="0" w:color="FFFFFF"/>
              <w:right w:val="single" w:sz="8" w:space="0" w:color="FFFFFF"/>
            </w:tcBorders>
            <w:shd w:val="clear" w:color="auto" w:fill="auto"/>
            <w:noWrap/>
            <w:vAlign w:val="center"/>
            <w:hideMark/>
          </w:tcPr>
          <w:p w14:paraId="1CA1BFEE" w14:textId="7808C3B8" w:rsidR="006124C2" w:rsidRPr="00681482" w:rsidRDefault="006124C2" w:rsidP="006124C2">
            <w:pPr>
              <w:spacing w:before="0"/>
              <w:jc w:val="right"/>
              <w:rPr>
                <w:rFonts w:cs="Arial"/>
                <w:sz w:val="18"/>
                <w:szCs w:val="18"/>
              </w:rPr>
            </w:pPr>
            <w:r w:rsidRPr="00681482">
              <w:rPr>
                <w:rFonts w:cs="Arial"/>
                <w:sz w:val="18"/>
                <w:szCs w:val="18"/>
              </w:rPr>
              <w:t xml:space="preserve">  21.2</w:t>
            </w:r>
          </w:p>
        </w:tc>
        <w:tc>
          <w:tcPr>
            <w:tcW w:w="1560" w:type="dxa"/>
            <w:tcBorders>
              <w:top w:val="nil"/>
              <w:left w:val="nil"/>
              <w:bottom w:val="single" w:sz="8" w:space="0" w:color="FFFFFF"/>
              <w:right w:val="single" w:sz="8" w:space="0" w:color="FFFFFF"/>
            </w:tcBorders>
            <w:shd w:val="clear" w:color="auto" w:fill="auto"/>
            <w:vAlign w:val="center"/>
            <w:hideMark/>
          </w:tcPr>
          <w:p w14:paraId="044CD0C0" w14:textId="31DAE717" w:rsidR="006124C2" w:rsidRPr="00681482" w:rsidRDefault="006124C2" w:rsidP="006124C2">
            <w:pPr>
              <w:spacing w:before="0"/>
              <w:jc w:val="right"/>
              <w:rPr>
                <w:rFonts w:cs="Arial"/>
                <w:sz w:val="18"/>
                <w:szCs w:val="18"/>
              </w:rPr>
            </w:pPr>
            <w:r w:rsidRPr="00681482">
              <w:rPr>
                <w:rFonts w:cs="Arial"/>
                <w:sz w:val="18"/>
                <w:szCs w:val="18"/>
              </w:rPr>
              <w:t xml:space="preserve">  34.8</w:t>
            </w:r>
          </w:p>
        </w:tc>
      </w:tr>
      <w:tr w:rsidR="006124C2" w:rsidRPr="006A7092" w14:paraId="29B197DF" w14:textId="60418280"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67A2803D" w14:textId="61401111" w:rsidR="006124C2" w:rsidRPr="00681482" w:rsidRDefault="006124C2" w:rsidP="006124C2">
            <w:pPr>
              <w:spacing w:before="0"/>
              <w:jc w:val="left"/>
              <w:rPr>
                <w:rFonts w:cs="Arial"/>
                <w:sz w:val="18"/>
                <w:szCs w:val="18"/>
              </w:rPr>
            </w:pPr>
            <w:r w:rsidRPr="00681482">
              <w:rPr>
                <w:rFonts w:cs="Arial"/>
                <w:sz w:val="18"/>
                <w:szCs w:val="18"/>
              </w:rPr>
              <w:t>Seacare</w:t>
            </w:r>
          </w:p>
        </w:tc>
        <w:tc>
          <w:tcPr>
            <w:tcW w:w="1559" w:type="dxa"/>
            <w:tcBorders>
              <w:top w:val="nil"/>
              <w:left w:val="nil"/>
              <w:bottom w:val="single" w:sz="8" w:space="0" w:color="FFFFFF"/>
              <w:right w:val="single" w:sz="8" w:space="0" w:color="FFFFFF"/>
            </w:tcBorders>
            <w:shd w:val="clear" w:color="auto" w:fill="EFD3D2"/>
            <w:noWrap/>
            <w:vAlign w:val="center"/>
            <w:hideMark/>
          </w:tcPr>
          <w:p w14:paraId="601E9B12" w14:textId="12F0EC1B" w:rsidR="006124C2" w:rsidRPr="00681482" w:rsidRDefault="006124C2" w:rsidP="006124C2">
            <w:pPr>
              <w:spacing w:before="0"/>
              <w:jc w:val="right"/>
              <w:rPr>
                <w:rFonts w:cs="Arial"/>
                <w:sz w:val="18"/>
                <w:szCs w:val="18"/>
              </w:rPr>
            </w:pPr>
            <w:r w:rsidRPr="00681482">
              <w:rPr>
                <w:rFonts w:cs="Arial"/>
                <w:sz w:val="18"/>
                <w:szCs w:val="18"/>
              </w:rPr>
              <w:t xml:space="preserve">  3.3</w:t>
            </w:r>
          </w:p>
        </w:tc>
        <w:tc>
          <w:tcPr>
            <w:tcW w:w="1559" w:type="dxa"/>
            <w:tcBorders>
              <w:top w:val="nil"/>
              <w:left w:val="nil"/>
              <w:bottom w:val="single" w:sz="8" w:space="0" w:color="FFFFFF"/>
              <w:right w:val="single" w:sz="8" w:space="0" w:color="FFFFFF"/>
            </w:tcBorders>
            <w:shd w:val="clear" w:color="auto" w:fill="EFD3D2"/>
            <w:noWrap/>
            <w:vAlign w:val="center"/>
            <w:hideMark/>
          </w:tcPr>
          <w:p w14:paraId="112FE57F" w14:textId="4042564B" w:rsidR="006124C2" w:rsidRPr="00681482" w:rsidRDefault="006124C2" w:rsidP="006124C2">
            <w:pPr>
              <w:spacing w:before="0"/>
              <w:jc w:val="right"/>
              <w:rPr>
                <w:rFonts w:cs="Arial"/>
                <w:sz w:val="18"/>
                <w:szCs w:val="18"/>
              </w:rPr>
            </w:pPr>
            <w:r w:rsidRPr="00681482">
              <w:rPr>
                <w:rFonts w:cs="Arial"/>
                <w:sz w:val="18"/>
                <w:szCs w:val="18"/>
              </w:rPr>
              <w:t xml:space="preserve">  10.0</w:t>
            </w:r>
          </w:p>
        </w:tc>
        <w:tc>
          <w:tcPr>
            <w:tcW w:w="1559" w:type="dxa"/>
            <w:tcBorders>
              <w:top w:val="nil"/>
              <w:left w:val="nil"/>
              <w:bottom w:val="single" w:sz="8" w:space="0" w:color="FFFFFF"/>
              <w:right w:val="single" w:sz="8" w:space="0" w:color="FFFFFF"/>
            </w:tcBorders>
            <w:shd w:val="clear" w:color="auto" w:fill="EFD3D2"/>
            <w:noWrap/>
            <w:vAlign w:val="center"/>
            <w:hideMark/>
          </w:tcPr>
          <w:p w14:paraId="7583F873" w14:textId="1BC2D634" w:rsidR="006124C2" w:rsidRPr="00681482" w:rsidRDefault="006124C2" w:rsidP="006124C2">
            <w:pPr>
              <w:spacing w:before="0"/>
              <w:jc w:val="right"/>
              <w:rPr>
                <w:rFonts w:cs="Arial"/>
                <w:sz w:val="18"/>
                <w:szCs w:val="18"/>
              </w:rPr>
            </w:pPr>
            <w:r w:rsidRPr="00681482">
              <w:rPr>
                <w:rFonts w:cs="Arial"/>
                <w:sz w:val="18"/>
                <w:szCs w:val="18"/>
              </w:rPr>
              <w:t xml:space="preserve">  16.7</w:t>
            </w:r>
          </w:p>
        </w:tc>
        <w:tc>
          <w:tcPr>
            <w:tcW w:w="1560" w:type="dxa"/>
            <w:tcBorders>
              <w:top w:val="nil"/>
              <w:left w:val="nil"/>
              <w:bottom w:val="single" w:sz="8" w:space="0" w:color="FFFFFF"/>
              <w:right w:val="single" w:sz="8" w:space="0" w:color="FFFFFF"/>
            </w:tcBorders>
            <w:shd w:val="clear" w:color="auto" w:fill="EFD3D2"/>
            <w:vAlign w:val="center"/>
            <w:hideMark/>
          </w:tcPr>
          <w:p w14:paraId="62DF4046" w14:textId="4D521020" w:rsidR="006124C2" w:rsidRPr="00681482" w:rsidRDefault="006124C2" w:rsidP="006124C2">
            <w:pPr>
              <w:spacing w:before="0"/>
              <w:jc w:val="right"/>
              <w:rPr>
                <w:rFonts w:cs="Arial"/>
                <w:sz w:val="18"/>
                <w:szCs w:val="18"/>
              </w:rPr>
            </w:pPr>
            <w:r w:rsidRPr="00681482">
              <w:rPr>
                <w:rFonts w:cs="Arial"/>
                <w:sz w:val="18"/>
                <w:szCs w:val="18"/>
              </w:rPr>
              <w:t xml:space="preserve">  40.0</w:t>
            </w:r>
          </w:p>
        </w:tc>
      </w:tr>
      <w:tr w:rsidR="006124C2" w:rsidRPr="006A7092" w14:paraId="7491DF37" w14:textId="5DBCB7E8"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1D1C02B5" w14:textId="27979B49" w:rsidR="006124C2" w:rsidRPr="00681482" w:rsidRDefault="006124C2" w:rsidP="006124C2">
            <w:pPr>
              <w:spacing w:before="0"/>
              <w:jc w:val="left"/>
              <w:rPr>
                <w:rFonts w:cs="Arial"/>
                <w:b/>
                <w:sz w:val="18"/>
                <w:szCs w:val="18"/>
              </w:rPr>
            </w:pPr>
            <w:r w:rsidRPr="00681482">
              <w:rPr>
                <w:rFonts w:cs="Arial"/>
                <w:b/>
                <w:bCs/>
                <w:sz w:val="18"/>
                <w:szCs w:val="18"/>
              </w:rPr>
              <w:t>Australia</w:t>
            </w:r>
          </w:p>
        </w:tc>
        <w:tc>
          <w:tcPr>
            <w:tcW w:w="1559" w:type="dxa"/>
            <w:tcBorders>
              <w:top w:val="nil"/>
              <w:left w:val="nil"/>
              <w:bottom w:val="single" w:sz="8" w:space="0" w:color="FFFFFF"/>
              <w:right w:val="single" w:sz="8" w:space="0" w:color="FFFFFF"/>
            </w:tcBorders>
            <w:shd w:val="clear" w:color="auto" w:fill="auto"/>
            <w:noWrap/>
            <w:vAlign w:val="center"/>
            <w:hideMark/>
          </w:tcPr>
          <w:p w14:paraId="56A0922D" w14:textId="1FBA780F" w:rsidR="006124C2" w:rsidRPr="00681482" w:rsidRDefault="006124C2" w:rsidP="006124C2">
            <w:pPr>
              <w:spacing w:before="0"/>
              <w:jc w:val="right"/>
              <w:rPr>
                <w:rFonts w:cs="Arial"/>
                <w:b/>
                <w:sz w:val="18"/>
                <w:szCs w:val="18"/>
              </w:rPr>
            </w:pPr>
            <w:r w:rsidRPr="00681482">
              <w:rPr>
                <w:rFonts w:cs="Arial"/>
                <w:b/>
                <w:bCs/>
                <w:sz w:val="18"/>
                <w:szCs w:val="18"/>
              </w:rPr>
              <w:t xml:space="preserve">  14.6</w:t>
            </w:r>
          </w:p>
        </w:tc>
        <w:tc>
          <w:tcPr>
            <w:tcW w:w="1559" w:type="dxa"/>
            <w:tcBorders>
              <w:top w:val="nil"/>
              <w:left w:val="nil"/>
              <w:bottom w:val="single" w:sz="8" w:space="0" w:color="FFFFFF"/>
              <w:right w:val="single" w:sz="8" w:space="0" w:color="FFFFFF"/>
            </w:tcBorders>
            <w:shd w:val="clear" w:color="auto" w:fill="auto"/>
            <w:noWrap/>
            <w:vAlign w:val="center"/>
            <w:hideMark/>
          </w:tcPr>
          <w:p w14:paraId="69149991" w14:textId="4498AB9D" w:rsidR="006124C2" w:rsidRPr="00681482" w:rsidRDefault="006124C2" w:rsidP="006124C2">
            <w:pPr>
              <w:spacing w:before="0"/>
              <w:jc w:val="right"/>
              <w:rPr>
                <w:rFonts w:cs="Arial"/>
                <w:b/>
                <w:sz w:val="18"/>
                <w:szCs w:val="18"/>
              </w:rPr>
            </w:pPr>
            <w:r w:rsidRPr="00681482">
              <w:rPr>
                <w:rFonts w:cs="Arial"/>
                <w:b/>
                <w:bCs/>
                <w:sz w:val="18"/>
                <w:szCs w:val="18"/>
              </w:rPr>
              <w:t xml:space="preserve">  58.9</w:t>
            </w:r>
          </w:p>
        </w:tc>
        <w:tc>
          <w:tcPr>
            <w:tcW w:w="1559" w:type="dxa"/>
            <w:tcBorders>
              <w:top w:val="nil"/>
              <w:left w:val="nil"/>
              <w:bottom w:val="single" w:sz="8" w:space="0" w:color="FFFFFF"/>
              <w:right w:val="single" w:sz="8" w:space="0" w:color="FFFFFF"/>
            </w:tcBorders>
            <w:shd w:val="clear" w:color="auto" w:fill="auto"/>
            <w:noWrap/>
            <w:vAlign w:val="center"/>
            <w:hideMark/>
          </w:tcPr>
          <w:p w14:paraId="56544BFB" w14:textId="04218D4B" w:rsidR="006124C2" w:rsidRPr="00681482" w:rsidRDefault="006124C2" w:rsidP="006124C2">
            <w:pPr>
              <w:spacing w:before="0"/>
              <w:jc w:val="right"/>
              <w:rPr>
                <w:rFonts w:cs="Arial"/>
                <w:b/>
                <w:sz w:val="18"/>
                <w:szCs w:val="18"/>
              </w:rPr>
            </w:pPr>
            <w:r w:rsidRPr="00681482">
              <w:rPr>
                <w:rFonts w:cs="Arial"/>
                <w:b/>
                <w:bCs/>
                <w:sz w:val="18"/>
                <w:szCs w:val="18"/>
              </w:rPr>
              <w:t xml:space="preserve">  78.3</w:t>
            </w:r>
          </w:p>
        </w:tc>
        <w:tc>
          <w:tcPr>
            <w:tcW w:w="1560" w:type="dxa"/>
            <w:tcBorders>
              <w:top w:val="nil"/>
              <w:left w:val="nil"/>
              <w:bottom w:val="single" w:sz="8" w:space="0" w:color="FFFFFF"/>
              <w:right w:val="single" w:sz="8" w:space="0" w:color="FFFFFF"/>
            </w:tcBorders>
            <w:shd w:val="clear" w:color="auto" w:fill="auto"/>
            <w:vAlign w:val="center"/>
            <w:hideMark/>
          </w:tcPr>
          <w:p w14:paraId="7AF3C322" w14:textId="36F12F9F" w:rsidR="006124C2" w:rsidRPr="00681482" w:rsidRDefault="006124C2" w:rsidP="006124C2">
            <w:pPr>
              <w:spacing w:before="0"/>
              <w:jc w:val="right"/>
              <w:rPr>
                <w:rFonts w:cs="Arial"/>
                <w:b/>
                <w:sz w:val="18"/>
                <w:szCs w:val="18"/>
              </w:rPr>
            </w:pPr>
            <w:r w:rsidRPr="00681482">
              <w:rPr>
                <w:rFonts w:cs="Arial"/>
                <w:b/>
                <w:bCs/>
                <w:sz w:val="18"/>
                <w:szCs w:val="18"/>
              </w:rPr>
              <w:t xml:space="preserve">  87.6</w:t>
            </w:r>
          </w:p>
        </w:tc>
      </w:tr>
      <w:tr w:rsidR="006124C2" w:rsidRPr="006A7092" w14:paraId="3CD845B8" w14:textId="7B53762C" w:rsidTr="000714D9">
        <w:trPr>
          <w:cantSplit/>
          <w:trHeight w:val="312"/>
        </w:trPr>
        <w:tc>
          <w:tcPr>
            <w:tcW w:w="3134" w:type="dxa"/>
            <w:tcBorders>
              <w:top w:val="nil"/>
              <w:left w:val="single" w:sz="8" w:space="0" w:color="FFFFFF"/>
              <w:bottom w:val="single" w:sz="8" w:space="0" w:color="FFFFFF"/>
              <w:right w:val="single" w:sz="8" w:space="0" w:color="FFFFFF"/>
            </w:tcBorders>
            <w:shd w:val="clear" w:color="auto" w:fill="EFD3D2"/>
            <w:noWrap/>
            <w:vAlign w:val="center"/>
            <w:hideMark/>
          </w:tcPr>
          <w:p w14:paraId="1B2D4887" w14:textId="06377C7A" w:rsidR="006124C2" w:rsidRPr="00681482" w:rsidRDefault="006124C2" w:rsidP="006124C2">
            <w:pPr>
              <w:spacing w:before="0"/>
              <w:jc w:val="left"/>
              <w:rPr>
                <w:rFonts w:cs="Arial"/>
                <w:sz w:val="18"/>
                <w:szCs w:val="18"/>
              </w:rPr>
            </w:pPr>
            <w:r w:rsidRPr="00681482">
              <w:rPr>
                <w:rFonts w:cs="Arial"/>
                <w:sz w:val="18"/>
                <w:szCs w:val="18"/>
              </w:rPr>
              <w:t>New Zealand</w:t>
            </w:r>
          </w:p>
        </w:tc>
        <w:tc>
          <w:tcPr>
            <w:tcW w:w="1559" w:type="dxa"/>
            <w:tcBorders>
              <w:top w:val="nil"/>
              <w:left w:val="nil"/>
              <w:bottom w:val="single" w:sz="8" w:space="0" w:color="FFFFFF"/>
              <w:right w:val="single" w:sz="8" w:space="0" w:color="FFFFFF"/>
            </w:tcBorders>
            <w:shd w:val="clear" w:color="auto" w:fill="EFD3D2"/>
            <w:noWrap/>
            <w:vAlign w:val="center"/>
            <w:hideMark/>
          </w:tcPr>
          <w:p w14:paraId="33442D26" w14:textId="6849EB9E" w:rsidR="006124C2" w:rsidRPr="00681482" w:rsidRDefault="006124C2" w:rsidP="006124C2">
            <w:pPr>
              <w:spacing w:before="0"/>
              <w:jc w:val="right"/>
              <w:rPr>
                <w:rFonts w:cs="Arial"/>
                <w:sz w:val="18"/>
                <w:szCs w:val="18"/>
              </w:rPr>
            </w:pPr>
            <w:r w:rsidRPr="00681482">
              <w:rPr>
                <w:rFonts w:cs="Arial"/>
                <w:sz w:val="18"/>
                <w:szCs w:val="18"/>
              </w:rPr>
              <w:t xml:space="preserve">  22.6</w:t>
            </w:r>
          </w:p>
        </w:tc>
        <w:tc>
          <w:tcPr>
            <w:tcW w:w="1559" w:type="dxa"/>
            <w:tcBorders>
              <w:top w:val="nil"/>
              <w:left w:val="nil"/>
              <w:bottom w:val="single" w:sz="8" w:space="0" w:color="FFFFFF"/>
              <w:right w:val="single" w:sz="8" w:space="0" w:color="FFFFFF"/>
            </w:tcBorders>
            <w:shd w:val="clear" w:color="auto" w:fill="EFD3D2"/>
            <w:noWrap/>
            <w:vAlign w:val="center"/>
            <w:hideMark/>
          </w:tcPr>
          <w:p w14:paraId="5984D6EE" w14:textId="3259E55E" w:rsidR="006124C2" w:rsidRPr="00681482" w:rsidRDefault="006124C2" w:rsidP="006124C2">
            <w:pPr>
              <w:spacing w:before="0"/>
              <w:jc w:val="right"/>
              <w:rPr>
                <w:rFonts w:cs="Arial"/>
                <w:sz w:val="18"/>
                <w:szCs w:val="18"/>
              </w:rPr>
            </w:pPr>
            <w:r w:rsidRPr="00681482">
              <w:rPr>
                <w:rFonts w:cs="Arial"/>
                <w:sz w:val="18"/>
                <w:szCs w:val="18"/>
              </w:rPr>
              <w:t xml:space="preserve">  54.4</w:t>
            </w:r>
          </w:p>
        </w:tc>
        <w:tc>
          <w:tcPr>
            <w:tcW w:w="1559" w:type="dxa"/>
            <w:tcBorders>
              <w:top w:val="nil"/>
              <w:left w:val="nil"/>
              <w:bottom w:val="single" w:sz="8" w:space="0" w:color="FFFFFF"/>
              <w:right w:val="single" w:sz="8" w:space="0" w:color="FFFFFF"/>
            </w:tcBorders>
            <w:shd w:val="clear" w:color="auto" w:fill="EFD3D2"/>
            <w:noWrap/>
            <w:vAlign w:val="center"/>
            <w:hideMark/>
          </w:tcPr>
          <w:p w14:paraId="58365747" w14:textId="35B69499" w:rsidR="006124C2" w:rsidRPr="00681482" w:rsidRDefault="006124C2" w:rsidP="006124C2">
            <w:pPr>
              <w:spacing w:before="0"/>
              <w:jc w:val="right"/>
              <w:rPr>
                <w:rFonts w:cs="Arial"/>
                <w:sz w:val="18"/>
                <w:szCs w:val="18"/>
              </w:rPr>
            </w:pPr>
            <w:r w:rsidRPr="00681482">
              <w:rPr>
                <w:rFonts w:cs="Arial"/>
                <w:sz w:val="18"/>
                <w:szCs w:val="18"/>
              </w:rPr>
              <w:t xml:space="preserve">  86.9</w:t>
            </w:r>
          </w:p>
        </w:tc>
        <w:tc>
          <w:tcPr>
            <w:tcW w:w="1560" w:type="dxa"/>
            <w:tcBorders>
              <w:top w:val="nil"/>
              <w:left w:val="nil"/>
              <w:bottom w:val="single" w:sz="8" w:space="0" w:color="FFFFFF"/>
              <w:right w:val="single" w:sz="8" w:space="0" w:color="FFFFFF"/>
            </w:tcBorders>
            <w:shd w:val="clear" w:color="auto" w:fill="EFD3D2"/>
            <w:vAlign w:val="center"/>
            <w:hideMark/>
          </w:tcPr>
          <w:p w14:paraId="37BF316F" w14:textId="2B58737E" w:rsidR="006124C2" w:rsidRPr="00681482" w:rsidRDefault="006124C2" w:rsidP="006124C2">
            <w:pPr>
              <w:spacing w:before="0"/>
              <w:jc w:val="right"/>
              <w:rPr>
                <w:rFonts w:cs="Arial"/>
                <w:sz w:val="18"/>
                <w:szCs w:val="18"/>
              </w:rPr>
            </w:pPr>
            <w:r w:rsidRPr="00681482">
              <w:rPr>
                <w:rFonts w:cs="Arial"/>
                <w:sz w:val="18"/>
                <w:szCs w:val="18"/>
              </w:rPr>
              <w:t xml:space="preserve">  94.8</w:t>
            </w:r>
          </w:p>
        </w:tc>
      </w:tr>
    </w:tbl>
    <w:p w14:paraId="4FF767E1" w14:textId="77777777" w:rsidR="000714D9" w:rsidRDefault="000714D9" w:rsidP="000714D9">
      <w:pPr>
        <w:pStyle w:val="Footnote"/>
        <w:jc w:val="left"/>
        <w:sectPr w:rsidR="000714D9" w:rsidSect="000714D9">
          <w:headerReference w:type="even" r:id="rId16"/>
          <w:headerReference w:type="default" r:id="rId17"/>
          <w:footerReference w:type="even" r:id="rId18"/>
          <w:footerReference w:type="default" r:id="rId19"/>
          <w:pgSz w:w="11906" w:h="16838"/>
          <w:pgMar w:top="1134" w:right="1134" w:bottom="1134" w:left="1418" w:header="720" w:footer="720" w:gutter="0"/>
          <w:cols w:space="720"/>
          <w:noEndnote/>
        </w:sectPr>
      </w:pPr>
      <w:bookmarkStart w:id="18" w:name="_Toc476564192"/>
      <w:r w:rsidRPr="00B33B27">
        <w:t>*</w:t>
      </w:r>
      <w:r>
        <w:t xml:space="preserve"> </w:t>
      </w:r>
      <w:r w:rsidRPr="00B33B27">
        <w:t xml:space="preserve">South Australia and the Northern Territory cannot supply data on </w:t>
      </w:r>
      <w:r>
        <w:t xml:space="preserve">the </w:t>
      </w:r>
      <w:r w:rsidRPr="00B33B27">
        <w:t>time required to resolve disputes.</w:t>
      </w:r>
    </w:p>
    <w:p w14:paraId="419E426C" w14:textId="0686E23F" w:rsidR="00106011" w:rsidRDefault="00C200CA" w:rsidP="00750582">
      <w:pPr>
        <w:pStyle w:val="SWASectionnumberingheading"/>
        <w:numPr>
          <w:ilvl w:val="0"/>
          <w:numId w:val="0"/>
        </w:numPr>
        <w:spacing w:before="0"/>
      </w:pPr>
      <w:bookmarkStart w:id="19" w:name="_Toc476564200"/>
      <w:bookmarkStart w:id="20" w:name="_Toc56776904"/>
      <w:bookmarkStart w:id="21" w:name="_Toc80188299"/>
      <w:bookmarkEnd w:id="0"/>
      <w:bookmarkEnd w:id="5"/>
      <w:bookmarkEnd w:id="18"/>
      <w:r>
        <w:lastRenderedPageBreak/>
        <w:t>Appendix 1</w:t>
      </w:r>
      <w:r w:rsidR="00106011">
        <w:t xml:space="preserve"> </w:t>
      </w:r>
      <w:bookmarkStart w:id="22" w:name="_Toc79584104"/>
      <w:bookmarkEnd w:id="19"/>
      <w:bookmarkEnd w:id="20"/>
      <w:r w:rsidR="00106011">
        <w:t>– Jurisdictional contact information</w:t>
      </w:r>
      <w:bookmarkEnd w:id="21"/>
      <w:bookmarkEnd w:id="22"/>
      <w:r w:rsidR="00106011">
        <w:t xml:space="preserve"> </w:t>
      </w:r>
    </w:p>
    <w:tbl>
      <w:tblPr>
        <w:tblStyle w:val="LightShading-Accent2"/>
        <w:tblW w:w="5310"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689"/>
        <w:gridCol w:w="3499"/>
        <w:gridCol w:w="3182"/>
      </w:tblGrid>
      <w:tr w:rsidR="00106011" w:rsidRPr="001928BE" w14:paraId="0CA6ED7B" w14:textId="77777777" w:rsidTr="00106011">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1435" w:type="pct"/>
            <w:vAlign w:val="center"/>
          </w:tcPr>
          <w:p w14:paraId="6F66FB21" w14:textId="77777777" w:rsidR="00106011" w:rsidRPr="001928BE" w:rsidRDefault="00106011" w:rsidP="003D6109">
            <w:pPr>
              <w:spacing w:before="40" w:after="40"/>
              <w:ind w:left="113"/>
              <w:jc w:val="center"/>
              <w:rPr>
                <w:rFonts w:cs="Arial"/>
                <w:szCs w:val="20"/>
              </w:rPr>
            </w:pPr>
            <w:r w:rsidRPr="001928BE">
              <w:rPr>
                <w:rFonts w:cs="Arial"/>
                <w:szCs w:val="20"/>
              </w:rPr>
              <w:t>Jurisdiction</w:t>
            </w:r>
          </w:p>
        </w:tc>
        <w:tc>
          <w:tcPr>
            <w:tcW w:w="1867" w:type="pct"/>
            <w:vAlign w:val="center"/>
          </w:tcPr>
          <w:p w14:paraId="5CBD0F48" w14:textId="77777777" w:rsidR="00106011" w:rsidRPr="001928BE" w:rsidRDefault="00106011" w:rsidP="003D6109">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Organisation</w:t>
            </w:r>
          </w:p>
        </w:tc>
        <w:tc>
          <w:tcPr>
            <w:tcW w:w="1698" w:type="pct"/>
            <w:vAlign w:val="center"/>
          </w:tcPr>
          <w:p w14:paraId="5C002561" w14:textId="77777777" w:rsidR="00106011" w:rsidRPr="001928BE" w:rsidRDefault="00106011" w:rsidP="003D6109">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Contact details</w:t>
            </w:r>
          </w:p>
        </w:tc>
      </w:tr>
      <w:tr w:rsidR="006B7D75" w:rsidRPr="001928BE" w14:paraId="34F377FE" w14:textId="77777777" w:rsidTr="001928BE">
        <w:trPr>
          <w:cnfStyle w:val="000000100000" w:firstRow="0" w:lastRow="0" w:firstColumn="0" w:lastColumn="0" w:oddVBand="0" w:evenVBand="0" w:oddHBand="1" w:evenHBand="0"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435" w:type="pct"/>
          </w:tcPr>
          <w:p w14:paraId="7AF14918" w14:textId="77777777" w:rsidR="006B7D75" w:rsidRPr="001928BE" w:rsidRDefault="006B7D75" w:rsidP="006B7D75">
            <w:pPr>
              <w:spacing w:before="40" w:after="40"/>
              <w:jc w:val="left"/>
              <w:rPr>
                <w:rFonts w:cs="Arial"/>
                <w:szCs w:val="20"/>
              </w:rPr>
            </w:pPr>
            <w:r w:rsidRPr="001928BE">
              <w:rPr>
                <w:rFonts w:cs="Arial"/>
                <w:szCs w:val="20"/>
              </w:rPr>
              <w:t>New South Wales</w:t>
            </w:r>
          </w:p>
          <w:p w14:paraId="158E0D84" w14:textId="77777777" w:rsidR="006B7D75" w:rsidRPr="001928BE" w:rsidRDefault="006B7D75" w:rsidP="006B7D75">
            <w:pPr>
              <w:spacing w:before="40" w:after="40"/>
              <w:jc w:val="left"/>
              <w:rPr>
                <w:rFonts w:cs="Arial"/>
                <w:szCs w:val="20"/>
              </w:rPr>
            </w:pPr>
          </w:p>
          <w:p w14:paraId="05A934BC" w14:textId="77777777" w:rsidR="006B7D75" w:rsidRPr="001928BE" w:rsidRDefault="006B7D75" w:rsidP="006B7D75">
            <w:pPr>
              <w:spacing w:before="40" w:after="40"/>
              <w:jc w:val="left"/>
              <w:rPr>
                <w:rFonts w:cs="Arial"/>
                <w:szCs w:val="20"/>
              </w:rPr>
            </w:pPr>
          </w:p>
        </w:tc>
        <w:tc>
          <w:tcPr>
            <w:tcW w:w="1867" w:type="pct"/>
          </w:tcPr>
          <w:p w14:paraId="4758B11E"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State Insurance Regulatory Authority</w:t>
            </w:r>
            <w:r w:rsidRPr="001928BE">
              <w:rPr>
                <w:rFonts w:cs="Arial"/>
                <w:szCs w:val="20"/>
              </w:rPr>
              <w:br/>
            </w:r>
          </w:p>
          <w:p w14:paraId="0F4C7290"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2D3BBFC"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0FDF5278"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NSW</w:t>
            </w:r>
          </w:p>
          <w:p w14:paraId="056B879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93E3721"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32D59D18" w14:textId="281161F2"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NSW Personal Injury Commission</w:t>
            </w:r>
          </w:p>
          <w:p w14:paraId="47F86CB9"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6B5E6027"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7B613CCC" w14:textId="3DE73EBB"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icare</w:t>
            </w:r>
            <w:proofErr w:type="spellEnd"/>
            <w:r w:rsidRPr="001928BE">
              <w:rPr>
                <w:rFonts w:cs="Arial"/>
                <w:szCs w:val="20"/>
              </w:rPr>
              <w:t xml:space="preserve"> NSW</w:t>
            </w:r>
          </w:p>
        </w:tc>
        <w:tc>
          <w:tcPr>
            <w:tcW w:w="1698" w:type="pct"/>
          </w:tcPr>
          <w:p w14:paraId="719B662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13 10 50</w:t>
            </w:r>
          </w:p>
          <w:p w14:paraId="71ABCC2C" w14:textId="77777777" w:rsidR="006B7D75" w:rsidRPr="001928BE" w:rsidRDefault="00FD67A1"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20" w:history="1">
              <w:r w:rsidR="006B7D75" w:rsidRPr="001928BE">
                <w:rPr>
                  <w:rStyle w:val="Hyperlink"/>
                  <w:rFonts w:eastAsiaTheme="majorEastAsia" w:cs="Arial"/>
                  <w:color w:val="000000" w:themeColor="text1"/>
                  <w:szCs w:val="20"/>
                </w:rPr>
                <w:t>contact@sira.nsw.gov.au</w:t>
              </w:r>
            </w:hyperlink>
          </w:p>
          <w:p w14:paraId="66C4AFB0" w14:textId="77777777" w:rsidR="006B7D75" w:rsidRPr="001928BE" w:rsidRDefault="00FD67A1"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21" w:tooltip="Link to State Insurance Regulatory Authority NSW website" w:history="1">
              <w:r w:rsidR="006B7D75" w:rsidRPr="001928BE">
                <w:rPr>
                  <w:rStyle w:val="Hyperlink"/>
                  <w:rFonts w:eastAsiaTheme="majorEastAsia" w:cs="Arial"/>
                  <w:color w:val="000000" w:themeColor="text1"/>
                  <w:szCs w:val="20"/>
                </w:rPr>
                <w:t>www.sira.nsw.gov.au</w:t>
              </w:r>
            </w:hyperlink>
          </w:p>
          <w:p w14:paraId="2294EEF2" w14:textId="77777777" w:rsidR="006B7D75" w:rsidRPr="003D6109" w:rsidRDefault="006B7D75"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469F84FE"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contact@safework.nsw.gov.au</w:t>
            </w:r>
          </w:p>
          <w:p w14:paraId="70BDDE42" w14:textId="77777777"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22" w:tooltip="SafeWork NSW website" w:history="1">
              <w:r w:rsidR="006B7D75" w:rsidRPr="001928BE">
                <w:rPr>
                  <w:rStyle w:val="Hyperlink"/>
                  <w:rFonts w:eastAsiaTheme="majorEastAsia" w:cs="Arial"/>
                  <w:color w:val="000000" w:themeColor="text1"/>
                  <w:szCs w:val="20"/>
                </w:rPr>
                <w:t>www.safework.nsw.gov.au</w:t>
              </w:r>
            </w:hyperlink>
          </w:p>
          <w:p w14:paraId="3F048FF3"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D132E6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1800 742 679</w:t>
            </w:r>
          </w:p>
          <w:p w14:paraId="53E8DA92" w14:textId="77777777"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23" w:history="1">
              <w:r w:rsidR="006B7D75" w:rsidRPr="001928BE">
                <w:rPr>
                  <w:rStyle w:val="Hyperlink"/>
                  <w:rFonts w:eastAsiaTheme="majorEastAsia" w:cs="Arial"/>
                  <w:color w:val="000000" w:themeColor="text1"/>
                  <w:szCs w:val="20"/>
                </w:rPr>
                <w:t>www.pi.nsw.gov.au</w:t>
              </w:r>
            </w:hyperlink>
          </w:p>
          <w:p w14:paraId="2715FE1D"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5E09CFE" w14:textId="11C267AB"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24" w:history="1">
              <w:r w:rsidR="006B7D75" w:rsidRPr="001928BE">
                <w:rPr>
                  <w:rStyle w:val="Hyperlink"/>
                  <w:rFonts w:eastAsiaTheme="majorEastAsia" w:cs="Arial"/>
                  <w:color w:val="000000" w:themeColor="text1"/>
                  <w:szCs w:val="20"/>
                </w:rPr>
                <w:t>www.icare.nsw.gov.au</w:t>
              </w:r>
            </w:hyperlink>
          </w:p>
        </w:tc>
      </w:tr>
      <w:tr w:rsidR="006B7D75" w:rsidRPr="001928BE" w14:paraId="175BD344" w14:textId="77777777" w:rsidTr="00106011">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35" w:type="pct"/>
          </w:tcPr>
          <w:p w14:paraId="7B4F1C31" w14:textId="77777777" w:rsidR="006B7D75" w:rsidRPr="001928BE" w:rsidRDefault="006B7D75" w:rsidP="006B7D75">
            <w:pPr>
              <w:spacing w:before="40" w:after="40"/>
              <w:jc w:val="left"/>
              <w:rPr>
                <w:rFonts w:cs="Arial"/>
                <w:szCs w:val="20"/>
              </w:rPr>
            </w:pPr>
            <w:r w:rsidRPr="001928BE">
              <w:rPr>
                <w:rFonts w:cs="Arial"/>
                <w:szCs w:val="20"/>
              </w:rPr>
              <w:t>Victoria</w:t>
            </w:r>
          </w:p>
        </w:tc>
        <w:tc>
          <w:tcPr>
            <w:tcW w:w="1867" w:type="pct"/>
          </w:tcPr>
          <w:p w14:paraId="24F98A99"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98" w:type="pct"/>
          </w:tcPr>
          <w:p w14:paraId="7AADB2A1"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74AAB841" w14:textId="77777777" w:rsidR="006B7D75" w:rsidRPr="001928BE" w:rsidRDefault="00FD67A1" w:rsidP="006B7D75">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25" w:history="1">
              <w:r w:rsidR="006B7D75" w:rsidRPr="001928BE">
                <w:rPr>
                  <w:rStyle w:val="Hyperlink"/>
                  <w:rFonts w:eastAsiaTheme="majorEastAsia" w:cs="Arial"/>
                  <w:color w:val="000000" w:themeColor="text1"/>
                  <w:szCs w:val="20"/>
                </w:rPr>
                <w:t>info@worksafe.vic.gov.au</w:t>
              </w:r>
            </w:hyperlink>
          </w:p>
          <w:p w14:paraId="6782935A" w14:textId="546B99DC" w:rsidR="006B7D75" w:rsidRPr="001928BE" w:rsidRDefault="00FD67A1"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26" w:tooltip="Link to WorkSafe Victoria website" w:history="1">
              <w:r w:rsidR="006B7D75" w:rsidRPr="001928BE">
                <w:rPr>
                  <w:rStyle w:val="Hyperlink"/>
                  <w:rFonts w:eastAsiaTheme="majorEastAsia" w:cs="Arial"/>
                  <w:color w:val="000000" w:themeColor="text1"/>
                  <w:szCs w:val="20"/>
                </w:rPr>
                <w:t>www.worksafe.vic.gov.au</w:t>
              </w:r>
            </w:hyperlink>
          </w:p>
        </w:tc>
      </w:tr>
      <w:tr w:rsidR="006B7D75" w:rsidRPr="001928BE" w14:paraId="7C70D3B3" w14:textId="77777777" w:rsidTr="00106011">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435" w:type="pct"/>
          </w:tcPr>
          <w:p w14:paraId="38C49CF0" w14:textId="77777777" w:rsidR="006B7D75" w:rsidRPr="001928BE" w:rsidRDefault="006B7D75" w:rsidP="006B7D75">
            <w:pPr>
              <w:spacing w:before="40" w:after="40"/>
              <w:jc w:val="left"/>
              <w:rPr>
                <w:rFonts w:cs="Arial"/>
                <w:szCs w:val="20"/>
              </w:rPr>
            </w:pPr>
            <w:r w:rsidRPr="001928BE">
              <w:rPr>
                <w:rFonts w:cs="Arial"/>
                <w:szCs w:val="20"/>
              </w:rPr>
              <w:t>Queensland</w:t>
            </w:r>
          </w:p>
        </w:tc>
        <w:tc>
          <w:tcPr>
            <w:tcW w:w="1867" w:type="pct"/>
          </w:tcPr>
          <w:p w14:paraId="69C576BB" w14:textId="2DE53A53"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98" w:type="pct"/>
          </w:tcPr>
          <w:p w14:paraId="2AB4B0F1"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6B50238D" w14:textId="70F4C585"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27" w:history="1">
              <w:r w:rsidR="006B7D75" w:rsidRPr="001928BE">
                <w:rPr>
                  <w:rStyle w:val="Hyperlink"/>
                  <w:rFonts w:eastAsiaTheme="majorEastAsia" w:cs="Arial"/>
                  <w:color w:val="000000" w:themeColor="text1"/>
                  <w:szCs w:val="20"/>
                </w:rPr>
                <w:t>www.worksafe.qld.gov.au</w:t>
              </w:r>
            </w:hyperlink>
          </w:p>
        </w:tc>
      </w:tr>
      <w:tr w:rsidR="006B7D75" w:rsidRPr="001928BE" w14:paraId="4D2014DF" w14:textId="77777777" w:rsidTr="00106011">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435" w:type="pct"/>
          </w:tcPr>
          <w:p w14:paraId="0F76876C" w14:textId="77777777" w:rsidR="006B7D75" w:rsidRPr="001928BE" w:rsidRDefault="006B7D75" w:rsidP="006B7D75">
            <w:pPr>
              <w:spacing w:before="40" w:after="40"/>
              <w:jc w:val="left"/>
              <w:rPr>
                <w:rFonts w:cs="Arial"/>
                <w:szCs w:val="20"/>
              </w:rPr>
            </w:pPr>
            <w:r w:rsidRPr="001928BE">
              <w:rPr>
                <w:rFonts w:cs="Arial"/>
                <w:szCs w:val="20"/>
              </w:rPr>
              <w:t>Western Australia</w:t>
            </w:r>
          </w:p>
        </w:tc>
        <w:tc>
          <w:tcPr>
            <w:tcW w:w="1867" w:type="pct"/>
          </w:tcPr>
          <w:p w14:paraId="5135E46B"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roofErr w:type="spellStart"/>
            <w:r w:rsidRPr="001928BE">
              <w:rPr>
                <w:rFonts w:cs="Arial"/>
                <w:szCs w:val="20"/>
              </w:rPr>
              <w:t>WorkCover</w:t>
            </w:r>
            <w:proofErr w:type="spellEnd"/>
            <w:r w:rsidRPr="001928BE">
              <w:rPr>
                <w:rFonts w:cs="Arial"/>
                <w:szCs w:val="20"/>
              </w:rPr>
              <w:t xml:space="preserve"> WA</w:t>
            </w:r>
          </w:p>
          <w:p w14:paraId="1B88C0D4" w14:textId="310D6141" w:rsidR="006B7D75"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6958BDE6" w14:textId="77777777" w:rsidR="006B7D75" w:rsidRPr="003D6109"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685A4454"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98" w:type="pct"/>
          </w:tcPr>
          <w:p w14:paraId="383C17F6"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747004B7" w14:textId="77777777" w:rsidR="006B7D75" w:rsidRDefault="00FD67A1" w:rsidP="006B7D75">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28" w:tooltip="Link to WorkCover WA website" w:history="1">
              <w:r w:rsidR="006B7D75" w:rsidRPr="001928BE">
                <w:rPr>
                  <w:rStyle w:val="Hyperlink"/>
                  <w:rFonts w:eastAsiaTheme="majorEastAsia" w:cs="Arial"/>
                  <w:color w:val="000000" w:themeColor="text1"/>
                  <w:szCs w:val="20"/>
                </w:rPr>
                <w:t>www.workcover.wa.gov.au</w:t>
              </w:r>
            </w:hyperlink>
          </w:p>
          <w:p w14:paraId="0871E435" w14:textId="77777777" w:rsidR="006B7D75" w:rsidRPr="003D6109" w:rsidRDefault="006B7D75" w:rsidP="006B7D75">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144C8552"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54BC0BDE" w14:textId="56A359E1" w:rsidR="006B7D75" w:rsidRPr="001928BE" w:rsidRDefault="00FD67A1" w:rsidP="006B7D75">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29" w:tooltip="Link to Department of Mines, Industry Regulation and Safety– WorkSafe website" w:history="1">
              <w:r w:rsidR="006B7D75" w:rsidRPr="001928BE">
                <w:rPr>
                  <w:rStyle w:val="Hyperlink"/>
                  <w:rFonts w:eastAsiaTheme="majorEastAsia" w:cs="Arial"/>
                  <w:color w:val="000000" w:themeColor="text1"/>
                  <w:szCs w:val="20"/>
                </w:rPr>
                <w:t>www.dmirs.wa.gov.au</w:t>
              </w:r>
            </w:hyperlink>
          </w:p>
        </w:tc>
      </w:tr>
      <w:tr w:rsidR="006B7D75" w:rsidRPr="001928BE" w14:paraId="7D268AFB" w14:textId="77777777" w:rsidTr="00106011">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1435" w:type="pct"/>
          </w:tcPr>
          <w:p w14:paraId="62CD84F4" w14:textId="77777777" w:rsidR="006B7D75" w:rsidRPr="001928BE" w:rsidRDefault="006B7D75" w:rsidP="006B7D75">
            <w:pPr>
              <w:spacing w:before="40" w:after="40"/>
              <w:jc w:val="left"/>
              <w:rPr>
                <w:rFonts w:cs="Arial"/>
                <w:szCs w:val="20"/>
              </w:rPr>
            </w:pPr>
            <w:r w:rsidRPr="001928BE">
              <w:rPr>
                <w:rFonts w:cs="Arial"/>
                <w:szCs w:val="20"/>
              </w:rPr>
              <w:t>South Australia</w:t>
            </w:r>
          </w:p>
        </w:tc>
        <w:tc>
          <w:tcPr>
            <w:tcW w:w="1867" w:type="pct"/>
          </w:tcPr>
          <w:p w14:paraId="01726B99"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ReturnToWorkSA</w:t>
            </w:r>
            <w:proofErr w:type="spellEnd"/>
          </w:p>
          <w:p w14:paraId="1D966FBA" w14:textId="75C5B4D5" w:rsidR="006B7D75"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3CB73355"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2F48ED51"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98" w:type="pct"/>
          </w:tcPr>
          <w:p w14:paraId="6A335151"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4DC3725B" w14:textId="77777777" w:rsidR="006B7D75" w:rsidRDefault="00FD67A1"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0" w:tooltip="Link to Return to Work SA website" w:history="1">
              <w:r w:rsidR="006B7D75" w:rsidRPr="001928BE">
                <w:rPr>
                  <w:rStyle w:val="Hyperlink"/>
                  <w:rFonts w:eastAsiaTheme="majorEastAsia" w:cs="Arial"/>
                  <w:color w:val="000000" w:themeColor="text1"/>
                  <w:szCs w:val="20"/>
                </w:rPr>
                <w:t>www.rtwsa.com</w:t>
              </w:r>
            </w:hyperlink>
          </w:p>
          <w:p w14:paraId="5E06F668" w14:textId="77777777" w:rsidR="006B7D75" w:rsidRPr="003D6109" w:rsidRDefault="006B7D75"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4C27DC75"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341AA486" w14:textId="304144D4"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31" w:tooltip="Link to SafeWork SA website" w:history="1">
              <w:r w:rsidR="006B7D75" w:rsidRPr="001928BE">
                <w:rPr>
                  <w:rStyle w:val="Hyperlink"/>
                  <w:rFonts w:eastAsiaTheme="majorEastAsia" w:cs="Arial"/>
                  <w:color w:val="000000" w:themeColor="text1"/>
                  <w:szCs w:val="20"/>
                </w:rPr>
                <w:t>www.safework.sa.gov.au</w:t>
              </w:r>
            </w:hyperlink>
          </w:p>
        </w:tc>
      </w:tr>
      <w:tr w:rsidR="006B7D75" w:rsidRPr="001928BE" w14:paraId="58B9213F" w14:textId="77777777" w:rsidTr="00106011">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435" w:type="pct"/>
          </w:tcPr>
          <w:p w14:paraId="4AAECB60" w14:textId="77777777" w:rsidR="006B7D75" w:rsidRPr="001928BE" w:rsidRDefault="006B7D75" w:rsidP="006B7D75">
            <w:pPr>
              <w:spacing w:before="40" w:after="40"/>
              <w:jc w:val="left"/>
              <w:rPr>
                <w:rFonts w:cs="Arial"/>
                <w:szCs w:val="20"/>
              </w:rPr>
            </w:pPr>
            <w:r w:rsidRPr="001928BE">
              <w:rPr>
                <w:rFonts w:cs="Arial"/>
                <w:szCs w:val="20"/>
              </w:rPr>
              <w:t>Tasmania</w:t>
            </w:r>
          </w:p>
        </w:tc>
        <w:tc>
          <w:tcPr>
            <w:tcW w:w="1867" w:type="pct"/>
          </w:tcPr>
          <w:p w14:paraId="2236F6FC" w14:textId="4738F155"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98" w:type="pct"/>
          </w:tcPr>
          <w:p w14:paraId="66AB7FDA"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5C54B991"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395FD4AE" w14:textId="77777777" w:rsidR="006B7D75" w:rsidRPr="001928BE" w:rsidRDefault="00FD67A1" w:rsidP="006B7D75">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32" w:history="1">
              <w:r w:rsidR="006B7D75" w:rsidRPr="001928BE">
                <w:rPr>
                  <w:rStyle w:val="Hyperlink"/>
                  <w:rFonts w:eastAsiaTheme="majorEastAsia" w:cs="Arial"/>
                  <w:color w:val="000000" w:themeColor="text1"/>
                  <w:szCs w:val="20"/>
                </w:rPr>
                <w:t>wstinfo@justice.tas.gov.au</w:t>
              </w:r>
            </w:hyperlink>
          </w:p>
          <w:p w14:paraId="7A31849B" w14:textId="2C6EEB5B" w:rsidR="006B7D75" w:rsidRPr="001928BE" w:rsidRDefault="00FD67A1"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33" w:tooltip="Link to WorkSafe Tasmania website" w:history="1">
              <w:r w:rsidR="006B7D75" w:rsidRPr="001928BE">
                <w:rPr>
                  <w:rStyle w:val="Hyperlink"/>
                  <w:rFonts w:eastAsiaTheme="majorEastAsia" w:cs="Arial"/>
                  <w:color w:val="000000" w:themeColor="text1"/>
                  <w:szCs w:val="20"/>
                </w:rPr>
                <w:t>www.worksafe.tas.gov.au</w:t>
              </w:r>
            </w:hyperlink>
          </w:p>
        </w:tc>
      </w:tr>
      <w:tr w:rsidR="006B7D75" w:rsidRPr="001928BE" w14:paraId="5135AD83" w14:textId="77777777" w:rsidTr="00106011">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35" w:type="pct"/>
          </w:tcPr>
          <w:p w14:paraId="513D604D" w14:textId="77777777" w:rsidR="006B7D75" w:rsidRPr="001928BE" w:rsidRDefault="006B7D75" w:rsidP="006B7D75">
            <w:pPr>
              <w:spacing w:before="40" w:after="40"/>
              <w:jc w:val="left"/>
              <w:rPr>
                <w:rFonts w:cs="Arial"/>
                <w:szCs w:val="20"/>
              </w:rPr>
            </w:pPr>
            <w:r w:rsidRPr="001928BE">
              <w:rPr>
                <w:rFonts w:cs="Arial"/>
                <w:szCs w:val="20"/>
              </w:rPr>
              <w:t>Northern Territory</w:t>
            </w:r>
          </w:p>
        </w:tc>
        <w:tc>
          <w:tcPr>
            <w:tcW w:w="1867" w:type="pct"/>
          </w:tcPr>
          <w:p w14:paraId="3AA451D3"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98" w:type="pct"/>
          </w:tcPr>
          <w:p w14:paraId="7DB1F963"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2FB94972" w14:textId="77777777" w:rsidR="006B7D75" w:rsidRPr="001928BE" w:rsidRDefault="00FD67A1"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4" w:history="1">
              <w:r w:rsidR="006B7D75" w:rsidRPr="001928BE">
                <w:rPr>
                  <w:rStyle w:val="Hyperlink"/>
                  <w:rFonts w:eastAsiaTheme="majorEastAsia" w:cs="Arial"/>
                  <w:color w:val="000000" w:themeColor="text1"/>
                  <w:szCs w:val="20"/>
                </w:rPr>
                <w:t>ntworksafe@nt.gov.au</w:t>
              </w:r>
            </w:hyperlink>
          </w:p>
          <w:p w14:paraId="5D8BA494" w14:textId="72436544"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hyperlink r:id="rId35" w:history="1">
              <w:r w:rsidR="006B7D75" w:rsidRPr="001928BE">
                <w:rPr>
                  <w:rStyle w:val="Hyperlink"/>
                  <w:rFonts w:eastAsiaTheme="majorEastAsia" w:cs="Arial"/>
                  <w:color w:val="000000" w:themeColor="text1"/>
                  <w:szCs w:val="20"/>
                </w:rPr>
                <w:t>www.worksafe.nt.gov.au</w:t>
              </w:r>
            </w:hyperlink>
          </w:p>
        </w:tc>
      </w:tr>
      <w:tr w:rsidR="006B7D75" w:rsidRPr="001928BE" w14:paraId="20154E24" w14:textId="77777777" w:rsidTr="001928BE">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35" w:type="pct"/>
          </w:tcPr>
          <w:p w14:paraId="134E5C13" w14:textId="77777777" w:rsidR="006B7D75" w:rsidRPr="001928BE" w:rsidRDefault="006B7D75" w:rsidP="006B7D75">
            <w:pPr>
              <w:pStyle w:val="NoParagraphStyle"/>
              <w:spacing w:before="40" w:after="40" w:line="240" w:lineRule="auto"/>
              <w:rPr>
                <w:rFonts w:ascii="Arial" w:hAnsi="Arial" w:cs="Arial"/>
                <w:sz w:val="20"/>
                <w:szCs w:val="20"/>
              </w:rPr>
            </w:pPr>
            <w:r w:rsidRPr="001928BE">
              <w:rPr>
                <w:rFonts w:ascii="Arial" w:hAnsi="Arial" w:cs="Arial"/>
                <w:sz w:val="20"/>
                <w:szCs w:val="20"/>
              </w:rPr>
              <w:t>Australian Capital Territory</w:t>
            </w:r>
          </w:p>
        </w:tc>
        <w:tc>
          <w:tcPr>
            <w:tcW w:w="1867" w:type="pct"/>
          </w:tcPr>
          <w:p w14:paraId="402F0471" w14:textId="77777777" w:rsidR="006B7D75" w:rsidRPr="001928BE" w:rsidRDefault="006B7D75" w:rsidP="006B7D75">
            <w:pPr>
              <w:pStyle w:val="NoParagraphStyle"/>
              <w:spacing w:before="40" w:after="4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98" w:type="pct"/>
          </w:tcPr>
          <w:p w14:paraId="341B16ED"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77BCC66D" w14:textId="0E4B6010" w:rsidR="006B7D75" w:rsidRPr="001928BE" w:rsidRDefault="00FD67A1" w:rsidP="006B7D75">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36" w:history="1">
              <w:r w:rsidR="006B7D75" w:rsidRPr="001928BE">
                <w:rPr>
                  <w:rStyle w:val="Hyperlink"/>
                  <w:rFonts w:eastAsiaTheme="majorEastAsia" w:cs="Arial"/>
                  <w:color w:val="000000" w:themeColor="text1"/>
                  <w:szCs w:val="20"/>
                </w:rPr>
                <w:t>www.worksafe.act.gov.au</w:t>
              </w:r>
            </w:hyperlink>
          </w:p>
        </w:tc>
      </w:tr>
      <w:tr w:rsidR="006B7D75" w:rsidRPr="001928BE" w14:paraId="4C140F7C" w14:textId="77777777" w:rsidTr="0010601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5" w:type="pct"/>
          </w:tcPr>
          <w:p w14:paraId="6C638F5F" w14:textId="77777777" w:rsidR="006B7D75" w:rsidRPr="001928BE" w:rsidRDefault="006B7D75" w:rsidP="006B7D75">
            <w:pPr>
              <w:spacing w:before="40" w:after="40"/>
              <w:jc w:val="left"/>
              <w:rPr>
                <w:rFonts w:cs="Arial"/>
                <w:szCs w:val="20"/>
              </w:rPr>
            </w:pPr>
            <w:r w:rsidRPr="001928BE">
              <w:rPr>
                <w:rFonts w:cs="Arial"/>
                <w:szCs w:val="20"/>
              </w:rPr>
              <w:t>Seacare</w:t>
            </w:r>
          </w:p>
        </w:tc>
        <w:tc>
          <w:tcPr>
            <w:tcW w:w="1867" w:type="pct"/>
          </w:tcPr>
          <w:p w14:paraId="4280169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98" w:type="pct"/>
          </w:tcPr>
          <w:p w14:paraId="2B10AC4D"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39AEC271" w14:textId="77777777" w:rsidR="006B7D75" w:rsidRPr="001928BE" w:rsidRDefault="00FD67A1" w:rsidP="006B7D75">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7" w:history="1">
              <w:r w:rsidR="006B7D75" w:rsidRPr="001928BE">
                <w:rPr>
                  <w:rStyle w:val="Hyperlink"/>
                  <w:rFonts w:eastAsiaTheme="majorEastAsia" w:cs="Arial"/>
                  <w:color w:val="000000" w:themeColor="text1"/>
                  <w:szCs w:val="20"/>
                </w:rPr>
                <w:t>seacare@comcare.gov.au</w:t>
              </w:r>
            </w:hyperlink>
          </w:p>
          <w:p w14:paraId="5EED2E3F" w14:textId="006632EF"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38" w:tooltip="Link to Seacare Authority website" w:history="1">
              <w:r w:rsidR="006B7D75" w:rsidRPr="001928BE">
                <w:rPr>
                  <w:rStyle w:val="Hyperlink"/>
                  <w:rFonts w:eastAsiaTheme="majorEastAsia" w:cs="Arial"/>
                  <w:color w:val="000000" w:themeColor="text1"/>
                  <w:szCs w:val="20"/>
                </w:rPr>
                <w:t>www.seacare.gov.au</w:t>
              </w:r>
            </w:hyperlink>
          </w:p>
        </w:tc>
      </w:tr>
      <w:tr w:rsidR="006B7D75" w:rsidRPr="001928BE" w14:paraId="6B86B5C4" w14:textId="77777777" w:rsidTr="00106011">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35" w:type="pct"/>
          </w:tcPr>
          <w:p w14:paraId="38A2F7C4" w14:textId="77777777" w:rsidR="006B7D75" w:rsidRPr="001928BE" w:rsidRDefault="006B7D75" w:rsidP="006B7D75">
            <w:pPr>
              <w:spacing w:before="40" w:after="40"/>
              <w:jc w:val="left"/>
              <w:rPr>
                <w:rFonts w:cs="Arial"/>
                <w:szCs w:val="20"/>
              </w:rPr>
            </w:pPr>
            <w:r w:rsidRPr="001928BE">
              <w:rPr>
                <w:rFonts w:cs="Arial"/>
                <w:szCs w:val="20"/>
              </w:rPr>
              <w:t>Australian Government</w:t>
            </w:r>
          </w:p>
        </w:tc>
        <w:tc>
          <w:tcPr>
            <w:tcW w:w="1867" w:type="pct"/>
          </w:tcPr>
          <w:p w14:paraId="5F07ED5F"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98" w:type="pct"/>
          </w:tcPr>
          <w:p w14:paraId="41074B2E" w14:textId="77777777" w:rsidR="006B7D75" w:rsidRPr="001928BE" w:rsidRDefault="006B7D75" w:rsidP="006B7D75">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46F9783E" w14:textId="4FDBFD40" w:rsidR="006B7D75" w:rsidRPr="001928BE" w:rsidRDefault="00FD67A1" w:rsidP="006B7D75">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39" w:tooltip="Link to Comcare website" w:history="1">
              <w:r w:rsidR="006B7D75" w:rsidRPr="001928BE">
                <w:rPr>
                  <w:rStyle w:val="Hyperlink"/>
                  <w:rFonts w:eastAsiaTheme="majorEastAsia" w:cs="Arial"/>
                  <w:color w:val="000000" w:themeColor="text1"/>
                  <w:szCs w:val="20"/>
                </w:rPr>
                <w:t>www.comcare.gov.au</w:t>
              </w:r>
            </w:hyperlink>
          </w:p>
        </w:tc>
      </w:tr>
      <w:tr w:rsidR="006B7D75" w:rsidRPr="001928BE" w14:paraId="0060C8D4" w14:textId="77777777" w:rsidTr="001928BE">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435" w:type="pct"/>
          </w:tcPr>
          <w:p w14:paraId="29F818D7" w14:textId="77777777" w:rsidR="006B7D75" w:rsidRPr="001928BE" w:rsidRDefault="006B7D75" w:rsidP="006B7D75">
            <w:pPr>
              <w:spacing w:before="40" w:after="40"/>
              <w:jc w:val="left"/>
              <w:rPr>
                <w:rFonts w:cs="Arial"/>
                <w:szCs w:val="20"/>
              </w:rPr>
            </w:pPr>
            <w:r w:rsidRPr="001928BE">
              <w:rPr>
                <w:rFonts w:cs="Arial"/>
                <w:szCs w:val="20"/>
              </w:rPr>
              <w:t>New Zealand</w:t>
            </w:r>
          </w:p>
        </w:tc>
        <w:tc>
          <w:tcPr>
            <w:tcW w:w="1867" w:type="pct"/>
          </w:tcPr>
          <w:p w14:paraId="2DDDB4AB"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2D68BF51"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26804CEF"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231443BE" w14:textId="5750B079" w:rsidR="006B7D75" w:rsidRPr="001928BE" w:rsidRDefault="006B7D75" w:rsidP="006B7D75">
            <w:pPr>
              <w:tabs>
                <w:tab w:val="left" w:pos="2445"/>
              </w:tabs>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98" w:type="pct"/>
          </w:tcPr>
          <w:p w14:paraId="27D91205"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4D95168B" w14:textId="77777777"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0" w:tooltip="Accident Compensation Corporation website" w:history="1">
              <w:r w:rsidR="006B7D75" w:rsidRPr="001928BE">
                <w:rPr>
                  <w:rStyle w:val="Hyperlinks"/>
                  <w:rFonts w:eastAsiaTheme="majorEastAsia" w:cs="Arial"/>
                  <w:color w:val="000000" w:themeColor="text1"/>
                  <w:szCs w:val="20"/>
                </w:rPr>
                <w:t>www.acc.co.nz</w:t>
              </w:r>
            </w:hyperlink>
          </w:p>
          <w:p w14:paraId="6B8EAC55" w14:textId="77777777" w:rsidR="006B7D75" w:rsidRPr="003D6109"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 w:val="10"/>
                <w:szCs w:val="10"/>
              </w:rPr>
            </w:pPr>
          </w:p>
          <w:p w14:paraId="5B7630EA" w14:textId="77777777" w:rsidR="006B7D75" w:rsidRPr="001928BE" w:rsidRDefault="006B7D75" w:rsidP="006B7D75">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64FE0709" w14:textId="603F5A8C" w:rsidR="006B7D75" w:rsidRPr="001928BE" w:rsidRDefault="00FD67A1" w:rsidP="006B7D75">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1" w:history="1">
              <w:r w:rsidR="006B7D75" w:rsidRPr="001928BE">
                <w:rPr>
                  <w:rStyle w:val="Hyperlinks"/>
                  <w:rFonts w:eastAsiaTheme="majorEastAsia" w:cs="Arial"/>
                  <w:color w:val="000000" w:themeColor="text1"/>
                  <w:szCs w:val="20"/>
                </w:rPr>
                <w:t>www.worksafe.govt.nz</w:t>
              </w:r>
            </w:hyperlink>
          </w:p>
        </w:tc>
      </w:tr>
    </w:tbl>
    <w:p w14:paraId="1FB5502D" w14:textId="77777777" w:rsidR="00EE3284" w:rsidRPr="00106011" w:rsidRDefault="00EE3284">
      <w:pPr>
        <w:rPr>
          <w:sz w:val="2"/>
          <w:szCs w:val="2"/>
        </w:rPr>
      </w:pPr>
    </w:p>
    <w:sectPr w:rsidR="00EE3284" w:rsidRPr="00106011" w:rsidSect="00106011">
      <w:headerReference w:type="first" r:id="rId42"/>
      <w:pgSz w:w="11906" w:h="16838"/>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ABD5F" w14:textId="77777777" w:rsidR="00C13F13" w:rsidRDefault="00C13F13">
      <w:pPr>
        <w:spacing w:before="0"/>
      </w:pPr>
      <w:r>
        <w:separator/>
      </w:r>
    </w:p>
  </w:endnote>
  <w:endnote w:type="continuationSeparator" w:id="0">
    <w:p w14:paraId="4496949B" w14:textId="77777777" w:rsidR="00C13F13" w:rsidRDefault="00C13F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824724"/>
      <w:docPartObj>
        <w:docPartGallery w:val="Page Numbers (Bottom of Page)"/>
        <w:docPartUnique/>
      </w:docPartObj>
    </w:sdtPr>
    <w:sdtEndPr>
      <w:rPr>
        <w:noProof/>
      </w:rPr>
    </w:sdtEndPr>
    <w:sdtContent>
      <w:p w14:paraId="0671E645" w14:textId="77777777" w:rsidR="002A5C28" w:rsidRDefault="002A5C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B90AC" w14:textId="77777777" w:rsidR="002A5C28" w:rsidRDefault="002A5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4051" w14:textId="7B8F5AFB" w:rsidR="002A5C28" w:rsidRPr="009A3FE7" w:rsidRDefault="002A5C28" w:rsidP="000714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264023"/>
      <w:docPartObj>
        <w:docPartGallery w:val="Page Numbers (Bottom of Page)"/>
        <w:docPartUnique/>
      </w:docPartObj>
    </w:sdtPr>
    <w:sdtEndPr>
      <w:rPr>
        <w:noProof/>
      </w:rPr>
    </w:sdtEndPr>
    <w:sdtContent>
      <w:p w14:paraId="3EFCC7D4" w14:textId="30423635" w:rsidR="002A5C28" w:rsidRDefault="002A5C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8ADB53" w14:textId="77777777" w:rsidR="002A5C28" w:rsidRPr="00782503" w:rsidRDefault="002A5C28" w:rsidP="000714D9">
    <w:pPr>
      <w:pStyle w:val="Footer"/>
      <w:tabs>
        <w:tab w:val="clear" w:pos="9026"/>
        <w:tab w:val="left" w:pos="9072"/>
        <w:tab w:val="right" w:pos="14034"/>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25D30" w14:textId="77777777" w:rsidR="00C13F13" w:rsidRDefault="00C13F13">
      <w:pPr>
        <w:spacing w:before="0"/>
      </w:pPr>
      <w:r>
        <w:separator/>
      </w:r>
    </w:p>
  </w:footnote>
  <w:footnote w:type="continuationSeparator" w:id="0">
    <w:p w14:paraId="01485F7E" w14:textId="77777777" w:rsidR="00C13F13" w:rsidRDefault="00C13F1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8330" w14:textId="43CCCCBA" w:rsidR="002A5C28" w:rsidRPr="00D23512" w:rsidRDefault="002A5C28" w:rsidP="000714D9">
    <w:pPr>
      <w:pStyle w:val="HeaderChapterStar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1163" w14:textId="7D379BFE" w:rsidR="002A5C28" w:rsidRPr="002148A2" w:rsidRDefault="002A5C28" w:rsidP="000714D9">
    <w:pPr>
      <w:pStyle w:val="HeaderChapterStar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DA33A" w14:textId="77777777" w:rsidR="002A5C28" w:rsidRDefault="002A5C28" w:rsidP="00106011">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C2B65"/>
    <w:multiLevelType w:val="hybridMultilevel"/>
    <w:tmpl w:val="8CD8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83431D"/>
    <w:multiLevelType w:val="hybridMultilevel"/>
    <w:tmpl w:val="964C6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52EFE"/>
    <w:multiLevelType w:val="hybridMultilevel"/>
    <w:tmpl w:val="0E38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980426"/>
    <w:multiLevelType w:val="hybridMultilevel"/>
    <w:tmpl w:val="B682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360EFB"/>
    <w:multiLevelType w:val="hybridMultilevel"/>
    <w:tmpl w:val="60122FDE"/>
    <w:lvl w:ilvl="0" w:tplc="D214C0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137DFE"/>
    <w:multiLevelType w:val="multilevel"/>
    <w:tmpl w:val="4BDA3DC4"/>
    <w:numStyleLink w:val="SecNumb"/>
  </w:abstractNum>
  <w:abstractNum w:abstractNumId="8" w15:restartNumberingAfterBreak="0">
    <w:nsid w:val="6D4D6788"/>
    <w:multiLevelType w:val="hybridMultilevel"/>
    <w:tmpl w:val="B7F47F3A"/>
    <w:lvl w:ilvl="0" w:tplc="3AAC436A">
      <w:start w:val="1"/>
      <w:numFmt w:val="bullet"/>
      <w:pStyle w:val="BodyJustified"/>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73C64EF8"/>
    <w:multiLevelType w:val="hybridMultilevel"/>
    <w:tmpl w:val="8E8E4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pStyle w:val="SWASectionnum2"/>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A264D88"/>
    <w:multiLevelType w:val="hybridMultilevel"/>
    <w:tmpl w:val="04D6DDC4"/>
    <w:lvl w:ilvl="0" w:tplc="AE34B2AA">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E40D07"/>
    <w:multiLevelType w:val="hybridMultilevel"/>
    <w:tmpl w:val="D4AC89FA"/>
    <w:lvl w:ilvl="0" w:tplc="D214C04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lvlOverride w:ilvl="0"/>
  </w:num>
  <w:num w:numId="3">
    <w:abstractNumId w:val="3"/>
  </w:num>
  <w:num w:numId="4">
    <w:abstractNumId w:val="4"/>
  </w:num>
  <w:num w:numId="5">
    <w:abstractNumId w:val="11"/>
  </w:num>
  <w:num w:numId="6">
    <w:abstractNumId w:val="7"/>
    <w:lvlOverride w:ilvl="0"/>
  </w:num>
  <w:num w:numId="7">
    <w:abstractNumId w:val="7"/>
    <w:lvlOverride w:ilvl="0"/>
  </w:num>
  <w:num w:numId="8">
    <w:abstractNumId w:val="9"/>
  </w:num>
  <w:num w:numId="9">
    <w:abstractNumId w:val="6"/>
  </w:num>
  <w:num w:numId="10">
    <w:abstractNumId w:val="12"/>
  </w:num>
  <w:num w:numId="11">
    <w:abstractNumId w:val="2"/>
  </w:num>
  <w:num w:numId="12">
    <w:abstractNumId w:val="7"/>
    <w:lvlOverride w:ilvl="0"/>
  </w:num>
  <w:num w:numId="13">
    <w:abstractNumId w:val="7"/>
    <w:lvlOverride w:ilvl="0"/>
  </w:num>
  <w:num w:numId="14">
    <w:abstractNumId w:val="5"/>
  </w:num>
  <w:num w:numId="15">
    <w:abstractNumId w:val="0"/>
  </w:num>
  <w:num w:numId="16">
    <w:abstractNumId w:val="7"/>
    <w:lvlOverride w:ilv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84"/>
    <w:rsid w:val="000032FC"/>
    <w:rsid w:val="00027017"/>
    <w:rsid w:val="000458A4"/>
    <w:rsid w:val="00053ED2"/>
    <w:rsid w:val="00055D80"/>
    <w:rsid w:val="000669E5"/>
    <w:rsid w:val="000714D9"/>
    <w:rsid w:val="00087563"/>
    <w:rsid w:val="000A612D"/>
    <w:rsid w:val="000B66FE"/>
    <w:rsid w:val="000F153A"/>
    <w:rsid w:val="00104CFC"/>
    <w:rsid w:val="00106011"/>
    <w:rsid w:val="00106DEB"/>
    <w:rsid w:val="00151F50"/>
    <w:rsid w:val="00174052"/>
    <w:rsid w:val="0018556F"/>
    <w:rsid w:val="00187E26"/>
    <w:rsid w:val="00191D7A"/>
    <w:rsid w:val="001928BE"/>
    <w:rsid w:val="00195045"/>
    <w:rsid w:val="00197C78"/>
    <w:rsid w:val="001A0F53"/>
    <w:rsid w:val="001C22C7"/>
    <w:rsid w:val="001D0F74"/>
    <w:rsid w:val="001E11C5"/>
    <w:rsid w:val="001E7E38"/>
    <w:rsid w:val="001F3D7D"/>
    <w:rsid w:val="00213C2D"/>
    <w:rsid w:val="002245FF"/>
    <w:rsid w:val="00225E29"/>
    <w:rsid w:val="00236664"/>
    <w:rsid w:val="0024667E"/>
    <w:rsid w:val="00247636"/>
    <w:rsid w:val="00256655"/>
    <w:rsid w:val="00261766"/>
    <w:rsid w:val="0027214E"/>
    <w:rsid w:val="00294DB3"/>
    <w:rsid w:val="00297EBA"/>
    <w:rsid w:val="002A3C3F"/>
    <w:rsid w:val="002A5C28"/>
    <w:rsid w:val="002C69A5"/>
    <w:rsid w:val="002D28D9"/>
    <w:rsid w:val="002D4CA3"/>
    <w:rsid w:val="002F1D64"/>
    <w:rsid w:val="002F2E61"/>
    <w:rsid w:val="002F6DB6"/>
    <w:rsid w:val="0030075A"/>
    <w:rsid w:val="00307616"/>
    <w:rsid w:val="003123BE"/>
    <w:rsid w:val="00324D27"/>
    <w:rsid w:val="00335950"/>
    <w:rsid w:val="00344348"/>
    <w:rsid w:val="00347938"/>
    <w:rsid w:val="003528B9"/>
    <w:rsid w:val="00364257"/>
    <w:rsid w:val="003643C7"/>
    <w:rsid w:val="003933BB"/>
    <w:rsid w:val="003A108C"/>
    <w:rsid w:val="003A4C86"/>
    <w:rsid w:val="003C6578"/>
    <w:rsid w:val="003D00FC"/>
    <w:rsid w:val="003D31CF"/>
    <w:rsid w:val="003D6109"/>
    <w:rsid w:val="004210D1"/>
    <w:rsid w:val="00437D87"/>
    <w:rsid w:val="004431BB"/>
    <w:rsid w:val="00444D96"/>
    <w:rsid w:val="004653B0"/>
    <w:rsid w:val="0047221B"/>
    <w:rsid w:val="00477BE4"/>
    <w:rsid w:val="0048654D"/>
    <w:rsid w:val="00487B61"/>
    <w:rsid w:val="004A1CBE"/>
    <w:rsid w:val="004B44A7"/>
    <w:rsid w:val="004C20F5"/>
    <w:rsid w:val="004D0F09"/>
    <w:rsid w:val="004E2742"/>
    <w:rsid w:val="004F6A71"/>
    <w:rsid w:val="00513613"/>
    <w:rsid w:val="00513F1C"/>
    <w:rsid w:val="00520717"/>
    <w:rsid w:val="00524F55"/>
    <w:rsid w:val="00542F3E"/>
    <w:rsid w:val="0056318D"/>
    <w:rsid w:val="00575365"/>
    <w:rsid w:val="00584EE4"/>
    <w:rsid w:val="00597D28"/>
    <w:rsid w:val="005A5735"/>
    <w:rsid w:val="005B7FDC"/>
    <w:rsid w:val="005C16DC"/>
    <w:rsid w:val="005C3EB9"/>
    <w:rsid w:val="005E5930"/>
    <w:rsid w:val="005E5B95"/>
    <w:rsid w:val="005F1FB9"/>
    <w:rsid w:val="005F7CAF"/>
    <w:rsid w:val="00604CAD"/>
    <w:rsid w:val="0060577E"/>
    <w:rsid w:val="006124C2"/>
    <w:rsid w:val="00613AD8"/>
    <w:rsid w:val="006165CD"/>
    <w:rsid w:val="00634D19"/>
    <w:rsid w:val="0068114D"/>
    <w:rsid w:val="00681482"/>
    <w:rsid w:val="006846FC"/>
    <w:rsid w:val="006A424D"/>
    <w:rsid w:val="006B1FA3"/>
    <w:rsid w:val="006B7D75"/>
    <w:rsid w:val="006C40BE"/>
    <w:rsid w:val="006C62B2"/>
    <w:rsid w:val="006F4FA5"/>
    <w:rsid w:val="007218D5"/>
    <w:rsid w:val="00721F0A"/>
    <w:rsid w:val="007224AB"/>
    <w:rsid w:val="007369C5"/>
    <w:rsid w:val="00744327"/>
    <w:rsid w:val="007451BB"/>
    <w:rsid w:val="0074746C"/>
    <w:rsid w:val="00750582"/>
    <w:rsid w:val="00752BA5"/>
    <w:rsid w:val="00752DCA"/>
    <w:rsid w:val="00755CDF"/>
    <w:rsid w:val="00756D3D"/>
    <w:rsid w:val="00770794"/>
    <w:rsid w:val="00777EF7"/>
    <w:rsid w:val="007874BF"/>
    <w:rsid w:val="007902E4"/>
    <w:rsid w:val="007905B7"/>
    <w:rsid w:val="007A2A68"/>
    <w:rsid w:val="007B1EDB"/>
    <w:rsid w:val="007D1594"/>
    <w:rsid w:val="00824B91"/>
    <w:rsid w:val="00825374"/>
    <w:rsid w:val="00830A56"/>
    <w:rsid w:val="00840020"/>
    <w:rsid w:val="00865FE1"/>
    <w:rsid w:val="00886F7E"/>
    <w:rsid w:val="008B1DCA"/>
    <w:rsid w:val="008C067B"/>
    <w:rsid w:val="008C0B61"/>
    <w:rsid w:val="008C1C34"/>
    <w:rsid w:val="008C6169"/>
    <w:rsid w:val="008F1E87"/>
    <w:rsid w:val="008F3B0D"/>
    <w:rsid w:val="00901E2C"/>
    <w:rsid w:val="00915C29"/>
    <w:rsid w:val="0092224F"/>
    <w:rsid w:val="00941CD8"/>
    <w:rsid w:val="009455A2"/>
    <w:rsid w:val="00956006"/>
    <w:rsid w:val="00967173"/>
    <w:rsid w:val="00975253"/>
    <w:rsid w:val="00986270"/>
    <w:rsid w:val="00986D99"/>
    <w:rsid w:val="0099788D"/>
    <w:rsid w:val="009C6110"/>
    <w:rsid w:val="009D40D8"/>
    <w:rsid w:val="009D6CBA"/>
    <w:rsid w:val="009F4522"/>
    <w:rsid w:val="00A256E1"/>
    <w:rsid w:val="00A25760"/>
    <w:rsid w:val="00A32AF3"/>
    <w:rsid w:val="00A43DD5"/>
    <w:rsid w:val="00A648A6"/>
    <w:rsid w:val="00A654E4"/>
    <w:rsid w:val="00A67C4A"/>
    <w:rsid w:val="00A72A4D"/>
    <w:rsid w:val="00A92A76"/>
    <w:rsid w:val="00AA7C33"/>
    <w:rsid w:val="00AC5F95"/>
    <w:rsid w:val="00AC602E"/>
    <w:rsid w:val="00AE04E0"/>
    <w:rsid w:val="00AE60CC"/>
    <w:rsid w:val="00AF5B1B"/>
    <w:rsid w:val="00B13472"/>
    <w:rsid w:val="00B21213"/>
    <w:rsid w:val="00B33D5A"/>
    <w:rsid w:val="00B470D0"/>
    <w:rsid w:val="00B7119D"/>
    <w:rsid w:val="00B73213"/>
    <w:rsid w:val="00B73F5F"/>
    <w:rsid w:val="00B80675"/>
    <w:rsid w:val="00B90B68"/>
    <w:rsid w:val="00B9255A"/>
    <w:rsid w:val="00B973B6"/>
    <w:rsid w:val="00BA50C9"/>
    <w:rsid w:val="00BC54A1"/>
    <w:rsid w:val="00BD2117"/>
    <w:rsid w:val="00BD2C17"/>
    <w:rsid w:val="00BF16A3"/>
    <w:rsid w:val="00C13F13"/>
    <w:rsid w:val="00C200CA"/>
    <w:rsid w:val="00C32305"/>
    <w:rsid w:val="00C33643"/>
    <w:rsid w:val="00C539F7"/>
    <w:rsid w:val="00C5463B"/>
    <w:rsid w:val="00C65591"/>
    <w:rsid w:val="00C96071"/>
    <w:rsid w:val="00CA1F00"/>
    <w:rsid w:val="00CA3A19"/>
    <w:rsid w:val="00CE25E6"/>
    <w:rsid w:val="00D020B0"/>
    <w:rsid w:val="00D03D06"/>
    <w:rsid w:val="00D113F2"/>
    <w:rsid w:val="00D23BAA"/>
    <w:rsid w:val="00D51600"/>
    <w:rsid w:val="00D84B65"/>
    <w:rsid w:val="00D94D65"/>
    <w:rsid w:val="00DB1688"/>
    <w:rsid w:val="00DC5804"/>
    <w:rsid w:val="00DC5DA9"/>
    <w:rsid w:val="00DE5D03"/>
    <w:rsid w:val="00E06D84"/>
    <w:rsid w:val="00E336F9"/>
    <w:rsid w:val="00E56741"/>
    <w:rsid w:val="00E65E9F"/>
    <w:rsid w:val="00EB2B10"/>
    <w:rsid w:val="00EB429A"/>
    <w:rsid w:val="00EE3284"/>
    <w:rsid w:val="00EE7984"/>
    <w:rsid w:val="00EF13F2"/>
    <w:rsid w:val="00F06D45"/>
    <w:rsid w:val="00F40499"/>
    <w:rsid w:val="00F75A5C"/>
    <w:rsid w:val="00F85FAD"/>
    <w:rsid w:val="00FA660D"/>
    <w:rsid w:val="00FB3A53"/>
    <w:rsid w:val="00FB6582"/>
    <w:rsid w:val="00FD67A1"/>
    <w:rsid w:val="00FE7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BEA7"/>
  <w15:chartTrackingRefBased/>
  <w15:docId w15:val="{82FAA708-BAD9-4007-94CB-08951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EE3284"/>
    <w:pPr>
      <w:spacing w:before="200" w:after="0" w:line="240" w:lineRule="auto"/>
      <w:jc w:val="both"/>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EE32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32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Link">
    <w:name w:val="SWA Link"/>
    <w:basedOn w:val="Normal"/>
    <w:link w:val="SWALinkChar"/>
    <w:qFormat/>
    <w:rsid w:val="00EE3284"/>
    <w:rPr>
      <w:u w:val="single"/>
    </w:rPr>
  </w:style>
  <w:style w:type="character" w:customStyle="1" w:styleId="SWALinkChar">
    <w:name w:val="SWA Link Char"/>
    <w:basedOn w:val="DefaultParagraphFont"/>
    <w:link w:val="SWALink"/>
    <w:rsid w:val="00EE3284"/>
    <w:rPr>
      <w:rFonts w:ascii="Arial" w:eastAsia="Times New Roman" w:hAnsi="Arial" w:cs="Times New Roman"/>
      <w:sz w:val="20"/>
      <w:szCs w:val="24"/>
      <w:u w:val="single"/>
      <w:lang w:eastAsia="en-AU"/>
    </w:rPr>
  </w:style>
  <w:style w:type="paragraph" w:customStyle="1" w:styleId="SWATableheader">
    <w:name w:val="SWA Table header"/>
    <w:link w:val="SWATableheaderChar"/>
    <w:qFormat/>
    <w:rsid w:val="00EE3284"/>
    <w:pPr>
      <w:keepNext/>
      <w:spacing w:before="200" w:after="200" w:line="276" w:lineRule="auto"/>
    </w:pPr>
    <w:rPr>
      <w:rFonts w:ascii="Arial" w:eastAsiaTheme="majorEastAsia" w:hAnsi="Arial" w:cstheme="majorBidi"/>
      <w:b/>
      <w:color w:val="AF1E2D"/>
      <w:spacing w:val="-3"/>
      <w:sz w:val="20"/>
    </w:rPr>
  </w:style>
  <w:style w:type="character" w:customStyle="1" w:styleId="SWATableheaderChar">
    <w:name w:val="SWA Table header Char"/>
    <w:basedOn w:val="DefaultParagraphFont"/>
    <w:link w:val="SWATableheader"/>
    <w:rsid w:val="00EE3284"/>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EE3284"/>
    <w:pPr>
      <w:numPr>
        <w:numId w:val="2"/>
      </w:numPr>
      <w:tabs>
        <w:tab w:val="num" w:pos="426"/>
      </w:tabs>
      <w:spacing w:before="360" w:after="240"/>
      <w:jc w:val="left"/>
    </w:pPr>
    <w:rPr>
      <w:rFonts w:ascii="Arial" w:hAnsi="Arial" w:cs="Arial"/>
      <w:b/>
      <w:color w:val="AF1E2D"/>
      <w:sz w:val="34"/>
      <w:szCs w:val="22"/>
    </w:rPr>
  </w:style>
  <w:style w:type="paragraph" w:customStyle="1" w:styleId="BodyJustified">
    <w:name w:val="Body Justified"/>
    <w:basedOn w:val="Normal"/>
    <w:next w:val="Normal"/>
    <w:autoRedefine/>
    <w:qFormat/>
    <w:rsid w:val="00DC5804"/>
    <w:pPr>
      <w:numPr>
        <w:numId w:val="17"/>
      </w:numPr>
      <w:suppressAutoHyphens/>
      <w:spacing w:before="120" w:after="120" w:line="276" w:lineRule="auto"/>
      <w:textboxTightWrap w:val="firstLineOnly"/>
    </w:pPr>
    <w:rPr>
      <w:rFonts w:eastAsiaTheme="minorHAnsi" w:cs="Arial"/>
      <w:szCs w:val="22"/>
      <w:lang w:val="en-US" w:eastAsia="en-US"/>
    </w:rPr>
  </w:style>
  <w:style w:type="paragraph" w:customStyle="1" w:styleId="SWASectionnum2">
    <w:name w:val="SWA Section num 2"/>
    <w:basedOn w:val="SWASectionnumberingheading"/>
    <w:qFormat/>
    <w:rsid w:val="00EE3284"/>
    <w:pPr>
      <w:numPr>
        <w:ilvl w:val="1"/>
      </w:numPr>
      <w:tabs>
        <w:tab w:val="num" w:pos="426"/>
      </w:tabs>
    </w:pPr>
    <w:rPr>
      <w:sz w:val="32"/>
    </w:rPr>
  </w:style>
  <w:style w:type="numbering" w:customStyle="1" w:styleId="SecNumb">
    <w:name w:val="SecNumb"/>
    <w:uiPriority w:val="99"/>
    <w:rsid w:val="00EE3284"/>
    <w:pPr>
      <w:numPr>
        <w:numId w:val="1"/>
      </w:numPr>
    </w:pPr>
  </w:style>
  <w:style w:type="paragraph" w:customStyle="1" w:styleId="SWASectionnum3">
    <w:name w:val="SWA Section num 3"/>
    <w:basedOn w:val="SWASectionnum2"/>
    <w:qFormat/>
    <w:rsid w:val="00EE3284"/>
    <w:pPr>
      <w:numPr>
        <w:ilvl w:val="2"/>
      </w:numPr>
      <w:tabs>
        <w:tab w:val="num" w:pos="360"/>
        <w:tab w:val="num" w:pos="426"/>
      </w:tabs>
    </w:pPr>
  </w:style>
  <w:style w:type="character" w:customStyle="1" w:styleId="Heading1Char">
    <w:name w:val="Heading 1 Char"/>
    <w:basedOn w:val="DefaultParagraphFont"/>
    <w:link w:val="Heading1"/>
    <w:uiPriority w:val="9"/>
    <w:rsid w:val="00EE328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semiHidden/>
    <w:rsid w:val="00EE3284"/>
    <w:rPr>
      <w:rFonts w:asciiTheme="majorHAnsi" w:eastAsiaTheme="majorEastAsia" w:hAnsiTheme="majorHAnsi" w:cstheme="majorBidi"/>
      <w:color w:val="2F5496" w:themeColor="accent1" w:themeShade="BF"/>
      <w:sz w:val="26"/>
      <w:szCs w:val="26"/>
      <w:lang w:eastAsia="en-AU"/>
    </w:rPr>
  </w:style>
  <w:style w:type="paragraph" w:customStyle="1" w:styleId="SWABullets">
    <w:name w:val="SWA Bullets"/>
    <w:basedOn w:val="ListParagraph"/>
    <w:link w:val="SWABulletsChar"/>
    <w:qFormat/>
    <w:rsid w:val="00EE3284"/>
    <w:pPr>
      <w:numPr>
        <w:numId w:val="3"/>
      </w:numPr>
      <w:overflowPunct w:val="0"/>
      <w:autoSpaceDE w:val="0"/>
      <w:autoSpaceDN w:val="0"/>
      <w:adjustRightInd w:val="0"/>
      <w:contextualSpacing w:val="0"/>
      <w:textAlignment w:val="baseline"/>
    </w:pPr>
    <w:rPr>
      <w:szCs w:val="20"/>
    </w:rPr>
  </w:style>
  <w:style w:type="character" w:customStyle="1" w:styleId="SWABulletsChar">
    <w:name w:val="SWA Bullets Char"/>
    <w:basedOn w:val="DefaultParagraphFont"/>
    <w:link w:val="SWABullets"/>
    <w:rsid w:val="00EE3284"/>
    <w:rPr>
      <w:rFonts w:ascii="Arial" w:eastAsia="Times New Roman" w:hAnsi="Arial" w:cs="Times New Roman"/>
      <w:sz w:val="20"/>
      <w:szCs w:val="20"/>
      <w:lang w:eastAsia="en-AU"/>
    </w:rPr>
  </w:style>
  <w:style w:type="paragraph" w:styleId="ListParagraph">
    <w:name w:val="List Paragraph"/>
    <w:aliases w:val="SWA List Paragraph,Indent"/>
    <w:basedOn w:val="Normal"/>
    <w:link w:val="ListParagraphChar"/>
    <w:uiPriority w:val="34"/>
    <w:qFormat/>
    <w:rsid w:val="00EE3284"/>
    <w:pPr>
      <w:ind w:left="720"/>
      <w:contextualSpacing/>
    </w:pPr>
  </w:style>
  <w:style w:type="paragraph" w:styleId="Title">
    <w:name w:val="Title"/>
    <w:aliases w:val="SWA Title"/>
    <w:basedOn w:val="Normal"/>
    <w:link w:val="TitleChar"/>
    <w:uiPriority w:val="10"/>
    <w:qFormat/>
    <w:rsid w:val="00AA7C33"/>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AA7C33"/>
    <w:rPr>
      <w:rFonts w:ascii="Arial Bold" w:eastAsiaTheme="majorEastAsia" w:hAnsi="Arial Bold" w:cs="Arial"/>
      <w:b/>
      <w:bCs/>
      <w:color w:val="C00000"/>
      <w:kern w:val="28"/>
      <w:sz w:val="36"/>
      <w:szCs w:val="32"/>
    </w:rPr>
  </w:style>
  <w:style w:type="character" w:styleId="Hyperlink">
    <w:name w:val="Hyperlink"/>
    <w:basedOn w:val="DefaultParagraphFont"/>
    <w:uiPriority w:val="99"/>
    <w:rsid w:val="00AA7C33"/>
    <w:rPr>
      <w:color w:val="0563C1" w:themeColor="hyperlink"/>
      <w:u w:val="single"/>
    </w:rPr>
  </w:style>
  <w:style w:type="paragraph" w:styleId="Header">
    <w:name w:val="header"/>
    <w:basedOn w:val="Normal"/>
    <w:link w:val="HeaderChar"/>
    <w:uiPriority w:val="99"/>
    <w:unhideWhenUsed/>
    <w:rsid w:val="00AA7C33"/>
    <w:pPr>
      <w:tabs>
        <w:tab w:val="center" w:pos="4513"/>
        <w:tab w:val="right" w:pos="9026"/>
      </w:tabs>
    </w:pPr>
  </w:style>
  <w:style w:type="character" w:customStyle="1" w:styleId="HeaderChar">
    <w:name w:val="Header Char"/>
    <w:basedOn w:val="DefaultParagraphFont"/>
    <w:link w:val="Header"/>
    <w:uiPriority w:val="99"/>
    <w:rsid w:val="00AA7C33"/>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AA7C33"/>
    <w:pPr>
      <w:tabs>
        <w:tab w:val="center" w:pos="4513"/>
        <w:tab w:val="right" w:pos="9026"/>
      </w:tabs>
    </w:pPr>
  </w:style>
  <w:style w:type="character" w:customStyle="1" w:styleId="FooterChar">
    <w:name w:val="Footer Char"/>
    <w:basedOn w:val="DefaultParagraphFont"/>
    <w:link w:val="Footer"/>
    <w:uiPriority w:val="99"/>
    <w:rsid w:val="00AA7C33"/>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AA7C33"/>
    <w:rPr>
      <w:rFonts w:ascii="Arial" w:eastAsia="Times New Roman" w:hAnsi="Arial" w:cs="Times New Roman"/>
      <w:sz w:val="20"/>
      <w:szCs w:val="24"/>
      <w:lang w:eastAsia="en-AU"/>
    </w:rPr>
  </w:style>
  <w:style w:type="paragraph" w:styleId="TOCHeading">
    <w:name w:val="TOC Heading"/>
    <w:basedOn w:val="Heading1"/>
    <w:next w:val="Normal"/>
    <w:uiPriority w:val="39"/>
    <w:unhideWhenUsed/>
    <w:qFormat/>
    <w:rsid w:val="00AA7C33"/>
    <w:pPr>
      <w:spacing w:before="480" w:line="276" w:lineRule="auto"/>
      <w:outlineLvl w:val="9"/>
    </w:pPr>
    <w:rPr>
      <w:rFonts w:ascii="Arial" w:hAnsi="Arial"/>
      <w:b/>
      <w:bCs/>
      <w:color w:val="C10A27"/>
      <w:sz w:val="28"/>
      <w:szCs w:val="28"/>
      <w:lang w:val="en-US" w:eastAsia="ja-JP"/>
    </w:rPr>
  </w:style>
  <w:style w:type="paragraph" w:styleId="TOC1">
    <w:name w:val="toc 1"/>
    <w:basedOn w:val="Normal"/>
    <w:next w:val="Normal"/>
    <w:autoRedefine/>
    <w:uiPriority w:val="39"/>
    <w:unhideWhenUsed/>
    <w:rsid w:val="00A67C4A"/>
    <w:pPr>
      <w:tabs>
        <w:tab w:val="left" w:pos="426"/>
        <w:tab w:val="right" w:leader="dot" w:pos="8820"/>
      </w:tabs>
      <w:spacing w:after="100"/>
    </w:pPr>
    <w:rPr>
      <w:noProof/>
    </w:rPr>
  </w:style>
  <w:style w:type="paragraph" w:styleId="TOC2">
    <w:name w:val="toc 2"/>
    <w:basedOn w:val="Normal"/>
    <w:next w:val="Normal"/>
    <w:autoRedefine/>
    <w:uiPriority w:val="39"/>
    <w:unhideWhenUsed/>
    <w:rsid w:val="00AA7C33"/>
    <w:pPr>
      <w:tabs>
        <w:tab w:val="left" w:pos="709"/>
        <w:tab w:val="right" w:leader="dot" w:pos="8820"/>
      </w:tabs>
      <w:spacing w:after="100"/>
      <w:ind w:left="200"/>
    </w:pPr>
  </w:style>
  <w:style w:type="paragraph" w:customStyle="1" w:styleId="SWADisclaimerheading">
    <w:name w:val="SWA Disclaimer heading"/>
    <w:basedOn w:val="SWATableheader"/>
    <w:link w:val="SWADisclaimerheadingChar"/>
    <w:qFormat/>
    <w:rsid w:val="00AA7C33"/>
    <w:pPr>
      <w:spacing w:after="120"/>
    </w:pPr>
    <w:rPr>
      <w:sz w:val="14"/>
      <w:szCs w:val="14"/>
    </w:rPr>
  </w:style>
  <w:style w:type="paragraph" w:customStyle="1" w:styleId="SWADisclaimerbodytext">
    <w:name w:val="SWA Disclaimer body text"/>
    <w:basedOn w:val="Normal"/>
    <w:link w:val="SWADisclaimerbodytextChar"/>
    <w:uiPriority w:val="2"/>
    <w:qFormat/>
    <w:rsid w:val="00AA7C33"/>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AA7C33"/>
    <w:rPr>
      <w:rFonts w:ascii="Arial" w:eastAsiaTheme="majorEastAsia" w:hAnsi="Arial" w:cstheme="majorBidi"/>
      <w:b/>
      <w:color w:val="AF1E2D"/>
      <w:spacing w:val="-3"/>
      <w:sz w:val="14"/>
      <w:szCs w:val="14"/>
    </w:rPr>
  </w:style>
  <w:style w:type="character" w:customStyle="1" w:styleId="SWADisclaimerbodytextChar">
    <w:name w:val="SWA Disclaimer body text Char"/>
    <w:basedOn w:val="DefaultParagraphFont"/>
    <w:link w:val="SWADisclaimerbodytext"/>
    <w:uiPriority w:val="2"/>
    <w:rsid w:val="00AA7C33"/>
    <w:rPr>
      <w:rFonts w:ascii="Arial" w:eastAsia="Times New Roman" w:hAnsi="Arial" w:cs="Times New Roman"/>
      <w:sz w:val="14"/>
      <w:szCs w:val="14"/>
      <w:lang w:eastAsia="en-AU"/>
    </w:rPr>
  </w:style>
  <w:style w:type="character" w:styleId="CommentReference">
    <w:name w:val="annotation reference"/>
    <w:basedOn w:val="DefaultParagraphFont"/>
    <w:uiPriority w:val="99"/>
    <w:semiHidden/>
    <w:unhideWhenUsed/>
    <w:rsid w:val="00584EE4"/>
    <w:rPr>
      <w:sz w:val="16"/>
      <w:szCs w:val="16"/>
    </w:rPr>
  </w:style>
  <w:style w:type="paragraph" w:styleId="CommentText">
    <w:name w:val="annotation text"/>
    <w:basedOn w:val="Normal"/>
    <w:link w:val="CommentTextChar"/>
    <w:uiPriority w:val="99"/>
    <w:unhideWhenUsed/>
    <w:rsid w:val="00584EE4"/>
    <w:rPr>
      <w:szCs w:val="20"/>
    </w:rPr>
  </w:style>
  <w:style w:type="character" w:customStyle="1" w:styleId="CommentTextChar">
    <w:name w:val="Comment Text Char"/>
    <w:basedOn w:val="DefaultParagraphFont"/>
    <w:link w:val="CommentText"/>
    <w:uiPriority w:val="99"/>
    <w:rsid w:val="00584EE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84EE4"/>
    <w:rPr>
      <w:b/>
      <w:bCs/>
    </w:rPr>
  </w:style>
  <w:style w:type="character" w:customStyle="1" w:styleId="CommentSubjectChar">
    <w:name w:val="Comment Subject Char"/>
    <w:basedOn w:val="CommentTextChar"/>
    <w:link w:val="CommentSubject"/>
    <w:uiPriority w:val="99"/>
    <w:semiHidden/>
    <w:rsid w:val="00584EE4"/>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584E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E4"/>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584EE4"/>
    <w:rPr>
      <w:color w:val="605E5C"/>
      <w:shd w:val="clear" w:color="auto" w:fill="E1DFDD"/>
    </w:rPr>
  </w:style>
  <w:style w:type="paragraph" w:styleId="BodyText">
    <w:name w:val="Body Text"/>
    <w:basedOn w:val="Normal"/>
    <w:link w:val="BodyTextChar"/>
    <w:uiPriority w:val="99"/>
    <w:unhideWhenUsed/>
    <w:rsid w:val="00106011"/>
    <w:pPr>
      <w:spacing w:after="120"/>
    </w:pPr>
  </w:style>
  <w:style w:type="character" w:customStyle="1" w:styleId="BodyTextChar">
    <w:name w:val="Body Text Char"/>
    <w:basedOn w:val="DefaultParagraphFont"/>
    <w:link w:val="BodyText"/>
    <w:uiPriority w:val="99"/>
    <w:rsid w:val="00106011"/>
    <w:rPr>
      <w:rFonts w:ascii="Arial" w:eastAsia="Times New Roman" w:hAnsi="Arial" w:cs="Times New Roman"/>
      <w:sz w:val="20"/>
      <w:szCs w:val="24"/>
      <w:lang w:eastAsia="en-AU"/>
    </w:rPr>
  </w:style>
  <w:style w:type="paragraph" w:customStyle="1" w:styleId="ForTable">
    <w:name w:val="For Table"/>
    <w:basedOn w:val="Normal"/>
    <w:qFormat/>
    <w:rsid w:val="00106011"/>
    <w:pPr>
      <w:spacing w:before="0"/>
      <w:jc w:val="left"/>
    </w:pPr>
    <w:rPr>
      <w:bCs/>
      <w:sz w:val="16"/>
      <w:szCs w:val="16"/>
    </w:rPr>
  </w:style>
  <w:style w:type="character" w:customStyle="1" w:styleId="Colouredsection">
    <w:name w:val="Coloured section"/>
    <w:uiPriority w:val="99"/>
    <w:rsid w:val="00106011"/>
    <w:rPr>
      <w:rFonts w:ascii="Arial" w:hAnsi="Arial" w:cs="Arial"/>
      <w:color w:val="009EA0"/>
      <w:sz w:val="22"/>
      <w:szCs w:val="22"/>
    </w:rPr>
  </w:style>
  <w:style w:type="paragraph" w:customStyle="1" w:styleId="HeaderChapterStart">
    <w:name w:val="Header Chapter Start"/>
    <w:basedOn w:val="Header"/>
    <w:qFormat/>
    <w:rsid w:val="00106011"/>
    <w:pPr>
      <w:spacing w:before="0"/>
      <w:jc w:val="left"/>
    </w:pPr>
    <w:rPr>
      <w:rFonts w:eastAsiaTheme="minorHAnsi" w:cs="Arial"/>
      <w:i/>
      <w:color w:val="145B85"/>
      <w:szCs w:val="22"/>
      <w:lang w:eastAsia="en-US"/>
    </w:rPr>
  </w:style>
  <w:style w:type="table" w:styleId="LightShading-Accent2">
    <w:name w:val="Light Shading Accent 2"/>
    <w:aliases w:val="SWA Table Style"/>
    <w:basedOn w:val="TableNormal"/>
    <w:uiPriority w:val="60"/>
    <w:rsid w:val="00106011"/>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FADECB"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Hyperlinks">
    <w:name w:val="Hyperlinks"/>
    <w:uiPriority w:val="99"/>
    <w:rsid w:val="00106011"/>
    <w:rPr>
      <w:color w:val="004266"/>
      <w:u w:val="single"/>
    </w:rPr>
  </w:style>
  <w:style w:type="paragraph" w:customStyle="1" w:styleId="NoParagraphStyle">
    <w:name w:val="[No Paragraph Style]"/>
    <w:rsid w:val="00106011"/>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7224AB"/>
    <w:rPr>
      <w:color w:val="954F72" w:themeColor="followedHyperlink"/>
      <w:u w:val="single"/>
    </w:rPr>
  </w:style>
  <w:style w:type="paragraph" w:styleId="Revision">
    <w:name w:val="Revision"/>
    <w:hidden/>
    <w:uiPriority w:val="99"/>
    <w:semiHidden/>
    <w:rsid w:val="00520717"/>
    <w:pPr>
      <w:spacing w:after="0" w:line="240" w:lineRule="auto"/>
    </w:pPr>
    <w:rPr>
      <w:rFonts w:ascii="Arial" w:eastAsia="Times New Roman" w:hAnsi="Arial" w:cs="Times New Roman"/>
      <w:sz w:val="20"/>
      <w:szCs w:val="24"/>
      <w:lang w:eastAsia="en-AU"/>
    </w:rPr>
  </w:style>
  <w:style w:type="paragraph" w:customStyle="1" w:styleId="Footnote">
    <w:name w:val="Footnote"/>
    <w:basedOn w:val="BodyText"/>
    <w:uiPriority w:val="99"/>
    <w:rsid w:val="000714D9"/>
    <w:pPr>
      <w:suppressAutoHyphens/>
      <w:autoSpaceDE w:val="0"/>
      <w:autoSpaceDN w:val="0"/>
      <w:adjustRightInd w:val="0"/>
      <w:spacing w:before="120" w:after="0" w:line="180" w:lineRule="atLeast"/>
      <w:textAlignment w:val="center"/>
    </w:pPr>
    <w:rPr>
      <w:rFonts w:eastAsiaTheme="minorHAnsi" w:cs="Arial"/>
      <w:color w:val="000000"/>
      <w:sz w:val="16"/>
      <w:szCs w:val="16"/>
      <w:lang w:val="en-US" w:eastAsia="en-US"/>
    </w:rPr>
  </w:style>
  <w:style w:type="paragraph" w:customStyle="1" w:styleId="Figureheading">
    <w:name w:val="Figure heading"/>
    <w:basedOn w:val="NoParagraphStyle"/>
    <w:uiPriority w:val="99"/>
    <w:rsid w:val="000714D9"/>
    <w:pPr>
      <w:suppressAutoHyphens/>
      <w:spacing w:before="100" w:after="100" w:line="220" w:lineRule="atLeast"/>
      <w:ind w:left="1134" w:hanging="1134"/>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249">
      <w:bodyDiv w:val="1"/>
      <w:marLeft w:val="0"/>
      <w:marRight w:val="0"/>
      <w:marTop w:val="0"/>
      <w:marBottom w:val="0"/>
      <w:divBdr>
        <w:top w:val="none" w:sz="0" w:space="0" w:color="auto"/>
        <w:left w:val="none" w:sz="0" w:space="0" w:color="auto"/>
        <w:bottom w:val="none" w:sz="0" w:space="0" w:color="auto"/>
        <w:right w:val="none" w:sz="0" w:space="0" w:color="auto"/>
      </w:divBdr>
    </w:div>
    <w:div w:id="343822463">
      <w:bodyDiv w:val="1"/>
      <w:marLeft w:val="0"/>
      <w:marRight w:val="0"/>
      <w:marTop w:val="0"/>
      <w:marBottom w:val="0"/>
      <w:divBdr>
        <w:top w:val="none" w:sz="0" w:space="0" w:color="auto"/>
        <w:left w:val="none" w:sz="0" w:space="0" w:color="auto"/>
        <w:bottom w:val="none" w:sz="0" w:space="0" w:color="auto"/>
        <w:right w:val="none" w:sz="0" w:space="0" w:color="auto"/>
      </w:divBdr>
    </w:div>
    <w:div w:id="401830108">
      <w:bodyDiv w:val="1"/>
      <w:marLeft w:val="0"/>
      <w:marRight w:val="0"/>
      <w:marTop w:val="0"/>
      <w:marBottom w:val="0"/>
      <w:divBdr>
        <w:top w:val="none" w:sz="0" w:space="0" w:color="auto"/>
        <w:left w:val="none" w:sz="0" w:space="0" w:color="auto"/>
        <w:bottom w:val="none" w:sz="0" w:space="0" w:color="auto"/>
        <w:right w:val="none" w:sz="0" w:space="0" w:color="auto"/>
      </w:divBdr>
    </w:div>
    <w:div w:id="600601549">
      <w:bodyDiv w:val="1"/>
      <w:marLeft w:val="0"/>
      <w:marRight w:val="0"/>
      <w:marTop w:val="0"/>
      <w:marBottom w:val="0"/>
      <w:divBdr>
        <w:top w:val="none" w:sz="0" w:space="0" w:color="auto"/>
        <w:left w:val="none" w:sz="0" w:space="0" w:color="auto"/>
        <w:bottom w:val="none" w:sz="0" w:space="0" w:color="auto"/>
        <w:right w:val="none" w:sz="0" w:space="0" w:color="auto"/>
      </w:divBdr>
    </w:div>
    <w:div w:id="18052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workaustralia.gov.au/workers-compensation/comparing-workers-compensation-australia" TargetMode="External"/><Relationship Id="rId18" Type="http://schemas.openxmlformats.org/officeDocument/2006/relationships/footer" Target="footer2.xml"/><Relationship Id="rId26" Type="http://schemas.openxmlformats.org/officeDocument/2006/relationships/hyperlink" Target="http://www.worksafe.vic.gov.au/" TargetMode="External"/><Relationship Id="rId39" Type="http://schemas.openxmlformats.org/officeDocument/2006/relationships/hyperlink" Target="http://www.comcare.gov.au/" TargetMode="External"/><Relationship Id="rId21" Type="http://schemas.openxmlformats.org/officeDocument/2006/relationships/hyperlink" Target="http://www.sira.nsw.gov.au/" TargetMode="External"/><Relationship Id="rId34" Type="http://schemas.openxmlformats.org/officeDocument/2006/relationships/hyperlink" Target="mailto:ntworksafe@nt.gov.au"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contact@sira.nsw.gov.au" TargetMode="External"/><Relationship Id="rId29" Type="http://schemas.openxmlformats.org/officeDocument/2006/relationships/hyperlink" Target="http://www.dmirs.wa.gov.au/" TargetMode="External"/><Relationship Id="rId41" Type="http://schemas.openxmlformats.org/officeDocument/2006/relationships/hyperlink" Target="http://www.worksafe.govt.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workaustralia.gov.au/resources-and-publications/statistical-reports/comparative-performance-monitoring-report-22nd-edition-part-3" TargetMode="External"/><Relationship Id="rId24" Type="http://schemas.openxmlformats.org/officeDocument/2006/relationships/hyperlink" Target="http://www.icare.nsw.gov.au" TargetMode="External"/><Relationship Id="rId32" Type="http://schemas.openxmlformats.org/officeDocument/2006/relationships/hyperlink" Target="mailto:wstinfo@justice.tas.gov.au" TargetMode="External"/><Relationship Id="rId37" Type="http://schemas.openxmlformats.org/officeDocument/2006/relationships/hyperlink" Target="mailto:seacare@comcare.gov.au" TargetMode="External"/><Relationship Id="rId40" Type="http://schemas.openxmlformats.org/officeDocument/2006/relationships/hyperlink" Target="http://www.acc.co.nz/"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pi.nsw.gov.au/" TargetMode="External"/><Relationship Id="rId28" Type="http://schemas.openxmlformats.org/officeDocument/2006/relationships/hyperlink" Target="http://www.workcover.wa.gov.au/" TargetMode="External"/><Relationship Id="rId36" Type="http://schemas.openxmlformats.org/officeDocument/2006/relationships/hyperlink" Target="https://www.worksafe.act.gov.au/" TargetMode="External"/><Relationship Id="rId10" Type="http://schemas.openxmlformats.org/officeDocument/2006/relationships/hyperlink" Target="http://www.swa.gov.au" TargetMode="External"/><Relationship Id="rId19" Type="http://schemas.openxmlformats.org/officeDocument/2006/relationships/footer" Target="footer3.xml"/><Relationship Id="rId31" Type="http://schemas.openxmlformats.org/officeDocument/2006/relationships/hyperlink" Target="http://www.safework.sa.gov.a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swa.gov.au" TargetMode="External"/><Relationship Id="rId14" Type="http://schemas.openxmlformats.org/officeDocument/2006/relationships/hyperlink" Target="https://www.safeworkaustralia.gov.au/resources-and-publications/statistical-reports/covid-19-and-safe-work-australia-data" TargetMode="External"/><Relationship Id="rId22" Type="http://schemas.openxmlformats.org/officeDocument/2006/relationships/hyperlink" Target="http://www.safework.nsw.gov.au/" TargetMode="External"/><Relationship Id="rId27" Type="http://schemas.openxmlformats.org/officeDocument/2006/relationships/hyperlink" Target="https://www.worksafe.qld.gov.au/" TargetMode="External"/><Relationship Id="rId30" Type="http://schemas.openxmlformats.org/officeDocument/2006/relationships/hyperlink" Target="http://www.rtwsa.com/" TargetMode="External"/><Relationship Id="rId35" Type="http://schemas.openxmlformats.org/officeDocument/2006/relationships/hyperlink" Target="http://www.worksafe.nt.gov.au/Pages/default.aspx"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safeworkaustralia.gov.au/data-and-research/measuring-return-work-outcomes" TargetMode="External"/><Relationship Id="rId17" Type="http://schemas.openxmlformats.org/officeDocument/2006/relationships/header" Target="header2.xml"/><Relationship Id="rId25" Type="http://schemas.openxmlformats.org/officeDocument/2006/relationships/hyperlink" Target="mailto:info@worksafe.vic.gov.au" TargetMode="External"/><Relationship Id="rId33" Type="http://schemas.openxmlformats.org/officeDocument/2006/relationships/hyperlink" Target="http://www.worksafe.tas.gov.au/" TargetMode="External"/><Relationship Id="rId38" Type="http://schemas.openxmlformats.org/officeDocument/2006/relationships/hyperlink" Target="http://www.seaca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8</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YEE,Taralyn</dc:creator>
  <cp:keywords/>
  <dc:description/>
  <cp:lastModifiedBy>Taralyn</cp:lastModifiedBy>
  <cp:revision>139</cp:revision>
  <dcterms:created xsi:type="dcterms:W3CDTF">2021-08-20T04:37:00Z</dcterms:created>
  <dcterms:modified xsi:type="dcterms:W3CDTF">2021-11-12T02:55:00Z</dcterms:modified>
</cp:coreProperties>
</file>