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15130" w14:textId="5371A8AC" w:rsidR="001D7C48" w:rsidRPr="00086AB2" w:rsidRDefault="00744E0A" w:rsidP="00D52504">
      <w:pPr>
        <w:pStyle w:val="SWACoverintroparagraph"/>
        <w:ind w:left="-238"/>
        <w:jc w:val="center"/>
        <w:sectPr w:rsidR="001D7C48" w:rsidRPr="00086AB2" w:rsidSect="00D9366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993" w:right="244" w:bottom="249" w:left="238" w:header="0" w:footer="0" w:gutter="0"/>
          <w:cols w:space="242"/>
          <w:titlePg/>
          <w:docGrid w:linePitch="360"/>
        </w:sectPr>
      </w:pPr>
      <w:r>
        <w:rPr>
          <w:noProof/>
        </w:rPr>
        <w:drawing>
          <wp:anchor distT="0" distB="0" distL="114300" distR="114300" simplePos="0" relativeHeight="251696128" behindDoc="0" locked="0" layoutInCell="1" allowOverlap="1" wp14:anchorId="71FB56E1" wp14:editId="53CFB550">
            <wp:simplePos x="0" y="0"/>
            <wp:positionH relativeFrom="page">
              <wp:align>right</wp:align>
            </wp:positionH>
            <wp:positionV relativeFrom="paragraph">
              <wp:posOffset>-795581</wp:posOffset>
            </wp:positionV>
            <wp:extent cx="7623959" cy="10834047"/>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3959" cy="108340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AB6B2" w14:textId="77777777" w:rsidR="004F2B63" w:rsidRPr="001D7C48" w:rsidRDefault="004F2B63" w:rsidP="004F2B63">
      <w:pPr>
        <w:pStyle w:val="SWADisclaimerheading"/>
      </w:pPr>
      <w:bookmarkStart w:id="0" w:name="_Hlk54961234"/>
      <w:r w:rsidRPr="001D7C48">
        <w:lastRenderedPageBreak/>
        <w:t>Disclaimer</w:t>
      </w:r>
    </w:p>
    <w:p w14:paraId="3F7F9645" w14:textId="77777777" w:rsidR="004F2B63" w:rsidRDefault="004F2B63" w:rsidP="004F2B63">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CB4AA1D" w14:textId="77777777" w:rsidR="004F2B63" w:rsidRDefault="004F2B63" w:rsidP="004F2B63">
      <w:pPr>
        <w:pStyle w:val="SWADisclaimerbodytext"/>
      </w:pPr>
      <w:r>
        <w:t xml:space="preserve">Safe Work Australia works with the Commonwealth, </w:t>
      </w:r>
      <w:proofErr w:type="gramStart"/>
      <w:r>
        <w:t>state</w:t>
      </w:r>
      <w:proofErr w:type="gramEnd"/>
      <w: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2A8A4944" w14:textId="77777777" w:rsidR="007F03B6" w:rsidRPr="00077D9A" w:rsidRDefault="00A93A35" w:rsidP="008C746B">
      <w:pPr>
        <w:autoSpaceDE w:val="0"/>
        <w:autoSpaceDN w:val="0"/>
        <w:rPr>
          <w:b/>
          <w:bCs/>
          <w:color w:val="000000"/>
          <w:sz w:val="14"/>
          <w:szCs w:val="14"/>
          <w:lang w:eastAsia="ko-KR"/>
        </w:rPr>
      </w:pPr>
      <w:r w:rsidRPr="00077D9A">
        <w:rPr>
          <w:b/>
          <w:bCs/>
          <w:color w:val="000000"/>
          <w:sz w:val="14"/>
          <w:szCs w:val="14"/>
          <w:lang w:eastAsia="ko-KR"/>
        </w:rPr>
        <w:t>ISSN 2209-9158</w:t>
      </w:r>
    </w:p>
    <w:p w14:paraId="20DD15BE" w14:textId="77777777" w:rsidR="004F2B63" w:rsidRPr="008530EB" w:rsidRDefault="004F2B63" w:rsidP="004F2B63">
      <w:pPr>
        <w:pStyle w:val="SWADisclaimerheading"/>
      </w:pPr>
      <w:r>
        <w:t>Creative Commons</w:t>
      </w:r>
    </w:p>
    <w:p w14:paraId="5C97D97C" w14:textId="77777777" w:rsidR="004F2B63" w:rsidRPr="00A034C4" w:rsidRDefault="004F2B63" w:rsidP="004F2B63">
      <w:pPr>
        <w:pStyle w:val="SWADisclaimerheading"/>
        <w:rPr>
          <w:rFonts w:eastAsia="Times New Roman" w:cs="Times New Roman"/>
          <w:b w:val="0"/>
          <w:color w:val="auto"/>
          <w:spacing w:val="0"/>
          <w:lang w:eastAsia="en-AU"/>
        </w:rPr>
      </w:pPr>
      <w:proofErr w:type="gramStart"/>
      <w:r w:rsidRPr="003770DC">
        <w:rPr>
          <w:rFonts w:eastAsia="Times New Roman" w:cs="Times New Roman"/>
          <w:b w:val="0"/>
          <w:color w:val="auto"/>
          <w:spacing w:val="0"/>
          <w:lang w:eastAsia="en-AU"/>
        </w:rPr>
        <w:t>With the exception of</w:t>
      </w:r>
      <w:proofErr w:type="gramEnd"/>
      <w:r w:rsidRPr="003770DC">
        <w:rPr>
          <w:rFonts w:eastAsia="Times New Roman" w:cs="Times New Roman"/>
          <w:b w:val="0"/>
          <w:color w:val="auto"/>
          <w:spacing w:val="0"/>
          <w:lang w:eastAsia="en-AU"/>
        </w:rPr>
        <w:t xml:space="preserve">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w:t>
      </w:r>
      <w:proofErr w:type="gramStart"/>
      <w:r w:rsidRPr="003770DC">
        <w:rPr>
          <w:rFonts w:eastAsia="Times New Roman" w:cs="Times New Roman"/>
          <w:b w:val="0"/>
          <w:color w:val="auto"/>
          <w:spacing w:val="0"/>
          <w:lang w:eastAsia="en-AU"/>
        </w:rPr>
        <w:t>as long as</w:t>
      </w:r>
      <w:proofErr w:type="gramEnd"/>
      <w:r w:rsidRPr="003770DC">
        <w:rPr>
          <w:rFonts w:eastAsia="Times New Roman" w:cs="Times New Roman"/>
          <w:b w:val="0"/>
          <w:color w:val="auto"/>
          <w:spacing w:val="0"/>
          <w:lang w:eastAsia="en-AU"/>
        </w:rPr>
        <w:t xml:space="preserve"> you attribute the work to Safe Work Australia and abide by the other licence terms.</w:t>
      </w:r>
    </w:p>
    <w:p w14:paraId="487F647B" w14:textId="77777777" w:rsidR="004F2B63" w:rsidRPr="00A034C4" w:rsidRDefault="004F2B63" w:rsidP="004F2B63">
      <w:pPr>
        <w:pStyle w:val="SWADisclaimerheading"/>
        <w:rPr>
          <w:color w:val="145B85"/>
        </w:rPr>
      </w:pPr>
      <w:r>
        <w:t>Contact information</w:t>
      </w:r>
    </w:p>
    <w:p w14:paraId="5A3E94E1" w14:textId="4F89D365" w:rsidR="004F2B63" w:rsidRPr="00D60313" w:rsidRDefault="004F2B63" w:rsidP="004F2B63">
      <w:pPr>
        <w:pStyle w:val="SWADisclaimerheading"/>
        <w:sectPr w:rsidR="004F2B63" w:rsidRPr="00D60313" w:rsidSect="004F2B63">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5"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6" w:history="1">
        <w:r w:rsidRPr="00A034C4">
          <w:rPr>
            <w:rStyle w:val="Hyperlink"/>
            <w:rFonts w:eastAsia="Times New Roman" w:cs="Times New Roman"/>
            <w:b w:val="0"/>
            <w:spacing w:val="0"/>
            <w:lang w:eastAsia="en-AU"/>
          </w:rPr>
          <w:t>www.swa.gov.au</w:t>
        </w:r>
      </w:hyperlink>
    </w:p>
    <w:bookmarkEnd w:id="0"/>
    <w:p w14:paraId="7182F2FD" w14:textId="77777777" w:rsidR="00744E0A" w:rsidRDefault="00744E0A" w:rsidP="00744E0A">
      <w:pPr>
        <w:pStyle w:val="TOCHeading"/>
        <w:spacing w:before="240" w:after="200"/>
      </w:pPr>
      <w:r w:rsidRPr="00CB201F">
        <w:lastRenderedPageBreak/>
        <w:t>Comparative Performance Monitoring (CPM</w:t>
      </w:r>
      <w:r>
        <w:t>) 24</w:t>
      </w:r>
      <w:r w:rsidRPr="00F751E4">
        <w:rPr>
          <w:vertAlign w:val="superscript"/>
        </w:rPr>
        <w:t>th</w:t>
      </w:r>
      <w:r>
        <w:t xml:space="preserve"> edition indicators</w:t>
      </w:r>
    </w:p>
    <w:p w14:paraId="47B0C9D9" w14:textId="77777777" w:rsidR="00744E0A" w:rsidRDefault="00744E0A" w:rsidP="00744E0A">
      <w:pPr>
        <w:spacing w:after="20" w:line="276" w:lineRule="auto"/>
        <w:jc w:val="left"/>
      </w:pPr>
      <w:r>
        <w:t xml:space="preserve">The CPM comprises of 23 Work Health and Safety and Workers’ Compensation measurement indicators spread over 6 sections.  The bolded indicators are included in this section. </w:t>
      </w:r>
    </w:p>
    <w:p w14:paraId="643C6013" w14:textId="77777777" w:rsidR="00744E0A" w:rsidRDefault="00744E0A" w:rsidP="00744E0A">
      <w:pPr>
        <w:spacing w:after="20" w:line="276" w:lineRule="auto"/>
        <w:jc w:val="left"/>
        <w:rPr>
          <w:b/>
          <w:bCs/>
        </w:rPr>
      </w:pPr>
    </w:p>
    <w:p w14:paraId="7B3E955C" w14:textId="77777777" w:rsidR="00744E0A" w:rsidRPr="00846E39" w:rsidRDefault="00744E0A" w:rsidP="00744E0A">
      <w:pPr>
        <w:spacing w:after="20" w:line="276" w:lineRule="auto"/>
        <w:jc w:val="left"/>
        <w:rPr>
          <w:b/>
          <w:bCs/>
        </w:rPr>
      </w:pPr>
      <w:r w:rsidRPr="00846E39">
        <w:rPr>
          <w:b/>
          <w:bCs/>
        </w:rPr>
        <w:t xml:space="preserve">Work </w:t>
      </w:r>
      <w:r>
        <w:rPr>
          <w:b/>
          <w:bCs/>
        </w:rPr>
        <w:t>H</w:t>
      </w:r>
      <w:r w:rsidRPr="00846E39">
        <w:rPr>
          <w:b/>
          <w:bCs/>
        </w:rPr>
        <w:t xml:space="preserve">ealth and </w:t>
      </w:r>
      <w:r>
        <w:rPr>
          <w:b/>
          <w:bCs/>
        </w:rPr>
        <w:t>S</w:t>
      </w:r>
      <w:r w:rsidRPr="00846E39">
        <w:rPr>
          <w:b/>
          <w:bCs/>
        </w:rPr>
        <w:t xml:space="preserve">afety </w:t>
      </w:r>
      <w:r>
        <w:rPr>
          <w:b/>
          <w:bCs/>
        </w:rPr>
        <w:t xml:space="preserve">Performance </w:t>
      </w:r>
    </w:p>
    <w:p w14:paraId="2AF4F02C" w14:textId="77777777" w:rsidR="00744E0A" w:rsidRPr="00DB3E32" w:rsidRDefault="00744E0A" w:rsidP="00744E0A">
      <w:pPr>
        <w:spacing w:after="20" w:line="276" w:lineRule="auto"/>
        <w:jc w:val="left"/>
        <w:rPr>
          <w:b/>
          <w:bCs/>
        </w:rPr>
      </w:pPr>
      <w:r w:rsidRPr="00DB3E32">
        <w:rPr>
          <w:b/>
          <w:bCs/>
        </w:rPr>
        <w:t>Indicator 1 – Incidence rates of serious injury and disease claims by jurisdiction</w:t>
      </w:r>
      <w:r w:rsidRPr="00DB3E32">
        <w:rPr>
          <w:b/>
          <w:bCs/>
        </w:rPr>
        <w:tab/>
      </w:r>
    </w:p>
    <w:p w14:paraId="11AE844E" w14:textId="77777777" w:rsidR="00744E0A" w:rsidRPr="00DB3E32" w:rsidRDefault="00744E0A" w:rsidP="00744E0A">
      <w:pPr>
        <w:spacing w:after="20" w:line="276" w:lineRule="auto"/>
        <w:jc w:val="left"/>
        <w:rPr>
          <w:b/>
          <w:bCs/>
        </w:rPr>
      </w:pPr>
      <w:r w:rsidRPr="00DB3E32">
        <w:rPr>
          <w:b/>
          <w:bCs/>
        </w:rPr>
        <w:t>Indicator 2 – Frequency rates of serious injury claims by jurisdiction</w:t>
      </w:r>
      <w:r w:rsidRPr="00DB3E32">
        <w:rPr>
          <w:b/>
          <w:bCs/>
        </w:rPr>
        <w:tab/>
      </w:r>
    </w:p>
    <w:p w14:paraId="6F166047" w14:textId="77777777" w:rsidR="00744E0A" w:rsidRPr="00DB3E32" w:rsidRDefault="00744E0A" w:rsidP="00744E0A">
      <w:pPr>
        <w:spacing w:after="20" w:line="276" w:lineRule="auto"/>
        <w:jc w:val="left"/>
        <w:rPr>
          <w:b/>
          <w:bCs/>
        </w:rPr>
      </w:pPr>
      <w:r w:rsidRPr="00DB3E32">
        <w:rPr>
          <w:b/>
          <w:bCs/>
        </w:rPr>
        <w:t>Indicator 3 – Incidence rates of long term (12 weeks or more compensation) injury and disease claims by jurisdiction</w:t>
      </w:r>
      <w:r w:rsidRPr="00DB3E32">
        <w:rPr>
          <w:b/>
          <w:bCs/>
        </w:rPr>
        <w:tab/>
      </w:r>
    </w:p>
    <w:p w14:paraId="4878699F" w14:textId="77777777" w:rsidR="00744E0A" w:rsidRPr="00DB3E32" w:rsidRDefault="00744E0A" w:rsidP="00744E0A">
      <w:pPr>
        <w:spacing w:after="20" w:line="276" w:lineRule="auto"/>
        <w:jc w:val="left"/>
        <w:rPr>
          <w:b/>
          <w:bCs/>
        </w:rPr>
      </w:pPr>
      <w:r w:rsidRPr="00DB3E32">
        <w:rPr>
          <w:b/>
          <w:bCs/>
        </w:rPr>
        <w:t>Indicator 4 – Frequency rates of long term (12 weeks or more compensation) injury and disease claims by jurisdiction</w:t>
      </w:r>
    </w:p>
    <w:p w14:paraId="4E78CCE8" w14:textId="77777777" w:rsidR="00744E0A" w:rsidRPr="00DB3E32" w:rsidRDefault="00744E0A" w:rsidP="00744E0A">
      <w:pPr>
        <w:spacing w:after="20" w:line="276" w:lineRule="auto"/>
        <w:jc w:val="left"/>
        <w:rPr>
          <w:b/>
          <w:bCs/>
        </w:rPr>
      </w:pPr>
      <w:r w:rsidRPr="00DB3E32">
        <w:rPr>
          <w:b/>
          <w:bCs/>
        </w:rPr>
        <w:t>Indicator 5a and 5b – Self-insured claims: number and proportion of serious claims by jurisdiction</w:t>
      </w:r>
      <w:r w:rsidRPr="00DB3E32">
        <w:rPr>
          <w:b/>
          <w:bCs/>
        </w:rPr>
        <w:tab/>
      </w:r>
    </w:p>
    <w:p w14:paraId="0B59B973" w14:textId="77777777" w:rsidR="00744E0A" w:rsidRPr="00DB3E32" w:rsidRDefault="00744E0A" w:rsidP="00744E0A">
      <w:pPr>
        <w:spacing w:after="20" w:line="276" w:lineRule="auto"/>
        <w:jc w:val="left"/>
        <w:rPr>
          <w:b/>
          <w:bCs/>
        </w:rPr>
      </w:pPr>
      <w:r w:rsidRPr="00DB3E32">
        <w:rPr>
          <w:b/>
          <w:bCs/>
        </w:rPr>
        <w:t>Indicator 6 – Serious claims: Percentage involving selected periods of compensation</w:t>
      </w:r>
    </w:p>
    <w:p w14:paraId="0C2C2A1A" w14:textId="77777777" w:rsidR="00744E0A" w:rsidRPr="00DB3E32" w:rsidRDefault="00744E0A" w:rsidP="00744E0A">
      <w:pPr>
        <w:spacing w:after="20" w:line="276" w:lineRule="auto"/>
        <w:jc w:val="left"/>
        <w:rPr>
          <w:b/>
          <w:bCs/>
        </w:rPr>
      </w:pPr>
      <w:r w:rsidRPr="00DB3E32">
        <w:rPr>
          <w:b/>
          <w:bCs/>
        </w:rPr>
        <w:t>Indicator 7a and 7b – Traumatic injury worker fatalities: number and rate of incidents not on a public road, by state of death</w:t>
      </w:r>
      <w:r w:rsidRPr="00DB3E32">
        <w:rPr>
          <w:b/>
          <w:bCs/>
        </w:rPr>
        <w:tab/>
      </w:r>
    </w:p>
    <w:p w14:paraId="1557D933" w14:textId="77777777" w:rsidR="00744E0A" w:rsidRPr="00DB3E32" w:rsidRDefault="00744E0A" w:rsidP="00744E0A">
      <w:pPr>
        <w:spacing w:after="20" w:line="276" w:lineRule="auto"/>
        <w:jc w:val="left"/>
        <w:rPr>
          <w:b/>
          <w:bCs/>
        </w:rPr>
      </w:pPr>
      <w:r w:rsidRPr="00DB3E32">
        <w:rPr>
          <w:b/>
          <w:bCs/>
        </w:rPr>
        <w:t>Indicator 8 – Compensated fatalities involving occupational diseases by jurisdiction</w:t>
      </w:r>
      <w:r w:rsidRPr="00DB3E32">
        <w:rPr>
          <w:b/>
          <w:bCs/>
        </w:rPr>
        <w:tab/>
      </w:r>
    </w:p>
    <w:p w14:paraId="66344461" w14:textId="77777777" w:rsidR="00744E0A" w:rsidRPr="00DB3E32" w:rsidRDefault="00744E0A" w:rsidP="00744E0A">
      <w:pPr>
        <w:spacing w:after="20" w:line="276" w:lineRule="auto"/>
        <w:jc w:val="left"/>
        <w:rPr>
          <w:b/>
          <w:bCs/>
        </w:rPr>
      </w:pPr>
      <w:r w:rsidRPr="00DB3E32">
        <w:rPr>
          <w:b/>
          <w:bCs/>
        </w:rPr>
        <w:t>Indicator 9 – Size of business</w:t>
      </w:r>
    </w:p>
    <w:p w14:paraId="7E3028AF" w14:textId="77777777" w:rsidR="00744E0A" w:rsidRPr="00DB3E32" w:rsidRDefault="00744E0A" w:rsidP="00744E0A">
      <w:pPr>
        <w:spacing w:after="20" w:line="276" w:lineRule="auto"/>
        <w:jc w:val="left"/>
        <w:rPr>
          <w:b/>
          <w:bCs/>
        </w:rPr>
      </w:pPr>
      <w:r w:rsidRPr="00DB3E32">
        <w:rPr>
          <w:b/>
          <w:bCs/>
        </w:rPr>
        <w:t>Indicator 10a to 10h – Proportion of serious claims by mechanism of incident</w:t>
      </w:r>
    </w:p>
    <w:p w14:paraId="1895AD8C" w14:textId="77777777" w:rsidR="00744E0A" w:rsidRPr="00DB3E32" w:rsidRDefault="00744E0A" w:rsidP="00744E0A">
      <w:pPr>
        <w:spacing w:after="20" w:line="276" w:lineRule="auto"/>
        <w:jc w:val="left"/>
        <w:rPr>
          <w:b/>
          <w:bCs/>
        </w:rPr>
      </w:pPr>
      <w:r w:rsidRPr="00DB3E32">
        <w:rPr>
          <w:b/>
          <w:bCs/>
        </w:rPr>
        <w:t>Indicator 11a to 11s – Incidence rates of serious claims by industry</w:t>
      </w:r>
    </w:p>
    <w:p w14:paraId="412FA3F5" w14:textId="77777777" w:rsidR="00744E0A" w:rsidRDefault="00744E0A" w:rsidP="00744E0A">
      <w:pPr>
        <w:spacing w:after="20" w:line="276" w:lineRule="auto"/>
        <w:jc w:val="left"/>
      </w:pPr>
      <w:r>
        <w:tab/>
      </w:r>
    </w:p>
    <w:p w14:paraId="5BB1CE83" w14:textId="77777777" w:rsidR="00744E0A" w:rsidRPr="00EC45EC" w:rsidRDefault="00744E0A" w:rsidP="00744E0A">
      <w:pPr>
        <w:spacing w:after="20" w:line="276" w:lineRule="auto"/>
        <w:jc w:val="left"/>
        <w:rPr>
          <w:b/>
          <w:bCs/>
        </w:rPr>
      </w:pPr>
      <w:r w:rsidRPr="00EC45EC">
        <w:rPr>
          <w:b/>
          <w:bCs/>
        </w:rPr>
        <w:t>Work Health and Safety Compliance and Enforcement Activities</w:t>
      </w:r>
    </w:p>
    <w:p w14:paraId="4F4C4FA1" w14:textId="77777777" w:rsidR="00744E0A" w:rsidRPr="00F96EFE" w:rsidRDefault="00744E0A" w:rsidP="00744E0A">
      <w:pPr>
        <w:spacing w:after="20" w:line="276" w:lineRule="auto"/>
        <w:jc w:val="left"/>
      </w:pPr>
      <w:r w:rsidRPr="00F96EFE">
        <w:t>Indicator 12a – Work health and safety intervention activity by jurisdiction</w:t>
      </w:r>
      <w:r w:rsidRPr="00F96EFE">
        <w:tab/>
      </w:r>
    </w:p>
    <w:p w14:paraId="3D97BDBD" w14:textId="77777777" w:rsidR="00744E0A" w:rsidRPr="00F96EFE" w:rsidRDefault="00744E0A" w:rsidP="00744E0A">
      <w:pPr>
        <w:spacing w:after="20" w:line="276" w:lineRule="auto"/>
        <w:jc w:val="left"/>
      </w:pPr>
      <w:r w:rsidRPr="00F96EFE">
        <w:t>Indicator 12b – Work health and safety inspectorate activity by jurisdiction</w:t>
      </w:r>
    </w:p>
    <w:p w14:paraId="0156C4DF" w14:textId="77777777" w:rsidR="00744E0A" w:rsidRPr="00F96EFE" w:rsidRDefault="00744E0A" w:rsidP="00744E0A">
      <w:pPr>
        <w:spacing w:after="20" w:line="276" w:lineRule="auto"/>
        <w:jc w:val="left"/>
      </w:pPr>
      <w:r w:rsidRPr="00F96EFE">
        <w:t xml:space="preserve">Indicator 12c – Work health and safety notices and enforceable undertakings by jurisdiction </w:t>
      </w:r>
    </w:p>
    <w:p w14:paraId="78CB3DE1" w14:textId="77777777" w:rsidR="00744E0A" w:rsidRPr="00F96EFE" w:rsidRDefault="00744E0A" w:rsidP="00744E0A">
      <w:pPr>
        <w:spacing w:after="20" w:line="276" w:lineRule="auto"/>
        <w:jc w:val="left"/>
      </w:pPr>
      <w:r w:rsidRPr="00F96EFE">
        <w:t>Indicator 12d – Work health and safety legal proceedings and fines by jurisdiction</w:t>
      </w:r>
    </w:p>
    <w:p w14:paraId="2811DAA6" w14:textId="77777777" w:rsidR="00744E0A" w:rsidRDefault="00744E0A" w:rsidP="00744E0A">
      <w:pPr>
        <w:spacing w:after="20" w:line="276" w:lineRule="auto"/>
        <w:jc w:val="left"/>
      </w:pPr>
    </w:p>
    <w:p w14:paraId="4FFDE5B3" w14:textId="77777777" w:rsidR="00744E0A" w:rsidRPr="00F10904" w:rsidRDefault="00744E0A" w:rsidP="00744E0A">
      <w:pPr>
        <w:spacing w:after="20" w:line="276" w:lineRule="auto"/>
        <w:jc w:val="left"/>
        <w:rPr>
          <w:b/>
          <w:bCs/>
          <w:noProof/>
        </w:rPr>
      </w:pPr>
      <w:r w:rsidRPr="00F10904">
        <w:rPr>
          <w:b/>
          <w:bCs/>
          <w:noProof/>
        </w:rPr>
        <w:t>Workers’ Compensation Premiums</w:t>
      </w:r>
    </w:p>
    <w:p w14:paraId="5A61E43C" w14:textId="77777777" w:rsidR="00744E0A" w:rsidRDefault="00744E0A" w:rsidP="00744E0A">
      <w:pPr>
        <w:spacing w:after="20" w:line="276" w:lineRule="auto"/>
        <w:jc w:val="left"/>
        <w:rPr>
          <w:noProof/>
        </w:rPr>
      </w:pPr>
      <w:r>
        <w:rPr>
          <w:noProof/>
        </w:rPr>
        <w:t>Indicator 13 – Standardised average premium rates (including insured and self-insured sectors) by jurisdiction</w:t>
      </w:r>
      <w:r>
        <w:rPr>
          <w:noProof/>
        </w:rPr>
        <w:tab/>
      </w:r>
    </w:p>
    <w:p w14:paraId="787DB453" w14:textId="77777777" w:rsidR="00744E0A" w:rsidRDefault="00744E0A" w:rsidP="00744E0A">
      <w:pPr>
        <w:spacing w:after="20" w:line="276" w:lineRule="auto"/>
        <w:jc w:val="left"/>
        <w:rPr>
          <w:noProof/>
        </w:rPr>
      </w:pPr>
      <w:r>
        <w:rPr>
          <w:noProof/>
        </w:rPr>
        <w:t>Indicator 14a to 14s – Australian average premium rates by industry</w:t>
      </w:r>
      <w:r>
        <w:rPr>
          <w:noProof/>
        </w:rPr>
        <w:tab/>
      </w:r>
    </w:p>
    <w:p w14:paraId="097BCEE3" w14:textId="77777777" w:rsidR="00744E0A" w:rsidRDefault="00744E0A" w:rsidP="00744E0A">
      <w:pPr>
        <w:spacing w:after="20" w:line="276" w:lineRule="auto"/>
        <w:jc w:val="left"/>
        <w:rPr>
          <w:noProof/>
        </w:rPr>
      </w:pPr>
    </w:p>
    <w:p w14:paraId="6DBCA252" w14:textId="77777777" w:rsidR="00744E0A" w:rsidRPr="00846E39" w:rsidRDefault="00744E0A" w:rsidP="00744E0A">
      <w:pPr>
        <w:spacing w:after="20" w:line="276" w:lineRule="auto"/>
        <w:jc w:val="left"/>
        <w:rPr>
          <w:b/>
          <w:bCs/>
        </w:rPr>
      </w:pPr>
      <w:r>
        <w:rPr>
          <w:b/>
          <w:bCs/>
        </w:rPr>
        <w:t>Entitlements under Workers’ Compensation</w:t>
      </w:r>
    </w:p>
    <w:p w14:paraId="78AC050B" w14:textId="77777777" w:rsidR="00744E0A" w:rsidRDefault="00744E0A" w:rsidP="00744E0A">
      <w:pPr>
        <w:spacing w:after="20" w:line="276" w:lineRule="auto"/>
        <w:jc w:val="left"/>
      </w:pPr>
      <w:r>
        <w:t>Indicator 15 – Average percentage of pre-injury earnings for selected periods of incapacity, as of 1 January 2021</w:t>
      </w:r>
      <w:r>
        <w:tab/>
      </w:r>
    </w:p>
    <w:p w14:paraId="7A4A6E81" w14:textId="77777777" w:rsidR="00744E0A" w:rsidRDefault="00744E0A" w:rsidP="00744E0A">
      <w:pPr>
        <w:spacing w:after="20" w:line="276" w:lineRule="auto"/>
        <w:jc w:val="left"/>
      </w:pPr>
      <w:r>
        <w:t xml:space="preserve">Indicator 16 – Estimated entitlements payable for permanent incapacity as </w:t>
      </w:r>
      <w:proofErr w:type="gramStart"/>
      <w:r>
        <w:t>at</w:t>
      </w:r>
      <w:proofErr w:type="gramEnd"/>
      <w:r>
        <w:t xml:space="preserve"> 1 January 2021</w:t>
      </w:r>
    </w:p>
    <w:p w14:paraId="147E4047" w14:textId="77777777" w:rsidR="00744E0A" w:rsidRDefault="00744E0A" w:rsidP="00744E0A">
      <w:pPr>
        <w:spacing w:after="20" w:line="276" w:lineRule="auto"/>
        <w:jc w:val="left"/>
      </w:pPr>
      <w:r>
        <w:t xml:space="preserve">Indicator 17 – Estimated entitlements </w:t>
      </w:r>
      <w:r w:rsidRPr="001A3D27">
        <w:t xml:space="preserve">payable for a workplace fatality </w:t>
      </w:r>
      <w:r>
        <w:t xml:space="preserve">as </w:t>
      </w:r>
      <w:proofErr w:type="gramStart"/>
      <w:r>
        <w:t>at</w:t>
      </w:r>
      <w:proofErr w:type="gramEnd"/>
      <w:r>
        <w:t xml:space="preserve"> 1 January 2021</w:t>
      </w:r>
      <w:r>
        <w:tab/>
      </w:r>
    </w:p>
    <w:p w14:paraId="4A74AF8C" w14:textId="77777777" w:rsidR="00744E0A" w:rsidRDefault="00744E0A" w:rsidP="00744E0A">
      <w:pPr>
        <w:spacing w:after="20" w:line="276" w:lineRule="auto"/>
        <w:jc w:val="left"/>
      </w:pPr>
    </w:p>
    <w:p w14:paraId="797F59D5" w14:textId="77777777" w:rsidR="00744E0A" w:rsidRPr="009309A3" w:rsidRDefault="00744E0A" w:rsidP="00744E0A">
      <w:pPr>
        <w:spacing w:after="20" w:line="276" w:lineRule="auto"/>
        <w:jc w:val="left"/>
        <w:rPr>
          <w:b/>
          <w:bCs/>
        </w:rPr>
      </w:pPr>
      <w:r>
        <w:rPr>
          <w:b/>
          <w:bCs/>
        </w:rPr>
        <w:t>Workers’ Compensation Funding</w:t>
      </w:r>
    </w:p>
    <w:p w14:paraId="25A647A0" w14:textId="77777777" w:rsidR="00744E0A" w:rsidRPr="009309A3" w:rsidRDefault="00744E0A" w:rsidP="00744E0A">
      <w:pPr>
        <w:spacing w:after="20" w:line="276" w:lineRule="auto"/>
        <w:jc w:val="left"/>
      </w:pPr>
      <w:r w:rsidRPr="009309A3">
        <w:t>Indicator 18 – Standardised ratio of assets to net outstanding claim liabilities for centrally funded schemes</w:t>
      </w:r>
      <w:r w:rsidRPr="009309A3">
        <w:tab/>
      </w:r>
    </w:p>
    <w:p w14:paraId="771699B7" w14:textId="77777777" w:rsidR="00744E0A" w:rsidRPr="009309A3" w:rsidRDefault="00744E0A" w:rsidP="00744E0A">
      <w:pPr>
        <w:spacing w:after="20" w:line="276" w:lineRule="auto"/>
        <w:jc w:val="left"/>
      </w:pPr>
      <w:r w:rsidRPr="009309A3">
        <w:t>Indicator 19 – Standardised ratio of assets to net outstanding claim liabilities for privately underwritten schemes</w:t>
      </w:r>
      <w:r w:rsidRPr="009309A3">
        <w:tab/>
      </w:r>
    </w:p>
    <w:p w14:paraId="39140475" w14:textId="77777777" w:rsidR="00744E0A" w:rsidRPr="009309A3" w:rsidRDefault="00744E0A" w:rsidP="00744E0A">
      <w:pPr>
        <w:spacing w:after="20" w:line="276" w:lineRule="auto"/>
        <w:jc w:val="left"/>
      </w:pPr>
      <w:r w:rsidRPr="009309A3">
        <w:t xml:space="preserve">Indicator 20a </w:t>
      </w:r>
      <w:r>
        <w:t xml:space="preserve">and 20b </w:t>
      </w:r>
      <w:r w:rsidRPr="009309A3">
        <w:t>– Scheme expenditure ($m</w:t>
      </w:r>
      <w:r>
        <w:t xml:space="preserve"> and %)</w:t>
      </w:r>
    </w:p>
    <w:p w14:paraId="4FFBC376" w14:textId="77777777" w:rsidR="00744E0A" w:rsidRPr="009309A3" w:rsidRDefault="00744E0A" w:rsidP="00744E0A">
      <w:pPr>
        <w:spacing w:after="20" w:line="276" w:lineRule="auto"/>
        <w:jc w:val="left"/>
      </w:pPr>
      <w:r w:rsidRPr="009309A3">
        <w:t>Indicator 21 – Direct compensation payments by type and jurisdiction</w:t>
      </w:r>
    </w:p>
    <w:p w14:paraId="0886603C" w14:textId="77777777" w:rsidR="00744E0A" w:rsidRDefault="00744E0A" w:rsidP="00744E0A">
      <w:pPr>
        <w:spacing w:after="20" w:line="276" w:lineRule="auto"/>
        <w:jc w:val="left"/>
        <w:rPr>
          <w:b/>
          <w:bCs/>
        </w:rPr>
      </w:pPr>
    </w:p>
    <w:p w14:paraId="26269386" w14:textId="77777777" w:rsidR="00744E0A" w:rsidRPr="00846E39" w:rsidRDefault="00744E0A" w:rsidP="00744E0A">
      <w:pPr>
        <w:spacing w:after="20" w:line="276" w:lineRule="auto"/>
        <w:jc w:val="left"/>
        <w:rPr>
          <w:b/>
          <w:bCs/>
        </w:rPr>
      </w:pPr>
      <w:r>
        <w:rPr>
          <w:b/>
          <w:bCs/>
        </w:rPr>
        <w:t>Workers’ Compensation Disputes</w:t>
      </w:r>
    </w:p>
    <w:p w14:paraId="30F63839" w14:textId="77777777" w:rsidR="00744E0A" w:rsidRDefault="00744E0A" w:rsidP="00744E0A">
      <w:pPr>
        <w:spacing w:after="20" w:line="276" w:lineRule="auto"/>
        <w:jc w:val="left"/>
      </w:pPr>
      <w:r w:rsidRPr="00DB3E32">
        <w:t>Indicator 22 – Proportion of claims with dispute</w:t>
      </w:r>
    </w:p>
    <w:p w14:paraId="536A7934" w14:textId="0C17424F" w:rsidR="00744E0A" w:rsidRDefault="00744E0A" w:rsidP="00744E0A">
      <w:pPr>
        <w:spacing w:after="20" w:line="276" w:lineRule="auto"/>
        <w:jc w:val="left"/>
      </w:pPr>
      <w:r w:rsidRPr="00DB3E32">
        <w:t>Indicator 23 – Percentage of disputes resolved within selected time periods (cumulative)</w:t>
      </w:r>
      <w:r>
        <w:rPr>
          <w:b/>
          <w:bCs/>
        </w:rPr>
        <w:br w:type="page"/>
      </w:r>
    </w:p>
    <w:sdt>
      <w:sdtPr>
        <w:rPr>
          <w:rFonts w:eastAsia="Times New Roman" w:cs="Times New Roman"/>
          <w:b w:val="0"/>
          <w:bCs w:val="0"/>
          <w:color w:val="auto"/>
          <w:sz w:val="20"/>
          <w:szCs w:val="24"/>
          <w:lang w:val="en-AU" w:eastAsia="en-AU"/>
        </w:rPr>
        <w:id w:val="804278026"/>
        <w:docPartObj>
          <w:docPartGallery w:val="Table of Contents"/>
          <w:docPartUnique/>
        </w:docPartObj>
      </w:sdtPr>
      <w:sdtEndPr>
        <w:rPr>
          <w:noProof/>
        </w:rPr>
      </w:sdtEndPr>
      <w:sdtContent>
        <w:p w14:paraId="67E699F2" w14:textId="626B8F6F" w:rsidR="0031228B" w:rsidRDefault="0031228B">
          <w:pPr>
            <w:pStyle w:val="TOCHeading"/>
          </w:pPr>
          <w:r>
            <w:t>Contents</w:t>
          </w:r>
        </w:p>
        <w:p w14:paraId="65BC8E4D" w14:textId="60A88FCF" w:rsidR="00837C16" w:rsidRDefault="0031228B">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86602451" w:history="1">
            <w:r w:rsidR="00837C16" w:rsidRPr="00876FBF">
              <w:rPr>
                <w:rStyle w:val="Hyperlink"/>
              </w:rPr>
              <w:t>Foreword</w:t>
            </w:r>
            <w:r w:rsidR="00837C16">
              <w:rPr>
                <w:webHidden/>
              </w:rPr>
              <w:tab/>
            </w:r>
            <w:r w:rsidR="00837C16">
              <w:rPr>
                <w:webHidden/>
              </w:rPr>
              <w:fldChar w:fldCharType="begin"/>
            </w:r>
            <w:r w:rsidR="00837C16">
              <w:rPr>
                <w:webHidden/>
              </w:rPr>
              <w:instrText xml:space="preserve"> PAGEREF _Toc86602451 \h </w:instrText>
            </w:r>
            <w:r w:rsidR="00837C16">
              <w:rPr>
                <w:webHidden/>
              </w:rPr>
            </w:r>
            <w:r w:rsidR="00837C16">
              <w:rPr>
                <w:webHidden/>
              </w:rPr>
              <w:fldChar w:fldCharType="separate"/>
            </w:r>
            <w:r w:rsidR="004132C1">
              <w:rPr>
                <w:webHidden/>
              </w:rPr>
              <w:t>7</w:t>
            </w:r>
            <w:r w:rsidR="00837C16">
              <w:rPr>
                <w:webHidden/>
              </w:rPr>
              <w:fldChar w:fldCharType="end"/>
            </w:r>
          </w:hyperlink>
        </w:p>
        <w:p w14:paraId="0DAC19A9" w14:textId="51F4B767" w:rsidR="00837C16" w:rsidRDefault="00594771">
          <w:pPr>
            <w:pStyle w:val="TOC1"/>
            <w:rPr>
              <w:rFonts w:asciiTheme="minorHAnsi" w:eastAsiaTheme="minorEastAsia" w:hAnsiTheme="minorHAnsi" w:cstheme="minorBidi"/>
              <w:sz w:val="22"/>
              <w:szCs w:val="22"/>
            </w:rPr>
          </w:pPr>
          <w:hyperlink w:anchor="_Toc86602452" w:history="1">
            <w:r w:rsidR="00837C16" w:rsidRPr="00876FBF">
              <w:rPr>
                <w:rStyle w:val="Hyperlink"/>
                <w:caps/>
              </w:rPr>
              <w:t>1.</w:t>
            </w:r>
            <w:r w:rsidR="00837C16">
              <w:rPr>
                <w:rFonts w:asciiTheme="minorHAnsi" w:eastAsiaTheme="minorEastAsia" w:hAnsiTheme="minorHAnsi" w:cstheme="minorBidi"/>
                <w:sz w:val="22"/>
                <w:szCs w:val="22"/>
              </w:rPr>
              <w:tab/>
            </w:r>
            <w:r w:rsidR="00837C16" w:rsidRPr="00876FBF">
              <w:rPr>
                <w:rStyle w:val="Hyperlink"/>
              </w:rPr>
              <w:t>Serious claims</w:t>
            </w:r>
            <w:r w:rsidR="00837C16">
              <w:rPr>
                <w:webHidden/>
              </w:rPr>
              <w:tab/>
            </w:r>
            <w:r w:rsidR="00837C16">
              <w:rPr>
                <w:webHidden/>
              </w:rPr>
              <w:fldChar w:fldCharType="begin"/>
            </w:r>
            <w:r w:rsidR="00837C16">
              <w:rPr>
                <w:webHidden/>
              </w:rPr>
              <w:instrText xml:space="preserve"> PAGEREF _Toc86602452 \h </w:instrText>
            </w:r>
            <w:r w:rsidR="00837C16">
              <w:rPr>
                <w:webHidden/>
              </w:rPr>
            </w:r>
            <w:r w:rsidR="00837C16">
              <w:rPr>
                <w:webHidden/>
              </w:rPr>
              <w:fldChar w:fldCharType="separate"/>
            </w:r>
            <w:r w:rsidR="004132C1">
              <w:rPr>
                <w:webHidden/>
              </w:rPr>
              <w:t>11</w:t>
            </w:r>
            <w:r w:rsidR="00837C16">
              <w:rPr>
                <w:webHidden/>
              </w:rPr>
              <w:fldChar w:fldCharType="end"/>
            </w:r>
          </w:hyperlink>
        </w:p>
        <w:p w14:paraId="1E611B46" w14:textId="332198C8" w:rsidR="00837C16" w:rsidRDefault="00594771" w:rsidP="0050371E">
          <w:pPr>
            <w:pStyle w:val="TOC1"/>
            <w:ind w:left="284"/>
            <w:rPr>
              <w:rFonts w:asciiTheme="minorHAnsi" w:eastAsiaTheme="minorEastAsia" w:hAnsiTheme="minorHAnsi" w:cstheme="minorBidi"/>
              <w:sz w:val="22"/>
              <w:szCs w:val="22"/>
            </w:rPr>
          </w:pPr>
          <w:hyperlink w:anchor="_Toc86602453" w:history="1">
            <w:r w:rsidR="00837C16" w:rsidRPr="00876FBF">
              <w:rPr>
                <w:rStyle w:val="Hyperlink"/>
              </w:rPr>
              <w:t>1.1</w:t>
            </w:r>
            <w:r w:rsidR="0032015A">
              <w:rPr>
                <w:rFonts w:asciiTheme="minorHAnsi" w:eastAsiaTheme="minorEastAsia" w:hAnsiTheme="minorHAnsi" w:cstheme="minorBidi"/>
                <w:sz w:val="22"/>
                <w:szCs w:val="22"/>
              </w:rPr>
              <w:t xml:space="preserve"> </w:t>
            </w:r>
            <w:r w:rsidR="00837C16" w:rsidRPr="00876FBF">
              <w:rPr>
                <w:rStyle w:val="Hyperlink"/>
              </w:rPr>
              <w:t>Incidence</w:t>
            </w:r>
            <w:r w:rsidR="0032015A">
              <w:rPr>
                <w:rStyle w:val="Hyperlink"/>
              </w:rPr>
              <w:t> </w:t>
            </w:r>
            <w:r w:rsidR="00837C16" w:rsidRPr="00876FBF">
              <w:rPr>
                <w:rStyle w:val="Hyperlink"/>
              </w:rPr>
              <w:t>rate</w:t>
            </w:r>
            <w:r w:rsidR="00837C16">
              <w:rPr>
                <w:webHidden/>
              </w:rPr>
              <w:tab/>
            </w:r>
            <w:r w:rsidR="00837C16">
              <w:rPr>
                <w:webHidden/>
              </w:rPr>
              <w:fldChar w:fldCharType="begin"/>
            </w:r>
            <w:r w:rsidR="00837C16">
              <w:rPr>
                <w:webHidden/>
              </w:rPr>
              <w:instrText xml:space="preserve"> PAGEREF _Toc86602453 \h </w:instrText>
            </w:r>
            <w:r w:rsidR="00837C16">
              <w:rPr>
                <w:webHidden/>
              </w:rPr>
            </w:r>
            <w:r w:rsidR="00837C16">
              <w:rPr>
                <w:webHidden/>
              </w:rPr>
              <w:fldChar w:fldCharType="separate"/>
            </w:r>
            <w:r w:rsidR="004132C1">
              <w:rPr>
                <w:webHidden/>
              </w:rPr>
              <w:t>12</w:t>
            </w:r>
            <w:r w:rsidR="00837C16">
              <w:rPr>
                <w:webHidden/>
              </w:rPr>
              <w:fldChar w:fldCharType="end"/>
            </w:r>
          </w:hyperlink>
        </w:p>
        <w:p w14:paraId="0E600CB9" w14:textId="2CE5F92B" w:rsidR="00837C16" w:rsidRDefault="00594771">
          <w:pPr>
            <w:pStyle w:val="TOC3"/>
            <w:rPr>
              <w:rFonts w:asciiTheme="minorHAnsi" w:eastAsiaTheme="minorEastAsia" w:hAnsiTheme="minorHAnsi" w:cstheme="minorBidi"/>
              <w:noProof/>
              <w:sz w:val="22"/>
              <w:szCs w:val="22"/>
            </w:rPr>
          </w:pPr>
          <w:hyperlink w:anchor="_Toc86602454" w:history="1">
            <w:r w:rsidR="00837C16" w:rsidRPr="00876FBF">
              <w:rPr>
                <w:rStyle w:val="Hyperlink"/>
                <w:noProof/>
              </w:rPr>
              <w:t>Indicator 1 – Incidence rates of serious injury and disease claims by jurisdiction</w:t>
            </w:r>
            <w:r w:rsidR="00837C16">
              <w:rPr>
                <w:noProof/>
                <w:webHidden/>
              </w:rPr>
              <w:tab/>
            </w:r>
            <w:r w:rsidR="00837C16">
              <w:rPr>
                <w:noProof/>
                <w:webHidden/>
              </w:rPr>
              <w:fldChar w:fldCharType="begin"/>
            </w:r>
            <w:r w:rsidR="00837C16">
              <w:rPr>
                <w:noProof/>
                <w:webHidden/>
              </w:rPr>
              <w:instrText xml:space="preserve"> PAGEREF _Toc86602454 \h </w:instrText>
            </w:r>
            <w:r w:rsidR="00837C16">
              <w:rPr>
                <w:noProof/>
                <w:webHidden/>
              </w:rPr>
            </w:r>
            <w:r w:rsidR="00837C16">
              <w:rPr>
                <w:noProof/>
                <w:webHidden/>
              </w:rPr>
              <w:fldChar w:fldCharType="separate"/>
            </w:r>
            <w:r w:rsidR="004132C1">
              <w:rPr>
                <w:noProof/>
                <w:webHidden/>
              </w:rPr>
              <w:t>12</w:t>
            </w:r>
            <w:r w:rsidR="00837C16">
              <w:rPr>
                <w:noProof/>
                <w:webHidden/>
              </w:rPr>
              <w:fldChar w:fldCharType="end"/>
            </w:r>
          </w:hyperlink>
        </w:p>
        <w:p w14:paraId="15D4C2D7" w14:textId="1B0D8A0E" w:rsidR="00837C16" w:rsidRDefault="00594771" w:rsidP="0050371E">
          <w:pPr>
            <w:pStyle w:val="TOC1"/>
            <w:ind w:left="284"/>
            <w:rPr>
              <w:rFonts w:asciiTheme="minorHAnsi" w:eastAsiaTheme="minorEastAsia" w:hAnsiTheme="minorHAnsi" w:cstheme="minorBidi"/>
              <w:sz w:val="22"/>
              <w:szCs w:val="22"/>
            </w:rPr>
          </w:pPr>
          <w:hyperlink w:anchor="_Toc86602455" w:history="1">
            <w:r w:rsidR="00837C16" w:rsidRPr="00876FBF">
              <w:rPr>
                <w:rStyle w:val="Hyperlink"/>
              </w:rPr>
              <w:t>1.2</w:t>
            </w:r>
            <w:r w:rsidR="0032015A">
              <w:rPr>
                <w:rFonts w:asciiTheme="minorHAnsi" w:eastAsiaTheme="minorEastAsia" w:hAnsiTheme="minorHAnsi" w:cstheme="minorBidi"/>
                <w:sz w:val="22"/>
                <w:szCs w:val="22"/>
              </w:rPr>
              <w:t xml:space="preserve"> </w:t>
            </w:r>
            <w:r w:rsidR="00837C16" w:rsidRPr="00876FBF">
              <w:rPr>
                <w:rStyle w:val="Hyperlink"/>
              </w:rPr>
              <w:t>Frequency</w:t>
            </w:r>
            <w:r w:rsidR="0032015A">
              <w:rPr>
                <w:rStyle w:val="Hyperlink"/>
              </w:rPr>
              <w:t> </w:t>
            </w:r>
            <w:r w:rsidR="00837C16" w:rsidRPr="00876FBF">
              <w:rPr>
                <w:rStyle w:val="Hyperlink"/>
              </w:rPr>
              <w:t>rate</w:t>
            </w:r>
            <w:r w:rsidR="00837C16">
              <w:rPr>
                <w:webHidden/>
              </w:rPr>
              <w:tab/>
            </w:r>
            <w:r w:rsidR="00837C16">
              <w:rPr>
                <w:webHidden/>
              </w:rPr>
              <w:fldChar w:fldCharType="begin"/>
            </w:r>
            <w:r w:rsidR="00837C16">
              <w:rPr>
                <w:webHidden/>
              </w:rPr>
              <w:instrText xml:space="preserve"> PAGEREF _Toc86602455 \h </w:instrText>
            </w:r>
            <w:r w:rsidR="00837C16">
              <w:rPr>
                <w:webHidden/>
              </w:rPr>
            </w:r>
            <w:r w:rsidR="00837C16">
              <w:rPr>
                <w:webHidden/>
              </w:rPr>
              <w:fldChar w:fldCharType="separate"/>
            </w:r>
            <w:r w:rsidR="004132C1">
              <w:rPr>
                <w:webHidden/>
              </w:rPr>
              <w:t>13</w:t>
            </w:r>
            <w:r w:rsidR="00837C16">
              <w:rPr>
                <w:webHidden/>
              </w:rPr>
              <w:fldChar w:fldCharType="end"/>
            </w:r>
          </w:hyperlink>
        </w:p>
        <w:p w14:paraId="1E437D56" w14:textId="57029CD1" w:rsidR="00837C16" w:rsidRDefault="00594771">
          <w:pPr>
            <w:pStyle w:val="TOC3"/>
            <w:rPr>
              <w:rFonts w:asciiTheme="minorHAnsi" w:eastAsiaTheme="minorEastAsia" w:hAnsiTheme="minorHAnsi" w:cstheme="minorBidi"/>
              <w:noProof/>
              <w:sz w:val="22"/>
              <w:szCs w:val="22"/>
            </w:rPr>
          </w:pPr>
          <w:hyperlink w:anchor="_Toc86602456" w:history="1">
            <w:r w:rsidR="00837C16" w:rsidRPr="00876FBF">
              <w:rPr>
                <w:rStyle w:val="Hyperlink"/>
                <w:noProof/>
              </w:rPr>
              <w:t>Indicator 2 – Frequency rate of serious injury claims by jurisdiction</w:t>
            </w:r>
            <w:r w:rsidR="00837C16">
              <w:rPr>
                <w:noProof/>
                <w:webHidden/>
              </w:rPr>
              <w:tab/>
            </w:r>
            <w:r w:rsidR="00837C16">
              <w:rPr>
                <w:noProof/>
                <w:webHidden/>
              </w:rPr>
              <w:fldChar w:fldCharType="begin"/>
            </w:r>
            <w:r w:rsidR="00837C16">
              <w:rPr>
                <w:noProof/>
                <w:webHidden/>
              </w:rPr>
              <w:instrText xml:space="preserve"> PAGEREF _Toc86602456 \h </w:instrText>
            </w:r>
            <w:r w:rsidR="00837C16">
              <w:rPr>
                <w:noProof/>
                <w:webHidden/>
              </w:rPr>
            </w:r>
            <w:r w:rsidR="00837C16">
              <w:rPr>
                <w:noProof/>
                <w:webHidden/>
              </w:rPr>
              <w:fldChar w:fldCharType="separate"/>
            </w:r>
            <w:r w:rsidR="004132C1">
              <w:rPr>
                <w:noProof/>
                <w:webHidden/>
              </w:rPr>
              <w:t>13</w:t>
            </w:r>
            <w:r w:rsidR="00837C16">
              <w:rPr>
                <w:noProof/>
                <w:webHidden/>
              </w:rPr>
              <w:fldChar w:fldCharType="end"/>
            </w:r>
          </w:hyperlink>
        </w:p>
        <w:p w14:paraId="1E2C0DCF" w14:textId="2B65C527" w:rsidR="00837C16" w:rsidRDefault="00594771" w:rsidP="0050371E">
          <w:pPr>
            <w:pStyle w:val="TOC1"/>
            <w:ind w:left="284"/>
            <w:rPr>
              <w:rFonts w:asciiTheme="minorHAnsi" w:eastAsiaTheme="minorEastAsia" w:hAnsiTheme="minorHAnsi" w:cstheme="minorBidi"/>
              <w:sz w:val="22"/>
              <w:szCs w:val="22"/>
            </w:rPr>
          </w:pPr>
          <w:hyperlink w:anchor="_Toc86602457" w:history="1">
            <w:r w:rsidR="00837C16" w:rsidRPr="00876FBF">
              <w:rPr>
                <w:rStyle w:val="Hyperlink"/>
              </w:rPr>
              <w:t>1.3 Long term incidence and frequency rates</w:t>
            </w:r>
            <w:r w:rsidR="00837C16">
              <w:rPr>
                <w:webHidden/>
              </w:rPr>
              <w:tab/>
            </w:r>
            <w:r w:rsidR="00837C16">
              <w:rPr>
                <w:webHidden/>
              </w:rPr>
              <w:fldChar w:fldCharType="begin"/>
            </w:r>
            <w:r w:rsidR="00837C16">
              <w:rPr>
                <w:webHidden/>
              </w:rPr>
              <w:instrText xml:space="preserve"> PAGEREF _Toc86602457 \h </w:instrText>
            </w:r>
            <w:r w:rsidR="00837C16">
              <w:rPr>
                <w:webHidden/>
              </w:rPr>
            </w:r>
            <w:r w:rsidR="00837C16">
              <w:rPr>
                <w:webHidden/>
              </w:rPr>
              <w:fldChar w:fldCharType="separate"/>
            </w:r>
            <w:r w:rsidR="004132C1">
              <w:rPr>
                <w:webHidden/>
              </w:rPr>
              <w:t>14</w:t>
            </w:r>
            <w:r w:rsidR="00837C16">
              <w:rPr>
                <w:webHidden/>
              </w:rPr>
              <w:fldChar w:fldCharType="end"/>
            </w:r>
          </w:hyperlink>
        </w:p>
        <w:p w14:paraId="1B1A6F34" w14:textId="642CDCF8" w:rsidR="00837C16" w:rsidRDefault="00594771">
          <w:pPr>
            <w:pStyle w:val="TOC3"/>
            <w:rPr>
              <w:rFonts w:asciiTheme="minorHAnsi" w:eastAsiaTheme="minorEastAsia" w:hAnsiTheme="minorHAnsi" w:cstheme="minorBidi"/>
              <w:noProof/>
              <w:sz w:val="22"/>
              <w:szCs w:val="22"/>
            </w:rPr>
          </w:pPr>
          <w:hyperlink w:anchor="_Toc86602458" w:history="1">
            <w:r w:rsidR="00837C16" w:rsidRPr="00876FBF">
              <w:rPr>
                <w:rStyle w:val="Hyperlink"/>
                <w:noProof/>
              </w:rPr>
              <w:t>Indicator 3 – Incidence rates of long term (12 weeks or more compensation) injury and disease claims by jurisdiction</w:t>
            </w:r>
            <w:r w:rsidR="00837C16">
              <w:rPr>
                <w:noProof/>
                <w:webHidden/>
              </w:rPr>
              <w:tab/>
            </w:r>
            <w:r w:rsidR="00837C16">
              <w:rPr>
                <w:noProof/>
                <w:webHidden/>
              </w:rPr>
              <w:fldChar w:fldCharType="begin"/>
            </w:r>
            <w:r w:rsidR="00837C16">
              <w:rPr>
                <w:noProof/>
                <w:webHidden/>
              </w:rPr>
              <w:instrText xml:space="preserve"> PAGEREF _Toc86602458 \h </w:instrText>
            </w:r>
            <w:r w:rsidR="00837C16">
              <w:rPr>
                <w:noProof/>
                <w:webHidden/>
              </w:rPr>
            </w:r>
            <w:r w:rsidR="00837C16">
              <w:rPr>
                <w:noProof/>
                <w:webHidden/>
              </w:rPr>
              <w:fldChar w:fldCharType="separate"/>
            </w:r>
            <w:r w:rsidR="004132C1">
              <w:rPr>
                <w:noProof/>
                <w:webHidden/>
              </w:rPr>
              <w:t>14</w:t>
            </w:r>
            <w:r w:rsidR="00837C16">
              <w:rPr>
                <w:noProof/>
                <w:webHidden/>
              </w:rPr>
              <w:fldChar w:fldCharType="end"/>
            </w:r>
          </w:hyperlink>
        </w:p>
        <w:p w14:paraId="6028EFC9" w14:textId="57633C97" w:rsidR="00837C16" w:rsidRDefault="00594771">
          <w:pPr>
            <w:pStyle w:val="TOC3"/>
            <w:rPr>
              <w:rFonts w:asciiTheme="minorHAnsi" w:eastAsiaTheme="minorEastAsia" w:hAnsiTheme="minorHAnsi" w:cstheme="minorBidi"/>
              <w:noProof/>
              <w:sz w:val="22"/>
              <w:szCs w:val="22"/>
            </w:rPr>
          </w:pPr>
          <w:hyperlink w:anchor="_Toc86602459" w:history="1">
            <w:r w:rsidR="00837C16" w:rsidRPr="00876FBF">
              <w:rPr>
                <w:rStyle w:val="Hyperlink"/>
                <w:noProof/>
              </w:rPr>
              <w:t>Indicator 4 – Frequency rate of long term (12 weeks or more compensation) injury and disease claims by jurisdiction</w:t>
            </w:r>
            <w:r w:rsidR="00837C16">
              <w:rPr>
                <w:noProof/>
                <w:webHidden/>
              </w:rPr>
              <w:tab/>
            </w:r>
            <w:r w:rsidR="00837C16">
              <w:rPr>
                <w:noProof/>
                <w:webHidden/>
              </w:rPr>
              <w:fldChar w:fldCharType="begin"/>
            </w:r>
            <w:r w:rsidR="00837C16">
              <w:rPr>
                <w:noProof/>
                <w:webHidden/>
              </w:rPr>
              <w:instrText xml:space="preserve"> PAGEREF _Toc86602459 \h </w:instrText>
            </w:r>
            <w:r w:rsidR="00837C16">
              <w:rPr>
                <w:noProof/>
                <w:webHidden/>
              </w:rPr>
            </w:r>
            <w:r w:rsidR="00837C16">
              <w:rPr>
                <w:noProof/>
                <w:webHidden/>
              </w:rPr>
              <w:fldChar w:fldCharType="separate"/>
            </w:r>
            <w:r w:rsidR="004132C1">
              <w:rPr>
                <w:noProof/>
                <w:webHidden/>
              </w:rPr>
              <w:t>15</w:t>
            </w:r>
            <w:r w:rsidR="00837C16">
              <w:rPr>
                <w:noProof/>
                <w:webHidden/>
              </w:rPr>
              <w:fldChar w:fldCharType="end"/>
            </w:r>
          </w:hyperlink>
        </w:p>
        <w:p w14:paraId="1D83E051" w14:textId="63847C7C" w:rsidR="00837C16" w:rsidRDefault="00594771" w:rsidP="0050371E">
          <w:pPr>
            <w:pStyle w:val="TOC1"/>
            <w:ind w:left="284"/>
            <w:rPr>
              <w:rFonts w:asciiTheme="minorHAnsi" w:eastAsiaTheme="minorEastAsia" w:hAnsiTheme="minorHAnsi" w:cstheme="minorBidi"/>
              <w:sz w:val="22"/>
              <w:szCs w:val="22"/>
            </w:rPr>
          </w:pPr>
          <w:hyperlink w:anchor="_Toc86602460" w:history="1">
            <w:r w:rsidR="00837C16" w:rsidRPr="00876FBF">
              <w:rPr>
                <w:rStyle w:val="Hyperlink"/>
              </w:rPr>
              <w:t>1.4 Self-insured serious claims</w:t>
            </w:r>
            <w:r w:rsidR="00837C16">
              <w:rPr>
                <w:webHidden/>
              </w:rPr>
              <w:tab/>
            </w:r>
            <w:r w:rsidR="00837C16">
              <w:rPr>
                <w:webHidden/>
              </w:rPr>
              <w:fldChar w:fldCharType="begin"/>
            </w:r>
            <w:r w:rsidR="00837C16">
              <w:rPr>
                <w:webHidden/>
              </w:rPr>
              <w:instrText xml:space="preserve"> PAGEREF _Toc86602460 \h </w:instrText>
            </w:r>
            <w:r w:rsidR="00837C16">
              <w:rPr>
                <w:webHidden/>
              </w:rPr>
            </w:r>
            <w:r w:rsidR="00837C16">
              <w:rPr>
                <w:webHidden/>
              </w:rPr>
              <w:fldChar w:fldCharType="separate"/>
            </w:r>
            <w:r w:rsidR="004132C1">
              <w:rPr>
                <w:webHidden/>
              </w:rPr>
              <w:t>16</w:t>
            </w:r>
            <w:r w:rsidR="00837C16">
              <w:rPr>
                <w:webHidden/>
              </w:rPr>
              <w:fldChar w:fldCharType="end"/>
            </w:r>
          </w:hyperlink>
        </w:p>
        <w:p w14:paraId="67414549" w14:textId="17E3981A" w:rsidR="00837C16" w:rsidRDefault="00594771">
          <w:pPr>
            <w:pStyle w:val="TOC3"/>
            <w:rPr>
              <w:rFonts w:asciiTheme="minorHAnsi" w:eastAsiaTheme="minorEastAsia" w:hAnsiTheme="minorHAnsi" w:cstheme="minorBidi"/>
              <w:noProof/>
              <w:sz w:val="22"/>
              <w:szCs w:val="22"/>
            </w:rPr>
          </w:pPr>
          <w:hyperlink w:anchor="_Toc86602461" w:history="1">
            <w:r w:rsidR="00837C16" w:rsidRPr="00876FBF">
              <w:rPr>
                <w:rStyle w:val="Hyperlink"/>
                <w:noProof/>
              </w:rPr>
              <w:t>Indicator 5a – Self-insured claims: number of serious claims by jurisdiction</w:t>
            </w:r>
            <w:r w:rsidR="00837C16">
              <w:rPr>
                <w:noProof/>
                <w:webHidden/>
              </w:rPr>
              <w:tab/>
            </w:r>
            <w:r w:rsidR="00837C16">
              <w:rPr>
                <w:noProof/>
                <w:webHidden/>
              </w:rPr>
              <w:fldChar w:fldCharType="begin"/>
            </w:r>
            <w:r w:rsidR="00837C16">
              <w:rPr>
                <w:noProof/>
                <w:webHidden/>
              </w:rPr>
              <w:instrText xml:space="preserve"> PAGEREF _Toc86602461 \h </w:instrText>
            </w:r>
            <w:r w:rsidR="00837C16">
              <w:rPr>
                <w:noProof/>
                <w:webHidden/>
              </w:rPr>
            </w:r>
            <w:r w:rsidR="00837C16">
              <w:rPr>
                <w:noProof/>
                <w:webHidden/>
              </w:rPr>
              <w:fldChar w:fldCharType="separate"/>
            </w:r>
            <w:r w:rsidR="004132C1">
              <w:rPr>
                <w:noProof/>
                <w:webHidden/>
              </w:rPr>
              <w:t>16</w:t>
            </w:r>
            <w:r w:rsidR="00837C16">
              <w:rPr>
                <w:noProof/>
                <w:webHidden/>
              </w:rPr>
              <w:fldChar w:fldCharType="end"/>
            </w:r>
          </w:hyperlink>
        </w:p>
        <w:p w14:paraId="4E0BF4C2" w14:textId="1B8E92EC" w:rsidR="00837C16" w:rsidRDefault="00594771">
          <w:pPr>
            <w:pStyle w:val="TOC3"/>
            <w:rPr>
              <w:rFonts w:asciiTheme="minorHAnsi" w:eastAsiaTheme="minorEastAsia" w:hAnsiTheme="minorHAnsi" w:cstheme="minorBidi"/>
              <w:noProof/>
              <w:sz w:val="22"/>
              <w:szCs w:val="22"/>
            </w:rPr>
          </w:pPr>
          <w:hyperlink w:anchor="_Toc86602462" w:history="1">
            <w:r w:rsidR="00837C16" w:rsidRPr="00876FBF">
              <w:rPr>
                <w:rStyle w:val="Hyperlink"/>
                <w:noProof/>
              </w:rPr>
              <w:t>Indicator 5b – Self-insured claims as a proportion of serious claims by jurisdiction (%)</w:t>
            </w:r>
            <w:r w:rsidR="00837C16">
              <w:rPr>
                <w:noProof/>
                <w:webHidden/>
              </w:rPr>
              <w:tab/>
            </w:r>
            <w:r w:rsidR="00837C16">
              <w:rPr>
                <w:noProof/>
                <w:webHidden/>
              </w:rPr>
              <w:fldChar w:fldCharType="begin"/>
            </w:r>
            <w:r w:rsidR="00837C16">
              <w:rPr>
                <w:noProof/>
                <w:webHidden/>
              </w:rPr>
              <w:instrText xml:space="preserve"> PAGEREF _Toc86602462 \h </w:instrText>
            </w:r>
            <w:r w:rsidR="00837C16">
              <w:rPr>
                <w:noProof/>
                <w:webHidden/>
              </w:rPr>
            </w:r>
            <w:r w:rsidR="00837C16">
              <w:rPr>
                <w:noProof/>
                <w:webHidden/>
              </w:rPr>
              <w:fldChar w:fldCharType="separate"/>
            </w:r>
            <w:r w:rsidR="004132C1">
              <w:rPr>
                <w:noProof/>
                <w:webHidden/>
              </w:rPr>
              <w:t>17</w:t>
            </w:r>
            <w:r w:rsidR="00837C16">
              <w:rPr>
                <w:noProof/>
                <w:webHidden/>
              </w:rPr>
              <w:fldChar w:fldCharType="end"/>
            </w:r>
          </w:hyperlink>
        </w:p>
        <w:p w14:paraId="3BB99E41" w14:textId="70FF75F5" w:rsidR="00837C16" w:rsidRDefault="00594771">
          <w:pPr>
            <w:pStyle w:val="TOC1"/>
            <w:rPr>
              <w:rFonts w:asciiTheme="minorHAnsi" w:eastAsiaTheme="minorEastAsia" w:hAnsiTheme="minorHAnsi" w:cstheme="minorBidi"/>
              <w:sz w:val="22"/>
              <w:szCs w:val="22"/>
            </w:rPr>
          </w:pPr>
          <w:hyperlink w:anchor="_Toc86602463" w:history="1">
            <w:r w:rsidR="00837C16" w:rsidRPr="00876FBF">
              <w:rPr>
                <w:rStyle w:val="Hyperlink"/>
              </w:rPr>
              <w:t>2.</w:t>
            </w:r>
            <w:r w:rsidR="00837C16">
              <w:rPr>
                <w:rFonts w:asciiTheme="minorHAnsi" w:eastAsiaTheme="minorEastAsia" w:hAnsiTheme="minorHAnsi" w:cstheme="minorBidi"/>
                <w:sz w:val="22"/>
                <w:szCs w:val="22"/>
              </w:rPr>
              <w:tab/>
            </w:r>
            <w:r w:rsidR="00837C16" w:rsidRPr="00876FBF">
              <w:rPr>
                <w:rStyle w:val="Hyperlink"/>
              </w:rPr>
              <w:t>Duration of absence</w:t>
            </w:r>
            <w:r w:rsidR="00837C16">
              <w:rPr>
                <w:webHidden/>
              </w:rPr>
              <w:tab/>
            </w:r>
            <w:r w:rsidR="00837C16">
              <w:rPr>
                <w:webHidden/>
              </w:rPr>
              <w:fldChar w:fldCharType="begin"/>
            </w:r>
            <w:r w:rsidR="00837C16">
              <w:rPr>
                <w:webHidden/>
              </w:rPr>
              <w:instrText xml:space="preserve"> PAGEREF _Toc86602463 \h </w:instrText>
            </w:r>
            <w:r w:rsidR="00837C16">
              <w:rPr>
                <w:webHidden/>
              </w:rPr>
            </w:r>
            <w:r w:rsidR="00837C16">
              <w:rPr>
                <w:webHidden/>
              </w:rPr>
              <w:fldChar w:fldCharType="separate"/>
            </w:r>
            <w:r w:rsidR="004132C1">
              <w:rPr>
                <w:webHidden/>
              </w:rPr>
              <w:t>18</w:t>
            </w:r>
            <w:r w:rsidR="00837C16">
              <w:rPr>
                <w:webHidden/>
              </w:rPr>
              <w:fldChar w:fldCharType="end"/>
            </w:r>
          </w:hyperlink>
        </w:p>
        <w:p w14:paraId="5AF8ED0B" w14:textId="7A929760" w:rsidR="00837C16" w:rsidRDefault="00594771">
          <w:pPr>
            <w:pStyle w:val="TOC3"/>
            <w:rPr>
              <w:rFonts w:asciiTheme="minorHAnsi" w:eastAsiaTheme="minorEastAsia" w:hAnsiTheme="minorHAnsi" w:cstheme="minorBidi"/>
              <w:noProof/>
              <w:sz w:val="22"/>
              <w:szCs w:val="22"/>
            </w:rPr>
          </w:pPr>
          <w:hyperlink w:anchor="_Toc86602464" w:history="1">
            <w:r w:rsidR="00837C16" w:rsidRPr="00876FBF">
              <w:rPr>
                <w:rStyle w:val="Hyperlink"/>
                <w:noProof/>
              </w:rPr>
              <w:t>Indicator 6 – Serious claims: Percentage involving selected periods of compensation (%), 20</w:t>
            </w:r>
            <w:r w:rsidR="00AD7121">
              <w:rPr>
                <w:rStyle w:val="Hyperlink"/>
                <w:noProof/>
              </w:rPr>
              <w:t>19</w:t>
            </w:r>
            <w:r w:rsidR="00837C16" w:rsidRPr="00876FBF">
              <w:rPr>
                <w:rStyle w:val="Hyperlink"/>
                <w:noProof/>
              </w:rPr>
              <w:t>–</w:t>
            </w:r>
            <w:r w:rsidR="00AD7121">
              <w:rPr>
                <w:rStyle w:val="Hyperlink"/>
                <w:noProof/>
              </w:rPr>
              <w:t>20</w:t>
            </w:r>
            <w:r w:rsidR="00837C16">
              <w:rPr>
                <w:noProof/>
                <w:webHidden/>
              </w:rPr>
              <w:tab/>
            </w:r>
            <w:r w:rsidR="00837C16">
              <w:rPr>
                <w:noProof/>
                <w:webHidden/>
              </w:rPr>
              <w:fldChar w:fldCharType="begin"/>
            </w:r>
            <w:r w:rsidR="00837C16">
              <w:rPr>
                <w:noProof/>
                <w:webHidden/>
              </w:rPr>
              <w:instrText xml:space="preserve"> PAGEREF _Toc86602464 \h </w:instrText>
            </w:r>
            <w:r w:rsidR="00837C16">
              <w:rPr>
                <w:noProof/>
                <w:webHidden/>
              </w:rPr>
            </w:r>
            <w:r w:rsidR="00837C16">
              <w:rPr>
                <w:noProof/>
                <w:webHidden/>
              </w:rPr>
              <w:fldChar w:fldCharType="separate"/>
            </w:r>
            <w:r w:rsidR="004132C1">
              <w:rPr>
                <w:noProof/>
                <w:webHidden/>
              </w:rPr>
              <w:t>18</w:t>
            </w:r>
            <w:r w:rsidR="00837C16">
              <w:rPr>
                <w:noProof/>
                <w:webHidden/>
              </w:rPr>
              <w:fldChar w:fldCharType="end"/>
            </w:r>
          </w:hyperlink>
        </w:p>
        <w:p w14:paraId="1AAA9923" w14:textId="2536EC5B" w:rsidR="00837C16" w:rsidRDefault="00594771">
          <w:pPr>
            <w:pStyle w:val="TOC1"/>
            <w:rPr>
              <w:rFonts w:asciiTheme="minorHAnsi" w:eastAsiaTheme="minorEastAsia" w:hAnsiTheme="minorHAnsi" w:cstheme="minorBidi"/>
              <w:sz w:val="22"/>
              <w:szCs w:val="22"/>
            </w:rPr>
          </w:pPr>
          <w:hyperlink w:anchor="_Toc86602465" w:history="1">
            <w:r w:rsidR="00837C16" w:rsidRPr="00876FBF">
              <w:rPr>
                <w:rStyle w:val="Hyperlink"/>
              </w:rPr>
              <w:t>3.</w:t>
            </w:r>
            <w:r w:rsidR="00837C16">
              <w:rPr>
                <w:rFonts w:asciiTheme="minorHAnsi" w:eastAsiaTheme="minorEastAsia" w:hAnsiTheme="minorHAnsi" w:cstheme="minorBidi"/>
                <w:sz w:val="22"/>
                <w:szCs w:val="22"/>
              </w:rPr>
              <w:tab/>
            </w:r>
            <w:r w:rsidR="00837C16" w:rsidRPr="00876FBF">
              <w:rPr>
                <w:rStyle w:val="Hyperlink"/>
              </w:rPr>
              <w:t>Work-related fatalities</w:t>
            </w:r>
            <w:r w:rsidR="00837C16">
              <w:rPr>
                <w:webHidden/>
              </w:rPr>
              <w:tab/>
            </w:r>
            <w:r w:rsidR="00837C16">
              <w:rPr>
                <w:webHidden/>
              </w:rPr>
              <w:fldChar w:fldCharType="begin"/>
            </w:r>
            <w:r w:rsidR="00837C16">
              <w:rPr>
                <w:webHidden/>
              </w:rPr>
              <w:instrText xml:space="preserve"> PAGEREF _Toc86602465 \h </w:instrText>
            </w:r>
            <w:r w:rsidR="00837C16">
              <w:rPr>
                <w:webHidden/>
              </w:rPr>
            </w:r>
            <w:r w:rsidR="00837C16">
              <w:rPr>
                <w:webHidden/>
              </w:rPr>
              <w:fldChar w:fldCharType="separate"/>
            </w:r>
            <w:r w:rsidR="004132C1">
              <w:rPr>
                <w:webHidden/>
              </w:rPr>
              <w:t>19</w:t>
            </w:r>
            <w:r w:rsidR="00837C16">
              <w:rPr>
                <w:webHidden/>
              </w:rPr>
              <w:fldChar w:fldCharType="end"/>
            </w:r>
          </w:hyperlink>
        </w:p>
        <w:p w14:paraId="1DC19AE6" w14:textId="484BB168" w:rsidR="00837C16" w:rsidRDefault="00594771" w:rsidP="0050371E">
          <w:pPr>
            <w:pStyle w:val="TOC1"/>
            <w:ind w:left="284"/>
            <w:rPr>
              <w:rFonts w:asciiTheme="minorHAnsi" w:eastAsiaTheme="minorEastAsia" w:hAnsiTheme="minorHAnsi" w:cstheme="minorBidi"/>
              <w:sz w:val="22"/>
              <w:szCs w:val="22"/>
            </w:rPr>
          </w:pPr>
          <w:hyperlink w:anchor="_Toc86602466" w:history="1">
            <w:r w:rsidR="00837C16" w:rsidRPr="00876FBF">
              <w:rPr>
                <w:rStyle w:val="Hyperlink"/>
              </w:rPr>
              <w:t>3.1</w:t>
            </w:r>
            <w:r w:rsidR="0032015A">
              <w:rPr>
                <w:rFonts w:asciiTheme="minorHAnsi" w:eastAsiaTheme="minorEastAsia" w:hAnsiTheme="minorHAnsi" w:cstheme="minorBidi"/>
                <w:sz w:val="22"/>
                <w:szCs w:val="22"/>
              </w:rPr>
              <w:t xml:space="preserve"> </w:t>
            </w:r>
            <w:r w:rsidR="00837C16" w:rsidRPr="00876FBF">
              <w:rPr>
                <w:rStyle w:val="Hyperlink"/>
              </w:rPr>
              <w:t>Work-related</w:t>
            </w:r>
            <w:r w:rsidR="0032015A">
              <w:rPr>
                <w:rStyle w:val="Hyperlink"/>
              </w:rPr>
              <w:t> </w:t>
            </w:r>
            <w:r w:rsidR="00837C16" w:rsidRPr="00876FBF">
              <w:rPr>
                <w:rStyle w:val="Hyperlink"/>
              </w:rPr>
              <w:t>traumatic</w:t>
            </w:r>
            <w:r w:rsidR="0032015A">
              <w:rPr>
                <w:rStyle w:val="Hyperlink"/>
              </w:rPr>
              <w:t> </w:t>
            </w:r>
            <w:r w:rsidR="00837C16" w:rsidRPr="00876FBF">
              <w:rPr>
                <w:rStyle w:val="Hyperlink"/>
              </w:rPr>
              <w:t>injury</w:t>
            </w:r>
            <w:r w:rsidR="0032015A">
              <w:rPr>
                <w:rStyle w:val="Hyperlink"/>
              </w:rPr>
              <w:t> </w:t>
            </w:r>
            <w:r w:rsidR="00837C16" w:rsidRPr="00876FBF">
              <w:rPr>
                <w:rStyle w:val="Hyperlink"/>
              </w:rPr>
              <w:t>fatalities</w:t>
            </w:r>
            <w:r w:rsidR="00837C16">
              <w:rPr>
                <w:webHidden/>
              </w:rPr>
              <w:tab/>
            </w:r>
            <w:r w:rsidR="004132C1">
              <w:rPr>
                <w:webHidden/>
              </w:rPr>
              <w:t>19</w:t>
            </w:r>
          </w:hyperlink>
        </w:p>
        <w:p w14:paraId="27603276" w14:textId="1615DFF5" w:rsidR="00837C16" w:rsidRDefault="00594771">
          <w:pPr>
            <w:pStyle w:val="TOC3"/>
            <w:rPr>
              <w:rFonts w:asciiTheme="minorHAnsi" w:eastAsiaTheme="minorEastAsia" w:hAnsiTheme="minorHAnsi" w:cstheme="minorBidi"/>
              <w:noProof/>
              <w:sz w:val="22"/>
              <w:szCs w:val="22"/>
            </w:rPr>
          </w:pPr>
          <w:hyperlink w:anchor="_Toc86602467" w:history="1">
            <w:r w:rsidR="00837C16" w:rsidRPr="00876FBF">
              <w:rPr>
                <w:rStyle w:val="Hyperlink"/>
                <w:noProof/>
              </w:rPr>
              <w:t>Indicator 7a – Traumatic injury worker fatalities: number of incidents not on a public road, by state of death</w:t>
            </w:r>
            <w:r w:rsidR="00837C16">
              <w:rPr>
                <w:noProof/>
                <w:webHidden/>
              </w:rPr>
              <w:tab/>
            </w:r>
            <w:r w:rsidR="004132C1">
              <w:rPr>
                <w:noProof/>
                <w:webHidden/>
              </w:rPr>
              <w:t>19</w:t>
            </w:r>
          </w:hyperlink>
        </w:p>
        <w:p w14:paraId="307CA898" w14:textId="47DBA093" w:rsidR="00837C16" w:rsidRDefault="00594771">
          <w:pPr>
            <w:pStyle w:val="TOC3"/>
            <w:rPr>
              <w:rFonts w:asciiTheme="minorHAnsi" w:eastAsiaTheme="minorEastAsia" w:hAnsiTheme="minorHAnsi" w:cstheme="minorBidi"/>
              <w:noProof/>
              <w:sz w:val="22"/>
              <w:szCs w:val="22"/>
            </w:rPr>
          </w:pPr>
          <w:hyperlink w:anchor="_Toc86602468" w:history="1">
            <w:r w:rsidR="00837C16" w:rsidRPr="00876FBF">
              <w:rPr>
                <w:rStyle w:val="Hyperlink"/>
                <w:noProof/>
              </w:rPr>
              <w:t>Indicator 7b – Traumatic injury fatalities: incidence rate per 100,000 workers for incidents not on a public road, by state of death</w:t>
            </w:r>
            <w:r w:rsidR="00837C16">
              <w:rPr>
                <w:noProof/>
                <w:webHidden/>
              </w:rPr>
              <w:tab/>
            </w:r>
            <w:r w:rsidR="004132C1">
              <w:rPr>
                <w:noProof/>
                <w:webHidden/>
              </w:rPr>
              <w:t>20</w:t>
            </w:r>
          </w:hyperlink>
        </w:p>
        <w:p w14:paraId="395C8CE3" w14:textId="7A6CBB20" w:rsidR="00837C16" w:rsidRDefault="00594771" w:rsidP="0050371E">
          <w:pPr>
            <w:pStyle w:val="TOC1"/>
            <w:ind w:left="284"/>
            <w:rPr>
              <w:rFonts w:asciiTheme="minorHAnsi" w:eastAsiaTheme="minorEastAsia" w:hAnsiTheme="minorHAnsi" w:cstheme="minorBidi"/>
              <w:sz w:val="22"/>
              <w:szCs w:val="22"/>
            </w:rPr>
          </w:pPr>
          <w:hyperlink w:anchor="_Toc86602469" w:history="1">
            <w:r w:rsidR="00837C16" w:rsidRPr="00876FBF">
              <w:rPr>
                <w:rStyle w:val="Hyperlink"/>
              </w:rPr>
              <w:t>3.2</w:t>
            </w:r>
            <w:r w:rsidR="00F933A9">
              <w:rPr>
                <w:rFonts w:asciiTheme="minorHAnsi" w:eastAsiaTheme="minorEastAsia" w:hAnsiTheme="minorHAnsi" w:cstheme="minorBidi"/>
                <w:sz w:val="22"/>
                <w:szCs w:val="22"/>
              </w:rPr>
              <w:t xml:space="preserve"> </w:t>
            </w:r>
            <w:r w:rsidR="00837C16" w:rsidRPr="00876FBF">
              <w:rPr>
                <w:rStyle w:val="Hyperlink"/>
              </w:rPr>
              <w:t>Work-related</w:t>
            </w:r>
            <w:r w:rsidR="00F933A9">
              <w:rPr>
                <w:rStyle w:val="Hyperlink"/>
              </w:rPr>
              <w:t> </w:t>
            </w:r>
            <w:r w:rsidR="00837C16" w:rsidRPr="00876FBF">
              <w:rPr>
                <w:rStyle w:val="Hyperlink"/>
              </w:rPr>
              <w:t>disease</w:t>
            </w:r>
            <w:r w:rsidR="00F933A9">
              <w:rPr>
                <w:rStyle w:val="Hyperlink"/>
              </w:rPr>
              <w:t> </w:t>
            </w:r>
            <w:r w:rsidR="00837C16" w:rsidRPr="00876FBF">
              <w:rPr>
                <w:rStyle w:val="Hyperlink"/>
              </w:rPr>
              <w:t>fatalities</w:t>
            </w:r>
            <w:r w:rsidR="00837C16">
              <w:rPr>
                <w:webHidden/>
              </w:rPr>
              <w:tab/>
            </w:r>
            <w:r w:rsidR="004132C1">
              <w:rPr>
                <w:webHidden/>
              </w:rPr>
              <w:t>21</w:t>
            </w:r>
          </w:hyperlink>
        </w:p>
        <w:p w14:paraId="2E95A6C0" w14:textId="11C6661B" w:rsidR="00837C16" w:rsidRDefault="00594771">
          <w:pPr>
            <w:pStyle w:val="TOC3"/>
            <w:rPr>
              <w:rFonts w:asciiTheme="minorHAnsi" w:eastAsiaTheme="minorEastAsia" w:hAnsiTheme="minorHAnsi" w:cstheme="minorBidi"/>
              <w:noProof/>
              <w:sz w:val="22"/>
              <w:szCs w:val="22"/>
            </w:rPr>
          </w:pPr>
          <w:hyperlink w:anchor="_Toc86602470" w:history="1">
            <w:r w:rsidR="00837C16" w:rsidRPr="00876FBF">
              <w:rPr>
                <w:rStyle w:val="Hyperlink"/>
                <w:noProof/>
              </w:rPr>
              <w:t>Indicator 8 – Compensated fatalities involving occupational diseases by jurisdiction</w:t>
            </w:r>
            <w:r w:rsidR="00837C16">
              <w:rPr>
                <w:noProof/>
                <w:webHidden/>
              </w:rPr>
              <w:tab/>
            </w:r>
            <w:r w:rsidR="00837C16">
              <w:rPr>
                <w:noProof/>
                <w:webHidden/>
              </w:rPr>
              <w:fldChar w:fldCharType="begin"/>
            </w:r>
            <w:r w:rsidR="00837C16">
              <w:rPr>
                <w:noProof/>
                <w:webHidden/>
              </w:rPr>
              <w:instrText xml:space="preserve"> PAGEREF _Toc86602470 \h </w:instrText>
            </w:r>
            <w:r w:rsidR="00837C16">
              <w:rPr>
                <w:noProof/>
                <w:webHidden/>
              </w:rPr>
            </w:r>
            <w:r w:rsidR="00837C16">
              <w:rPr>
                <w:noProof/>
                <w:webHidden/>
              </w:rPr>
              <w:fldChar w:fldCharType="separate"/>
            </w:r>
            <w:r w:rsidR="004132C1">
              <w:rPr>
                <w:noProof/>
                <w:webHidden/>
              </w:rPr>
              <w:t>21</w:t>
            </w:r>
            <w:r w:rsidR="00837C16">
              <w:rPr>
                <w:noProof/>
                <w:webHidden/>
              </w:rPr>
              <w:fldChar w:fldCharType="end"/>
            </w:r>
          </w:hyperlink>
        </w:p>
        <w:p w14:paraId="3E2AD5C3" w14:textId="74E317F5" w:rsidR="00837C16" w:rsidRDefault="00594771">
          <w:pPr>
            <w:pStyle w:val="TOC1"/>
            <w:rPr>
              <w:rFonts w:asciiTheme="minorHAnsi" w:eastAsiaTheme="minorEastAsia" w:hAnsiTheme="minorHAnsi" w:cstheme="minorBidi"/>
              <w:sz w:val="22"/>
              <w:szCs w:val="22"/>
            </w:rPr>
          </w:pPr>
          <w:hyperlink w:anchor="_Toc86602471" w:history="1">
            <w:r w:rsidR="00837C16" w:rsidRPr="00876FBF">
              <w:rPr>
                <w:rStyle w:val="Hyperlink"/>
              </w:rPr>
              <w:t>4.</w:t>
            </w:r>
            <w:r w:rsidR="00837C16">
              <w:rPr>
                <w:rFonts w:asciiTheme="minorHAnsi" w:eastAsiaTheme="minorEastAsia" w:hAnsiTheme="minorHAnsi" w:cstheme="minorBidi"/>
                <w:sz w:val="22"/>
                <w:szCs w:val="22"/>
              </w:rPr>
              <w:tab/>
            </w:r>
            <w:r w:rsidR="00837C16" w:rsidRPr="00876FBF">
              <w:rPr>
                <w:rStyle w:val="Hyperlink"/>
              </w:rPr>
              <w:t>Claims by size of business (in the private sector)</w:t>
            </w:r>
            <w:r w:rsidR="00837C16">
              <w:rPr>
                <w:webHidden/>
              </w:rPr>
              <w:tab/>
            </w:r>
            <w:r w:rsidR="00837C16">
              <w:rPr>
                <w:webHidden/>
              </w:rPr>
              <w:fldChar w:fldCharType="begin"/>
            </w:r>
            <w:r w:rsidR="00837C16">
              <w:rPr>
                <w:webHidden/>
              </w:rPr>
              <w:instrText xml:space="preserve"> PAGEREF _Toc86602471 \h </w:instrText>
            </w:r>
            <w:r w:rsidR="00837C16">
              <w:rPr>
                <w:webHidden/>
              </w:rPr>
            </w:r>
            <w:r w:rsidR="00837C16">
              <w:rPr>
                <w:webHidden/>
              </w:rPr>
              <w:fldChar w:fldCharType="separate"/>
            </w:r>
            <w:r w:rsidR="004132C1">
              <w:rPr>
                <w:webHidden/>
              </w:rPr>
              <w:t>22</w:t>
            </w:r>
            <w:r w:rsidR="00837C16">
              <w:rPr>
                <w:webHidden/>
              </w:rPr>
              <w:fldChar w:fldCharType="end"/>
            </w:r>
          </w:hyperlink>
        </w:p>
        <w:p w14:paraId="0C5774A8" w14:textId="7094322C" w:rsidR="00837C16" w:rsidRDefault="00594771">
          <w:pPr>
            <w:pStyle w:val="TOC1"/>
            <w:rPr>
              <w:rFonts w:asciiTheme="minorHAnsi" w:eastAsiaTheme="minorEastAsia" w:hAnsiTheme="minorHAnsi" w:cstheme="minorBidi"/>
              <w:sz w:val="22"/>
              <w:szCs w:val="22"/>
            </w:rPr>
          </w:pPr>
          <w:hyperlink w:anchor="_Toc86602472" w:history="1">
            <w:r w:rsidR="00837C16" w:rsidRPr="00876FBF">
              <w:rPr>
                <w:rStyle w:val="Hyperlink"/>
              </w:rPr>
              <w:t>5.</w:t>
            </w:r>
            <w:r w:rsidR="00837C16">
              <w:rPr>
                <w:rFonts w:asciiTheme="minorHAnsi" w:eastAsiaTheme="minorEastAsia" w:hAnsiTheme="minorHAnsi" w:cstheme="minorBidi"/>
                <w:sz w:val="22"/>
                <w:szCs w:val="22"/>
              </w:rPr>
              <w:tab/>
            </w:r>
            <w:r w:rsidR="00837C16" w:rsidRPr="00876FBF">
              <w:rPr>
                <w:rStyle w:val="Hyperlink"/>
              </w:rPr>
              <w:t>Claims by mechanism of incident</w:t>
            </w:r>
            <w:r w:rsidR="00837C16">
              <w:rPr>
                <w:webHidden/>
              </w:rPr>
              <w:tab/>
            </w:r>
            <w:r w:rsidR="00837C16">
              <w:rPr>
                <w:webHidden/>
              </w:rPr>
              <w:fldChar w:fldCharType="begin"/>
            </w:r>
            <w:r w:rsidR="00837C16">
              <w:rPr>
                <w:webHidden/>
              </w:rPr>
              <w:instrText xml:space="preserve"> PAGEREF _Toc86602472 \h </w:instrText>
            </w:r>
            <w:r w:rsidR="00837C16">
              <w:rPr>
                <w:webHidden/>
              </w:rPr>
            </w:r>
            <w:r w:rsidR="00837C16">
              <w:rPr>
                <w:webHidden/>
              </w:rPr>
              <w:fldChar w:fldCharType="separate"/>
            </w:r>
            <w:r w:rsidR="004132C1">
              <w:rPr>
                <w:webHidden/>
              </w:rPr>
              <w:t>23</w:t>
            </w:r>
            <w:r w:rsidR="00837C16">
              <w:rPr>
                <w:webHidden/>
              </w:rPr>
              <w:fldChar w:fldCharType="end"/>
            </w:r>
          </w:hyperlink>
        </w:p>
        <w:p w14:paraId="12230A34" w14:textId="70E88C92" w:rsidR="00837C16" w:rsidRDefault="00594771">
          <w:pPr>
            <w:pStyle w:val="TOC3"/>
            <w:rPr>
              <w:rFonts w:asciiTheme="minorHAnsi" w:eastAsiaTheme="minorEastAsia" w:hAnsiTheme="minorHAnsi" w:cstheme="minorBidi"/>
              <w:noProof/>
              <w:sz w:val="22"/>
              <w:szCs w:val="22"/>
            </w:rPr>
          </w:pPr>
          <w:hyperlink w:anchor="_Toc86602473" w:history="1">
            <w:r w:rsidR="00837C16" w:rsidRPr="00876FBF">
              <w:rPr>
                <w:rStyle w:val="Hyperlink"/>
                <w:noProof/>
              </w:rPr>
              <w:t>Indicator 10 – Proportion of serious claims by mechanism of incident</w:t>
            </w:r>
            <w:r w:rsidR="00837C16">
              <w:rPr>
                <w:noProof/>
                <w:webHidden/>
              </w:rPr>
              <w:tab/>
            </w:r>
            <w:r w:rsidR="00837C16">
              <w:rPr>
                <w:noProof/>
                <w:webHidden/>
              </w:rPr>
              <w:fldChar w:fldCharType="begin"/>
            </w:r>
            <w:r w:rsidR="00837C16">
              <w:rPr>
                <w:noProof/>
                <w:webHidden/>
              </w:rPr>
              <w:instrText xml:space="preserve"> PAGEREF _Toc86602473 \h </w:instrText>
            </w:r>
            <w:r w:rsidR="00837C16">
              <w:rPr>
                <w:noProof/>
                <w:webHidden/>
              </w:rPr>
            </w:r>
            <w:r w:rsidR="00837C16">
              <w:rPr>
                <w:noProof/>
                <w:webHidden/>
              </w:rPr>
              <w:fldChar w:fldCharType="separate"/>
            </w:r>
            <w:r w:rsidR="004132C1">
              <w:rPr>
                <w:noProof/>
                <w:webHidden/>
              </w:rPr>
              <w:t>23</w:t>
            </w:r>
            <w:r w:rsidR="00837C16">
              <w:rPr>
                <w:noProof/>
                <w:webHidden/>
              </w:rPr>
              <w:fldChar w:fldCharType="end"/>
            </w:r>
          </w:hyperlink>
        </w:p>
        <w:p w14:paraId="654B3711" w14:textId="6AB89A82" w:rsidR="00837C16" w:rsidRDefault="00594771" w:rsidP="0050371E">
          <w:pPr>
            <w:pStyle w:val="TOC1"/>
            <w:ind w:left="284"/>
            <w:rPr>
              <w:rFonts w:asciiTheme="minorHAnsi" w:eastAsiaTheme="minorEastAsia" w:hAnsiTheme="minorHAnsi" w:cstheme="minorBidi"/>
              <w:sz w:val="22"/>
              <w:szCs w:val="22"/>
            </w:rPr>
          </w:pPr>
          <w:hyperlink w:anchor="_Toc86602474" w:history="1">
            <w:r w:rsidR="00837C16" w:rsidRPr="00876FBF">
              <w:rPr>
                <w:rStyle w:val="Hyperlink"/>
              </w:rPr>
              <w:t>5.1</w:t>
            </w:r>
            <w:r w:rsidR="00F933A9">
              <w:rPr>
                <w:rFonts w:asciiTheme="minorHAnsi" w:eastAsiaTheme="minorEastAsia" w:hAnsiTheme="minorHAnsi" w:cstheme="minorBidi"/>
                <w:sz w:val="22"/>
                <w:szCs w:val="22"/>
              </w:rPr>
              <w:t xml:space="preserve"> </w:t>
            </w:r>
            <w:r w:rsidR="00837C16" w:rsidRPr="00876FBF">
              <w:rPr>
                <w:rStyle w:val="Hyperlink"/>
              </w:rPr>
              <w:t>Claims</w:t>
            </w:r>
            <w:r w:rsidR="00F933A9">
              <w:rPr>
                <w:rStyle w:val="Hyperlink"/>
              </w:rPr>
              <w:t> </w:t>
            </w:r>
            <w:r w:rsidR="00837C16" w:rsidRPr="00876FBF">
              <w:rPr>
                <w:rStyle w:val="Hyperlink"/>
              </w:rPr>
              <w:t>by</w:t>
            </w:r>
            <w:r w:rsidR="00F933A9">
              <w:rPr>
                <w:rStyle w:val="Hyperlink"/>
              </w:rPr>
              <w:t> </w:t>
            </w:r>
            <w:r w:rsidR="00837C16" w:rsidRPr="00876FBF">
              <w:rPr>
                <w:rStyle w:val="Hyperlink"/>
              </w:rPr>
              <w:t>mechanism</w:t>
            </w:r>
            <w:r w:rsidR="00F933A9">
              <w:rPr>
                <w:rStyle w:val="Hyperlink"/>
              </w:rPr>
              <w:t> </w:t>
            </w:r>
            <w:r w:rsidR="00837C16" w:rsidRPr="00876FBF">
              <w:rPr>
                <w:rStyle w:val="Hyperlink"/>
              </w:rPr>
              <w:t>of</w:t>
            </w:r>
            <w:r w:rsidR="00F933A9">
              <w:rPr>
                <w:rStyle w:val="Hyperlink"/>
              </w:rPr>
              <w:t> </w:t>
            </w:r>
            <w:r w:rsidR="00837C16" w:rsidRPr="00876FBF">
              <w:rPr>
                <w:rStyle w:val="Hyperlink"/>
              </w:rPr>
              <w:t>incident</w:t>
            </w:r>
            <w:r w:rsidR="00F933A9">
              <w:rPr>
                <w:rStyle w:val="Hyperlink"/>
              </w:rPr>
              <w:t> </w:t>
            </w:r>
            <w:r w:rsidR="00837C16" w:rsidRPr="00876FBF">
              <w:rPr>
                <w:rStyle w:val="Hyperlink"/>
              </w:rPr>
              <w:t>and</w:t>
            </w:r>
            <w:r w:rsidR="00F933A9">
              <w:rPr>
                <w:rStyle w:val="Hyperlink"/>
              </w:rPr>
              <w:t> </w:t>
            </w:r>
            <w:r w:rsidR="00837C16" w:rsidRPr="00876FBF">
              <w:rPr>
                <w:rStyle w:val="Hyperlink"/>
              </w:rPr>
              <w:t>jurisdiction</w:t>
            </w:r>
            <w:r w:rsidR="00837C16">
              <w:rPr>
                <w:webHidden/>
              </w:rPr>
              <w:tab/>
            </w:r>
            <w:r w:rsidR="00837C16">
              <w:rPr>
                <w:webHidden/>
              </w:rPr>
              <w:fldChar w:fldCharType="begin"/>
            </w:r>
            <w:r w:rsidR="00837C16">
              <w:rPr>
                <w:webHidden/>
              </w:rPr>
              <w:instrText xml:space="preserve"> PAGEREF _Toc86602474 \h </w:instrText>
            </w:r>
            <w:r w:rsidR="00837C16">
              <w:rPr>
                <w:webHidden/>
              </w:rPr>
            </w:r>
            <w:r w:rsidR="00837C16">
              <w:rPr>
                <w:webHidden/>
              </w:rPr>
              <w:fldChar w:fldCharType="separate"/>
            </w:r>
            <w:r w:rsidR="004132C1">
              <w:rPr>
                <w:webHidden/>
              </w:rPr>
              <w:t>24</w:t>
            </w:r>
            <w:r w:rsidR="00837C16">
              <w:rPr>
                <w:webHidden/>
              </w:rPr>
              <w:fldChar w:fldCharType="end"/>
            </w:r>
          </w:hyperlink>
        </w:p>
        <w:p w14:paraId="118C80A3" w14:textId="3E317BC9" w:rsidR="00837C16" w:rsidRDefault="00594771" w:rsidP="0050371E">
          <w:pPr>
            <w:pStyle w:val="TOC1"/>
            <w:ind w:left="284"/>
            <w:rPr>
              <w:rFonts w:asciiTheme="minorHAnsi" w:eastAsiaTheme="minorEastAsia" w:hAnsiTheme="minorHAnsi" w:cstheme="minorBidi"/>
              <w:sz w:val="22"/>
              <w:szCs w:val="22"/>
            </w:rPr>
          </w:pPr>
          <w:hyperlink w:anchor="_Toc86602475" w:history="1">
            <w:r w:rsidR="00837C16" w:rsidRPr="00876FBF">
              <w:rPr>
                <w:rStyle w:val="Hyperlink"/>
              </w:rPr>
              <w:t>Body stressing</w:t>
            </w:r>
            <w:r w:rsidR="00837C16">
              <w:rPr>
                <w:webHidden/>
              </w:rPr>
              <w:tab/>
            </w:r>
            <w:r w:rsidR="00837C16">
              <w:rPr>
                <w:webHidden/>
              </w:rPr>
              <w:fldChar w:fldCharType="begin"/>
            </w:r>
            <w:r w:rsidR="00837C16">
              <w:rPr>
                <w:webHidden/>
              </w:rPr>
              <w:instrText xml:space="preserve"> PAGEREF _Toc86602475 \h </w:instrText>
            </w:r>
            <w:r w:rsidR="00837C16">
              <w:rPr>
                <w:webHidden/>
              </w:rPr>
            </w:r>
            <w:r w:rsidR="00837C16">
              <w:rPr>
                <w:webHidden/>
              </w:rPr>
              <w:fldChar w:fldCharType="separate"/>
            </w:r>
            <w:r w:rsidR="004132C1">
              <w:rPr>
                <w:webHidden/>
              </w:rPr>
              <w:t>24</w:t>
            </w:r>
            <w:r w:rsidR="00837C16">
              <w:rPr>
                <w:webHidden/>
              </w:rPr>
              <w:fldChar w:fldCharType="end"/>
            </w:r>
          </w:hyperlink>
        </w:p>
        <w:p w14:paraId="562FB18C" w14:textId="7D0E8B68" w:rsidR="00837C16" w:rsidRDefault="00594771">
          <w:pPr>
            <w:pStyle w:val="TOC3"/>
            <w:rPr>
              <w:rFonts w:asciiTheme="minorHAnsi" w:eastAsiaTheme="minorEastAsia" w:hAnsiTheme="minorHAnsi" w:cstheme="minorBidi"/>
              <w:noProof/>
              <w:sz w:val="22"/>
              <w:szCs w:val="22"/>
            </w:rPr>
          </w:pPr>
          <w:hyperlink w:anchor="_Toc86602476" w:history="1">
            <w:r w:rsidR="00837C16" w:rsidRPr="00876FBF">
              <w:rPr>
                <w:rStyle w:val="Hyperlink"/>
                <w:noProof/>
              </w:rPr>
              <w:t>Indicator 10a – Proportion of serious claims involving Body stressing by jurisdiction</w:t>
            </w:r>
            <w:r w:rsidR="00837C16">
              <w:rPr>
                <w:noProof/>
                <w:webHidden/>
              </w:rPr>
              <w:tab/>
            </w:r>
            <w:r w:rsidR="00837C16">
              <w:rPr>
                <w:noProof/>
                <w:webHidden/>
              </w:rPr>
              <w:fldChar w:fldCharType="begin"/>
            </w:r>
            <w:r w:rsidR="00837C16">
              <w:rPr>
                <w:noProof/>
                <w:webHidden/>
              </w:rPr>
              <w:instrText xml:space="preserve"> PAGEREF _Toc86602476 \h </w:instrText>
            </w:r>
            <w:r w:rsidR="00837C16">
              <w:rPr>
                <w:noProof/>
                <w:webHidden/>
              </w:rPr>
            </w:r>
            <w:r w:rsidR="00837C16">
              <w:rPr>
                <w:noProof/>
                <w:webHidden/>
              </w:rPr>
              <w:fldChar w:fldCharType="separate"/>
            </w:r>
            <w:r w:rsidR="004132C1">
              <w:rPr>
                <w:noProof/>
                <w:webHidden/>
              </w:rPr>
              <w:t>24</w:t>
            </w:r>
            <w:r w:rsidR="00837C16">
              <w:rPr>
                <w:noProof/>
                <w:webHidden/>
              </w:rPr>
              <w:fldChar w:fldCharType="end"/>
            </w:r>
          </w:hyperlink>
        </w:p>
        <w:p w14:paraId="7EBB3ADF" w14:textId="56D0A14B" w:rsidR="00837C16" w:rsidRDefault="00594771" w:rsidP="0050371E">
          <w:pPr>
            <w:pStyle w:val="TOC1"/>
            <w:ind w:left="284"/>
            <w:rPr>
              <w:rFonts w:asciiTheme="minorHAnsi" w:eastAsiaTheme="minorEastAsia" w:hAnsiTheme="minorHAnsi" w:cstheme="minorBidi"/>
              <w:sz w:val="22"/>
              <w:szCs w:val="22"/>
            </w:rPr>
          </w:pPr>
          <w:hyperlink w:anchor="_Toc86602477" w:history="1">
            <w:r w:rsidR="00837C16" w:rsidRPr="00876FBF">
              <w:rPr>
                <w:rStyle w:val="Hyperlink"/>
              </w:rPr>
              <w:t>Falls, trips and slips of a person</w:t>
            </w:r>
            <w:r w:rsidR="00837C16">
              <w:rPr>
                <w:webHidden/>
              </w:rPr>
              <w:tab/>
            </w:r>
            <w:r w:rsidR="00837C16">
              <w:rPr>
                <w:webHidden/>
              </w:rPr>
              <w:fldChar w:fldCharType="begin"/>
            </w:r>
            <w:r w:rsidR="00837C16">
              <w:rPr>
                <w:webHidden/>
              </w:rPr>
              <w:instrText xml:space="preserve"> PAGEREF _Toc86602477 \h </w:instrText>
            </w:r>
            <w:r w:rsidR="00837C16">
              <w:rPr>
                <w:webHidden/>
              </w:rPr>
            </w:r>
            <w:r w:rsidR="00837C16">
              <w:rPr>
                <w:webHidden/>
              </w:rPr>
              <w:fldChar w:fldCharType="separate"/>
            </w:r>
            <w:r w:rsidR="004132C1">
              <w:rPr>
                <w:webHidden/>
              </w:rPr>
              <w:t>25</w:t>
            </w:r>
            <w:r w:rsidR="00837C16">
              <w:rPr>
                <w:webHidden/>
              </w:rPr>
              <w:fldChar w:fldCharType="end"/>
            </w:r>
          </w:hyperlink>
        </w:p>
        <w:p w14:paraId="6FCE763E" w14:textId="568F7A08" w:rsidR="00837C16" w:rsidRDefault="00594771">
          <w:pPr>
            <w:pStyle w:val="TOC3"/>
            <w:rPr>
              <w:rFonts w:asciiTheme="minorHAnsi" w:eastAsiaTheme="minorEastAsia" w:hAnsiTheme="minorHAnsi" w:cstheme="minorBidi"/>
              <w:noProof/>
              <w:sz w:val="22"/>
              <w:szCs w:val="22"/>
            </w:rPr>
          </w:pPr>
          <w:hyperlink w:anchor="_Toc86602478" w:history="1">
            <w:r w:rsidR="00837C16" w:rsidRPr="00876FBF">
              <w:rPr>
                <w:rStyle w:val="Hyperlink"/>
                <w:noProof/>
              </w:rPr>
              <w:t>Indicator 10b – Proportion of serious claims involving Falls, trips and slips of a person by jurisdiction</w:t>
            </w:r>
            <w:r w:rsidR="00837C16">
              <w:rPr>
                <w:noProof/>
                <w:webHidden/>
              </w:rPr>
              <w:tab/>
            </w:r>
            <w:r w:rsidR="00837C16">
              <w:rPr>
                <w:noProof/>
                <w:webHidden/>
              </w:rPr>
              <w:fldChar w:fldCharType="begin"/>
            </w:r>
            <w:r w:rsidR="00837C16">
              <w:rPr>
                <w:noProof/>
                <w:webHidden/>
              </w:rPr>
              <w:instrText xml:space="preserve"> PAGEREF _Toc86602478 \h </w:instrText>
            </w:r>
            <w:r w:rsidR="00837C16">
              <w:rPr>
                <w:noProof/>
                <w:webHidden/>
              </w:rPr>
            </w:r>
            <w:r w:rsidR="00837C16">
              <w:rPr>
                <w:noProof/>
                <w:webHidden/>
              </w:rPr>
              <w:fldChar w:fldCharType="separate"/>
            </w:r>
            <w:r w:rsidR="004132C1">
              <w:rPr>
                <w:noProof/>
                <w:webHidden/>
              </w:rPr>
              <w:t>25</w:t>
            </w:r>
            <w:r w:rsidR="00837C16">
              <w:rPr>
                <w:noProof/>
                <w:webHidden/>
              </w:rPr>
              <w:fldChar w:fldCharType="end"/>
            </w:r>
          </w:hyperlink>
        </w:p>
        <w:p w14:paraId="5E9B24D4" w14:textId="7281CBFE" w:rsidR="00837C16" w:rsidRDefault="00594771" w:rsidP="0050371E">
          <w:pPr>
            <w:pStyle w:val="TOC1"/>
            <w:ind w:left="284"/>
            <w:rPr>
              <w:rFonts w:asciiTheme="minorHAnsi" w:eastAsiaTheme="minorEastAsia" w:hAnsiTheme="minorHAnsi" w:cstheme="minorBidi"/>
              <w:sz w:val="22"/>
              <w:szCs w:val="22"/>
            </w:rPr>
          </w:pPr>
          <w:hyperlink w:anchor="_Toc86602479" w:history="1">
            <w:r w:rsidR="00837C16" w:rsidRPr="00876FBF">
              <w:rPr>
                <w:rStyle w:val="Hyperlink"/>
              </w:rPr>
              <w:t>Being hit by moving objects</w:t>
            </w:r>
            <w:r w:rsidR="00837C16">
              <w:rPr>
                <w:webHidden/>
              </w:rPr>
              <w:tab/>
            </w:r>
            <w:r w:rsidR="00837C16">
              <w:rPr>
                <w:webHidden/>
              </w:rPr>
              <w:fldChar w:fldCharType="begin"/>
            </w:r>
            <w:r w:rsidR="00837C16">
              <w:rPr>
                <w:webHidden/>
              </w:rPr>
              <w:instrText xml:space="preserve"> PAGEREF _Toc86602479 \h </w:instrText>
            </w:r>
            <w:r w:rsidR="00837C16">
              <w:rPr>
                <w:webHidden/>
              </w:rPr>
            </w:r>
            <w:r w:rsidR="00837C16">
              <w:rPr>
                <w:webHidden/>
              </w:rPr>
              <w:fldChar w:fldCharType="separate"/>
            </w:r>
            <w:r w:rsidR="004132C1">
              <w:rPr>
                <w:webHidden/>
              </w:rPr>
              <w:t>26</w:t>
            </w:r>
            <w:r w:rsidR="00837C16">
              <w:rPr>
                <w:webHidden/>
              </w:rPr>
              <w:fldChar w:fldCharType="end"/>
            </w:r>
          </w:hyperlink>
        </w:p>
        <w:p w14:paraId="00E0C00C" w14:textId="3C52A101" w:rsidR="00837C16" w:rsidRDefault="00594771">
          <w:pPr>
            <w:pStyle w:val="TOC3"/>
            <w:rPr>
              <w:rFonts w:asciiTheme="minorHAnsi" w:eastAsiaTheme="minorEastAsia" w:hAnsiTheme="minorHAnsi" w:cstheme="minorBidi"/>
              <w:noProof/>
              <w:sz w:val="22"/>
              <w:szCs w:val="22"/>
            </w:rPr>
          </w:pPr>
          <w:hyperlink w:anchor="_Toc86602480" w:history="1">
            <w:r w:rsidR="00837C16" w:rsidRPr="00876FBF">
              <w:rPr>
                <w:rStyle w:val="Hyperlink"/>
                <w:noProof/>
              </w:rPr>
              <w:t>Indicator 10c – Proportion of serious claims involving Being hit by moving objects by jurisdiction</w:t>
            </w:r>
            <w:r w:rsidR="00837C16">
              <w:rPr>
                <w:noProof/>
                <w:webHidden/>
              </w:rPr>
              <w:tab/>
            </w:r>
            <w:r w:rsidR="00837C16">
              <w:rPr>
                <w:noProof/>
                <w:webHidden/>
              </w:rPr>
              <w:fldChar w:fldCharType="begin"/>
            </w:r>
            <w:r w:rsidR="00837C16">
              <w:rPr>
                <w:noProof/>
                <w:webHidden/>
              </w:rPr>
              <w:instrText xml:space="preserve"> PAGEREF _Toc86602480 \h </w:instrText>
            </w:r>
            <w:r w:rsidR="00837C16">
              <w:rPr>
                <w:noProof/>
                <w:webHidden/>
              </w:rPr>
            </w:r>
            <w:r w:rsidR="00837C16">
              <w:rPr>
                <w:noProof/>
                <w:webHidden/>
              </w:rPr>
              <w:fldChar w:fldCharType="separate"/>
            </w:r>
            <w:r w:rsidR="004132C1">
              <w:rPr>
                <w:noProof/>
                <w:webHidden/>
              </w:rPr>
              <w:t>26</w:t>
            </w:r>
            <w:r w:rsidR="00837C16">
              <w:rPr>
                <w:noProof/>
                <w:webHidden/>
              </w:rPr>
              <w:fldChar w:fldCharType="end"/>
            </w:r>
          </w:hyperlink>
        </w:p>
        <w:p w14:paraId="49343678" w14:textId="5643AB53" w:rsidR="00837C16" w:rsidRDefault="00594771" w:rsidP="0050371E">
          <w:pPr>
            <w:pStyle w:val="TOC1"/>
            <w:ind w:left="284"/>
            <w:rPr>
              <w:rFonts w:asciiTheme="minorHAnsi" w:eastAsiaTheme="minorEastAsia" w:hAnsiTheme="minorHAnsi" w:cstheme="minorBidi"/>
              <w:sz w:val="22"/>
              <w:szCs w:val="22"/>
            </w:rPr>
          </w:pPr>
          <w:hyperlink w:anchor="_Toc86602481" w:history="1">
            <w:r w:rsidR="00837C16" w:rsidRPr="00876FBF">
              <w:rPr>
                <w:rStyle w:val="Hyperlink"/>
              </w:rPr>
              <w:t>Hitting objects with a part of the body</w:t>
            </w:r>
            <w:r w:rsidR="00837C16">
              <w:rPr>
                <w:webHidden/>
              </w:rPr>
              <w:tab/>
            </w:r>
            <w:r w:rsidR="00837C16">
              <w:rPr>
                <w:webHidden/>
              </w:rPr>
              <w:fldChar w:fldCharType="begin"/>
            </w:r>
            <w:r w:rsidR="00837C16">
              <w:rPr>
                <w:webHidden/>
              </w:rPr>
              <w:instrText xml:space="preserve"> PAGEREF _Toc86602481 \h </w:instrText>
            </w:r>
            <w:r w:rsidR="00837C16">
              <w:rPr>
                <w:webHidden/>
              </w:rPr>
            </w:r>
            <w:r w:rsidR="00837C16">
              <w:rPr>
                <w:webHidden/>
              </w:rPr>
              <w:fldChar w:fldCharType="separate"/>
            </w:r>
            <w:r w:rsidR="004132C1">
              <w:rPr>
                <w:webHidden/>
              </w:rPr>
              <w:t>27</w:t>
            </w:r>
            <w:r w:rsidR="00837C16">
              <w:rPr>
                <w:webHidden/>
              </w:rPr>
              <w:fldChar w:fldCharType="end"/>
            </w:r>
          </w:hyperlink>
        </w:p>
        <w:p w14:paraId="731A7694" w14:textId="7BA3D268" w:rsidR="00837C16" w:rsidRDefault="00594771">
          <w:pPr>
            <w:pStyle w:val="TOC3"/>
            <w:rPr>
              <w:rFonts w:asciiTheme="minorHAnsi" w:eastAsiaTheme="minorEastAsia" w:hAnsiTheme="minorHAnsi" w:cstheme="minorBidi"/>
              <w:noProof/>
              <w:sz w:val="22"/>
              <w:szCs w:val="22"/>
            </w:rPr>
          </w:pPr>
          <w:hyperlink w:anchor="_Toc86602482" w:history="1">
            <w:r w:rsidR="00837C16" w:rsidRPr="00876FBF">
              <w:rPr>
                <w:rStyle w:val="Hyperlink"/>
                <w:noProof/>
              </w:rPr>
              <w:t>Indicator 10d – Proportion of serious claims involving Hitting objects with a part of the body by jurisdiction</w:t>
            </w:r>
            <w:r w:rsidR="00837C16">
              <w:rPr>
                <w:noProof/>
                <w:webHidden/>
              </w:rPr>
              <w:tab/>
            </w:r>
            <w:r w:rsidR="00837C16">
              <w:rPr>
                <w:noProof/>
                <w:webHidden/>
              </w:rPr>
              <w:fldChar w:fldCharType="begin"/>
            </w:r>
            <w:r w:rsidR="00837C16">
              <w:rPr>
                <w:noProof/>
                <w:webHidden/>
              </w:rPr>
              <w:instrText xml:space="preserve"> PAGEREF _Toc86602482 \h </w:instrText>
            </w:r>
            <w:r w:rsidR="00837C16">
              <w:rPr>
                <w:noProof/>
                <w:webHidden/>
              </w:rPr>
            </w:r>
            <w:r w:rsidR="00837C16">
              <w:rPr>
                <w:noProof/>
                <w:webHidden/>
              </w:rPr>
              <w:fldChar w:fldCharType="separate"/>
            </w:r>
            <w:r w:rsidR="004132C1">
              <w:rPr>
                <w:noProof/>
                <w:webHidden/>
              </w:rPr>
              <w:t>27</w:t>
            </w:r>
            <w:r w:rsidR="00837C16">
              <w:rPr>
                <w:noProof/>
                <w:webHidden/>
              </w:rPr>
              <w:fldChar w:fldCharType="end"/>
            </w:r>
          </w:hyperlink>
        </w:p>
        <w:p w14:paraId="59440107" w14:textId="6320BD8A" w:rsidR="00837C16" w:rsidRDefault="00594771" w:rsidP="0050371E">
          <w:pPr>
            <w:pStyle w:val="TOC1"/>
            <w:ind w:left="284"/>
            <w:rPr>
              <w:rFonts w:asciiTheme="minorHAnsi" w:eastAsiaTheme="minorEastAsia" w:hAnsiTheme="minorHAnsi" w:cstheme="minorBidi"/>
              <w:sz w:val="22"/>
              <w:szCs w:val="22"/>
            </w:rPr>
          </w:pPr>
          <w:hyperlink w:anchor="_Toc86602483" w:history="1">
            <w:r w:rsidR="00837C16" w:rsidRPr="00876FBF">
              <w:rPr>
                <w:rStyle w:val="Hyperlink"/>
              </w:rPr>
              <w:t>Mental stress</w:t>
            </w:r>
            <w:r w:rsidR="00837C16">
              <w:rPr>
                <w:webHidden/>
              </w:rPr>
              <w:tab/>
            </w:r>
            <w:r w:rsidR="00837C16">
              <w:rPr>
                <w:webHidden/>
              </w:rPr>
              <w:fldChar w:fldCharType="begin"/>
            </w:r>
            <w:r w:rsidR="00837C16">
              <w:rPr>
                <w:webHidden/>
              </w:rPr>
              <w:instrText xml:space="preserve"> PAGEREF _Toc86602483 \h </w:instrText>
            </w:r>
            <w:r w:rsidR="00837C16">
              <w:rPr>
                <w:webHidden/>
              </w:rPr>
            </w:r>
            <w:r w:rsidR="00837C16">
              <w:rPr>
                <w:webHidden/>
              </w:rPr>
              <w:fldChar w:fldCharType="separate"/>
            </w:r>
            <w:r w:rsidR="004132C1">
              <w:rPr>
                <w:webHidden/>
              </w:rPr>
              <w:t>28</w:t>
            </w:r>
            <w:r w:rsidR="00837C16">
              <w:rPr>
                <w:webHidden/>
              </w:rPr>
              <w:fldChar w:fldCharType="end"/>
            </w:r>
          </w:hyperlink>
        </w:p>
        <w:p w14:paraId="20E84DB9" w14:textId="7445AB03" w:rsidR="00837C16" w:rsidRDefault="00594771">
          <w:pPr>
            <w:pStyle w:val="TOC3"/>
            <w:rPr>
              <w:rFonts w:asciiTheme="minorHAnsi" w:eastAsiaTheme="minorEastAsia" w:hAnsiTheme="minorHAnsi" w:cstheme="minorBidi"/>
              <w:noProof/>
              <w:sz w:val="22"/>
              <w:szCs w:val="22"/>
            </w:rPr>
          </w:pPr>
          <w:hyperlink w:anchor="_Toc86602484" w:history="1">
            <w:r w:rsidR="00837C16" w:rsidRPr="00876FBF">
              <w:rPr>
                <w:rStyle w:val="Hyperlink"/>
                <w:noProof/>
              </w:rPr>
              <w:t>Indicator 10e – Proportion of serious claims involving Mental stress by jurisdiction</w:t>
            </w:r>
            <w:r w:rsidR="00837C16">
              <w:rPr>
                <w:noProof/>
                <w:webHidden/>
              </w:rPr>
              <w:tab/>
            </w:r>
            <w:r w:rsidR="00837C16">
              <w:rPr>
                <w:noProof/>
                <w:webHidden/>
              </w:rPr>
              <w:fldChar w:fldCharType="begin"/>
            </w:r>
            <w:r w:rsidR="00837C16">
              <w:rPr>
                <w:noProof/>
                <w:webHidden/>
              </w:rPr>
              <w:instrText xml:space="preserve"> PAGEREF _Toc86602484 \h </w:instrText>
            </w:r>
            <w:r w:rsidR="00837C16">
              <w:rPr>
                <w:noProof/>
                <w:webHidden/>
              </w:rPr>
            </w:r>
            <w:r w:rsidR="00837C16">
              <w:rPr>
                <w:noProof/>
                <w:webHidden/>
              </w:rPr>
              <w:fldChar w:fldCharType="separate"/>
            </w:r>
            <w:r w:rsidR="004132C1">
              <w:rPr>
                <w:noProof/>
                <w:webHidden/>
              </w:rPr>
              <w:t>28</w:t>
            </w:r>
            <w:r w:rsidR="00837C16">
              <w:rPr>
                <w:noProof/>
                <w:webHidden/>
              </w:rPr>
              <w:fldChar w:fldCharType="end"/>
            </w:r>
          </w:hyperlink>
        </w:p>
        <w:p w14:paraId="0AFA866E" w14:textId="3D77D390" w:rsidR="00837C16" w:rsidRDefault="00594771" w:rsidP="0050371E">
          <w:pPr>
            <w:pStyle w:val="TOC1"/>
            <w:ind w:left="284"/>
            <w:rPr>
              <w:rFonts w:asciiTheme="minorHAnsi" w:eastAsiaTheme="minorEastAsia" w:hAnsiTheme="minorHAnsi" w:cstheme="minorBidi"/>
              <w:sz w:val="22"/>
              <w:szCs w:val="22"/>
            </w:rPr>
          </w:pPr>
          <w:hyperlink w:anchor="_Toc86602485" w:history="1">
            <w:r w:rsidR="00837C16" w:rsidRPr="00876FBF">
              <w:rPr>
                <w:rStyle w:val="Hyperlink"/>
              </w:rPr>
              <w:t>Other mechanisms</w:t>
            </w:r>
            <w:r w:rsidR="00837C16">
              <w:rPr>
                <w:webHidden/>
              </w:rPr>
              <w:tab/>
            </w:r>
            <w:r w:rsidR="00837C16">
              <w:rPr>
                <w:webHidden/>
              </w:rPr>
              <w:fldChar w:fldCharType="begin"/>
            </w:r>
            <w:r w:rsidR="00837C16">
              <w:rPr>
                <w:webHidden/>
              </w:rPr>
              <w:instrText xml:space="preserve"> PAGEREF _Toc86602485 \h </w:instrText>
            </w:r>
            <w:r w:rsidR="00837C16">
              <w:rPr>
                <w:webHidden/>
              </w:rPr>
            </w:r>
            <w:r w:rsidR="00837C16">
              <w:rPr>
                <w:webHidden/>
              </w:rPr>
              <w:fldChar w:fldCharType="separate"/>
            </w:r>
            <w:r w:rsidR="004132C1">
              <w:rPr>
                <w:webHidden/>
              </w:rPr>
              <w:t>29</w:t>
            </w:r>
            <w:r w:rsidR="00837C16">
              <w:rPr>
                <w:webHidden/>
              </w:rPr>
              <w:fldChar w:fldCharType="end"/>
            </w:r>
          </w:hyperlink>
        </w:p>
        <w:p w14:paraId="4803E3BB" w14:textId="37CD4179" w:rsidR="00837C16" w:rsidRDefault="00594771">
          <w:pPr>
            <w:pStyle w:val="TOC3"/>
            <w:rPr>
              <w:rFonts w:asciiTheme="minorHAnsi" w:eastAsiaTheme="minorEastAsia" w:hAnsiTheme="minorHAnsi" w:cstheme="minorBidi"/>
              <w:noProof/>
              <w:sz w:val="22"/>
              <w:szCs w:val="22"/>
            </w:rPr>
          </w:pPr>
          <w:hyperlink w:anchor="_Toc86602486" w:history="1">
            <w:r w:rsidR="00837C16" w:rsidRPr="00876FBF">
              <w:rPr>
                <w:rStyle w:val="Hyperlink"/>
                <w:noProof/>
              </w:rPr>
              <w:t>Indicator 10f – Proportion of serious claims involving Other mechanisms by jurisdiction</w:t>
            </w:r>
            <w:r w:rsidR="00837C16">
              <w:rPr>
                <w:noProof/>
                <w:webHidden/>
              </w:rPr>
              <w:tab/>
            </w:r>
            <w:r w:rsidR="00837C16">
              <w:rPr>
                <w:noProof/>
                <w:webHidden/>
              </w:rPr>
              <w:fldChar w:fldCharType="begin"/>
            </w:r>
            <w:r w:rsidR="00837C16">
              <w:rPr>
                <w:noProof/>
                <w:webHidden/>
              </w:rPr>
              <w:instrText xml:space="preserve"> PAGEREF _Toc86602486 \h </w:instrText>
            </w:r>
            <w:r w:rsidR="00837C16">
              <w:rPr>
                <w:noProof/>
                <w:webHidden/>
              </w:rPr>
            </w:r>
            <w:r w:rsidR="00837C16">
              <w:rPr>
                <w:noProof/>
                <w:webHidden/>
              </w:rPr>
              <w:fldChar w:fldCharType="separate"/>
            </w:r>
            <w:r w:rsidR="004132C1">
              <w:rPr>
                <w:noProof/>
                <w:webHidden/>
              </w:rPr>
              <w:t>29</w:t>
            </w:r>
            <w:r w:rsidR="00837C16">
              <w:rPr>
                <w:noProof/>
                <w:webHidden/>
              </w:rPr>
              <w:fldChar w:fldCharType="end"/>
            </w:r>
          </w:hyperlink>
        </w:p>
        <w:p w14:paraId="5844587F" w14:textId="659A49E0" w:rsidR="00837C16" w:rsidRDefault="00594771" w:rsidP="0050371E">
          <w:pPr>
            <w:pStyle w:val="TOC1"/>
            <w:ind w:left="284"/>
            <w:rPr>
              <w:rFonts w:asciiTheme="minorHAnsi" w:eastAsiaTheme="minorEastAsia" w:hAnsiTheme="minorHAnsi" w:cstheme="minorBidi"/>
              <w:sz w:val="22"/>
              <w:szCs w:val="22"/>
            </w:rPr>
          </w:pPr>
          <w:hyperlink w:anchor="_Toc86602487" w:history="1">
            <w:r w:rsidR="00837C16" w:rsidRPr="00876FBF">
              <w:rPr>
                <w:rStyle w:val="Hyperlink"/>
              </w:rPr>
              <w:t>Vehicle incidents</w:t>
            </w:r>
            <w:r w:rsidR="00837C16">
              <w:rPr>
                <w:webHidden/>
              </w:rPr>
              <w:tab/>
            </w:r>
            <w:r w:rsidR="00837C16">
              <w:rPr>
                <w:webHidden/>
              </w:rPr>
              <w:fldChar w:fldCharType="begin"/>
            </w:r>
            <w:r w:rsidR="00837C16">
              <w:rPr>
                <w:webHidden/>
              </w:rPr>
              <w:instrText xml:space="preserve"> PAGEREF _Toc86602487 \h </w:instrText>
            </w:r>
            <w:r w:rsidR="00837C16">
              <w:rPr>
                <w:webHidden/>
              </w:rPr>
            </w:r>
            <w:r w:rsidR="00837C16">
              <w:rPr>
                <w:webHidden/>
              </w:rPr>
              <w:fldChar w:fldCharType="separate"/>
            </w:r>
            <w:r w:rsidR="004132C1">
              <w:rPr>
                <w:webHidden/>
              </w:rPr>
              <w:t>30</w:t>
            </w:r>
            <w:r w:rsidR="00837C16">
              <w:rPr>
                <w:webHidden/>
              </w:rPr>
              <w:fldChar w:fldCharType="end"/>
            </w:r>
          </w:hyperlink>
        </w:p>
        <w:p w14:paraId="5103D8A0" w14:textId="07DE717D" w:rsidR="00837C16" w:rsidRDefault="00594771">
          <w:pPr>
            <w:pStyle w:val="TOC3"/>
            <w:rPr>
              <w:rFonts w:asciiTheme="minorHAnsi" w:eastAsiaTheme="minorEastAsia" w:hAnsiTheme="minorHAnsi" w:cstheme="minorBidi"/>
              <w:noProof/>
              <w:sz w:val="22"/>
              <w:szCs w:val="22"/>
            </w:rPr>
          </w:pPr>
          <w:hyperlink w:anchor="_Toc86602488" w:history="1">
            <w:r w:rsidR="00837C16" w:rsidRPr="00876FBF">
              <w:rPr>
                <w:rStyle w:val="Hyperlink"/>
                <w:noProof/>
              </w:rPr>
              <w:t>Indicator 10g – Proportion of serious claims involving Vehicle incidents by jurisdiction</w:t>
            </w:r>
            <w:r w:rsidR="00837C16">
              <w:rPr>
                <w:noProof/>
                <w:webHidden/>
              </w:rPr>
              <w:tab/>
            </w:r>
            <w:r w:rsidR="00837C16">
              <w:rPr>
                <w:noProof/>
                <w:webHidden/>
              </w:rPr>
              <w:fldChar w:fldCharType="begin"/>
            </w:r>
            <w:r w:rsidR="00837C16">
              <w:rPr>
                <w:noProof/>
                <w:webHidden/>
              </w:rPr>
              <w:instrText xml:space="preserve"> PAGEREF _Toc86602488 \h </w:instrText>
            </w:r>
            <w:r w:rsidR="00837C16">
              <w:rPr>
                <w:noProof/>
                <w:webHidden/>
              </w:rPr>
            </w:r>
            <w:r w:rsidR="00837C16">
              <w:rPr>
                <w:noProof/>
                <w:webHidden/>
              </w:rPr>
              <w:fldChar w:fldCharType="separate"/>
            </w:r>
            <w:r w:rsidR="004132C1">
              <w:rPr>
                <w:noProof/>
                <w:webHidden/>
              </w:rPr>
              <w:t>30</w:t>
            </w:r>
            <w:r w:rsidR="00837C16">
              <w:rPr>
                <w:noProof/>
                <w:webHidden/>
              </w:rPr>
              <w:fldChar w:fldCharType="end"/>
            </w:r>
          </w:hyperlink>
        </w:p>
        <w:p w14:paraId="1B9A5FD3" w14:textId="53F09CEF" w:rsidR="00837C16" w:rsidRDefault="00594771" w:rsidP="0050371E">
          <w:pPr>
            <w:pStyle w:val="TOC1"/>
            <w:ind w:left="284"/>
            <w:rPr>
              <w:rFonts w:asciiTheme="minorHAnsi" w:eastAsiaTheme="minorEastAsia" w:hAnsiTheme="minorHAnsi" w:cstheme="minorBidi"/>
              <w:sz w:val="22"/>
              <w:szCs w:val="22"/>
            </w:rPr>
          </w:pPr>
          <w:hyperlink w:anchor="_Toc86602489" w:history="1">
            <w:r w:rsidR="00837C16" w:rsidRPr="00876FBF">
              <w:rPr>
                <w:rStyle w:val="Hyperlink"/>
              </w:rPr>
              <w:t>Heat, electricity and other environmental factors</w:t>
            </w:r>
            <w:r w:rsidR="00837C16">
              <w:rPr>
                <w:webHidden/>
              </w:rPr>
              <w:tab/>
            </w:r>
            <w:r w:rsidR="00837C16">
              <w:rPr>
                <w:webHidden/>
              </w:rPr>
              <w:fldChar w:fldCharType="begin"/>
            </w:r>
            <w:r w:rsidR="00837C16">
              <w:rPr>
                <w:webHidden/>
              </w:rPr>
              <w:instrText xml:space="preserve"> PAGEREF _Toc86602489 \h </w:instrText>
            </w:r>
            <w:r w:rsidR="00837C16">
              <w:rPr>
                <w:webHidden/>
              </w:rPr>
            </w:r>
            <w:r w:rsidR="00837C16">
              <w:rPr>
                <w:webHidden/>
              </w:rPr>
              <w:fldChar w:fldCharType="separate"/>
            </w:r>
            <w:r w:rsidR="004132C1">
              <w:rPr>
                <w:webHidden/>
              </w:rPr>
              <w:t>31</w:t>
            </w:r>
            <w:r w:rsidR="00837C16">
              <w:rPr>
                <w:webHidden/>
              </w:rPr>
              <w:fldChar w:fldCharType="end"/>
            </w:r>
          </w:hyperlink>
        </w:p>
        <w:p w14:paraId="0C5AD222" w14:textId="22C21978" w:rsidR="00837C16" w:rsidRDefault="00594771">
          <w:pPr>
            <w:pStyle w:val="TOC3"/>
            <w:rPr>
              <w:rFonts w:asciiTheme="minorHAnsi" w:eastAsiaTheme="minorEastAsia" w:hAnsiTheme="minorHAnsi" w:cstheme="minorBidi"/>
              <w:noProof/>
              <w:sz w:val="22"/>
              <w:szCs w:val="22"/>
            </w:rPr>
          </w:pPr>
          <w:hyperlink w:anchor="_Toc86602490" w:history="1">
            <w:r w:rsidR="00837C16" w:rsidRPr="00876FBF">
              <w:rPr>
                <w:rStyle w:val="Hyperlink"/>
                <w:noProof/>
              </w:rPr>
              <w:t>Indicator 10h – Proportion of serious claims involving Heat, electricity and other environmental factors by jurisdiction</w:t>
            </w:r>
            <w:r w:rsidR="00837C16">
              <w:rPr>
                <w:noProof/>
                <w:webHidden/>
              </w:rPr>
              <w:tab/>
            </w:r>
            <w:r w:rsidR="00837C16">
              <w:rPr>
                <w:noProof/>
                <w:webHidden/>
              </w:rPr>
              <w:fldChar w:fldCharType="begin"/>
            </w:r>
            <w:r w:rsidR="00837C16">
              <w:rPr>
                <w:noProof/>
                <w:webHidden/>
              </w:rPr>
              <w:instrText xml:space="preserve"> PAGEREF _Toc86602490 \h </w:instrText>
            </w:r>
            <w:r w:rsidR="00837C16">
              <w:rPr>
                <w:noProof/>
                <w:webHidden/>
              </w:rPr>
            </w:r>
            <w:r w:rsidR="00837C16">
              <w:rPr>
                <w:noProof/>
                <w:webHidden/>
              </w:rPr>
              <w:fldChar w:fldCharType="separate"/>
            </w:r>
            <w:r w:rsidR="004132C1">
              <w:rPr>
                <w:noProof/>
                <w:webHidden/>
              </w:rPr>
              <w:t>31</w:t>
            </w:r>
            <w:r w:rsidR="00837C16">
              <w:rPr>
                <w:noProof/>
                <w:webHidden/>
              </w:rPr>
              <w:fldChar w:fldCharType="end"/>
            </w:r>
          </w:hyperlink>
        </w:p>
        <w:p w14:paraId="133C29D6" w14:textId="42CFE3C7" w:rsidR="00837C16" w:rsidRDefault="00594771">
          <w:pPr>
            <w:pStyle w:val="TOC1"/>
            <w:rPr>
              <w:rFonts w:asciiTheme="minorHAnsi" w:eastAsiaTheme="minorEastAsia" w:hAnsiTheme="minorHAnsi" w:cstheme="minorBidi"/>
              <w:sz w:val="22"/>
              <w:szCs w:val="22"/>
            </w:rPr>
          </w:pPr>
          <w:hyperlink w:anchor="_Toc86602491" w:history="1">
            <w:r w:rsidR="00837C16" w:rsidRPr="00876FBF">
              <w:rPr>
                <w:rStyle w:val="Hyperlink"/>
              </w:rPr>
              <w:t>6.</w:t>
            </w:r>
            <w:r w:rsidR="00837C16">
              <w:rPr>
                <w:rFonts w:asciiTheme="minorHAnsi" w:eastAsiaTheme="minorEastAsia" w:hAnsiTheme="minorHAnsi" w:cstheme="minorBidi"/>
                <w:sz w:val="22"/>
                <w:szCs w:val="22"/>
              </w:rPr>
              <w:tab/>
            </w:r>
            <w:r w:rsidR="00837C16" w:rsidRPr="00876FBF">
              <w:rPr>
                <w:rStyle w:val="Hyperlink"/>
              </w:rPr>
              <w:t>Claims by industry</w:t>
            </w:r>
            <w:r w:rsidR="00837C16">
              <w:rPr>
                <w:webHidden/>
              </w:rPr>
              <w:tab/>
            </w:r>
            <w:r w:rsidR="00837C16">
              <w:rPr>
                <w:webHidden/>
              </w:rPr>
              <w:fldChar w:fldCharType="begin"/>
            </w:r>
            <w:r w:rsidR="00837C16">
              <w:rPr>
                <w:webHidden/>
              </w:rPr>
              <w:instrText xml:space="preserve"> PAGEREF _Toc86602491 \h </w:instrText>
            </w:r>
            <w:r w:rsidR="00837C16">
              <w:rPr>
                <w:webHidden/>
              </w:rPr>
            </w:r>
            <w:r w:rsidR="00837C16">
              <w:rPr>
                <w:webHidden/>
              </w:rPr>
              <w:fldChar w:fldCharType="separate"/>
            </w:r>
            <w:r w:rsidR="004132C1">
              <w:rPr>
                <w:webHidden/>
              </w:rPr>
              <w:t>32</w:t>
            </w:r>
            <w:r w:rsidR="00837C16">
              <w:rPr>
                <w:webHidden/>
              </w:rPr>
              <w:fldChar w:fldCharType="end"/>
            </w:r>
          </w:hyperlink>
        </w:p>
        <w:p w14:paraId="061DB529" w14:textId="1C019FFE" w:rsidR="00837C16" w:rsidRDefault="00594771">
          <w:pPr>
            <w:pStyle w:val="TOC3"/>
            <w:rPr>
              <w:rFonts w:asciiTheme="minorHAnsi" w:eastAsiaTheme="minorEastAsia" w:hAnsiTheme="minorHAnsi" w:cstheme="minorBidi"/>
              <w:noProof/>
              <w:sz w:val="22"/>
              <w:szCs w:val="22"/>
            </w:rPr>
          </w:pPr>
          <w:hyperlink w:anchor="_Toc86602492" w:history="1">
            <w:r w:rsidR="00837C16" w:rsidRPr="00876FBF">
              <w:rPr>
                <w:rStyle w:val="Hyperlink"/>
                <w:noProof/>
              </w:rPr>
              <w:t>Indicator 11 – Frequency rates of serious claims by industry</w:t>
            </w:r>
            <w:r w:rsidR="00837C16">
              <w:rPr>
                <w:noProof/>
                <w:webHidden/>
              </w:rPr>
              <w:tab/>
            </w:r>
            <w:r w:rsidR="00837C16">
              <w:rPr>
                <w:noProof/>
                <w:webHidden/>
              </w:rPr>
              <w:fldChar w:fldCharType="begin"/>
            </w:r>
            <w:r w:rsidR="00837C16">
              <w:rPr>
                <w:noProof/>
                <w:webHidden/>
              </w:rPr>
              <w:instrText xml:space="preserve"> PAGEREF _Toc86602492 \h </w:instrText>
            </w:r>
            <w:r w:rsidR="00837C16">
              <w:rPr>
                <w:noProof/>
                <w:webHidden/>
              </w:rPr>
            </w:r>
            <w:r w:rsidR="00837C16">
              <w:rPr>
                <w:noProof/>
                <w:webHidden/>
              </w:rPr>
              <w:fldChar w:fldCharType="separate"/>
            </w:r>
            <w:r w:rsidR="004132C1">
              <w:rPr>
                <w:noProof/>
                <w:webHidden/>
              </w:rPr>
              <w:t>33</w:t>
            </w:r>
            <w:r w:rsidR="00837C16">
              <w:rPr>
                <w:noProof/>
                <w:webHidden/>
              </w:rPr>
              <w:fldChar w:fldCharType="end"/>
            </w:r>
          </w:hyperlink>
        </w:p>
        <w:p w14:paraId="3CBBA522" w14:textId="56F2FCE3" w:rsidR="00837C16" w:rsidRDefault="00594771" w:rsidP="000E3E96">
          <w:pPr>
            <w:pStyle w:val="TOC1"/>
            <w:ind w:left="284"/>
            <w:rPr>
              <w:rFonts w:asciiTheme="minorHAnsi" w:eastAsiaTheme="minorEastAsia" w:hAnsiTheme="minorHAnsi" w:cstheme="minorBidi"/>
              <w:sz w:val="22"/>
              <w:szCs w:val="22"/>
            </w:rPr>
          </w:pPr>
          <w:hyperlink w:anchor="_Toc86602493" w:history="1">
            <w:r w:rsidR="00837C16" w:rsidRPr="00876FBF">
              <w:rPr>
                <w:rStyle w:val="Hyperlink"/>
              </w:rPr>
              <w:t>6.1</w:t>
            </w:r>
            <w:r w:rsidR="0050371E">
              <w:rPr>
                <w:rFonts w:asciiTheme="minorHAnsi" w:eastAsiaTheme="minorEastAsia" w:hAnsiTheme="minorHAnsi" w:cstheme="minorBidi"/>
                <w:sz w:val="22"/>
                <w:szCs w:val="22"/>
              </w:rPr>
              <w:t xml:space="preserve"> </w:t>
            </w:r>
            <w:r w:rsidR="00837C16" w:rsidRPr="00876FBF">
              <w:rPr>
                <w:rStyle w:val="Hyperlink"/>
              </w:rPr>
              <w:t>Claims</w:t>
            </w:r>
            <w:r w:rsidR="0050371E">
              <w:rPr>
                <w:rStyle w:val="Hyperlink"/>
              </w:rPr>
              <w:t> </w:t>
            </w:r>
            <w:r w:rsidR="00837C16" w:rsidRPr="00876FBF">
              <w:rPr>
                <w:rStyle w:val="Hyperlink"/>
              </w:rPr>
              <w:t>by</w:t>
            </w:r>
            <w:r w:rsidR="0050371E">
              <w:rPr>
                <w:rStyle w:val="Hyperlink"/>
              </w:rPr>
              <w:t> </w:t>
            </w:r>
            <w:r w:rsidR="00837C16" w:rsidRPr="00876FBF">
              <w:rPr>
                <w:rStyle w:val="Hyperlink"/>
              </w:rPr>
              <w:t>industry</w:t>
            </w:r>
            <w:r w:rsidR="0050371E">
              <w:rPr>
                <w:rStyle w:val="Hyperlink"/>
              </w:rPr>
              <w:t> </w:t>
            </w:r>
            <w:r w:rsidR="00837C16" w:rsidRPr="00876FBF">
              <w:rPr>
                <w:rStyle w:val="Hyperlink"/>
              </w:rPr>
              <w:t>and</w:t>
            </w:r>
            <w:r w:rsidR="0050371E">
              <w:rPr>
                <w:rStyle w:val="Hyperlink"/>
              </w:rPr>
              <w:t> </w:t>
            </w:r>
            <w:r w:rsidR="00837C16" w:rsidRPr="00876FBF">
              <w:rPr>
                <w:rStyle w:val="Hyperlink"/>
              </w:rPr>
              <w:t>jurisdiction</w:t>
            </w:r>
            <w:r w:rsidR="00837C16">
              <w:rPr>
                <w:webHidden/>
              </w:rPr>
              <w:tab/>
            </w:r>
            <w:r w:rsidR="00837C16">
              <w:rPr>
                <w:webHidden/>
              </w:rPr>
              <w:fldChar w:fldCharType="begin"/>
            </w:r>
            <w:r w:rsidR="00837C16">
              <w:rPr>
                <w:webHidden/>
              </w:rPr>
              <w:instrText xml:space="preserve"> PAGEREF _Toc86602493 \h </w:instrText>
            </w:r>
            <w:r w:rsidR="00837C16">
              <w:rPr>
                <w:webHidden/>
              </w:rPr>
            </w:r>
            <w:r w:rsidR="00837C16">
              <w:rPr>
                <w:webHidden/>
              </w:rPr>
              <w:fldChar w:fldCharType="separate"/>
            </w:r>
            <w:r w:rsidR="004132C1">
              <w:rPr>
                <w:webHidden/>
              </w:rPr>
              <w:t>34</w:t>
            </w:r>
            <w:r w:rsidR="00837C16">
              <w:rPr>
                <w:webHidden/>
              </w:rPr>
              <w:fldChar w:fldCharType="end"/>
            </w:r>
          </w:hyperlink>
        </w:p>
        <w:p w14:paraId="05BAEEE2" w14:textId="1C518ABC" w:rsidR="00837C16" w:rsidRDefault="00594771" w:rsidP="000E3E96">
          <w:pPr>
            <w:pStyle w:val="TOC1"/>
            <w:ind w:left="284"/>
            <w:rPr>
              <w:rFonts w:asciiTheme="minorHAnsi" w:eastAsiaTheme="minorEastAsia" w:hAnsiTheme="minorHAnsi" w:cstheme="minorBidi"/>
              <w:sz w:val="22"/>
              <w:szCs w:val="22"/>
            </w:rPr>
          </w:pPr>
          <w:hyperlink w:anchor="_Toc86602494" w:history="1">
            <w:r w:rsidR="00837C16" w:rsidRPr="00876FBF">
              <w:rPr>
                <w:rStyle w:val="Hyperlink"/>
              </w:rPr>
              <w:t>Agriculture, forestry and fishing</w:t>
            </w:r>
            <w:r w:rsidR="00837C16">
              <w:rPr>
                <w:webHidden/>
              </w:rPr>
              <w:tab/>
            </w:r>
            <w:r w:rsidR="00837C16">
              <w:rPr>
                <w:webHidden/>
              </w:rPr>
              <w:fldChar w:fldCharType="begin"/>
            </w:r>
            <w:r w:rsidR="00837C16">
              <w:rPr>
                <w:webHidden/>
              </w:rPr>
              <w:instrText xml:space="preserve"> PAGEREF _Toc86602494 \h </w:instrText>
            </w:r>
            <w:r w:rsidR="00837C16">
              <w:rPr>
                <w:webHidden/>
              </w:rPr>
            </w:r>
            <w:r w:rsidR="00837C16">
              <w:rPr>
                <w:webHidden/>
              </w:rPr>
              <w:fldChar w:fldCharType="separate"/>
            </w:r>
            <w:r w:rsidR="004132C1">
              <w:rPr>
                <w:webHidden/>
              </w:rPr>
              <w:t>34</w:t>
            </w:r>
            <w:r w:rsidR="00837C16">
              <w:rPr>
                <w:webHidden/>
              </w:rPr>
              <w:fldChar w:fldCharType="end"/>
            </w:r>
          </w:hyperlink>
        </w:p>
        <w:p w14:paraId="6F6B0C4C" w14:textId="7251F494" w:rsidR="00837C16" w:rsidRDefault="00594771">
          <w:pPr>
            <w:pStyle w:val="TOC3"/>
            <w:rPr>
              <w:rFonts w:asciiTheme="minorHAnsi" w:eastAsiaTheme="minorEastAsia" w:hAnsiTheme="minorHAnsi" w:cstheme="minorBidi"/>
              <w:noProof/>
              <w:sz w:val="22"/>
              <w:szCs w:val="22"/>
            </w:rPr>
          </w:pPr>
          <w:hyperlink w:anchor="_Toc86602495" w:history="1">
            <w:r w:rsidR="00837C16" w:rsidRPr="00876FBF">
              <w:rPr>
                <w:rStyle w:val="Hyperlink"/>
                <w:noProof/>
              </w:rPr>
              <w:t>Indicator 11a – Frequency rates of serious claims for Agriculture, forestry and fishing by jurisdiction</w:t>
            </w:r>
            <w:r w:rsidR="00837C16">
              <w:rPr>
                <w:noProof/>
                <w:webHidden/>
              </w:rPr>
              <w:tab/>
            </w:r>
            <w:r w:rsidR="00837C16">
              <w:rPr>
                <w:noProof/>
                <w:webHidden/>
              </w:rPr>
              <w:fldChar w:fldCharType="begin"/>
            </w:r>
            <w:r w:rsidR="00837C16">
              <w:rPr>
                <w:noProof/>
                <w:webHidden/>
              </w:rPr>
              <w:instrText xml:space="preserve"> PAGEREF _Toc86602495 \h </w:instrText>
            </w:r>
            <w:r w:rsidR="00837C16">
              <w:rPr>
                <w:noProof/>
                <w:webHidden/>
              </w:rPr>
            </w:r>
            <w:r w:rsidR="00837C16">
              <w:rPr>
                <w:noProof/>
                <w:webHidden/>
              </w:rPr>
              <w:fldChar w:fldCharType="separate"/>
            </w:r>
            <w:r w:rsidR="004132C1">
              <w:rPr>
                <w:noProof/>
                <w:webHidden/>
              </w:rPr>
              <w:t>34</w:t>
            </w:r>
            <w:r w:rsidR="00837C16">
              <w:rPr>
                <w:noProof/>
                <w:webHidden/>
              </w:rPr>
              <w:fldChar w:fldCharType="end"/>
            </w:r>
          </w:hyperlink>
        </w:p>
        <w:p w14:paraId="78C3A249" w14:textId="7BBA1027" w:rsidR="00837C16" w:rsidRDefault="00594771" w:rsidP="000E3E96">
          <w:pPr>
            <w:pStyle w:val="TOC1"/>
            <w:ind w:left="284"/>
            <w:rPr>
              <w:rFonts w:asciiTheme="minorHAnsi" w:eastAsiaTheme="minorEastAsia" w:hAnsiTheme="minorHAnsi" w:cstheme="minorBidi"/>
              <w:sz w:val="22"/>
              <w:szCs w:val="22"/>
            </w:rPr>
          </w:pPr>
          <w:hyperlink w:anchor="_Toc86602496" w:history="1">
            <w:r w:rsidR="00837C16" w:rsidRPr="00876FBF">
              <w:rPr>
                <w:rStyle w:val="Hyperlink"/>
              </w:rPr>
              <w:t>Mining</w:t>
            </w:r>
            <w:r w:rsidR="00837C16">
              <w:rPr>
                <w:webHidden/>
              </w:rPr>
              <w:tab/>
            </w:r>
            <w:r w:rsidR="00837C16">
              <w:rPr>
                <w:webHidden/>
              </w:rPr>
              <w:fldChar w:fldCharType="begin"/>
            </w:r>
            <w:r w:rsidR="00837C16">
              <w:rPr>
                <w:webHidden/>
              </w:rPr>
              <w:instrText xml:space="preserve"> PAGEREF _Toc86602496 \h </w:instrText>
            </w:r>
            <w:r w:rsidR="00837C16">
              <w:rPr>
                <w:webHidden/>
              </w:rPr>
            </w:r>
            <w:r w:rsidR="00837C16">
              <w:rPr>
                <w:webHidden/>
              </w:rPr>
              <w:fldChar w:fldCharType="separate"/>
            </w:r>
            <w:r w:rsidR="004132C1">
              <w:rPr>
                <w:webHidden/>
              </w:rPr>
              <w:t>35</w:t>
            </w:r>
            <w:r w:rsidR="00837C16">
              <w:rPr>
                <w:webHidden/>
              </w:rPr>
              <w:fldChar w:fldCharType="end"/>
            </w:r>
          </w:hyperlink>
        </w:p>
        <w:p w14:paraId="0435D345" w14:textId="2EEA41D8" w:rsidR="00837C16" w:rsidRDefault="00594771">
          <w:pPr>
            <w:pStyle w:val="TOC3"/>
            <w:rPr>
              <w:rFonts w:asciiTheme="minorHAnsi" w:eastAsiaTheme="minorEastAsia" w:hAnsiTheme="minorHAnsi" w:cstheme="minorBidi"/>
              <w:noProof/>
              <w:sz w:val="22"/>
              <w:szCs w:val="22"/>
            </w:rPr>
          </w:pPr>
          <w:hyperlink w:anchor="_Toc86602497" w:history="1">
            <w:r w:rsidR="00837C16" w:rsidRPr="00876FBF">
              <w:rPr>
                <w:rStyle w:val="Hyperlink"/>
                <w:noProof/>
              </w:rPr>
              <w:t>Indicator 11b – Frequency rates of serious claims for Mining by jurisdiction</w:t>
            </w:r>
            <w:r w:rsidR="00837C16">
              <w:rPr>
                <w:noProof/>
                <w:webHidden/>
              </w:rPr>
              <w:tab/>
            </w:r>
            <w:r w:rsidR="00837C16">
              <w:rPr>
                <w:noProof/>
                <w:webHidden/>
              </w:rPr>
              <w:fldChar w:fldCharType="begin"/>
            </w:r>
            <w:r w:rsidR="00837C16">
              <w:rPr>
                <w:noProof/>
                <w:webHidden/>
              </w:rPr>
              <w:instrText xml:space="preserve"> PAGEREF _Toc86602497 \h </w:instrText>
            </w:r>
            <w:r w:rsidR="00837C16">
              <w:rPr>
                <w:noProof/>
                <w:webHidden/>
              </w:rPr>
            </w:r>
            <w:r w:rsidR="00837C16">
              <w:rPr>
                <w:noProof/>
                <w:webHidden/>
              </w:rPr>
              <w:fldChar w:fldCharType="separate"/>
            </w:r>
            <w:r w:rsidR="004132C1">
              <w:rPr>
                <w:noProof/>
                <w:webHidden/>
              </w:rPr>
              <w:t>35</w:t>
            </w:r>
            <w:r w:rsidR="00837C16">
              <w:rPr>
                <w:noProof/>
                <w:webHidden/>
              </w:rPr>
              <w:fldChar w:fldCharType="end"/>
            </w:r>
          </w:hyperlink>
        </w:p>
        <w:p w14:paraId="1FF69E37" w14:textId="773EAF30" w:rsidR="00837C16" w:rsidRDefault="00594771" w:rsidP="000E3E96">
          <w:pPr>
            <w:pStyle w:val="TOC1"/>
            <w:ind w:left="284"/>
            <w:rPr>
              <w:rFonts w:asciiTheme="minorHAnsi" w:eastAsiaTheme="minorEastAsia" w:hAnsiTheme="minorHAnsi" w:cstheme="minorBidi"/>
              <w:sz w:val="22"/>
              <w:szCs w:val="22"/>
            </w:rPr>
          </w:pPr>
          <w:hyperlink w:anchor="_Toc86602498" w:history="1">
            <w:r w:rsidR="00837C16" w:rsidRPr="00876FBF">
              <w:rPr>
                <w:rStyle w:val="Hyperlink"/>
              </w:rPr>
              <w:t>Manufacturing</w:t>
            </w:r>
            <w:r w:rsidR="00837C16">
              <w:rPr>
                <w:webHidden/>
              </w:rPr>
              <w:tab/>
            </w:r>
            <w:r w:rsidR="00837C16">
              <w:rPr>
                <w:webHidden/>
              </w:rPr>
              <w:fldChar w:fldCharType="begin"/>
            </w:r>
            <w:r w:rsidR="00837C16">
              <w:rPr>
                <w:webHidden/>
              </w:rPr>
              <w:instrText xml:space="preserve"> PAGEREF _Toc86602498 \h </w:instrText>
            </w:r>
            <w:r w:rsidR="00837C16">
              <w:rPr>
                <w:webHidden/>
              </w:rPr>
            </w:r>
            <w:r w:rsidR="00837C16">
              <w:rPr>
                <w:webHidden/>
              </w:rPr>
              <w:fldChar w:fldCharType="separate"/>
            </w:r>
            <w:r w:rsidR="004132C1">
              <w:rPr>
                <w:webHidden/>
              </w:rPr>
              <w:t>36</w:t>
            </w:r>
            <w:r w:rsidR="00837C16">
              <w:rPr>
                <w:webHidden/>
              </w:rPr>
              <w:fldChar w:fldCharType="end"/>
            </w:r>
          </w:hyperlink>
        </w:p>
        <w:p w14:paraId="53205488" w14:textId="6828E4F6" w:rsidR="00837C16" w:rsidRDefault="00594771">
          <w:pPr>
            <w:pStyle w:val="TOC3"/>
            <w:rPr>
              <w:rFonts w:asciiTheme="minorHAnsi" w:eastAsiaTheme="minorEastAsia" w:hAnsiTheme="minorHAnsi" w:cstheme="minorBidi"/>
              <w:noProof/>
              <w:sz w:val="22"/>
              <w:szCs w:val="22"/>
            </w:rPr>
          </w:pPr>
          <w:hyperlink w:anchor="_Toc86602499" w:history="1">
            <w:r w:rsidR="00837C16" w:rsidRPr="00876FBF">
              <w:rPr>
                <w:rStyle w:val="Hyperlink"/>
                <w:noProof/>
              </w:rPr>
              <w:t>Indicator 11c – Frequency rates of serious claims for Manufacturing by jurisdiction</w:t>
            </w:r>
            <w:r w:rsidR="00837C16">
              <w:rPr>
                <w:noProof/>
                <w:webHidden/>
              </w:rPr>
              <w:tab/>
            </w:r>
            <w:r w:rsidR="00837C16">
              <w:rPr>
                <w:noProof/>
                <w:webHidden/>
              </w:rPr>
              <w:fldChar w:fldCharType="begin"/>
            </w:r>
            <w:r w:rsidR="00837C16">
              <w:rPr>
                <w:noProof/>
                <w:webHidden/>
              </w:rPr>
              <w:instrText xml:space="preserve"> PAGEREF _Toc86602499 \h </w:instrText>
            </w:r>
            <w:r w:rsidR="00837C16">
              <w:rPr>
                <w:noProof/>
                <w:webHidden/>
              </w:rPr>
            </w:r>
            <w:r w:rsidR="00837C16">
              <w:rPr>
                <w:noProof/>
                <w:webHidden/>
              </w:rPr>
              <w:fldChar w:fldCharType="separate"/>
            </w:r>
            <w:r w:rsidR="004132C1">
              <w:rPr>
                <w:noProof/>
                <w:webHidden/>
              </w:rPr>
              <w:t>36</w:t>
            </w:r>
            <w:r w:rsidR="00837C16">
              <w:rPr>
                <w:noProof/>
                <w:webHidden/>
              </w:rPr>
              <w:fldChar w:fldCharType="end"/>
            </w:r>
          </w:hyperlink>
        </w:p>
        <w:p w14:paraId="1A57DA39" w14:textId="768E6A71" w:rsidR="00837C16" w:rsidRDefault="00594771" w:rsidP="000E3E96">
          <w:pPr>
            <w:pStyle w:val="TOC1"/>
            <w:ind w:left="284"/>
            <w:rPr>
              <w:rFonts w:asciiTheme="minorHAnsi" w:eastAsiaTheme="minorEastAsia" w:hAnsiTheme="minorHAnsi" w:cstheme="minorBidi"/>
              <w:sz w:val="22"/>
              <w:szCs w:val="22"/>
            </w:rPr>
          </w:pPr>
          <w:hyperlink w:anchor="_Toc86602500" w:history="1">
            <w:r w:rsidR="00837C16" w:rsidRPr="00876FBF">
              <w:rPr>
                <w:rStyle w:val="Hyperlink"/>
              </w:rPr>
              <w:t>Electricity, gas, water and waste services</w:t>
            </w:r>
            <w:r w:rsidR="00837C16">
              <w:rPr>
                <w:webHidden/>
              </w:rPr>
              <w:tab/>
            </w:r>
            <w:r w:rsidR="00837C16">
              <w:rPr>
                <w:webHidden/>
              </w:rPr>
              <w:fldChar w:fldCharType="begin"/>
            </w:r>
            <w:r w:rsidR="00837C16">
              <w:rPr>
                <w:webHidden/>
              </w:rPr>
              <w:instrText xml:space="preserve"> PAGEREF _Toc86602500 \h </w:instrText>
            </w:r>
            <w:r w:rsidR="00837C16">
              <w:rPr>
                <w:webHidden/>
              </w:rPr>
            </w:r>
            <w:r w:rsidR="00837C16">
              <w:rPr>
                <w:webHidden/>
              </w:rPr>
              <w:fldChar w:fldCharType="separate"/>
            </w:r>
            <w:r w:rsidR="004132C1">
              <w:rPr>
                <w:webHidden/>
              </w:rPr>
              <w:t>37</w:t>
            </w:r>
            <w:r w:rsidR="00837C16">
              <w:rPr>
                <w:webHidden/>
              </w:rPr>
              <w:fldChar w:fldCharType="end"/>
            </w:r>
          </w:hyperlink>
        </w:p>
        <w:p w14:paraId="375B7701" w14:textId="35F6C2C6" w:rsidR="00837C16" w:rsidRDefault="00594771">
          <w:pPr>
            <w:pStyle w:val="TOC3"/>
            <w:rPr>
              <w:rFonts w:asciiTheme="minorHAnsi" w:eastAsiaTheme="minorEastAsia" w:hAnsiTheme="minorHAnsi" w:cstheme="minorBidi"/>
              <w:noProof/>
              <w:sz w:val="22"/>
              <w:szCs w:val="22"/>
            </w:rPr>
          </w:pPr>
          <w:hyperlink w:anchor="_Toc86602501" w:history="1">
            <w:r w:rsidR="00837C16" w:rsidRPr="00876FBF">
              <w:rPr>
                <w:rStyle w:val="Hyperlink"/>
                <w:noProof/>
              </w:rPr>
              <w:t>Indicator 11d – Frequency rates of serious claims for Electricity, gas, water and waste services by jurisdiction</w:t>
            </w:r>
            <w:r w:rsidR="00837C16">
              <w:rPr>
                <w:noProof/>
                <w:webHidden/>
              </w:rPr>
              <w:tab/>
            </w:r>
            <w:r w:rsidR="00837C16">
              <w:rPr>
                <w:noProof/>
                <w:webHidden/>
              </w:rPr>
              <w:fldChar w:fldCharType="begin"/>
            </w:r>
            <w:r w:rsidR="00837C16">
              <w:rPr>
                <w:noProof/>
                <w:webHidden/>
              </w:rPr>
              <w:instrText xml:space="preserve"> PAGEREF _Toc86602501 \h </w:instrText>
            </w:r>
            <w:r w:rsidR="00837C16">
              <w:rPr>
                <w:noProof/>
                <w:webHidden/>
              </w:rPr>
            </w:r>
            <w:r w:rsidR="00837C16">
              <w:rPr>
                <w:noProof/>
                <w:webHidden/>
              </w:rPr>
              <w:fldChar w:fldCharType="separate"/>
            </w:r>
            <w:r w:rsidR="004132C1">
              <w:rPr>
                <w:noProof/>
                <w:webHidden/>
              </w:rPr>
              <w:t>37</w:t>
            </w:r>
            <w:r w:rsidR="00837C16">
              <w:rPr>
                <w:noProof/>
                <w:webHidden/>
              </w:rPr>
              <w:fldChar w:fldCharType="end"/>
            </w:r>
          </w:hyperlink>
        </w:p>
        <w:p w14:paraId="4AF120FA" w14:textId="111CB3B8" w:rsidR="00837C16" w:rsidRDefault="00594771" w:rsidP="000E3E96">
          <w:pPr>
            <w:pStyle w:val="TOC1"/>
            <w:ind w:left="284"/>
            <w:rPr>
              <w:rFonts w:asciiTheme="minorHAnsi" w:eastAsiaTheme="minorEastAsia" w:hAnsiTheme="minorHAnsi" w:cstheme="minorBidi"/>
              <w:sz w:val="22"/>
              <w:szCs w:val="22"/>
            </w:rPr>
          </w:pPr>
          <w:hyperlink w:anchor="_Toc86602502" w:history="1">
            <w:r w:rsidR="00837C16" w:rsidRPr="00876FBF">
              <w:rPr>
                <w:rStyle w:val="Hyperlink"/>
              </w:rPr>
              <w:t>Construction</w:t>
            </w:r>
            <w:r w:rsidR="00837C16">
              <w:rPr>
                <w:webHidden/>
              </w:rPr>
              <w:tab/>
            </w:r>
            <w:r w:rsidR="00837C16">
              <w:rPr>
                <w:webHidden/>
              </w:rPr>
              <w:fldChar w:fldCharType="begin"/>
            </w:r>
            <w:r w:rsidR="00837C16">
              <w:rPr>
                <w:webHidden/>
              </w:rPr>
              <w:instrText xml:space="preserve"> PAGEREF _Toc86602502 \h </w:instrText>
            </w:r>
            <w:r w:rsidR="00837C16">
              <w:rPr>
                <w:webHidden/>
              </w:rPr>
            </w:r>
            <w:r w:rsidR="00837C16">
              <w:rPr>
                <w:webHidden/>
              </w:rPr>
              <w:fldChar w:fldCharType="separate"/>
            </w:r>
            <w:r w:rsidR="004132C1">
              <w:rPr>
                <w:webHidden/>
              </w:rPr>
              <w:t>38</w:t>
            </w:r>
            <w:r w:rsidR="00837C16">
              <w:rPr>
                <w:webHidden/>
              </w:rPr>
              <w:fldChar w:fldCharType="end"/>
            </w:r>
          </w:hyperlink>
        </w:p>
        <w:p w14:paraId="1F8AF8D4" w14:textId="20AB6A81" w:rsidR="00837C16" w:rsidRDefault="00594771">
          <w:pPr>
            <w:pStyle w:val="TOC3"/>
            <w:rPr>
              <w:rFonts w:asciiTheme="minorHAnsi" w:eastAsiaTheme="minorEastAsia" w:hAnsiTheme="minorHAnsi" w:cstheme="minorBidi"/>
              <w:noProof/>
              <w:sz w:val="22"/>
              <w:szCs w:val="22"/>
            </w:rPr>
          </w:pPr>
          <w:hyperlink w:anchor="_Toc86602503" w:history="1">
            <w:r w:rsidR="00837C16" w:rsidRPr="00876FBF">
              <w:rPr>
                <w:rStyle w:val="Hyperlink"/>
                <w:noProof/>
              </w:rPr>
              <w:t>Indicator 11e – Frequency rates of serious claims for Construction by jurisdiction</w:t>
            </w:r>
            <w:r w:rsidR="00837C16">
              <w:rPr>
                <w:noProof/>
                <w:webHidden/>
              </w:rPr>
              <w:tab/>
            </w:r>
            <w:r w:rsidR="00837C16">
              <w:rPr>
                <w:noProof/>
                <w:webHidden/>
              </w:rPr>
              <w:fldChar w:fldCharType="begin"/>
            </w:r>
            <w:r w:rsidR="00837C16">
              <w:rPr>
                <w:noProof/>
                <w:webHidden/>
              </w:rPr>
              <w:instrText xml:space="preserve"> PAGEREF _Toc86602503 \h </w:instrText>
            </w:r>
            <w:r w:rsidR="00837C16">
              <w:rPr>
                <w:noProof/>
                <w:webHidden/>
              </w:rPr>
            </w:r>
            <w:r w:rsidR="00837C16">
              <w:rPr>
                <w:noProof/>
                <w:webHidden/>
              </w:rPr>
              <w:fldChar w:fldCharType="separate"/>
            </w:r>
            <w:r w:rsidR="004132C1">
              <w:rPr>
                <w:noProof/>
                <w:webHidden/>
              </w:rPr>
              <w:t>38</w:t>
            </w:r>
            <w:r w:rsidR="00837C16">
              <w:rPr>
                <w:noProof/>
                <w:webHidden/>
              </w:rPr>
              <w:fldChar w:fldCharType="end"/>
            </w:r>
          </w:hyperlink>
        </w:p>
        <w:p w14:paraId="3178A6F9" w14:textId="04E3EDD2" w:rsidR="00837C16" w:rsidRDefault="00594771" w:rsidP="000E3E96">
          <w:pPr>
            <w:pStyle w:val="TOC1"/>
            <w:ind w:left="284"/>
            <w:rPr>
              <w:rFonts w:asciiTheme="minorHAnsi" w:eastAsiaTheme="minorEastAsia" w:hAnsiTheme="minorHAnsi" w:cstheme="minorBidi"/>
              <w:sz w:val="22"/>
              <w:szCs w:val="22"/>
            </w:rPr>
          </w:pPr>
          <w:hyperlink w:anchor="_Toc86602504" w:history="1">
            <w:r w:rsidR="00837C16" w:rsidRPr="00876FBF">
              <w:rPr>
                <w:rStyle w:val="Hyperlink"/>
              </w:rPr>
              <w:t>Wholesale trade</w:t>
            </w:r>
            <w:r w:rsidR="00837C16">
              <w:rPr>
                <w:webHidden/>
              </w:rPr>
              <w:tab/>
            </w:r>
            <w:r w:rsidR="00837C16">
              <w:rPr>
                <w:webHidden/>
              </w:rPr>
              <w:fldChar w:fldCharType="begin"/>
            </w:r>
            <w:r w:rsidR="00837C16">
              <w:rPr>
                <w:webHidden/>
              </w:rPr>
              <w:instrText xml:space="preserve"> PAGEREF _Toc86602504 \h </w:instrText>
            </w:r>
            <w:r w:rsidR="00837C16">
              <w:rPr>
                <w:webHidden/>
              </w:rPr>
            </w:r>
            <w:r w:rsidR="00837C16">
              <w:rPr>
                <w:webHidden/>
              </w:rPr>
              <w:fldChar w:fldCharType="separate"/>
            </w:r>
            <w:r w:rsidR="004132C1">
              <w:rPr>
                <w:webHidden/>
              </w:rPr>
              <w:t>39</w:t>
            </w:r>
            <w:r w:rsidR="00837C16">
              <w:rPr>
                <w:webHidden/>
              </w:rPr>
              <w:fldChar w:fldCharType="end"/>
            </w:r>
          </w:hyperlink>
        </w:p>
        <w:p w14:paraId="7CAA5CA5" w14:textId="7607C195" w:rsidR="00837C16" w:rsidRDefault="00594771">
          <w:pPr>
            <w:pStyle w:val="TOC3"/>
            <w:rPr>
              <w:rFonts w:asciiTheme="minorHAnsi" w:eastAsiaTheme="minorEastAsia" w:hAnsiTheme="minorHAnsi" w:cstheme="minorBidi"/>
              <w:noProof/>
              <w:sz w:val="22"/>
              <w:szCs w:val="22"/>
            </w:rPr>
          </w:pPr>
          <w:hyperlink w:anchor="_Toc86602505" w:history="1">
            <w:r w:rsidR="00837C16" w:rsidRPr="00876FBF">
              <w:rPr>
                <w:rStyle w:val="Hyperlink"/>
                <w:noProof/>
              </w:rPr>
              <w:t>Indicator 11f – Frequency rates of serious claims for Wholesale trade by jurisdiction</w:t>
            </w:r>
            <w:r w:rsidR="00837C16">
              <w:rPr>
                <w:noProof/>
                <w:webHidden/>
              </w:rPr>
              <w:tab/>
            </w:r>
            <w:r w:rsidR="00837C16">
              <w:rPr>
                <w:noProof/>
                <w:webHidden/>
              </w:rPr>
              <w:fldChar w:fldCharType="begin"/>
            </w:r>
            <w:r w:rsidR="00837C16">
              <w:rPr>
                <w:noProof/>
                <w:webHidden/>
              </w:rPr>
              <w:instrText xml:space="preserve"> PAGEREF _Toc86602505 \h </w:instrText>
            </w:r>
            <w:r w:rsidR="00837C16">
              <w:rPr>
                <w:noProof/>
                <w:webHidden/>
              </w:rPr>
            </w:r>
            <w:r w:rsidR="00837C16">
              <w:rPr>
                <w:noProof/>
                <w:webHidden/>
              </w:rPr>
              <w:fldChar w:fldCharType="separate"/>
            </w:r>
            <w:r w:rsidR="004132C1">
              <w:rPr>
                <w:noProof/>
                <w:webHidden/>
              </w:rPr>
              <w:t>39</w:t>
            </w:r>
            <w:r w:rsidR="00837C16">
              <w:rPr>
                <w:noProof/>
                <w:webHidden/>
              </w:rPr>
              <w:fldChar w:fldCharType="end"/>
            </w:r>
          </w:hyperlink>
        </w:p>
        <w:p w14:paraId="2EB11D01" w14:textId="1909267E" w:rsidR="00837C16" w:rsidRDefault="00594771" w:rsidP="000E3E96">
          <w:pPr>
            <w:pStyle w:val="TOC1"/>
            <w:ind w:left="284"/>
            <w:rPr>
              <w:rFonts w:asciiTheme="minorHAnsi" w:eastAsiaTheme="minorEastAsia" w:hAnsiTheme="minorHAnsi" w:cstheme="minorBidi"/>
              <w:sz w:val="22"/>
              <w:szCs w:val="22"/>
            </w:rPr>
          </w:pPr>
          <w:hyperlink w:anchor="_Toc86602506" w:history="1">
            <w:r w:rsidR="00837C16" w:rsidRPr="00876FBF">
              <w:rPr>
                <w:rStyle w:val="Hyperlink"/>
              </w:rPr>
              <w:t>Retail trade</w:t>
            </w:r>
            <w:r w:rsidR="00837C16">
              <w:rPr>
                <w:webHidden/>
              </w:rPr>
              <w:tab/>
            </w:r>
            <w:r w:rsidR="00837C16">
              <w:rPr>
                <w:webHidden/>
              </w:rPr>
              <w:fldChar w:fldCharType="begin"/>
            </w:r>
            <w:r w:rsidR="00837C16">
              <w:rPr>
                <w:webHidden/>
              </w:rPr>
              <w:instrText xml:space="preserve"> PAGEREF _Toc86602506 \h </w:instrText>
            </w:r>
            <w:r w:rsidR="00837C16">
              <w:rPr>
                <w:webHidden/>
              </w:rPr>
            </w:r>
            <w:r w:rsidR="00837C16">
              <w:rPr>
                <w:webHidden/>
              </w:rPr>
              <w:fldChar w:fldCharType="separate"/>
            </w:r>
            <w:r w:rsidR="004132C1">
              <w:rPr>
                <w:webHidden/>
              </w:rPr>
              <w:t>40</w:t>
            </w:r>
            <w:r w:rsidR="00837C16">
              <w:rPr>
                <w:webHidden/>
              </w:rPr>
              <w:fldChar w:fldCharType="end"/>
            </w:r>
          </w:hyperlink>
        </w:p>
        <w:p w14:paraId="5BB27AF7" w14:textId="6A06F31E" w:rsidR="00837C16" w:rsidRDefault="00594771">
          <w:pPr>
            <w:pStyle w:val="TOC3"/>
            <w:rPr>
              <w:rFonts w:asciiTheme="minorHAnsi" w:eastAsiaTheme="minorEastAsia" w:hAnsiTheme="minorHAnsi" w:cstheme="minorBidi"/>
              <w:noProof/>
              <w:sz w:val="22"/>
              <w:szCs w:val="22"/>
            </w:rPr>
          </w:pPr>
          <w:hyperlink w:anchor="_Toc86602507" w:history="1">
            <w:r w:rsidR="00837C16" w:rsidRPr="00876FBF">
              <w:rPr>
                <w:rStyle w:val="Hyperlink"/>
                <w:noProof/>
              </w:rPr>
              <w:t>Indicator 11g – Frequency rates of serious claims for Retail trade by jurisdiction</w:t>
            </w:r>
            <w:r w:rsidR="00837C16">
              <w:rPr>
                <w:noProof/>
                <w:webHidden/>
              </w:rPr>
              <w:tab/>
            </w:r>
            <w:r w:rsidR="00837C16">
              <w:rPr>
                <w:noProof/>
                <w:webHidden/>
              </w:rPr>
              <w:fldChar w:fldCharType="begin"/>
            </w:r>
            <w:r w:rsidR="00837C16">
              <w:rPr>
                <w:noProof/>
                <w:webHidden/>
              </w:rPr>
              <w:instrText xml:space="preserve"> PAGEREF _Toc86602507 \h </w:instrText>
            </w:r>
            <w:r w:rsidR="00837C16">
              <w:rPr>
                <w:noProof/>
                <w:webHidden/>
              </w:rPr>
            </w:r>
            <w:r w:rsidR="00837C16">
              <w:rPr>
                <w:noProof/>
                <w:webHidden/>
              </w:rPr>
              <w:fldChar w:fldCharType="separate"/>
            </w:r>
            <w:r w:rsidR="004132C1">
              <w:rPr>
                <w:noProof/>
                <w:webHidden/>
              </w:rPr>
              <w:t>40</w:t>
            </w:r>
            <w:r w:rsidR="00837C16">
              <w:rPr>
                <w:noProof/>
                <w:webHidden/>
              </w:rPr>
              <w:fldChar w:fldCharType="end"/>
            </w:r>
          </w:hyperlink>
        </w:p>
        <w:p w14:paraId="69243A22" w14:textId="336A2FED" w:rsidR="00837C16" w:rsidRDefault="00594771" w:rsidP="000E3E96">
          <w:pPr>
            <w:pStyle w:val="TOC1"/>
            <w:ind w:left="284"/>
            <w:rPr>
              <w:rFonts w:asciiTheme="minorHAnsi" w:eastAsiaTheme="minorEastAsia" w:hAnsiTheme="minorHAnsi" w:cstheme="minorBidi"/>
              <w:sz w:val="22"/>
              <w:szCs w:val="22"/>
            </w:rPr>
          </w:pPr>
          <w:hyperlink w:anchor="_Toc86602508" w:history="1">
            <w:r w:rsidR="00837C16" w:rsidRPr="00876FBF">
              <w:rPr>
                <w:rStyle w:val="Hyperlink"/>
              </w:rPr>
              <w:t>Accommodation and food services</w:t>
            </w:r>
            <w:r w:rsidR="00837C16">
              <w:rPr>
                <w:webHidden/>
              </w:rPr>
              <w:tab/>
            </w:r>
            <w:r w:rsidR="00837C16">
              <w:rPr>
                <w:webHidden/>
              </w:rPr>
              <w:fldChar w:fldCharType="begin"/>
            </w:r>
            <w:r w:rsidR="00837C16">
              <w:rPr>
                <w:webHidden/>
              </w:rPr>
              <w:instrText xml:space="preserve"> PAGEREF _Toc86602508 \h </w:instrText>
            </w:r>
            <w:r w:rsidR="00837C16">
              <w:rPr>
                <w:webHidden/>
              </w:rPr>
            </w:r>
            <w:r w:rsidR="00837C16">
              <w:rPr>
                <w:webHidden/>
              </w:rPr>
              <w:fldChar w:fldCharType="separate"/>
            </w:r>
            <w:r w:rsidR="004132C1">
              <w:rPr>
                <w:webHidden/>
              </w:rPr>
              <w:t>41</w:t>
            </w:r>
            <w:r w:rsidR="00837C16">
              <w:rPr>
                <w:webHidden/>
              </w:rPr>
              <w:fldChar w:fldCharType="end"/>
            </w:r>
          </w:hyperlink>
        </w:p>
        <w:p w14:paraId="2DD7137A" w14:textId="7B04B6FD" w:rsidR="00837C16" w:rsidRDefault="00594771">
          <w:pPr>
            <w:pStyle w:val="TOC3"/>
            <w:rPr>
              <w:rFonts w:asciiTheme="minorHAnsi" w:eastAsiaTheme="minorEastAsia" w:hAnsiTheme="minorHAnsi" w:cstheme="minorBidi"/>
              <w:noProof/>
              <w:sz w:val="22"/>
              <w:szCs w:val="22"/>
            </w:rPr>
          </w:pPr>
          <w:hyperlink w:anchor="_Toc86602509" w:history="1">
            <w:r w:rsidR="00837C16" w:rsidRPr="00876FBF">
              <w:rPr>
                <w:rStyle w:val="Hyperlink"/>
                <w:noProof/>
              </w:rPr>
              <w:t>Indicator 11h – Frequency rates of serious claims for Accommodation and food services by jurisdiction</w:t>
            </w:r>
            <w:r w:rsidR="00837C16">
              <w:rPr>
                <w:noProof/>
                <w:webHidden/>
              </w:rPr>
              <w:tab/>
            </w:r>
            <w:r w:rsidR="00837C16">
              <w:rPr>
                <w:noProof/>
                <w:webHidden/>
              </w:rPr>
              <w:fldChar w:fldCharType="begin"/>
            </w:r>
            <w:r w:rsidR="00837C16">
              <w:rPr>
                <w:noProof/>
                <w:webHidden/>
              </w:rPr>
              <w:instrText xml:space="preserve"> PAGEREF _Toc86602509 \h </w:instrText>
            </w:r>
            <w:r w:rsidR="00837C16">
              <w:rPr>
                <w:noProof/>
                <w:webHidden/>
              </w:rPr>
            </w:r>
            <w:r w:rsidR="00837C16">
              <w:rPr>
                <w:noProof/>
                <w:webHidden/>
              </w:rPr>
              <w:fldChar w:fldCharType="separate"/>
            </w:r>
            <w:r w:rsidR="004132C1">
              <w:rPr>
                <w:noProof/>
                <w:webHidden/>
              </w:rPr>
              <w:t>41</w:t>
            </w:r>
            <w:r w:rsidR="00837C16">
              <w:rPr>
                <w:noProof/>
                <w:webHidden/>
              </w:rPr>
              <w:fldChar w:fldCharType="end"/>
            </w:r>
          </w:hyperlink>
        </w:p>
        <w:p w14:paraId="2F130317" w14:textId="6676F10B" w:rsidR="00837C16" w:rsidRDefault="00594771" w:rsidP="000E3E96">
          <w:pPr>
            <w:pStyle w:val="TOC1"/>
            <w:ind w:left="284"/>
            <w:rPr>
              <w:rFonts w:asciiTheme="minorHAnsi" w:eastAsiaTheme="minorEastAsia" w:hAnsiTheme="minorHAnsi" w:cstheme="minorBidi"/>
              <w:sz w:val="22"/>
              <w:szCs w:val="22"/>
            </w:rPr>
          </w:pPr>
          <w:hyperlink w:anchor="_Toc86602510" w:history="1">
            <w:r w:rsidR="00837C16" w:rsidRPr="00876FBF">
              <w:rPr>
                <w:rStyle w:val="Hyperlink"/>
              </w:rPr>
              <w:t>Transport, postal and warehousing</w:t>
            </w:r>
            <w:r w:rsidR="00837C16">
              <w:rPr>
                <w:webHidden/>
              </w:rPr>
              <w:tab/>
            </w:r>
            <w:r w:rsidR="00837C16">
              <w:rPr>
                <w:webHidden/>
              </w:rPr>
              <w:fldChar w:fldCharType="begin"/>
            </w:r>
            <w:r w:rsidR="00837C16">
              <w:rPr>
                <w:webHidden/>
              </w:rPr>
              <w:instrText xml:space="preserve"> PAGEREF _Toc86602510 \h </w:instrText>
            </w:r>
            <w:r w:rsidR="00837C16">
              <w:rPr>
                <w:webHidden/>
              </w:rPr>
            </w:r>
            <w:r w:rsidR="00837C16">
              <w:rPr>
                <w:webHidden/>
              </w:rPr>
              <w:fldChar w:fldCharType="separate"/>
            </w:r>
            <w:r w:rsidR="004132C1">
              <w:rPr>
                <w:webHidden/>
              </w:rPr>
              <w:t>42</w:t>
            </w:r>
            <w:r w:rsidR="00837C16">
              <w:rPr>
                <w:webHidden/>
              </w:rPr>
              <w:fldChar w:fldCharType="end"/>
            </w:r>
          </w:hyperlink>
        </w:p>
        <w:p w14:paraId="076A660C" w14:textId="28BDBDDD" w:rsidR="00837C16" w:rsidRDefault="00594771">
          <w:pPr>
            <w:pStyle w:val="TOC3"/>
            <w:rPr>
              <w:rFonts w:asciiTheme="minorHAnsi" w:eastAsiaTheme="minorEastAsia" w:hAnsiTheme="minorHAnsi" w:cstheme="minorBidi"/>
              <w:noProof/>
              <w:sz w:val="22"/>
              <w:szCs w:val="22"/>
            </w:rPr>
          </w:pPr>
          <w:hyperlink w:anchor="_Toc86602511" w:history="1">
            <w:r w:rsidR="00837C16" w:rsidRPr="00876FBF">
              <w:rPr>
                <w:rStyle w:val="Hyperlink"/>
                <w:noProof/>
              </w:rPr>
              <w:t>Indicator 11i – Frequency rates of serious claims for Transport, postal and warehousing by jurisdiction</w:t>
            </w:r>
            <w:r w:rsidR="00837C16">
              <w:rPr>
                <w:noProof/>
                <w:webHidden/>
              </w:rPr>
              <w:tab/>
            </w:r>
            <w:r w:rsidR="00837C16">
              <w:rPr>
                <w:noProof/>
                <w:webHidden/>
              </w:rPr>
              <w:fldChar w:fldCharType="begin"/>
            </w:r>
            <w:r w:rsidR="00837C16">
              <w:rPr>
                <w:noProof/>
                <w:webHidden/>
              </w:rPr>
              <w:instrText xml:space="preserve"> PAGEREF _Toc86602511 \h </w:instrText>
            </w:r>
            <w:r w:rsidR="00837C16">
              <w:rPr>
                <w:noProof/>
                <w:webHidden/>
              </w:rPr>
            </w:r>
            <w:r w:rsidR="00837C16">
              <w:rPr>
                <w:noProof/>
                <w:webHidden/>
              </w:rPr>
              <w:fldChar w:fldCharType="separate"/>
            </w:r>
            <w:r w:rsidR="004132C1">
              <w:rPr>
                <w:noProof/>
                <w:webHidden/>
              </w:rPr>
              <w:t>42</w:t>
            </w:r>
            <w:r w:rsidR="00837C16">
              <w:rPr>
                <w:noProof/>
                <w:webHidden/>
              </w:rPr>
              <w:fldChar w:fldCharType="end"/>
            </w:r>
          </w:hyperlink>
        </w:p>
        <w:p w14:paraId="17D981ED" w14:textId="60622DF4" w:rsidR="00837C16" w:rsidRDefault="00594771" w:rsidP="000E3E96">
          <w:pPr>
            <w:pStyle w:val="TOC1"/>
            <w:ind w:left="284"/>
            <w:rPr>
              <w:rFonts w:asciiTheme="minorHAnsi" w:eastAsiaTheme="minorEastAsia" w:hAnsiTheme="minorHAnsi" w:cstheme="minorBidi"/>
              <w:sz w:val="22"/>
              <w:szCs w:val="22"/>
            </w:rPr>
          </w:pPr>
          <w:hyperlink w:anchor="_Toc86602512" w:history="1">
            <w:r w:rsidR="00837C16" w:rsidRPr="00876FBF">
              <w:rPr>
                <w:rStyle w:val="Hyperlink"/>
              </w:rPr>
              <w:t>Information media and telecommunications</w:t>
            </w:r>
            <w:r w:rsidR="00837C16">
              <w:rPr>
                <w:webHidden/>
              </w:rPr>
              <w:tab/>
            </w:r>
            <w:r w:rsidR="00837C16">
              <w:rPr>
                <w:webHidden/>
              </w:rPr>
              <w:fldChar w:fldCharType="begin"/>
            </w:r>
            <w:r w:rsidR="00837C16">
              <w:rPr>
                <w:webHidden/>
              </w:rPr>
              <w:instrText xml:space="preserve"> PAGEREF _Toc86602512 \h </w:instrText>
            </w:r>
            <w:r w:rsidR="00837C16">
              <w:rPr>
                <w:webHidden/>
              </w:rPr>
            </w:r>
            <w:r w:rsidR="00837C16">
              <w:rPr>
                <w:webHidden/>
              </w:rPr>
              <w:fldChar w:fldCharType="separate"/>
            </w:r>
            <w:r w:rsidR="004132C1">
              <w:rPr>
                <w:webHidden/>
              </w:rPr>
              <w:t>43</w:t>
            </w:r>
            <w:r w:rsidR="00837C16">
              <w:rPr>
                <w:webHidden/>
              </w:rPr>
              <w:fldChar w:fldCharType="end"/>
            </w:r>
          </w:hyperlink>
        </w:p>
        <w:p w14:paraId="0E5A10FB" w14:textId="0EEEC268" w:rsidR="00837C16" w:rsidRDefault="00594771">
          <w:pPr>
            <w:pStyle w:val="TOC3"/>
            <w:rPr>
              <w:rFonts w:asciiTheme="minorHAnsi" w:eastAsiaTheme="minorEastAsia" w:hAnsiTheme="minorHAnsi" w:cstheme="minorBidi"/>
              <w:noProof/>
              <w:sz w:val="22"/>
              <w:szCs w:val="22"/>
            </w:rPr>
          </w:pPr>
          <w:hyperlink w:anchor="_Toc86602513" w:history="1">
            <w:r w:rsidR="00837C16" w:rsidRPr="00876FBF">
              <w:rPr>
                <w:rStyle w:val="Hyperlink"/>
                <w:noProof/>
              </w:rPr>
              <w:t>Indicator 11j – Frequency rates of serious claims for Information media and telecommunications by jurisdiction</w:t>
            </w:r>
            <w:r w:rsidR="00837C16">
              <w:rPr>
                <w:noProof/>
                <w:webHidden/>
              </w:rPr>
              <w:tab/>
            </w:r>
            <w:r w:rsidR="00837C16">
              <w:rPr>
                <w:noProof/>
                <w:webHidden/>
              </w:rPr>
              <w:fldChar w:fldCharType="begin"/>
            </w:r>
            <w:r w:rsidR="00837C16">
              <w:rPr>
                <w:noProof/>
                <w:webHidden/>
              </w:rPr>
              <w:instrText xml:space="preserve"> PAGEREF _Toc86602513 \h </w:instrText>
            </w:r>
            <w:r w:rsidR="00837C16">
              <w:rPr>
                <w:noProof/>
                <w:webHidden/>
              </w:rPr>
            </w:r>
            <w:r w:rsidR="00837C16">
              <w:rPr>
                <w:noProof/>
                <w:webHidden/>
              </w:rPr>
              <w:fldChar w:fldCharType="separate"/>
            </w:r>
            <w:r w:rsidR="004132C1">
              <w:rPr>
                <w:noProof/>
                <w:webHidden/>
              </w:rPr>
              <w:t>43</w:t>
            </w:r>
            <w:r w:rsidR="00837C16">
              <w:rPr>
                <w:noProof/>
                <w:webHidden/>
              </w:rPr>
              <w:fldChar w:fldCharType="end"/>
            </w:r>
          </w:hyperlink>
        </w:p>
        <w:p w14:paraId="304A2348" w14:textId="6741E5D9" w:rsidR="00837C16" w:rsidRDefault="00594771" w:rsidP="000E3E96">
          <w:pPr>
            <w:pStyle w:val="TOC1"/>
            <w:ind w:left="284"/>
            <w:rPr>
              <w:rFonts w:asciiTheme="minorHAnsi" w:eastAsiaTheme="minorEastAsia" w:hAnsiTheme="minorHAnsi" w:cstheme="minorBidi"/>
              <w:sz w:val="22"/>
              <w:szCs w:val="22"/>
            </w:rPr>
          </w:pPr>
          <w:hyperlink w:anchor="_Toc86602514" w:history="1">
            <w:r w:rsidR="00837C16" w:rsidRPr="00876FBF">
              <w:rPr>
                <w:rStyle w:val="Hyperlink"/>
              </w:rPr>
              <w:t>Financial and insurance services</w:t>
            </w:r>
            <w:r w:rsidR="00837C16">
              <w:rPr>
                <w:webHidden/>
              </w:rPr>
              <w:tab/>
            </w:r>
            <w:r w:rsidR="00837C16">
              <w:rPr>
                <w:webHidden/>
              </w:rPr>
              <w:fldChar w:fldCharType="begin"/>
            </w:r>
            <w:r w:rsidR="00837C16">
              <w:rPr>
                <w:webHidden/>
              </w:rPr>
              <w:instrText xml:space="preserve"> PAGEREF _Toc86602514 \h </w:instrText>
            </w:r>
            <w:r w:rsidR="00837C16">
              <w:rPr>
                <w:webHidden/>
              </w:rPr>
            </w:r>
            <w:r w:rsidR="00837C16">
              <w:rPr>
                <w:webHidden/>
              </w:rPr>
              <w:fldChar w:fldCharType="separate"/>
            </w:r>
            <w:r w:rsidR="004132C1">
              <w:rPr>
                <w:webHidden/>
              </w:rPr>
              <w:t>44</w:t>
            </w:r>
            <w:r w:rsidR="00837C16">
              <w:rPr>
                <w:webHidden/>
              </w:rPr>
              <w:fldChar w:fldCharType="end"/>
            </w:r>
          </w:hyperlink>
        </w:p>
        <w:p w14:paraId="2738608B" w14:textId="4ECA5876" w:rsidR="00837C16" w:rsidRDefault="00594771">
          <w:pPr>
            <w:pStyle w:val="TOC3"/>
            <w:rPr>
              <w:rFonts w:asciiTheme="minorHAnsi" w:eastAsiaTheme="minorEastAsia" w:hAnsiTheme="minorHAnsi" w:cstheme="minorBidi"/>
              <w:noProof/>
              <w:sz w:val="22"/>
              <w:szCs w:val="22"/>
            </w:rPr>
          </w:pPr>
          <w:hyperlink w:anchor="_Toc86602515" w:history="1">
            <w:r w:rsidR="00837C16" w:rsidRPr="00876FBF">
              <w:rPr>
                <w:rStyle w:val="Hyperlink"/>
                <w:noProof/>
              </w:rPr>
              <w:t>Indicator 11k – Frequency rates of serious claims for Financial and insurance services by jurisdiction</w:t>
            </w:r>
            <w:r w:rsidR="00837C16">
              <w:rPr>
                <w:noProof/>
                <w:webHidden/>
              </w:rPr>
              <w:tab/>
            </w:r>
            <w:r w:rsidR="00837C16">
              <w:rPr>
                <w:noProof/>
                <w:webHidden/>
              </w:rPr>
              <w:fldChar w:fldCharType="begin"/>
            </w:r>
            <w:r w:rsidR="00837C16">
              <w:rPr>
                <w:noProof/>
                <w:webHidden/>
              </w:rPr>
              <w:instrText xml:space="preserve"> PAGEREF _Toc86602515 \h </w:instrText>
            </w:r>
            <w:r w:rsidR="00837C16">
              <w:rPr>
                <w:noProof/>
                <w:webHidden/>
              </w:rPr>
            </w:r>
            <w:r w:rsidR="00837C16">
              <w:rPr>
                <w:noProof/>
                <w:webHidden/>
              </w:rPr>
              <w:fldChar w:fldCharType="separate"/>
            </w:r>
            <w:r w:rsidR="004132C1">
              <w:rPr>
                <w:noProof/>
                <w:webHidden/>
              </w:rPr>
              <w:t>44</w:t>
            </w:r>
            <w:r w:rsidR="00837C16">
              <w:rPr>
                <w:noProof/>
                <w:webHidden/>
              </w:rPr>
              <w:fldChar w:fldCharType="end"/>
            </w:r>
          </w:hyperlink>
        </w:p>
        <w:p w14:paraId="38DC70BD" w14:textId="64943971" w:rsidR="00837C16" w:rsidRDefault="00594771" w:rsidP="000E3E96">
          <w:pPr>
            <w:pStyle w:val="TOC1"/>
            <w:ind w:left="284"/>
            <w:rPr>
              <w:rFonts w:asciiTheme="minorHAnsi" w:eastAsiaTheme="minorEastAsia" w:hAnsiTheme="minorHAnsi" w:cstheme="minorBidi"/>
              <w:sz w:val="22"/>
              <w:szCs w:val="22"/>
            </w:rPr>
          </w:pPr>
          <w:hyperlink w:anchor="_Toc86602516" w:history="1">
            <w:r w:rsidR="00837C16" w:rsidRPr="00876FBF">
              <w:rPr>
                <w:rStyle w:val="Hyperlink"/>
              </w:rPr>
              <w:t>Rental, hiring and real estate services</w:t>
            </w:r>
            <w:r w:rsidR="00837C16">
              <w:rPr>
                <w:webHidden/>
              </w:rPr>
              <w:tab/>
            </w:r>
            <w:r w:rsidR="00837C16">
              <w:rPr>
                <w:webHidden/>
              </w:rPr>
              <w:fldChar w:fldCharType="begin"/>
            </w:r>
            <w:r w:rsidR="00837C16">
              <w:rPr>
                <w:webHidden/>
              </w:rPr>
              <w:instrText xml:space="preserve"> PAGEREF _Toc86602516 \h </w:instrText>
            </w:r>
            <w:r w:rsidR="00837C16">
              <w:rPr>
                <w:webHidden/>
              </w:rPr>
            </w:r>
            <w:r w:rsidR="00837C16">
              <w:rPr>
                <w:webHidden/>
              </w:rPr>
              <w:fldChar w:fldCharType="separate"/>
            </w:r>
            <w:r w:rsidR="004132C1">
              <w:rPr>
                <w:webHidden/>
              </w:rPr>
              <w:t>45</w:t>
            </w:r>
            <w:r w:rsidR="00837C16">
              <w:rPr>
                <w:webHidden/>
              </w:rPr>
              <w:fldChar w:fldCharType="end"/>
            </w:r>
          </w:hyperlink>
        </w:p>
        <w:p w14:paraId="7BDDDDFF" w14:textId="51E0BA90" w:rsidR="00837C16" w:rsidRDefault="00594771">
          <w:pPr>
            <w:pStyle w:val="TOC3"/>
            <w:rPr>
              <w:rFonts w:asciiTheme="minorHAnsi" w:eastAsiaTheme="minorEastAsia" w:hAnsiTheme="minorHAnsi" w:cstheme="minorBidi"/>
              <w:noProof/>
              <w:sz w:val="22"/>
              <w:szCs w:val="22"/>
            </w:rPr>
          </w:pPr>
          <w:hyperlink w:anchor="_Toc86602517" w:history="1">
            <w:r w:rsidR="00837C16" w:rsidRPr="00876FBF">
              <w:rPr>
                <w:rStyle w:val="Hyperlink"/>
                <w:noProof/>
              </w:rPr>
              <w:t>Indicator 11l – Frequency rates of serious claims for Rental, hiring and real estate services by jurisdiction</w:t>
            </w:r>
            <w:r w:rsidR="00837C16">
              <w:rPr>
                <w:noProof/>
                <w:webHidden/>
              </w:rPr>
              <w:tab/>
            </w:r>
            <w:r w:rsidR="00837C16">
              <w:rPr>
                <w:noProof/>
                <w:webHidden/>
              </w:rPr>
              <w:fldChar w:fldCharType="begin"/>
            </w:r>
            <w:r w:rsidR="00837C16">
              <w:rPr>
                <w:noProof/>
                <w:webHidden/>
              </w:rPr>
              <w:instrText xml:space="preserve"> PAGEREF _Toc86602517 \h </w:instrText>
            </w:r>
            <w:r w:rsidR="00837C16">
              <w:rPr>
                <w:noProof/>
                <w:webHidden/>
              </w:rPr>
            </w:r>
            <w:r w:rsidR="00837C16">
              <w:rPr>
                <w:noProof/>
                <w:webHidden/>
              </w:rPr>
              <w:fldChar w:fldCharType="separate"/>
            </w:r>
            <w:r w:rsidR="004132C1">
              <w:rPr>
                <w:noProof/>
                <w:webHidden/>
              </w:rPr>
              <w:t>45</w:t>
            </w:r>
            <w:r w:rsidR="00837C16">
              <w:rPr>
                <w:noProof/>
                <w:webHidden/>
              </w:rPr>
              <w:fldChar w:fldCharType="end"/>
            </w:r>
          </w:hyperlink>
        </w:p>
        <w:p w14:paraId="099A6997" w14:textId="0D89D460" w:rsidR="00837C16" w:rsidRDefault="00594771" w:rsidP="000E3E96">
          <w:pPr>
            <w:pStyle w:val="TOC1"/>
            <w:ind w:left="284"/>
            <w:rPr>
              <w:rFonts w:asciiTheme="minorHAnsi" w:eastAsiaTheme="minorEastAsia" w:hAnsiTheme="minorHAnsi" w:cstheme="minorBidi"/>
              <w:sz w:val="22"/>
              <w:szCs w:val="22"/>
            </w:rPr>
          </w:pPr>
          <w:hyperlink w:anchor="_Toc86602518" w:history="1">
            <w:r w:rsidR="00837C16" w:rsidRPr="00876FBF">
              <w:rPr>
                <w:rStyle w:val="Hyperlink"/>
              </w:rPr>
              <w:t>Professional, scientific and technical services</w:t>
            </w:r>
            <w:r w:rsidR="00837C16">
              <w:rPr>
                <w:webHidden/>
              </w:rPr>
              <w:tab/>
            </w:r>
            <w:r w:rsidR="00837C16">
              <w:rPr>
                <w:webHidden/>
              </w:rPr>
              <w:fldChar w:fldCharType="begin"/>
            </w:r>
            <w:r w:rsidR="00837C16">
              <w:rPr>
                <w:webHidden/>
              </w:rPr>
              <w:instrText xml:space="preserve"> PAGEREF _Toc86602518 \h </w:instrText>
            </w:r>
            <w:r w:rsidR="00837C16">
              <w:rPr>
                <w:webHidden/>
              </w:rPr>
            </w:r>
            <w:r w:rsidR="00837C16">
              <w:rPr>
                <w:webHidden/>
              </w:rPr>
              <w:fldChar w:fldCharType="separate"/>
            </w:r>
            <w:r w:rsidR="004132C1">
              <w:rPr>
                <w:webHidden/>
              </w:rPr>
              <w:t>46</w:t>
            </w:r>
            <w:r w:rsidR="00837C16">
              <w:rPr>
                <w:webHidden/>
              </w:rPr>
              <w:fldChar w:fldCharType="end"/>
            </w:r>
          </w:hyperlink>
        </w:p>
        <w:p w14:paraId="03D17357" w14:textId="08D6B606" w:rsidR="00837C16" w:rsidRDefault="00594771">
          <w:pPr>
            <w:pStyle w:val="TOC3"/>
            <w:rPr>
              <w:rFonts w:asciiTheme="minorHAnsi" w:eastAsiaTheme="minorEastAsia" w:hAnsiTheme="minorHAnsi" w:cstheme="minorBidi"/>
              <w:noProof/>
              <w:sz w:val="22"/>
              <w:szCs w:val="22"/>
            </w:rPr>
          </w:pPr>
          <w:hyperlink w:anchor="_Toc86602519" w:history="1">
            <w:r w:rsidR="00837C16" w:rsidRPr="00876FBF">
              <w:rPr>
                <w:rStyle w:val="Hyperlink"/>
                <w:noProof/>
              </w:rPr>
              <w:t>Indicator 11m – Frequency rates of serious claims for Professional, scientific and technical services by jurisdiction</w:t>
            </w:r>
            <w:r w:rsidR="00837C16">
              <w:rPr>
                <w:noProof/>
                <w:webHidden/>
              </w:rPr>
              <w:tab/>
            </w:r>
            <w:r w:rsidR="00837C16">
              <w:rPr>
                <w:noProof/>
                <w:webHidden/>
              </w:rPr>
              <w:fldChar w:fldCharType="begin"/>
            </w:r>
            <w:r w:rsidR="00837C16">
              <w:rPr>
                <w:noProof/>
                <w:webHidden/>
              </w:rPr>
              <w:instrText xml:space="preserve"> PAGEREF _Toc86602519 \h </w:instrText>
            </w:r>
            <w:r w:rsidR="00837C16">
              <w:rPr>
                <w:noProof/>
                <w:webHidden/>
              </w:rPr>
            </w:r>
            <w:r w:rsidR="00837C16">
              <w:rPr>
                <w:noProof/>
                <w:webHidden/>
              </w:rPr>
              <w:fldChar w:fldCharType="separate"/>
            </w:r>
            <w:r w:rsidR="004132C1">
              <w:rPr>
                <w:noProof/>
                <w:webHidden/>
              </w:rPr>
              <w:t>46</w:t>
            </w:r>
            <w:r w:rsidR="00837C16">
              <w:rPr>
                <w:noProof/>
                <w:webHidden/>
              </w:rPr>
              <w:fldChar w:fldCharType="end"/>
            </w:r>
          </w:hyperlink>
        </w:p>
        <w:p w14:paraId="15428DE6" w14:textId="3509DF52" w:rsidR="00837C16" w:rsidRDefault="00594771" w:rsidP="000E3E96">
          <w:pPr>
            <w:pStyle w:val="TOC1"/>
            <w:ind w:left="284"/>
            <w:rPr>
              <w:rFonts w:asciiTheme="minorHAnsi" w:eastAsiaTheme="minorEastAsia" w:hAnsiTheme="minorHAnsi" w:cstheme="minorBidi"/>
              <w:sz w:val="22"/>
              <w:szCs w:val="22"/>
            </w:rPr>
          </w:pPr>
          <w:hyperlink w:anchor="_Toc86602520" w:history="1">
            <w:r w:rsidR="00837C16" w:rsidRPr="00876FBF">
              <w:rPr>
                <w:rStyle w:val="Hyperlink"/>
              </w:rPr>
              <w:t>Administrative and support services</w:t>
            </w:r>
            <w:r w:rsidR="00837C16">
              <w:rPr>
                <w:webHidden/>
              </w:rPr>
              <w:tab/>
            </w:r>
            <w:r w:rsidR="00837C16">
              <w:rPr>
                <w:webHidden/>
              </w:rPr>
              <w:fldChar w:fldCharType="begin"/>
            </w:r>
            <w:r w:rsidR="00837C16">
              <w:rPr>
                <w:webHidden/>
              </w:rPr>
              <w:instrText xml:space="preserve"> PAGEREF _Toc86602520 \h </w:instrText>
            </w:r>
            <w:r w:rsidR="00837C16">
              <w:rPr>
                <w:webHidden/>
              </w:rPr>
            </w:r>
            <w:r w:rsidR="00837C16">
              <w:rPr>
                <w:webHidden/>
              </w:rPr>
              <w:fldChar w:fldCharType="separate"/>
            </w:r>
            <w:r w:rsidR="004132C1">
              <w:rPr>
                <w:webHidden/>
              </w:rPr>
              <w:t>47</w:t>
            </w:r>
            <w:r w:rsidR="00837C16">
              <w:rPr>
                <w:webHidden/>
              </w:rPr>
              <w:fldChar w:fldCharType="end"/>
            </w:r>
          </w:hyperlink>
        </w:p>
        <w:p w14:paraId="354A7A5C" w14:textId="7E48FB3E" w:rsidR="00837C16" w:rsidRDefault="00594771">
          <w:pPr>
            <w:pStyle w:val="TOC3"/>
            <w:rPr>
              <w:rFonts w:asciiTheme="minorHAnsi" w:eastAsiaTheme="minorEastAsia" w:hAnsiTheme="minorHAnsi" w:cstheme="minorBidi"/>
              <w:noProof/>
              <w:sz w:val="22"/>
              <w:szCs w:val="22"/>
            </w:rPr>
          </w:pPr>
          <w:hyperlink w:anchor="_Toc86602521" w:history="1">
            <w:r w:rsidR="00837C16" w:rsidRPr="00876FBF">
              <w:rPr>
                <w:rStyle w:val="Hyperlink"/>
                <w:noProof/>
              </w:rPr>
              <w:t>Indicator 11n – Frequency rates of serious claims for Administrative and support services by jurisdiction</w:t>
            </w:r>
            <w:r w:rsidR="00837C16">
              <w:rPr>
                <w:noProof/>
                <w:webHidden/>
              </w:rPr>
              <w:tab/>
            </w:r>
            <w:r w:rsidR="00837C16">
              <w:rPr>
                <w:noProof/>
                <w:webHidden/>
              </w:rPr>
              <w:fldChar w:fldCharType="begin"/>
            </w:r>
            <w:r w:rsidR="00837C16">
              <w:rPr>
                <w:noProof/>
                <w:webHidden/>
              </w:rPr>
              <w:instrText xml:space="preserve"> PAGEREF _Toc86602521 \h </w:instrText>
            </w:r>
            <w:r w:rsidR="00837C16">
              <w:rPr>
                <w:noProof/>
                <w:webHidden/>
              </w:rPr>
            </w:r>
            <w:r w:rsidR="00837C16">
              <w:rPr>
                <w:noProof/>
                <w:webHidden/>
              </w:rPr>
              <w:fldChar w:fldCharType="separate"/>
            </w:r>
            <w:r w:rsidR="004132C1">
              <w:rPr>
                <w:noProof/>
                <w:webHidden/>
              </w:rPr>
              <w:t>47</w:t>
            </w:r>
            <w:r w:rsidR="00837C16">
              <w:rPr>
                <w:noProof/>
                <w:webHidden/>
              </w:rPr>
              <w:fldChar w:fldCharType="end"/>
            </w:r>
          </w:hyperlink>
        </w:p>
        <w:p w14:paraId="0544F20B" w14:textId="0E4FAC87" w:rsidR="00837C16" w:rsidRDefault="00594771" w:rsidP="000E3E96">
          <w:pPr>
            <w:pStyle w:val="TOC1"/>
            <w:ind w:left="284"/>
            <w:rPr>
              <w:rFonts w:asciiTheme="minorHAnsi" w:eastAsiaTheme="minorEastAsia" w:hAnsiTheme="minorHAnsi" w:cstheme="minorBidi"/>
              <w:sz w:val="22"/>
              <w:szCs w:val="22"/>
            </w:rPr>
          </w:pPr>
          <w:hyperlink w:anchor="_Toc86602522" w:history="1">
            <w:r w:rsidR="00837C16" w:rsidRPr="00876FBF">
              <w:rPr>
                <w:rStyle w:val="Hyperlink"/>
              </w:rPr>
              <w:t>Public administration and safety</w:t>
            </w:r>
            <w:r w:rsidR="00837C16">
              <w:rPr>
                <w:webHidden/>
              </w:rPr>
              <w:tab/>
            </w:r>
            <w:r w:rsidR="00837C16">
              <w:rPr>
                <w:webHidden/>
              </w:rPr>
              <w:fldChar w:fldCharType="begin"/>
            </w:r>
            <w:r w:rsidR="00837C16">
              <w:rPr>
                <w:webHidden/>
              </w:rPr>
              <w:instrText xml:space="preserve"> PAGEREF _Toc86602522 \h </w:instrText>
            </w:r>
            <w:r w:rsidR="00837C16">
              <w:rPr>
                <w:webHidden/>
              </w:rPr>
            </w:r>
            <w:r w:rsidR="00837C16">
              <w:rPr>
                <w:webHidden/>
              </w:rPr>
              <w:fldChar w:fldCharType="separate"/>
            </w:r>
            <w:r w:rsidR="004132C1">
              <w:rPr>
                <w:webHidden/>
              </w:rPr>
              <w:t>48</w:t>
            </w:r>
            <w:r w:rsidR="00837C16">
              <w:rPr>
                <w:webHidden/>
              </w:rPr>
              <w:fldChar w:fldCharType="end"/>
            </w:r>
          </w:hyperlink>
        </w:p>
        <w:p w14:paraId="41064293" w14:textId="3DD54C64" w:rsidR="00837C16" w:rsidRDefault="00594771">
          <w:pPr>
            <w:pStyle w:val="TOC3"/>
            <w:rPr>
              <w:rFonts w:asciiTheme="minorHAnsi" w:eastAsiaTheme="minorEastAsia" w:hAnsiTheme="minorHAnsi" w:cstheme="minorBidi"/>
              <w:noProof/>
              <w:sz w:val="22"/>
              <w:szCs w:val="22"/>
            </w:rPr>
          </w:pPr>
          <w:hyperlink w:anchor="_Toc86602523" w:history="1">
            <w:r w:rsidR="00837C16" w:rsidRPr="00876FBF">
              <w:rPr>
                <w:rStyle w:val="Hyperlink"/>
                <w:noProof/>
              </w:rPr>
              <w:t>Indicator 11o – Frequency rates of serious claims for Public administration and safety by jurisdiction</w:t>
            </w:r>
            <w:r w:rsidR="00837C16">
              <w:rPr>
                <w:noProof/>
                <w:webHidden/>
              </w:rPr>
              <w:tab/>
            </w:r>
            <w:r w:rsidR="00837C16">
              <w:rPr>
                <w:noProof/>
                <w:webHidden/>
              </w:rPr>
              <w:fldChar w:fldCharType="begin"/>
            </w:r>
            <w:r w:rsidR="00837C16">
              <w:rPr>
                <w:noProof/>
                <w:webHidden/>
              </w:rPr>
              <w:instrText xml:space="preserve"> PAGEREF _Toc86602523 \h </w:instrText>
            </w:r>
            <w:r w:rsidR="00837C16">
              <w:rPr>
                <w:noProof/>
                <w:webHidden/>
              </w:rPr>
            </w:r>
            <w:r w:rsidR="00837C16">
              <w:rPr>
                <w:noProof/>
                <w:webHidden/>
              </w:rPr>
              <w:fldChar w:fldCharType="separate"/>
            </w:r>
            <w:r w:rsidR="004132C1">
              <w:rPr>
                <w:noProof/>
                <w:webHidden/>
              </w:rPr>
              <w:t>48</w:t>
            </w:r>
            <w:r w:rsidR="00837C16">
              <w:rPr>
                <w:noProof/>
                <w:webHidden/>
              </w:rPr>
              <w:fldChar w:fldCharType="end"/>
            </w:r>
          </w:hyperlink>
        </w:p>
        <w:p w14:paraId="2834CC2F" w14:textId="4FD08A0F" w:rsidR="00837C16" w:rsidRDefault="00594771" w:rsidP="000E3E96">
          <w:pPr>
            <w:pStyle w:val="TOC1"/>
            <w:ind w:left="284"/>
            <w:rPr>
              <w:rFonts w:asciiTheme="minorHAnsi" w:eastAsiaTheme="minorEastAsia" w:hAnsiTheme="minorHAnsi" w:cstheme="minorBidi"/>
              <w:sz w:val="22"/>
              <w:szCs w:val="22"/>
            </w:rPr>
          </w:pPr>
          <w:hyperlink w:anchor="_Toc86602524" w:history="1">
            <w:r w:rsidR="00837C16" w:rsidRPr="00876FBF">
              <w:rPr>
                <w:rStyle w:val="Hyperlink"/>
              </w:rPr>
              <w:t>Education and training</w:t>
            </w:r>
            <w:r w:rsidR="00837C16">
              <w:rPr>
                <w:webHidden/>
              </w:rPr>
              <w:tab/>
            </w:r>
            <w:r w:rsidR="00837C16">
              <w:rPr>
                <w:webHidden/>
              </w:rPr>
              <w:fldChar w:fldCharType="begin"/>
            </w:r>
            <w:r w:rsidR="00837C16">
              <w:rPr>
                <w:webHidden/>
              </w:rPr>
              <w:instrText xml:space="preserve"> PAGEREF _Toc86602524 \h </w:instrText>
            </w:r>
            <w:r w:rsidR="00837C16">
              <w:rPr>
                <w:webHidden/>
              </w:rPr>
            </w:r>
            <w:r w:rsidR="00837C16">
              <w:rPr>
                <w:webHidden/>
              </w:rPr>
              <w:fldChar w:fldCharType="separate"/>
            </w:r>
            <w:r w:rsidR="004132C1">
              <w:rPr>
                <w:webHidden/>
              </w:rPr>
              <w:t>49</w:t>
            </w:r>
            <w:r w:rsidR="00837C16">
              <w:rPr>
                <w:webHidden/>
              </w:rPr>
              <w:fldChar w:fldCharType="end"/>
            </w:r>
          </w:hyperlink>
        </w:p>
        <w:p w14:paraId="0C89E531" w14:textId="45A5E382" w:rsidR="00837C16" w:rsidRDefault="00594771">
          <w:pPr>
            <w:pStyle w:val="TOC3"/>
            <w:rPr>
              <w:rFonts w:asciiTheme="minorHAnsi" w:eastAsiaTheme="minorEastAsia" w:hAnsiTheme="minorHAnsi" w:cstheme="minorBidi"/>
              <w:noProof/>
              <w:sz w:val="22"/>
              <w:szCs w:val="22"/>
            </w:rPr>
          </w:pPr>
          <w:hyperlink w:anchor="_Toc86602525" w:history="1">
            <w:r w:rsidR="00837C16" w:rsidRPr="00876FBF">
              <w:rPr>
                <w:rStyle w:val="Hyperlink"/>
                <w:noProof/>
              </w:rPr>
              <w:t>Indicator 11p – Frequency rates of serious claims for Education and training by jurisdiction</w:t>
            </w:r>
            <w:r w:rsidR="00837C16">
              <w:rPr>
                <w:noProof/>
                <w:webHidden/>
              </w:rPr>
              <w:tab/>
            </w:r>
            <w:r w:rsidR="00837C16">
              <w:rPr>
                <w:noProof/>
                <w:webHidden/>
              </w:rPr>
              <w:fldChar w:fldCharType="begin"/>
            </w:r>
            <w:r w:rsidR="00837C16">
              <w:rPr>
                <w:noProof/>
                <w:webHidden/>
              </w:rPr>
              <w:instrText xml:space="preserve"> PAGEREF _Toc86602525 \h </w:instrText>
            </w:r>
            <w:r w:rsidR="00837C16">
              <w:rPr>
                <w:noProof/>
                <w:webHidden/>
              </w:rPr>
            </w:r>
            <w:r w:rsidR="00837C16">
              <w:rPr>
                <w:noProof/>
                <w:webHidden/>
              </w:rPr>
              <w:fldChar w:fldCharType="separate"/>
            </w:r>
            <w:r w:rsidR="004132C1">
              <w:rPr>
                <w:noProof/>
                <w:webHidden/>
              </w:rPr>
              <w:t>49</w:t>
            </w:r>
            <w:r w:rsidR="00837C16">
              <w:rPr>
                <w:noProof/>
                <w:webHidden/>
              </w:rPr>
              <w:fldChar w:fldCharType="end"/>
            </w:r>
          </w:hyperlink>
        </w:p>
        <w:p w14:paraId="212A5288" w14:textId="4933C379" w:rsidR="00837C16" w:rsidRDefault="00594771" w:rsidP="000E3E96">
          <w:pPr>
            <w:pStyle w:val="TOC1"/>
            <w:ind w:left="284"/>
            <w:rPr>
              <w:rFonts w:asciiTheme="minorHAnsi" w:eastAsiaTheme="minorEastAsia" w:hAnsiTheme="minorHAnsi" w:cstheme="minorBidi"/>
              <w:sz w:val="22"/>
              <w:szCs w:val="22"/>
            </w:rPr>
          </w:pPr>
          <w:hyperlink w:anchor="_Toc86602526" w:history="1">
            <w:r w:rsidR="00837C16" w:rsidRPr="00876FBF">
              <w:rPr>
                <w:rStyle w:val="Hyperlink"/>
              </w:rPr>
              <w:t>Healthcare and social assistance</w:t>
            </w:r>
            <w:r w:rsidR="00837C16">
              <w:rPr>
                <w:webHidden/>
              </w:rPr>
              <w:tab/>
            </w:r>
            <w:r w:rsidR="00837C16">
              <w:rPr>
                <w:webHidden/>
              </w:rPr>
              <w:fldChar w:fldCharType="begin"/>
            </w:r>
            <w:r w:rsidR="00837C16">
              <w:rPr>
                <w:webHidden/>
              </w:rPr>
              <w:instrText xml:space="preserve"> PAGEREF _Toc86602526 \h </w:instrText>
            </w:r>
            <w:r w:rsidR="00837C16">
              <w:rPr>
                <w:webHidden/>
              </w:rPr>
            </w:r>
            <w:r w:rsidR="00837C16">
              <w:rPr>
                <w:webHidden/>
              </w:rPr>
              <w:fldChar w:fldCharType="separate"/>
            </w:r>
            <w:r w:rsidR="004132C1">
              <w:rPr>
                <w:webHidden/>
              </w:rPr>
              <w:t>50</w:t>
            </w:r>
            <w:r w:rsidR="00837C16">
              <w:rPr>
                <w:webHidden/>
              </w:rPr>
              <w:fldChar w:fldCharType="end"/>
            </w:r>
          </w:hyperlink>
        </w:p>
        <w:p w14:paraId="6FACFB0D" w14:textId="3E9CB303" w:rsidR="00837C16" w:rsidRDefault="00594771">
          <w:pPr>
            <w:pStyle w:val="TOC3"/>
            <w:rPr>
              <w:rFonts w:asciiTheme="minorHAnsi" w:eastAsiaTheme="minorEastAsia" w:hAnsiTheme="minorHAnsi" w:cstheme="minorBidi"/>
              <w:noProof/>
              <w:sz w:val="22"/>
              <w:szCs w:val="22"/>
            </w:rPr>
          </w:pPr>
          <w:hyperlink w:anchor="_Toc86602527" w:history="1">
            <w:r w:rsidR="00837C16" w:rsidRPr="00876FBF">
              <w:rPr>
                <w:rStyle w:val="Hyperlink"/>
                <w:noProof/>
              </w:rPr>
              <w:t>Indicator 11q – Frequency rates of serious claims for Healthcare and social assistance by jurisdiction</w:t>
            </w:r>
            <w:r w:rsidR="00837C16">
              <w:rPr>
                <w:noProof/>
                <w:webHidden/>
              </w:rPr>
              <w:tab/>
            </w:r>
            <w:r w:rsidR="00837C16">
              <w:rPr>
                <w:noProof/>
                <w:webHidden/>
              </w:rPr>
              <w:fldChar w:fldCharType="begin"/>
            </w:r>
            <w:r w:rsidR="00837C16">
              <w:rPr>
                <w:noProof/>
                <w:webHidden/>
              </w:rPr>
              <w:instrText xml:space="preserve"> PAGEREF _Toc86602527 \h </w:instrText>
            </w:r>
            <w:r w:rsidR="00837C16">
              <w:rPr>
                <w:noProof/>
                <w:webHidden/>
              </w:rPr>
            </w:r>
            <w:r w:rsidR="00837C16">
              <w:rPr>
                <w:noProof/>
                <w:webHidden/>
              </w:rPr>
              <w:fldChar w:fldCharType="separate"/>
            </w:r>
            <w:r w:rsidR="004132C1">
              <w:rPr>
                <w:noProof/>
                <w:webHidden/>
              </w:rPr>
              <w:t>50</w:t>
            </w:r>
            <w:r w:rsidR="00837C16">
              <w:rPr>
                <w:noProof/>
                <w:webHidden/>
              </w:rPr>
              <w:fldChar w:fldCharType="end"/>
            </w:r>
          </w:hyperlink>
        </w:p>
        <w:p w14:paraId="5A282525" w14:textId="4D0F938F" w:rsidR="00837C16" w:rsidRDefault="00594771" w:rsidP="000E3E96">
          <w:pPr>
            <w:pStyle w:val="TOC1"/>
            <w:ind w:left="284"/>
            <w:rPr>
              <w:rFonts w:asciiTheme="minorHAnsi" w:eastAsiaTheme="minorEastAsia" w:hAnsiTheme="minorHAnsi" w:cstheme="minorBidi"/>
              <w:sz w:val="22"/>
              <w:szCs w:val="22"/>
            </w:rPr>
          </w:pPr>
          <w:hyperlink w:anchor="_Toc86602528" w:history="1">
            <w:r w:rsidR="00837C16" w:rsidRPr="00876FBF">
              <w:rPr>
                <w:rStyle w:val="Hyperlink"/>
              </w:rPr>
              <w:t>Arts and recreation services</w:t>
            </w:r>
            <w:r w:rsidR="00837C16">
              <w:rPr>
                <w:webHidden/>
              </w:rPr>
              <w:tab/>
            </w:r>
            <w:r w:rsidR="00837C16">
              <w:rPr>
                <w:webHidden/>
              </w:rPr>
              <w:fldChar w:fldCharType="begin"/>
            </w:r>
            <w:r w:rsidR="00837C16">
              <w:rPr>
                <w:webHidden/>
              </w:rPr>
              <w:instrText xml:space="preserve"> PAGEREF _Toc86602528 \h </w:instrText>
            </w:r>
            <w:r w:rsidR="00837C16">
              <w:rPr>
                <w:webHidden/>
              </w:rPr>
            </w:r>
            <w:r w:rsidR="00837C16">
              <w:rPr>
                <w:webHidden/>
              </w:rPr>
              <w:fldChar w:fldCharType="separate"/>
            </w:r>
            <w:r w:rsidR="004132C1">
              <w:rPr>
                <w:webHidden/>
              </w:rPr>
              <w:t>51</w:t>
            </w:r>
            <w:r w:rsidR="00837C16">
              <w:rPr>
                <w:webHidden/>
              </w:rPr>
              <w:fldChar w:fldCharType="end"/>
            </w:r>
          </w:hyperlink>
        </w:p>
        <w:p w14:paraId="5125ED5C" w14:textId="38CB057F" w:rsidR="00837C16" w:rsidRDefault="00594771">
          <w:pPr>
            <w:pStyle w:val="TOC3"/>
            <w:rPr>
              <w:rFonts w:asciiTheme="minorHAnsi" w:eastAsiaTheme="minorEastAsia" w:hAnsiTheme="minorHAnsi" w:cstheme="minorBidi"/>
              <w:noProof/>
              <w:sz w:val="22"/>
              <w:szCs w:val="22"/>
            </w:rPr>
          </w:pPr>
          <w:hyperlink w:anchor="_Toc86602529" w:history="1">
            <w:r w:rsidR="00837C16" w:rsidRPr="00876FBF">
              <w:rPr>
                <w:rStyle w:val="Hyperlink"/>
                <w:noProof/>
              </w:rPr>
              <w:t>Indicator 11r – Frequency rates of serious claims for Arts and recreation services by jurisdiction</w:t>
            </w:r>
            <w:r w:rsidR="00837C16">
              <w:rPr>
                <w:noProof/>
                <w:webHidden/>
              </w:rPr>
              <w:tab/>
            </w:r>
            <w:r w:rsidR="00837C16">
              <w:rPr>
                <w:noProof/>
                <w:webHidden/>
              </w:rPr>
              <w:fldChar w:fldCharType="begin"/>
            </w:r>
            <w:r w:rsidR="00837C16">
              <w:rPr>
                <w:noProof/>
                <w:webHidden/>
              </w:rPr>
              <w:instrText xml:space="preserve"> PAGEREF _Toc86602529 \h </w:instrText>
            </w:r>
            <w:r w:rsidR="00837C16">
              <w:rPr>
                <w:noProof/>
                <w:webHidden/>
              </w:rPr>
            </w:r>
            <w:r w:rsidR="00837C16">
              <w:rPr>
                <w:noProof/>
                <w:webHidden/>
              </w:rPr>
              <w:fldChar w:fldCharType="separate"/>
            </w:r>
            <w:r w:rsidR="004132C1">
              <w:rPr>
                <w:noProof/>
                <w:webHidden/>
              </w:rPr>
              <w:t>51</w:t>
            </w:r>
            <w:r w:rsidR="00837C16">
              <w:rPr>
                <w:noProof/>
                <w:webHidden/>
              </w:rPr>
              <w:fldChar w:fldCharType="end"/>
            </w:r>
          </w:hyperlink>
        </w:p>
        <w:p w14:paraId="370FB1FF" w14:textId="67F13F38" w:rsidR="00837C16" w:rsidRDefault="00594771" w:rsidP="000E3E96">
          <w:pPr>
            <w:pStyle w:val="TOC1"/>
            <w:ind w:left="284"/>
            <w:rPr>
              <w:rFonts w:asciiTheme="minorHAnsi" w:eastAsiaTheme="minorEastAsia" w:hAnsiTheme="minorHAnsi" w:cstheme="minorBidi"/>
              <w:sz w:val="22"/>
              <w:szCs w:val="22"/>
            </w:rPr>
          </w:pPr>
          <w:hyperlink w:anchor="_Toc86602530" w:history="1">
            <w:r w:rsidR="00837C16" w:rsidRPr="00876FBF">
              <w:rPr>
                <w:rStyle w:val="Hyperlink"/>
              </w:rPr>
              <w:t>Other services</w:t>
            </w:r>
            <w:r w:rsidR="00837C16">
              <w:rPr>
                <w:webHidden/>
              </w:rPr>
              <w:tab/>
            </w:r>
            <w:r w:rsidR="00837C16">
              <w:rPr>
                <w:webHidden/>
              </w:rPr>
              <w:fldChar w:fldCharType="begin"/>
            </w:r>
            <w:r w:rsidR="00837C16">
              <w:rPr>
                <w:webHidden/>
              </w:rPr>
              <w:instrText xml:space="preserve"> PAGEREF _Toc86602530 \h </w:instrText>
            </w:r>
            <w:r w:rsidR="00837C16">
              <w:rPr>
                <w:webHidden/>
              </w:rPr>
            </w:r>
            <w:r w:rsidR="00837C16">
              <w:rPr>
                <w:webHidden/>
              </w:rPr>
              <w:fldChar w:fldCharType="separate"/>
            </w:r>
            <w:r w:rsidR="004132C1">
              <w:rPr>
                <w:webHidden/>
              </w:rPr>
              <w:t>52</w:t>
            </w:r>
            <w:r w:rsidR="00837C16">
              <w:rPr>
                <w:webHidden/>
              </w:rPr>
              <w:fldChar w:fldCharType="end"/>
            </w:r>
          </w:hyperlink>
        </w:p>
        <w:p w14:paraId="702C59BA" w14:textId="5792B8B2" w:rsidR="00837C16" w:rsidRDefault="00594771">
          <w:pPr>
            <w:pStyle w:val="TOC3"/>
            <w:rPr>
              <w:rFonts w:asciiTheme="minorHAnsi" w:eastAsiaTheme="minorEastAsia" w:hAnsiTheme="minorHAnsi" w:cstheme="minorBidi"/>
              <w:noProof/>
              <w:sz w:val="22"/>
              <w:szCs w:val="22"/>
            </w:rPr>
          </w:pPr>
          <w:hyperlink w:anchor="_Toc86602531" w:history="1">
            <w:r w:rsidR="00837C16" w:rsidRPr="00876FBF">
              <w:rPr>
                <w:rStyle w:val="Hyperlink"/>
                <w:noProof/>
              </w:rPr>
              <w:t>Indicator 11s – Frequency rates of serious claims for Other services by jurisdiction</w:t>
            </w:r>
            <w:r w:rsidR="00837C16">
              <w:rPr>
                <w:noProof/>
                <w:webHidden/>
              </w:rPr>
              <w:tab/>
            </w:r>
            <w:r w:rsidR="00837C16">
              <w:rPr>
                <w:noProof/>
                <w:webHidden/>
              </w:rPr>
              <w:fldChar w:fldCharType="begin"/>
            </w:r>
            <w:r w:rsidR="00837C16">
              <w:rPr>
                <w:noProof/>
                <w:webHidden/>
              </w:rPr>
              <w:instrText xml:space="preserve"> PAGEREF _Toc86602531 \h </w:instrText>
            </w:r>
            <w:r w:rsidR="00837C16">
              <w:rPr>
                <w:noProof/>
                <w:webHidden/>
              </w:rPr>
            </w:r>
            <w:r w:rsidR="00837C16">
              <w:rPr>
                <w:noProof/>
                <w:webHidden/>
              </w:rPr>
              <w:fldChar w:fldCharType="separate"/>
            </w:r>
            <w:r w:rsidR="004132C1">
              <w:rPr>
                <w:noProof/>
                <w:webHidden/>
              </w:rPr>
              <w:t>52</w:t>
            </w:r>
            <w:r w:rsidR="00837C16">
              <w:rPr>
                <w:noProof/>
                <w:webHidden/>
              </w:rPr>
              <w:fldChar w:fldCharType="end"/>
            </w:r>
          </w:hyperlink>
        </w:p>
        <w:p w14:paraId="707B2975" w14:textId="32282F83" w:rsidR="00837C16" w:rsidRDefault="00594771">
          <w:pPr>
            <w:pStyle w:val="TOC1"/>
            <w:rPr>
              <w:rFonts w:asciiTheme="minorHAnsi" w:eastAsiaTheme="minorEastAsia" w:hAnsiTheme="minorHAnsi" w:cstheme="minorBidi"/>
              <w:sz w:val="22"/>
              <w:szCs w:val="22"/>
            </w:rPr>
          </w:pPr>
          <w:hyperlink w:anchor="_Toc86602532" w:history="1">
            <w:r w:rsidR="00837C16" w:rsidRPr="00876FBF">
              <w:rPr>
                <w:rStyle w:val="Hyperlink"/>
              </w:rPr>
              <w:t>Appendix 1 — Further information</w:t>
            </w:r>
            <w:r w:rsidR="00837C16">
              <w:rPr>
                <w:webHidden/>
              </w:rPr>
              <w:tab/>
            </w:r>
            <w:r w:rsidR="00837C16">
              <w:rPr>
                <w:webHidden/>
              </w:rPr>
              <w:fldChar w:fldCharType="begin"/>
            </w:r>
            <w:r w:rsidR="00837C16">
              <w:rPr>
                <w:webHidden/>
              </w:rPr>
              <w:instrText xml:space="preserve"> PAGEREF _Toc86602532 \h </w:instrText>
            </w:r>
            <w:r w:rsidR="00837C16">
              <w:rPr>
                <w:webHidden/>
              </w:rPr>
            </w:r>
            <w:r w:rsidR="00837C16">
              <w:rPr>
                <w:webHidden/>
              </w:rPr>
              <w:fldChar w:fldCharType="separate"/>
            </w:r>
            <w:r w:rsidR="004132C1">
              <w:rPr>
                <w:webHidden/>
              </w:rPr>
              <w:t>53</w:t>
            </w:r>
            <w:r w:rsidR="00837C16">
              <w:rPr>
                <w:webHidden/>
              </w:rPr>
              <w:fldChar w:fldCharType="end"/>
            </w:r>
          </w:hyperlink>
        </w:p>
        <w:p w14:paraId="3FF25521" w14:textId="624FA774" w:rsidR="00837C16" w:rsidRDefault="00594771">
          <w:pPr>
            <w:pStyle w:val="TOC1"/>
            <w:rPr>
              <w:rFonts w:asciiTheme="minorHAnsi" w:eastAsiaTheme="minorEastAsia" w:hAnsiTheme="minorHAnsi" w:cstheme="minorBidi"/>
              <w:sz w:val="22"/>
              <w:szCs w:val="22"/>
            </w:rPr>
          </w:pPr>
          <w:hyperlink w:anchor="_Toc86602533" w:history="1">
            <w:r w:rsidR="00837C16" w:rsidRPr="00876FBF">
              <w:rPr>
                <w:rStyle w:val="Hyperlink"/>
              </w:rPr>
              <w:t>Glossary</w:t>
            </w:r>
            <w:r w:rsidR="00837C16">
              <w:rPr>
                <w:webHidden/>
              </w:rPr>
              <w:tab/>
            </w:r>
            <w:r w:rsidR="00837C16">
              <w:rPr>
                <w:webHidden/>
              </w:rPr>
              <w:fldChar w:fldCharType="begin"/>
            </w:r>
            <w:r w:rsidR="00837C16">
              <w:rPr>
                <w:webHidden/>
              </w:rPr>
              <w:instrText xml:space="preserve"> PAGEREF _Toc86602533 \h </w:instrText>
            </w:r>
            <w:r w:rsidR="00837C16">
              <w:rPr>
                <w:webHidden/>
              </w:rPr>
            </w:r>
            <w:r w:rsidR="00837C16">
              <w:rPr>
                <w:webHidden/>
              </w:rPr>
              <w:fldChar w:fldCharType="separate"/>
            </w:r>
            <w:r w:rsidR="004132C1">
              <w:rPr>
                <w:webHidden/>
              </w:rPr>
              <w:t>53</w:t>
            </w:r>
            <w:r w:rsidR="00837C16">
              <w:rPr>
                <w:webHidden/>
              </w:rPr>
              <w:fldChar w:fldCharType="end"/>
            </w:r>
          </w:hyperlink>
        </w:p>
        <w:p w14:paraId="4EB8B4EB" w14:textId="0E0C2B96" w:rsidR="00837C16" w:rsidRDefault="00594771">
          <w:pPr>
            <w:pStyle w:val="TOC1"/>
            <w:rPr>
              <w:rFonts w:asciiTheme="minorHAnsi" w:eastAsiaTheme="minorEastAsia" w:hAnsiTheme="minorHAnsi" w:cstheme="minorBidi"/>
              <w:sz w:val="22"/>
              <w:szCs w:val="22"/>
            </w:rPr>
          </w:pPr>
          <w:hyperlink w:anchor="_Toc86602534" w:history="1">
            <w:r w:rsidR="00837C16" w:rsidRPr="00876FBF">
              <w:rPr>
                <w:rStyle w:val="Hyperlink"/>
              </w:rPr>
              <w:t>Time series and adjustment of scheme data</w:t>
            </w:r>
            <w:r w:rsidR="00837C16">
              <w:rPr>
                <w:webHidden/>
              </w:rPr>
              <w:tab/>
            </w:r>
            <w:r w:rsidR="00837C16">
              <w:rPr>
                <w:webHidden/>
              </w:rPr>
              <w:fldChar w:fldCharType="begin"/>
            </w:r>
            <w:r w:rsidR="00837C16">
              <w:rPr>
                <w:webHidden/>
              </w:rPr>
              <w:instrText xml:space="preserve"> PAGEREF _Toc86602534 \h </w:instrText>
            </w:r>
            <w:r w:rsidR="00837C16">
              <w:rPr>
                <w:webHidden/>
              </w:rPr>
            </w:r>
            <w:r w:rsidR="00837C16">
              <w:rPr>
                <w:webHidden/>
              </w:rPr>
              <w:fldChar w:fldCharType="separate"/>
            </w:r>
            <w:r w:rsidR="004132C1">
              <w:rPr>
                <w:webHidden/>
              </w:rPr>
              <w:t>53</w:t>
            </w:r>
            <w:r w:rsidR="00837C16">
              <w:rPr>
                <w:webHidden/>
              </w:rPr>
              <w:fldChar w:fldCharType="end"/>
            </w:r>
          </w:hyperlink>
        </w:p>
        <w:p w14:paraId="1F0184B9" w14:textId="484D33C2" w:rsidR="00837C16" w:rsidRDefault="00594771">
          <w:pPr>
            <w:pStyle w:val="TOC1"/>
            <w:rPr>
              <w:rFonts w:asciiTheme="minorHAnsi" w:eastAsiaTheme="minorEastAsia" w:hAnsiTheme="minorHAnsi" w:cstheme="minorBidi"/>
              <w:sz w:val="22"/>
              <w:szCs w:val="22"/>
            </w:rPr>
          </w:pPr>
          <w:hyperlink w:anchor="_Toc86602535" w:history="1">
            <w:r w:rsidR="00837C16" w:rsidRPr="00876FBF">
              <w:rPr>
                <w:rStyle w:val="Hyperlink"/>
              </w:rPr>
              <w:t>Appendix 2 – Jurisdictional contact information</w:t>
            </w:r>
            <w:r w:rsidR="00837C16">
              <w:rPr>
                <w:webHidden/>
              </w:rPr>
              <w:tab/>
            </w:r>
            <w:r w:rsidR="00837C16">
              <w:rPr>
                <w:webHidden/>
              </w:rPr>
              <w:fldChar w:fldCharType="begin"/>
            </w:r>
            <w:r w:rsidR="00837C16">
              <w:rPr>
                <w:webHidden/>
              </w:rPr>
              <w:instrText xml:space="preserve"> PAGEREF _Toc86602535 \h </w:instrText>
            </w:r>
            <w:r w:rsidR="00837C16">
              <w:rPr>
                <w:webHidden/>
              </w:rPr>
            </w:r>
            <w:r w:rsidR="00837C16">
              <w:rPr>
                <w:webHidden/>
              </w:rPr>
              <w:fldChar w:fldCharType="separate"/>
            </w:r>
            <w:r w:rsidR="004132C1">
              <w:rPr>
                <w:webHidden/>
              </w:rPr>
              <w:t>55</w:t>
            </w:r>
            <w:r w:rsidR="00837C16">
              <w:rPr>
                <w:webHidden/>
              </w:rPr>
              <w:fldChar w:fldCharType="end"/>
            </w:r>
          </w:hyperlink>
        </w:p>
        <w:p w14:paraId="14ACD7FF" w14:textId="184D6F85" w:rsidR="0031228B" w:rsidRDefault="0031228B">
          <w:r>
            <w:rPr>
              <w:b/>
              <w:bCs/>
              <w:noProof/>
            </w:rPr>
            <w:fldChar w:fldCharType="end"/>
          </w:r>
        </w:p>
      </w:sdtContent>
    </w:sdt>
    <w:p w14:paraId="4D8F9588" w14:textId="77777777" w:rsidR="00E1127D" w:rsidRDefault="00E1127D">
      <w:pPr>
        <w:spacing w:after="200" w:line="276" w:lineRule="auto"/>
        <w:jc w:val="left"/>
      </w:pPr>
      <w:r>
        <w:br w:type="page"/>
      </w:r>
    </w:p>
    <w:p w14:paraId="5459C851" w14:textId="77777777" w:rsidR="00B108F1" w:rsidRDefault="00B108F1" w:rsidP="00B108F1">
      <w:pPr>
        <w:pStyle w:val="Title"/>
        <w:tabs>
          <w:tab w:val="center" w:pos="8222"/>
        </w:tabs>
      </w:pPr>
      <w:bookmarkStart w:id="1" w:name="_Toc56599599"/>
      <w:bookmarkStart w:id="2" w:name="_Toc79584098"/>
      <w:bookmarkStart w:id="3" w:name="_Toc80188295"/>
      <w:bookmarkStart w:id="4" w:name="_Toc86602451"/>
      <w:bookmarkStart w:id="5" w:name="_Toc56776895"/>
      <w:r>
        <w:lastRenderedPageBreak/>
        <w:t>Foreword</w:t>
      </w:r>
      <w:bookmarkEnd w:id="1"/>
      <w:bookmarkEnd w:id="2"/>
      <w:bookmarkEnd w:id="3"/>
      <w:bookmarkEnd w:id="4"/>
    </w:p>
    <w:p w14:paraId="1366A02C" w14:textId="72442591" w:rsidR="00B108F1" w:rsidRDefault="00B108F1" w:rsidP="00B108F1">
      <w:r>
        <w:t>This is the 2</w:t>
      </w:r>
      <w:r w:rsidR="00662794">
        <w:t>4</w:t>
      </w:r>
      <w:r w:rsidR="00662794">
        <w:rPr>
          <w:vertAlign w:val="superscript"/>
        </w:rPr>
        <w:t>th</w:t>
      </w:r>
      <w:r>
        <w:t xml:space="preserve"> edition of the Comparative Performance Monitoring (CPM) report which provides trend analyses about work health and safety</w:t>
      </w:r>
      <w:r w:rsidR="00BA0B6C">
        <w:t xml:space="preserve"> (WHS)</w:t>
      </w:r>
      <w:r>
        <w:t xml:space="preserve"> and workers’ compensation schemes operating in Australia and New Zealand. </w:t>
      </w:r>
    </w:p>
    <w:p w14:paraId="631B7C2B" w14:textId="0C66B388" w:rsidR="00B108F1" w:rsidRDefault="00B108F1" w:rsidP="00B108F1">
      <w:r>
        <w:t>This report has been compiled and coordinated by Safe Work Australia with assistance from representatives of all</w:t>
      </w:r>
      <w:r w:rsidR="00BA0B6C">
        <w:t xml:space="preserve"> WHS</w:t>
      </w:r>
      <w:r>
        <w:t xml:space="preserve"> and workers’ compensation authorities in Australia and New Zealand. Through a partnership of governments, employers and employees, Safe</w:t>
      </w:r>
      <w:r w:rsidR="00780CE7">
        <w:t> </w:t>
      </w:r>
      <w:r>
        <w:t>Work</w:t>
      </w:r>
      <w:r w:rsidR="00780CE7">
        <w:t> </w:t>
      </w:r>
      <w:r>
        <w:t>Australia leads the development of national policy to improve WHS and workers’ compensation arrangements across Australia.</w:t>
      </w:r>
    </w:p>
    <w:p w14:paraId="307762B3" w14:textId="7ED92D22" w:rsidR="00B108F1" w:rsidRDefault="00B108F1" w:rsidP="004815AB">
      <w:pPr>
        <w:spacing w:after="0"/>
      </w:pPr>
      <w:r>
        <w:t xml:space="preserve">The report is </w:t>
      </w:r>
      <w:r w:rsidR="00BD62EA">
        <w:t>presented in the</w:t>
      </w:r>
      <w:r>
        <w:t xml:space="preserve"> following sections:</w:t>
      </w:r>
    </w:p>
    <w:p w14:paraId="6F124823" w14:textId="5103CEFD"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bookmarkStart w:id="6" w:name="_Hlk79738017"/>
      <w:r w:rsidRPr="00E336F9">
        <w:rPr>
          <w:rStyle w:val="SWALinkChar"/>
          <w:rFonts w:eastAsiaTheme="majorEastAsia"/>
          <w:i/>
        </w:rPr>
        <w:t>Work health and safety performance</w:t>
      </w:r>
      <w:r w:rsidRPr="00661369">
        <w:rPr>
          <w:rStyle w:val="SWALinkChar"/>
          <w:rFonts w:eastAsiaTheme="majorEastAsia"/>
          <w:iCs/>
        </w:rPr>
        <w:t xml:space="preserve"> </w:t>
      </w:r>
      <w:r w:rsidRPr="00780CE7">
        <w:rPr>
          <w:rStyle w:val="SWALinkChar"/>
          <w:rFonts w:eastAsiaTheme="majorEastAsia"/>
          <w:iCs/>
          <w:u w:val="none"/>
        </w:rPr>
        <w:t xml:space="preserve">– provides an overview of </w:t>
      </w:r>
      <w:r w:rsidR="00BA0B6C">
        <w:rPr>
          <w:rStyle w:val="SWALinkChar"/>
          <w:rFonts w:eastAsiaTheme="majorEastAsia"/>
          <w:iCs/>
          <w:u w:val="none"/>
        </w:rPr>
        <w:t>WHS</w:t>
      </w:r>
      <w:r w:rsidRPr="00780CE7">
        <w:rPr>
          <w:rStyle w:val="SWALinkChar"/>
          <w:rFonts w:eastAsiaTheme="majorEastAsia"/>
          <w:iCs/>
          <w:u w:val="none"/>
        </w:rPr>
        <w:t xml:space="preserve"> performance across Australia and New Zealand through analysing trends in serious claim rates and work-related fatalities across jurisdictions</w:t>
      </w:r>
      <w:r w:rsidR="0031228B" w:rsidRPr="00780CE7">
        <w:rPr>
          <w:rStyle w:val="SWALinkChar"/>
          <w:rFonts w:eastAsiaTheme="majorEastAsia"/>
          <w:iCs/>
          <w:u w:val="none"/>
        </w:rPr>
        <w:t xml:space="preserve"> (this section)</w:t>
      </w:r>
      <w:r w:rsidRPr="00780CE7">
        <w:rPr>
          <w:rStyle w:val="SWALinkChar"/>
          <w:rFonts w:eastAsiaTheme="majorEastAsia"/>
          <w:iCs/>
          <w:u w:val="none"/>
        </w:rPr>
        <w:t>.</w:t>
      </w:r>
    </w:p>
    <w:p w14:paraId="2B666220" w14:textId="77777777"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Work health and safety compliance and enforcement activities</w:t>
      </w:r>
      <w:r w:rsidRPr="00780CE7">
        <w:rPr>
          <w:rStyle w:val="SWALinkChar"/>
          <w:rFonts w:eastAsiaTheme="majorEastAsia"/>
          <w:i/>
          <w:u w:val="none"/>
        </w:rPr>
        <w:t xml:space="preserve"> </w:t>
      </w:r>
      <w:r w:rsidRPr="00780CE7">
        <w:rPr>
          <w:rStyle w:val="SWALinkChar"/>
          <w:rFonts w:eastAsiaTheme="majorEastAsia"/>
          <w:iCs/>
          <w:u w:val="none"/>
        </w:rPr>
        <w:t xml:space="preserve">– includes a jurisdictional comparison of workplace interventions, inspectorate activity, safety notices, enforceable undertakings, legal </w:t>
      </w:r>
      <w:proofErr w:type="gramStart"/>
      <w:r w:rsidRPr="00780CE7">
        <w:rPr>
          <w:rStyle w:val="SWALinkChar"/>
          <w:rFonts w:eastAsiaTheme="majorEastAsia"/>
          <w:iCs/>
          <w:u w:val="none"/>
        </w:rPr>
        <w:t>proceedings</w:t>
      </w:r>
      <w:proofErr w:type="gramEnd"/>
      <w:r w:rsidRPr="00780CE7">
        <w:rPr>
          <w:rStyle w:val="SWALinkChar"/>
          <w:rFonts w:eastAsiaTheme="majorEastAsia"/>
          <w:iCs/>
          <w:u w:val="none"/>
        </w:rPr>
        <w:t xml:space="preserve"> and fines.</w:t>
      </w:r>
    </w:p>
    <w:p w14:paraId="11CF1F66" w14:textId="77777777"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Workers’ compensation premiums</w:t>
      </w:r>
      <w:r w:rsidRPr="00780CE7">
        <w:rPr>
          <w:rStyle w:val="SWALinkChar"/>
          <w:rFonts w:eastAsiaTheme="majorEastAsia"/>
          <w:i/>
          <w:u w:val="none"/>
        </w:rPr>
        <w:t xml:space="preserve"> - </w:t>
      </w:r>
      <w:r w:rsidRPr="00780CE7">
        <w:rPr>
          <w:rStyle w:val="SWALinkChar"/>
          <w:rFonts w:eastAsiaTheme="majorEastAsia"/>
          <w:iCs/>
          <w:u w:val="none"/>
        </w:rPr>
        <w:t>includes a national and jurisdictional overview of the standardised average premium rates by industry in the past 5 years.</w:t>
      </w:r>
    </w:p>
    <w:p w14:paraId="51F44141" w14:textId="77777777"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Entitlements under workers’ compensation (scenarios)</w:t>
      </w:r>
      <w:r w:rsidRPr="00780CE7">
        <w:rPr>
          <w:rStyle w:val="SWALinkChar"/>
          <w:rFonts w:eastAsiaTheme="majorEastAsia"/>
          <w:i/>
          <w:u w:val="none"/>
        </w:rPr>
        <w:t xml:space="preserve"> </w:t>
      </w:r>
      <w:r w:rsidRPr="00780CE7">
        <w:rPr>
          <w:rStyle w:val="SWALinkChar"/>
          <w:rFonts w:eastAsiaTheme="majorEastAsia"/>
          <w:iCs/>
          <w:u w:val="none"/>
        </w:rPr>
        <w:t>– illustrates the differences in entitlement levels across jurisdictions under several scenarios.</w:t>
      </w:r>
    </w:p>
    <w:p w14:paraId="2278331B" w14:textId="10F250ED"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 xml:space="preserve">Workers’ compensation </w:t>
      </w:r>
      <w:r w:rsidRPr="00BD2C17">
        <w:rPr>
          <w:rStyle w:val="SWALinkChar"/>
          <w:rFonts w:eastAsiaTheme="majorEastAsia"/>
          <w:i/>
        </w:rPr>
        <w:t xml:space="preserve">funding – assets, </w:t>
      </w:r>
      <w:proofErr w:type="gramStart"/>
      <w:r w:rsidRPr="00BD2C17">
        <w:rPr>
          <w:rStyle w:val="SWALinkChar"/>
          <w:rFonts w:eastAsiaTheme="majorEastAsia"/>
          <w:i/>
        </w:rPr>
        <w:t>liabilities</w:t>
      </w:r>
      <w:proofErr w:type="gramEnd"/>
      <w:r w:rsidRPr="00BD2C17">
        <w:rPr>
          <w:rStyle w:val="SWALinkChar"/>
          <w:rFonts w:eastAsiaTheme="majorEastAsia"/>
          <w:i/>
        </w:rPr>
        <w:t xml:space="preserve"> and expenditure</w:t>
      </w:r>
      <w:r w:rsidRPr="00780CE7">
        <w:rPr>
          <w:rStyle w:val="SWALinkChar"/>
          <w:rFonts w:eastAsiaTheme="majorEastAsia"/>
          <w:iCs/>
          <w:u w:val="none"/>
        </w:rPr>
        <w:t xml:space="preserve"> – includes information about the different funding arrangements of the schemes and compares the differences in scheme funding arrangements and finances.</w:t>
      </w:r>
    </w:p>
    <w:p w14:paraId="784D5A23" w14:textId="4B76047B"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 xml:space="preserve">Workers’ compensation </w:t>
      </w:r>
      <w:r>
        <w:rPr>
          <w:rStyle w:val="SWALinkChar"/>
          <w:rFonts w:eastAsiaTheme="majorEastAsia"/>
          <w:i/>
        </w:rPr>
        <w:t>disputes</w:t>
      </w:r>
      <w:r w:rsidRPr="00780CE7">
        <w:rPr>
          <w:rStyle w:val="SWALinkChar"/>
          <w:rFonts w:eastAsiaTheme="majorEastAsia"/>
          <w:i/>
          <w:u w:val="none"/>
        </w:rPr>
        <w:t xml:space="preserve"> </w:t>
      </w:r>
      <w:r w:rsidRPr="00780CE7">
        <w:rPr>
          <w:rStyle w:val="SWALinkChar"/>
          <w:rFonts w:eastAsiaTheme="majorEastAsia"/>
          <w:iCs/>
          <w:u w:val="none"/>
        </w:rPr>
        <w:t>– includes information about disputes against an insurer’s decision or decisions relating to compensation.</w:t>
      </w:r>
    </w:p>
    <w:p w14:paraId="66DC75F7" w14:textId="210121C0" w:rsidR="001D28CE" w:rsidRDefault="001D28CE" w:rsidP="0050454C">
      <w:pPr>
        <w:spacing w:before="120"/>
      </w:pPr>
      <w:bookmarkStart w:id="7" w:name="_Hlk54968570"/>
      <w:bookmarkEnd w:id="6"/>
      <w:r>
        <w:t xml:space="preserve">Previous editions of the CPM report also included </w:t>
      </w:r>
      <w:bookmarkStart w:id="8" w:name="_Hlk80886161"/>
      <w:r>
        <w:t xml:space="preserve">return to work rates </w:t>
      </w:r>
      <w:bookmarkEnd w:id="8"/>
      <w:r>
        <w:t xml:space="preserve">as measured in the National Return to Work Survey. </w:t>
      </w:r>
      <w:r w:rsidR="00514E77">
        <w:rPr>
          <w:color w:val="000000" w:themeColor="text1"/>
        </w:rPr>
        <w:t>The latest available survey r</w:t>
      </w:r>
      <w:r w:rsidR="006B0392">
        <w:rPr>
          <w:color w:val="000000" w:themeColor="text1"/>
        </w:rPr>
        <w:t>esults from t</w:t>
      </w:r>
      <w:r w:rsidR="006B0392">
        <w:t xml:space="preserve">he </w:t>
      </w:r>
      <w:r>
        <w:t xml:space="preserve">2021 National Return to Work Survey </w:t>
      </w:r>
      <w:r w:rsidR="001055CE">
        <w:t>were</w:t>
      </w:r>
      <w:r>
        <w:t xml:space="preserve"> published on the </w:t>
      </w:r>
      <w:hyperlink r:id="rId17" w:history="1">
        <w:r w:rsidRPr="001D28CE">
          <w:rPr>
            <w:rStyle w:val="Hyperlink"/>
            <w:rFonts w:eastAsiaTheme="majorEastAsia"/>
            <w:color w:val="auto"/>
          </w:rPr>
          <w:t>Safe Work Australia</w:t>
        </w:r>
      </w:hyperlink>
      <w:r w:rsidRPr="00DC1D71">
        <w:t xml:space="preserve"> w</w:t>
      </w:r>
      <w:r>
        <w:t xml:space="preserve">ebsite </w:t>
      </w:r>
      <w:r w:rsidR="001055CE">
        <w:t xml:space="preserve">in </w:t>
      </w:r>
      <w:r>
        <w:t xml:space="preserve">late 2021. </w:t>
      </w:r>
    </w:p>
    <w:p w14:paraId="32A674E6" w14:textId="32100185" w:rsidR="001D28CE" w:rsidRPr="001D28CE" w:rsidRDefault="001D28CE" w:rsidP="001D28CE">
      <w:pPr>
        <w:rPr>
          <w:color w:val="000000" w:themeColor="text1"/>
        </w:rPr>
      </w:pPr>
      <w:r w:rsidRPr="001D28CE">
        <w:rPr>
          <w:color w:val="000000" w:themeColor="text1"/>
        </w:rPr>
        <w:t xml:space="preserve">Readers may find the </w:t>
      </w:r>
      <w:hyperlink r:id="rId18" w:history="1">
        <w:r w:rsidRPr="001D28CE">
          <w:rPr>
            <w:rStyle w:val="SWALinkChar"/>
            <w:rFonts w:eastAsiaTheme="majorEastAsia"/>
            <w:i/>
            <w:color w:val="000000" w:themeColor="text1"/>
          </w:rPr>
          <w:t>Comparison of Workers’ Compensation Arrangements in Australia and New Zealand</w:t>
        </w:r>
      </w:hyperlink>
      <w:r w:rsidRPr="001D28CE">
        <w:rPr>
          <w:color w:val="000000" w:themeColor="text1"/>
        </w:rPr>
        <w:t xml:space="preserve"> useful as it discusses the way that each scheme deals with key aspects such as coverage, benefits, self-insurance, common law and disputes. </w:t>
      </w:r>
    </w:p>
    <w:p w14:paraId="52C588A1" w14:textId="77777777" w:rsidR="00B108F1" w:rsidRDefault="00B108F1" w:rsidP="00B108F1">
      <w:pPr>
        <w:rPr>
          <w:i/>
          <w:iCs/>
        </w:rPr>
      </w:pPr>
      <w:r>
        <w:rPr>
          <w:i/>
          <w:iCs/>
        </w:rPr>
        <w:t>About the data</w:t>
      </w:r>
    </w:p>
    <w:p w14:paraId="7F1769F7" w14:textId="7FE322E7" w:rsidR="00B108F1" w:rsidRDefault="00B108F1" w:rsidP="00B108F1">
      <w:r>
        <w:t xml:space="preserve">Data in this publication may differ from jurisdictional annual reports due to the use of different definitions and the application of adjustment factors to aid in the comparability of data. </w:t>
      </w:r>
    </w:p>
    <w:p w14:paraId="18882EF5" w14:textId="3F48818F" w:rsidR="00302585" w:rsidRDefault="00302585" w:rsidP="0050454C">
      <w:pPr>
        <w:pStyle w:val="SWABullets"/>
        <w:numPr>
          <w:ilvl w:val="0"/>
          <w:numId w:val="0"/>
        </w:numPr>
        <w:contextualSpacing w:val="0"/>
      </w:pPr>
      <w:r>
        <w:t>The CPM does not currently include information or data from other industry-specific regulators that have responsibilities with respect to WHS and workers’ compensation. These include national industry-based regulators with compliance and enforcement roles such as the National Heavy Vehicle Regulator, the National Rail Safety Regulator and the National Offshore Petroleum Safety and Environmental Management Authority, and other agencies with responsibility for industry</w:t>
      </w:r>
      <w:r>
        <w:noBreakHyphen/>
        <w:t>specific compensation claims. Further information on these regulators can be found on their respective websites.</w:t>
      </w:r>
    </w:p>
    <w:p w14:paraId="32D14B63" w14:textId="77777777" w:rsidR="008400BE" w:rsidRDefault="00942BE9" w:rsidP="00B108F1">
      <w:r w:rsidRPr="00942BE9">
        <w:t>In this report ‘Australian Government’ is used for indicators relating to WHS and workers’ compensation matters under the Australian Government jurisdiction, while ‘Comcare’ is used for the indicators relating to premium rates and entitlements</w:t>
      </w:r>
      <w:r>
        <w:t>.</w:t>
      </w:r>
      <w:r w:rsidR="00660C0F">
        <w:t xml:space="preserve"> </w:t>
      </w:r>
    </w:p>
    <w:p w14:paraId="705A2155" w14:textId="1FC14490" w:rsidR="008400BE" w:rsidRDefault="008400BE" w:rsidP="008400BE">
      <w:r w:rsidRPr="00086AB2">
        <w:t>Australian Government employees working in each jurisdiction have been included in Australian Government figures rather than state or territory results. Australian Capital Territory Public Service employees are covered by the Comcare scheme but operate under the</w:t>
      </w:r>
      <w:r w:rsidR="00BA0B6C">
        <w:t xml:space="preserve"> WHS</w:t>
      </w:r>
      <w:r w:rsidRPr="00086AB2">
        <w:t xml:space="preserve"> provisions of the Australian Capital Territory. These employees and their claims have been combined with the </w:t>
      </w:r>
      <w:r>
        <w:t>Australian Capital Territory p</w:t>
      </w:r>
      <w:r w:rsidRPr="00086AB2">
        <w:t xml:space="preserve">rivate sector employees for reporting outcomes </w:t>
      </w:r>
      <w:r>
        <w:t xml:space="preserve">in </w:t>
      </w:r>
      <w:r w:rsidRPr="00086AB2">
        <w:t xml:space="preserve">this </w:t>
      </w:r>
      <w:r>
        <w:t>section</w:t>
      </w:r>
      <w:r w:rsidRPr="00086AB2">
        <w:t>.</w:t>
      </w:r>
    </w:p>
    <w:bookmarkEnd w:id="5"/>
    <w:bookmarkEnd w:id="7"/>
    <w:p w14:paraId="62F7C6A9" w14:textId="77777777" w:rsidR="008400BE" w:rsidRDefault="008400BE">
      <w:pPr>
        <w:spacing w:after="200" w:line="276" w:lineRule="auto"/>
        <w:jc w:val="left"/>
      </w:pPr>
      <w:r>
        <w:br w:type="page"/>
      </w:r>
    </w:p>
    <w:p w14:paraId="32A57138" w14:textId="6563F62A" w:rsidR="00AB68A0" w:rsidRDefault="00B108F1" w:rsidP="00375419">
      <w:r>
        <w:lastRenderedPageBreak/>
        <w:t xml:space="preserve">Additionally, comparisons of preliminary and non-preliminary data should be </w:t>
      </w:r>
      <w:r w:rsidR="005B0F1E">
        <w:t xml:space="preserve">made </w:t>
      </w:r>
      <w:r>
        <w:t>with caution. Non</w:t>
      </w:r>
      <w:r w:rsidR="00780CE7">
        <w:noBreakHyphen/>
      </w:r>
      <w:r>
        <w:t>preliminary data are more likely to have been finalised and are generally more accurate than preliminary data.</w:t>
      </w:r>
      <w:r w:rsidRPr="00DE400F">
        <w:t xml:space="preserve"> </w:t>
      </w:r>
      <w:r>
        <w:t>In th</w:t>
      </w:r>
      <w:r w:rsidR="00281E1D">
        <w:t>is section</w:t>
      </w:r>
      <w:r w:rsidRPr="004A5852">
        <w:rPr>
          <w:rStyle w:val="SWALinkChar"/>
          <w:rFonts w:eastAsiaTheme="majorEastAsia"/>
          <w:iCs/>
          <w:u w:val="none"/>
        </w:rPr>
        <w:t xml:space="preserve">, </w:t>
      </w:r>
      <w:r w:rsidRPr="004A5852">
        <w:t>co</w:t>
      </w:r>
      <w:r w:rsidRPr="00DE400F">
        <w:t>mparisons over time have been made</w:t>
      </w:r>
      <w:r>
        <w:t xml:space="preserve"> with</w:t>
      </w:r>
      <w:r w:rsidRPr="00DE400F">
        <w:t xml:space="preserve"> the latest financial year excluded. </w:t>
      </w:r>
      <w:r>
        <w:t xml:space="preserve">This is because the data for the latest financial year </w:t>
      </w:r>
      <w:r w:rsidRPr="00DE400F">
        <w:t xml:space="preserve">are preliminary and likely to be revised up in future years as additional claims are made and finalised. </w:t>
      </w:r>
    </w:p>
    <w:p w14:paraId="46E7A94F" w14:textId="77777777" w:rsidR="00AB68A0" w:rsidRDefault="00AB68A0">
      <w:pPr>
        <w:spacing w:after="200" w:line="276" w:lineRule="auto"/>
        <w:jc w:val="left"/>
      </w:pPr>
      <w:r>
        <w:br w:type="page"/>
      </w:r>
    </w:p>
    <w:p w14:paraId="2D2E5447" w14:textId="77777777" w:rsidR="00DA3C51" w:rsidRPr="00A1240B" w:rsidRDefault="00DA3C51" w:rsidP="00375419"/>
    <w:p w14:paraId="7D38B2CD" w14:textId="6B6ACB29" w:rsidR="00D10D6A" w:rsidRPr="00086AB2" w:rsidRDefault="00D10D6A" w:rsidP="004637B1">
      <w:pPr>
        <w:spacing w:after="200" w:line="276" w:lineRule="auto"/>
        <w:jc w:val="center"/>
      </w:pPr>
    </w:p>
    <w:p w14:paraId="6A42021D" w14:textId="241C82FC" w:rsidR="00B108F1" w:rsidRDefault="00AB68A0">
      <w:pPr>
        <w:spacing w:after="200" w:line="276" w:lineRule="auto"/>
        <w:jc w:val="left"/>
        <w:rPr>
          <w:noProof/>
        </w:rPr>
      </w:pPr>
      <w:r>
        <w:rPr>
          <w:noProof/>
        </w:rPr>
        <w:drawing>
          <wp:inline distT="0" distB="0" distL="0" distR="0" wp14:anchorId="74D9B3A4" wp14:editId="61518B61">
            <wp:extent cx="6153257" cy="8703882"/>
            <wp:effectExtent l="0" t="0" r="0" b="2540"/>
            <wp:docPr id="1" name="Picture 1" descr="This image contains the first set of key findings for CPM 24 – Work Health Safety and Performance.&#10;The key findings include that the Australian serious claim incidence rate was 10.5 serious claims per 1,000 employees in 2020-21p (with a 7% increase between 2015-16 and 2019-20); For long term serious claims the incidence rate 3.9 in 2020-21 (with a 25% increase between 2015-16 and 2019-20). An average, in 2020-21, 14% of claims received more than 52 weeks of compensation, while 46% received less than 6 weeks of compensation. In New Zealand the serious claim incidence rate was 18.0 in 2020-21 (with a 19% increase between 2015-16 and 2019-2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contains the first set of key findings for CPM 24 – Work Health Safety and Performance.&#10;The key findings include that the Australian serious claim incidence rate was 10.5 serious claims per 1,000 employees in 2020-21p (with a 7% increase between 2015-16 and 2019-20); For long term serious claims the incidence rate 3.9 in 2020-21 (with a 25% increase between 2015-16 and 2019-20). An average, in 2020-21, 14% of claims received more than 52 weeks of compensation, while 46% received less than 6 weeks of compensation. In New Zealand the serious claim incidence rate was 18.0 in 2020-21 (with a 19% increase between 2015-16 and 2019-20).&#10;">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165568" cy="8721296"/>
                    </a:xfrm>
                    <a:prstGeom prst="rect">
                      <a:avLst/>
                    </a:prstGeom>
                  </pic:spPr>
                </pic:pic>
              </a:graphicData>
            </a:graphic>
          </wp:inline>
        </w:drawing>
      </w:r>
      <w:r w:rsidR="00B108F1">
        <w:rPr>
          <w:noProof/>
        </w:rPr>
        <w:br w:type="page"/>
      </w:r>
    </w:p>
    <w:p w14:paraId="03306514" w14:textId="4C7D196A" w:rsidR="004B79B6" w:rsidRPr="00086AB2" w:rsidRDefault="004A2B14" w:rsidP="00A22256">
      <w:pPr>
        <w:sectPr w:rsidR="004B79B6" w:rsidRPr="00086AB2" w:rsidSect="0050454C">
          <w:headerReference w:type="first" r:id="rId20"/>
          <w:footerReference w:type="first" r:id="rId21"/>
          <w:pgSz w:w="11906" w:h="16838"/>
          <w:pgMar w:top="993" w:right="1800" w:bottom="993" w:left="1276" w:header="708" w:footer="708" w:gutter="0"/>
          <w:cols w:space="242"/>
          <w:titlePg/>
          <w:docGrid w:linePitch="360"/>
        </w:sectPr>
      </w:pPr>
      <w:r>
        <w:rPr>
          <w:noProof/>
        </w:rPr>
        <w:lastRenderedPageBreak/>
        <w:drawing>
          <wp:anchor distT="0" distB="0" distL="114300" distR="114300" simplePos="0" relativeHeight="251662336" behindDoc="0" locked="0" layoutInCell="1" allowOverlap="1" wp14:anchorId="7644E1AE" wp14:editId="6932E527">
            <wp:simplePos x="0" y="0"/>
            <wp:positionH relativeFrom="column">
              <wp:posOffset>-13335</wp:posOffset>
            </wp:positionH>
            <wp:positionV relativeFrom="paragraph">
              <wp:posOffset>639445</wp:posOffset>
            </wp:positionV>
            <wp:extent cx="6152400" cy="8702545"/>
            <wp:effectExtent l="0" t="0" r="1270" b="3810"/>
            <wp:wrapSquare wrapText="bothSides"/>
            <wp:docPr id="7" name="Picture 7" descr="This image contains the second set of key findings for CPM 24 – Work Health Safety and Performance.&#10;The highest frequency of serious claims for 2020-21 was in the Agriculture, forestry and fishing industry (at 11.1 serious claims per million hours worked) followed by the Health care and social assistance industry at (10.2 serious claims per million hours worked), Manufacturing at (9.6 serious claims per million hors worked), Construction and Transport, postal and warehousing (at 8.8 serious claims per million hours worked), &#10;The main causes of injury in 2020-21 was due to body stressing (37%) followed by Falls, slips and trips (23.1%) and Being hit by a moving object (15.6%).&#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contains the second set of key findings for CPM 24 – Work Health Safety and Performance.&#10;The highest frequency of serious claims for 2020-21 was in the Agriculture, forestry and fishing industry (at 11.1 serious claims per million hours worked) followed by the Health care and social assistance industry at (10.2 serious claims per million hours worked), Manufacturing at (9.6 serious claims per million hors worked), Construction and Transport, postal and warehousing (at 8.8 serious claims per million hours worked), &#10;The main causes of injury in 2020-21 was due to body stressing (37%) followed by Falls, slips and trips (23.1%) and Being hit by a moving object (15.6%).&#10;">
                      <a:extLst>
                        <a:ext uri="{C183D7F6-B498-43B3-948B-1728B52AA6E4}">
                          <adec:decorative xmlns:adec="http://schemas.microsoft.com/office/drawing/2017/decorative" val="0"/>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152400" cy="8702545"/>
                    </a:xfrm>
                    <a:prstGeom prst="rect">
                      <a:avLst/>
                    </a:prstGeom>
                  </pic:spPr>
                </pic:pic>
              </a:graphicData>
            </a:graphic>
            <wp14:sizeRelH relativeFrom="page">
              <wp14:pctWidth>0</wp14:pctWidth>
            </wp14:sizeRelH>
            <wp14:sizeRelV relativeFrom="page">
              <wp14:pctHeight>0</wp14:pctHeight>
            </wp14:sizeRelV>
          </wp:anchor>
        </w:drawing>
      </w:r>
      <w:r w:rsidR="003535BF" w:rsidRPr="00086AB2">
        <w:br w:type="page"/>
      </w:r>
    </w:p>
    <w:p w14:paraId="72A25474" w14:textId="77777777" w:rsidR="003411E8" w:rsidRPr="00086AB2" w:rsidRDefault="00486C4E" w:rsidP="00B51041">
      <w:pPr>
        <w:pStyle w:val="SWASectionnumberingheading"/>
        <w:rPr>
          <w:caps/>
        </w:rPr>
      </w:pPr>
      <w:bookmarkStart w:id="9" w:name="_Toc86602452"/>
      <w:r w:rsidRPr="00086AB2">
        <w:lastRenderedPageBreak/>
        <w:t>Serious c</w:t>
      </w:r>
      <w:r w:rsidR="00CE5E41" w:rsidRPr="00086AB2">
        <w:t>laims</w:t>
      </w:r>
      <w:bookmarkEnd w:id="9"/>
      <w:r w:rsidR="00020821">
        <w:t xml:space="preserve"> </w:t>
      </w:r>
    </w:p>
    <w:p w14:paraId="588EDC14" w14:textId="22536EFD" w:rsidR="00871001" w:rsidRDefault="00A45E9A" w:rsidP="00836CBF">
      <w:r w:rsidRPr="00086AB2">
        <w:t xml:space="preserve">Workers’ compensation data </w:t>
      </w:r>
      <w:r w:rsidR="00403869">
        <w:t>is one way to measure</w:t>
      </w:r>
      <w:r w:rsidR="00BA0B6C">
        <w:t xml:space="preserve"> </w:t>
      </w:r>
      <w:r>
        <w:t xml:space="preserve">WHS </w:t>
      </w:r>
      <w:r w:rsidRPr="00086AB2">
        <w:t>performance</w:t>
      </w:r>
      <w:r w:rsidR="00C436B5">
        <w:t xml:space="preserve"> as it provides an indication of people’s experiences with work-related injuries or illnesses</w:t>
      </w:r>
      <w:r w:rsidRPr="00086AB2">
        <w:t xml:space="preserve">. </w:t>
      </w:r>
      <w:r w:rsidR="00470777">
        <w:t>However,</w:t>
      </w:r>
      <w:r w:rsidR="009612E6">
        <w:t xml:space="preserve"> </w:t>
      </w:r>
      <w:r w:rsidRPr="00086AB2">
        <w:t>the data only cover</w:t>
      </w:r>
      <w:r>
        <w:t>s</w:t>
      </w:r>
      <w:r w:rsidRPr="00086AB2">
        <w:t xml:space="preserve"> those eligible for workers’ compensation and under</w:t>
      </w:r>
      <w:r w:rsidR="009612E6">
        <w:noBreakHyphen/>
      </w:r>
      <w:r w:rsidRPr="00086AB2">
        <w:t>report</w:t>
      </w:r>
      <w:r>
        <w:t>s</w:t>
      </w:r>
      <w:r w:rsidRPr="00086AB2">
        <w:t xml:space="preserve"> the incidence of </w:t>
      </w:r>
      <w:r w:rsidR="00470777">
        <w:t xml:space="preserve">work-related </w:t>
      </w:r>
      <w:r w:rsidRPr="00086AB2">
        <w:t>disease</w:t>
      </w:r>
      <w:r w:rsidR="00470777">
        <w:t>. While there are some limitations</w:t>
      </w:r>
      <w:r w:rsidRPr="00086AB2">
        <w:t xml:space="preserve">, the data still provide a good indication of </w:t>
      </w:r>
      <w:r>
        <w:t>WHS</w:t>
      </w:r>
      <w:r w:rsidRPr="00086AB2">
        <w:t xml:space="preserve"> trends.</w:t>
      </w:r>
    </w:p>
    <w:p w14:paraId="7B9DD86F" w14:textId="293F3AFA" w:rsidR="00871001" w:rsidRDefault="00D10D6A" w:rsidP="00836CBF">
      <w:r w:rsidRPr="00086AB2">
        <w:t xml:space="preserve">The data </w:t>
      </w:r>
      <w:r w:rsidR="00E73AA5" w:rsidRPr="00086AB2">
        <w:t xml:space="preserve">presented </w:t>
      </w:r>
      <w:r w:rsidRPr="00086AB2">
        <w:t xml:space="preserve">in this </w:t>
      </w:r>
      <w:r w:rsidR="00CE5E41" w:rsidRPr="00086AB2">
        <w:t>section</w:t>
      </w:r>
      <w:r w:rsidRPr="00086AB2">
        <w:t xml:space="preserve"> </w:t>
      </w:r>
      <w:r w:rsidR="00A45E9A">
        <w:t xml:space="preserve">relates to </w:t>
      </w:r>
      <w:r w:rsidRPr="00086AB2">
        <w:t xml:space="preserve">accepted </w:t>
      </w:r>
      <w:r w:rsidR="00CE5E41" w:rsidRPr="00086AB2">
        <w:t xml:space="preserve">serious </w:t>
      </w:r>
      <w:r w:rsidRPr="00086AB2">
        <w:t xml:space="preserve">workers’ compensation claims lodged in each financial year. </w:t>
      </w:r>
      <w:r w:rsidR="00871001">
        <w:t>Common terms used in this section of the report include:</w:t>
      </w:r>
    </w:p>
    <w:p w14:paraId="71850D1D" w14:textId="77777777" w:rsidR="00871001" w:rsidRPr="00802A18" w:rsidRDefault="00871001" w:rsidP="00C03259">
      <w:pPr>
        <w:pStyle w:val="ListParagraph"/>
        <w:numPr>
          <w:ilvl w:val="0"/>
          <w:numId w:val="7"/>
        </w:numPr>
        <w:rPr>
          <w:b/>
        </w:rPr>
      </w:pPr>
      <w:r w:rsidRPr="00802A18">
        <w:rPr>
          <w:b/>
        </w:rPr>
        <w:t>serious claims</w:t>
      </w:r>
      <w:r>
        <w:rPr>
          <w:b/>
        </w:rPr>
        <w:t xml:space="preserve">: </w:t>
      </w:r>
      <w:r w:rsidRPr="00086AB2">
        <w:t>claims relating to work-related injury or disease that result in a total absence from work of one working week or more</w:t>
      </w:r>
    </w:p>
    <w:p w14:paraId="1854F5DE" w14:textId="2D4A655F" w:rsidR="00871001" w:rsidRDefault="00871001" w:rsidP="00C03259">
      <w:pPr>
        <w:pStyle w:val="ListParagraph"/>
        <w:numPr>
          <w:ilvl w:val="0"/>
          <w:numId w:val="7"/>
        </w:numPr>
        <w:rPr>
          <w:b/>
        </w:rPr>
      </w:pPr>
      <w:r>
        <w:rPr>
          <w:b/>
        </w:rPr>
        <w:t>inciden</w:t>
      </w:r>
      <w:r w:rsidR="001055CE">
        <w:rPr>
          <w:b/>
        </w:rPr>
        <w:t>ce</w:t>
      </w:r>
      <w:r>
        <w:rPr>
          <w:b/>
        </w:rPr>
        <w:t xml:space="preserve"> rate: </w:t>
      </w:r>
      <w:r w:rsidRPr="00802A18">
        <w:t>number of</w:t>
      </w:r>
      <w:r>
        <w:t xml:space="preserve"> serious</w:t>
      </w:r>
      <w:r w:rsidRPr="00802A18">
        <w:t xml:space="preserve"> claims </w:t>
      </w:r>
      <w:r>
        <w:t>per 1,000 employees</w:t>
      </w:r>
    </w:p>
    <w:p w14:paraId="0E690185" w14:textId="77777777" w:rsidR="00871001" w:rsidRDefault="00871001" w:rsidP="00C03259">
      <w:pPr>
        <w:pStyle w:val="ListParagraph"/>
        <w:numPr>
          <w:ilvl w:val="0"/>
          <w:numId w:val="7"/>
        </w:numPr>
      </w:pPr>
      <w:r>
        <w:rPr>
          <w:b/>
        </w:rPr>
        <w:t xml:space="preserve">frequency rate: </w:t>
      </w:r>
      <w:r w:rsidRPr="00802A18">
        <w:t>number of claims per one million hours worked</w:t>
      </w:r>
      <w:r w:rsidR="00A45E9A">
        <w:t>, and</w:t>
      </w:r>
    </w:p>
    <w:p w14:paraId="6D6C03CF" w14:textId="77777777" w:rsidR="00A45E9A" w:rsidRPr="00871001" w:rsidRDefault="00A45E9A" w:rsidP="00C03259">
      <w:pPr>
        <w:pStyle w:val="ListParagraph"/>
        <w:numPr>
          <w:ilvl w:val="0"/>
          <w:numId w:val="7"/>
        </w:numPr>
      </w:pPr>
      <w:r>
        <w:rPr>
          <w:b/>
        </w:rPr>
        <w:t>“p”:</w:t>
      </w:r>
      <w:r>
        <w:t xml:space="preserve"> </w:t>
      </w:r>
      <w:r w:rsidRPr="00802A18">
        <w:t xml:space="preserve">denotes </w:t>
      </w:r>
      <w:r>
        <w:t xml:space="preserve">the data is preliminary and subject to revision in future years as claims are finalised. </w:t>
      </w:r>
    </w:p>
    <w:p w14:paraId="7E9C0272" w14:textId="0CF01E80" w:rsidR="009612E6" w:rsidRDefault="0047025B" w:rsidP="00162C81">
      <w:r>
        <w:t>Jurisdictions supplied the d</w:t>
      </w:r>
      <w:r w:rsidR="00A45E9A">
        <w:t xml:space="preserve">ata </w:t>
      </w:r>
      <w:r>
        <w:t xml:space="preserve">used </w:t>
      </w:r>
      <w:r w:rsidR="00A45E9A">
        <w:t xml:space="preserve">in this report </w:t>
      </w:r>
      <w:r>
        <w:t>for the 20</w:t>
      </w:r>
      <w:r w:rsidR="001055CE">
        <w:t>20</w:t>
      </w:r>
      <w:r w:rsidR="001F7272" w:rsidRPr="00B108F1">
        <w:t>–</w:t>
      </w:r>
      <w:r>
        <w:t>2</w:t>
      </w:r>
      <w:r w:rsidR="001055CE">
        <w:t>1</w:t>
      </w:r>
      <w:r>
        <w:t xml:space="preserve"> financial year with updates back to 201</w:t>
      </w:r>
      <w:r w:rsidR="001055CE">
        <w:t>5</w:t>
      </w:r>
      <w:r w:rsidR="003F1494" w:rsidRPr="00B108F1">
        <w:t>–</w:t>
      </w:r>
      <w:r>
        <w:t>1</w:t>
      </w:r>
      <w:r w:rsidR="001055CE">
        <w:t>6</w:t>
      </w:r>
      <w:r>
        <w:t xml:space="preserve">. As a result, </w:t>
      </w:r>
      <w:r w:rsidR="00D052C7">
        <w:t>this publication may</w:t>
      </w:r>
      <w:r w:rsidR="00A45E9A">
        <w:t xml:space="preserve"> </w:t>
      </w:r>
      <w:r w:rsidR="00F56A05">
        <w:t xml:space="preserve">contain different figures </w:t>
      </w:r>
      <w:r w:rsidR="00A45E9A">
        <w:t xml:space="preserve">from previously published data. </w:t>
      </w:r>
    </w:p>
    <w:p w14:paraId="63DB1AC0" w14:textId="62B6779F" w:rsidR="008659BF" w:rsidRDefault="009612E6" w:rsidP="00162C81">
      <w:r>
        <w:t>C</w:t>
      </w:r>
      <w:r w:rsidRPr="009612E6">
        <w:t>alculations are based on unrounded data</w:t>
      </w:r>
      <w:r>
        <w:t>. In addition, the results have been rounded so c</w:t>
      </w:r>
      <w:r w:rsidR="006F5644">
        <w:t>alculations of percentage</w:t>
      </w:r>
      <w:r w:rsidR="00AE3136">
        <w:t>s (using data shown in tables or figures)</w:t>
      </w:r>
      <w:r w:rsidR="006F5644">
        <w:t xml:space="preserve"> may differ to percentages outlined in the text</w:t>
      </w:r>
      <w:r w:rsidR="00AE3136">
        <w:t>.</w:t>
      </w:r>
      <w:r w:rsidR="006F5644">
        <w:t xml:space="preserve"> </w:t>
      </w:r>
    </w:p>
    <w:p w14:paraId="0D17F617" w14:textId="77777777" w:rsidR="008659BF" w:rsidRDefault="008659BF">
      <w:pPr>
        <w:spacing w:after="200" w:line="276" w:lineRule="auto"/>
        <w:jc w:val="left"/>
      </w:pPr>
      <w:r>
        <w:br w:type="page"/>
      </w:r>
    </w:p>
    <w:p w14:paraId="3AA4AB06" w14:textId="77777777" w:rsidR="00D10D6A" w:rsidRPr="00086AB2" w:rsidRDefault="00CE5E41" w:rsidP="00B51041">
      <w:pPr>
        <w:pStyle w:val="SWASectionnum2"/>
      </w:pPr>
      <w:bookmarkStart w:id="10" w:name="_Toc86602453"/>
      <w:r w:rsidRPr="00086AB2">
        <w:lastRenderedPageBreak/>
        <w:t xml:space="preserve">Incidence </w:t>
      </w:r>
      <w:r w:rsidR="003C1E2B" w:rsidRPr="00086AB2">
        <w:t>r</w:t>
      </w:r>
      <w:r w:rsidRPr="00086AB2">
        <w:t>ate</w:t>
      </w:r>
      <w:bookmarkEnd w:id="10"/>
      <w:r w:rsidR="00CA3385">
        <w:t xml:space="preserve"> </w:t>
      </w:r>
    </w:p>
    <w:p w14:paraId="03C67CE1" w14:textId="6E7497FF" w:rsidR="00F46416" w:rsidRDefault="00B108F1" w:rsidP="00F46416">
      <w:r w:rsidRPr="00B108F1">
        <w:t xml:space="preserve">The overall Australian incidence rate for serious claims (Indicator 1) has </w:t>
      </w:r>
      <w:r w:rsidR="00FD6B2C">
        <w:t xml:space="preserve">increased from </w:t>
      </w:r>
      <w:r w:rsidR="00D230A6">
        <w:t>9.5 claims per 1,000 employees in 2015</w:t>
      </w:r>
      <w:r w:rsidR="00FD6B2C">
        <w:t>–</w:t>
      </w:r>
      <w:r w:rsidR="00D230A6">
        <w:t xml:space="preserve">16 to </w:t>
      </w:r>
      <w:r w:rsidR="00FD6B2C">
        <w:t xml:space="preserve">10.1 in </w:t>
      </w:r>
      <w:r w:rsidR="00D230A6">
        <w:t xml:space="preserve">2019–20 </w:t>
      </w:r>
      <w:r w:rsidR="00FD6B2C">
        <w:t xml:space="preserve">— this is an increase of 7%. </w:t>
      </w:r>
      <w:r w:rsidR="0004220E">
        <w:t>The p</w:t>
      </w:r>
      <w:r w:rsidRPr="00B108F1">
        <w:t>reliminary</w:t>
      </w:r>
      <w:r w:rsidR="00780CE7">
        <w:t> </w:t>
      </w:r>
      <w:r w:rsidR="00C04948">
        <w:t xml:space="preserve">result </w:t>
      </w:r>
      <w:r w:rsidRPr="00B108F1">
        <w:t>for 20</w:t>
      </w:r>
      <w:r w:rsidR="00FD6B2C">
        <w:t>20</w:t>
      </w:r>
      <w:r w:rsidRPr="00B108F1">
        <w:t>–</w:t>
      </w:r>
      <w:r>
        <w:t>2</w:t>
      </w:r>
      <w:r w:rsidR="00FD6B2C">
        <w:t>1</w:t>
      </w:r>
      <w:r w:rsidR="008E09A6">
        <w:t>p</w:t>
      </w:r>
      <w:r w:rsidRPr="00B108F1">
        <w:t xml:space="preserve"> </w:t>
      </w:r>
      <w:r w:rsidRPr="00FC1393">
        <w:t xml:space="preserve">shows </w:t>
      </w:r>
      <w:r w:rsidR="00FD6B2C">
        <w:t>it has continued to increase with an incidence rate of 10.5 claims per 1,000 employees.</w:t>
      </w:r>
      <w:r>
        <w:t xml:space="preserve"> T</w:t>
      </w:r>
      <w:r w:rsidRPr="00B108F1">
        <w:t>his</w:t>
      </w:r>
      <w:r w:rsidR="00780CE7">
        <w:t> </w:t>
      </w:r>
      <w:r w:rsidRPr="00B108F1">
        <w:t xml:space="preserve">is </w:t>
      </w:r>
      <w:r w:rsidR="00C04948">
        <w:t xml:space="preserve">likely </w:t>
      </w:r>
      <w:r w:rsidRPr="00B108F1">
        <w:t xml:space="preserve">to </w:t>
      </w:r>
      <w:r w:rsidR="00C04948">
        <w:t xml:space="preserve">rise </w:t>
      </w:r>
      <w:r w:rsidRPr="00B108F1">
        <w:t>when updated data become available.</w:t>
      </w:r>
      <w:r w:rsidR="00F46416">
        <w:t xml:space="preserve"> </w:t>
      </w:r>
      <w:r>
        <w:t>Indicator 1 also shows:</w:t>
      </w:r>
    </w:p>
    <w:p w14:paraId="36540384" w14:textId="75D5AE0F" w:rsidR="008E09A6" w:rsidRDefault="0022008A" w:rsidP="00C03259">
      <w:pPr>
        <w:pStyle w:val="ListParagraph"/>
        <w:numPr>
          <w:ilvl w:val="0"/>
          <w:numId w:val="9"/>
        </w:numPr>
      </w:pPr>
      <w:proofErr w:type="spellStart"/>
      <w:r>
        <w:t>Seacare</w:t>
      </w:r>
      <w:proofErr w:type="spellEnd"/>
      <w:r>
        <w:t xml:space="preserve"> (2</w:t>
      </w:r>
      <w:r w:rsidR="00FD6B2C">
        <w:t>9.2</w:t>
      </w:r>
      <w:r>
        <w:t> claims per 1,000 employees) recorded t</w:t>
      </w:r>
      <w:r w:rsidR="008E09A6">
        <w:t xml:space="preserve">he highest incidence rate in </w:t>
      </w:r>
      <w:r w:rsidR="00C436B5">
        <w:br/>
      </w:r>
      <w:r w:rsidR="008E09A6" w:rsidRPr="00B108F1">
        <w:t>20</w:t>
      </w:r>
      <w:r w:rsidR="00FD6B2C">
        <w:t>20</w:t>
      </w:r>
      <w:r w:rsidR="008E09A6" w:rsidRPr="00B108F1">
        <w:t>–</w:t>
      </w:r>
      <w:r w:rsidR="00FD6B2C">
        <w:t>21</w:t>
      </w:r>
      <w:r w:rsidR="008E09A6">
        <w:t>p</w:t>
      </w:r>
      <w:r>
        <w:t>,</w:t>
      </w:r>
      <w:r w:rsidR="009612E6">
        <w:t xml:space="preserve"> </w:t>
      </w:r>
      <w:r>
        <w:t>followed by Tasmania (1</w:t>
      </w:r>
      <w:r w:rsidR="00FD6B2C">
        <w:t>4.4</w:t>
      </w:r>
      <w:r>
        <w:t xml:space="preserve"> claims per 1,000 employees)</w:t>
      </w:r>
      <w:r w:rsidR="008E09A6">
        <w:t>.</w:t>
      </w:r>
      <w:r w:rsidR="003A1B9E">
        <w:t xml:space="preserve"> </w:t>
      </w:r>
      <w:proofErr w:type="spellStart"/>
      <w:r w:rsidR="008E09A6">
        <w:t>Seacare</w:t>
      </w:r>
      <w:proofErr w:type="spellEnd"/>
      <w:r w:rsidR="008E09A6">
        <w:t xml:space="preserve"> inciden</w:t>
      </w:r>
      <w:r w:rsidR="001055CE">
        <w:t>ce</w:t>
      </w:r>
      <w:r w:rsidR="008E09A6">
        <w:t xml:space="preserve"> rates have traditionally been much higher than the Australian </w:t>
      </w:r>
      <w:r w:rsidR="00E83B91">
        <w:t>total rate</w:t>
      </w:r>
      <w:r>
        <w:t>s</w:t>
      </w:r>
      <w:r w:rsidR="009612E6">
        <w:t xml:space="preserve"> </w:t>
      </w:r>
      <w:r w:rsidR="008E09A6">
        <w:t>and the rates of other jurisdictions.</w:t>
      </w:r>
      <w:r w:rsidR="003A1B9E">
        <w:t xml:space="preserve"> </w:t>
      </w:r>
    </w:p>
    <w:p w14:paraId="59C2BF0F" w14:textId="3F5FA614" w:rsidR="008E09A6" w:rsidRDefault="0022008A" w:rsidP="00C03259">
      <w:pPr>
        <w:pStyle w:val="ListParagraph"/>
        <w:numPr>
          <w:ilvl w:val="0"/>
          <w:numId w:val="9"/>
        </w:numPr>
      </w:pPr>
      <w:r>
        <w:t>T</w:t>
      </w:r>
      <w:r w:rsidR="008E09A6">
        <w:t>he Australian Government (4.</w:t>
      </w:r>
      <w:r w:rsidR="00FD6B2C">
        <w:t>5</w:t>
      </w:r>
      <w:r w:rsidR="008E09A6">
        <w:t xml:space="preserve"> claims per 1,000 employees) and</w:t>
      </w:r>
      <w:r w:rsidR="008B665B">
        <w:t xml:space="preserve"> </w:t>
      </w:r>
      <w:r w:rsidR="008E09A6">
        <w:t>the Northern Territory (6.</w:t>
      </w:r>
      <w:r w:rsidR="00FD6B2C">
        <w:t>4</w:t>
      </w:r>
      <w:r w:rsidR="009612E6">
        <w:t> </w:t>
      </w:r>
      <w:r w:rsidR="008E09A6">
        <w:t>claims per 1,000 employees)</w:t>
      </w:r>
      <w:r w:rsidR="00AE3136">
        <w:t xml:space="preserve"> </w:t>
      </w:r>
      <w:r>
        <w:t>both registered the lowest inciden</w:t>
      </w:r>
      <w:r w:rsidR="001055CE">
        <w:t>ce</w:t>
      </w:r>
      <w:r>
        <w:t xml:space="preserve"> rates</w:t>
      </w:r>
      <w:r w:rsidR="008E09A6">
        <w:t xml:space="preserve">. </w:t>
      </w:r>
    </w:p>
    <w:p w14:paraId="59E9F290" w14:textId="73E4FAAB" w:rsidR="006D7290" w:rsidRDefault="00B108F1" w:rsidP="00C03259">
      <w:pPr>
        <w:pStyle w:val="ListParagraph"/>
        <w:numPr>
          <w:ilvl w:val="0"/>
          <w:numId w:val="9"/>
        </w:numPr>
      </w:pPr>
      <w:r>
        <w:t>Between 201</w:t>
      </w:r>
      <w:r w:rsidR="00FD6B2C">
        <w:t>5</w:t>
      </w:r>
      <w:r>
        <w:t>–1</w:t>
      </w:r>
      <w:r w:rsidR="00FD6B2C">
        <w:t>6</w:t>
      </w:r>
      <w:r>
        <w:t xml:space="preserve"> and 201</w:t>
      </w:r>
      <w:r w:rsidR="00FD6B2C">
        <w:t>9</w:t>
      </w:r>
      <w:r>
        <w:t>–</w:t>
      </w:r>
      <w:r w:rsidR="00FD6B2C">
        <w:t>20</w:t>
      </w:r>
      <w:r w:rsidR="0022008A">
        <w:t>,</w:t>
      </w:r>
      <w:r>
        <w:t xml:space="preserve"> most Australian jurisdictions recorded a</w:t>
      </w:r>
      <w:r w:rsidR="00FD6B2C">
        <w:t>n</w:t>
      </w:r>
      <w:r>
        <w:t xml:space="preserve"> </w:t>
      </w:r>
      <w:r w:rsidR="00FD6B2C">
        <w:t xml:space="preserve">increase </w:t>
      </w:r>
      <w:r w:rsidR="00DB2F86">
        <w:t xml:space="preserve">in </w:t>
      </w:r>
      <w:r>
        <w:t>the incidence rate of serious claims.</w:t>
      </w:r>
      <w:r w:rsidR="00FD6B2C">
        <w:t xml:space="preserve"> </w:t>
      </w:r>
      <w:proofErr w:type="spellStart"/>
      <w:r w:rsidR="00FD6B2C">
        <w:t>Seacare</w:t>
      </w:r>
      <w:proofErr w:type="spellEnd"/>
      <w:r w:rsidR="00FD6B2C">
        <w:t xml:space="preserve"> recorded the largest increase</w:t>
      </w:r>
      <w:r w:rsidR="00E95212">
        <w:t xml:space="preserve"> </w:t>
      </w:r>
      <w:r w:rsidR="00FD6B2C">
        <w:t>(</w:t>
      </w:r>
      <w:r w:rsidR="00FD6B2C" w:rsidRPr="00C32309">
        <w:rPr>
          <w:rFonts w:ascii="Wingdings 3" w:hAnsi="Wingdings 3"/>
          <w:b/>
          <w:bCs/>
          <w:color w:val="00518E"/>
        </w:rPr>
        <w:t>h</w:t>
      </w:r>
      <w:r w:rsidR="00FD6B2C" w:rsidRPr="00C32309">
        <w:rPr>
          <w:b/>
          <w:bCs/>
          <w:color w:val="00518E"/>
        </w:rPr>
        <w:t xml:space="preserve"> </w:t>
      </w:r>
      <w:r w:rsidR="00FD6B2C">
        <w:rPr>
          <w:b/>
          <w:bCs/>
          <w:color w:val="00518E"/>
        </w:rPr>
        <w:t>up 75</w:t>
      </w:r>
      <w:r w:rsidR="00FD6B2C" w:rsidRPr="00B108F1">
        <w:rPr>
          <w:b/>
          <w:bCs/>
          <w:color w:val="00518E"/>
        </w:rPr>
        <w:t>%</w:t>
      </w:r>
      <w:r w:rsidR="00FD6B2C" w:rsidRPr="00B108F1">
        <w:t>)</w:t>
      </w:r>
      <w:r w:rsidR="00FD6B2C">
        <w:t xml:space="preserve"> however </w:t>
      </w:r>
      <w:r w:rsidR="000F4F04">
        <w:t>its</w:t>
      </w:r>
      <w:r w:rsidR="00FD6B2C">
        <w:t xml:space="preserve"> rates are </w:t>
      </w:r>
      <w:r w:rsidR="00E95212">
        <w:t xml:space="preserve">highly volatile due to the small number of claims compared with all other jurisdictions. </w:t>
      </w:r>
      <w:r w:rsidR="00FD6B2C">
        <w:t xml:space="preserve"> </w:t>
      </w:r>
      <w:r w:rsidR="00E95212">
        <w:t>New South Wales recorded the second largest increase (</w:t>
      </w:r>
      <w:r w:rsidR="00E95212" w:rsidRPr="00C32309">
        <w:rPr>
          <w:rFonts w:ascii="Wingdings 3" w:hAnsi="Wingdings 3"/>
          <w:b/>
          <w:bCs/>
          <w:color w:val="00518E"/>
        </w:rPr>
        <w:t>h</w:t>
      </w:r>
      <w:r w:rsidR="00E95212" w:rsidRPr="00C32309">
        <w:rPr>
          <w:b/>
          <w:bCs/>
          <w:color w:val="00518E"/>
        </w:rPr>
        <w:t xml:space="preserve"> </w:t>
      </w:r>
      <w:r w:rsidR="00E95212">
        <w:rPr>
          <w:b/>
          <w:bCs/>
          <w:color w:val="00518E"/>
        </w:rPr>
        <w:t>up 24</w:t>
      </w:r>
      <w:r w:rsidR="00E95212" w:rsidRPr="00B108F1">
        <w:rPr>
          <w:b/>
          <w:bCs/>
          <w:color w:val="00518E"/>
        </w:rPr>
        <w:t>%</w:t>
      </w:r>
      <w:r w:rsidR="00E95212" w:rsidRPr="00B108F1">
        <w:t>)</w:t>
      </w:r>
      <w:r w:rsidR="00E95212">
        <w:t xml:space="preserve"> followed by </w:t>
      </w:r>
      <w:r>
        <w:t>Tasmania (</w:t>
      </w:r>
      <w:r w:rsidRPr="00C32309">
        <w:rPr>
          <w:rFonts w:ascii="Wingdings 3" w:hAnsi="Wingdings 3"/>
          <w:b/>
          <w:bCs/>
          <w:color w:val="00518E"/>
        </w:rPr>
        <w:t>h</w:t>
      </w:r>
      <w:r w:rsidRPr="00C32309">
        <w:rPr>
          <w:b/>
          <w:bCs/>
          <w:color w:val="00518E"/>
        </w:rPr>
        <w:t xml:space="preserve"> </w:t>
      </w:r>
      <w:r>
        <w:rPr>
          <w:b/>
          <w:bCs/>
          <w:color w:val="00518E"/>
        </w:rPr>
        <w:t xml:space="preserve">up </w:t>
      </w:r>
      <w:r w:rsidR="00E95212">
        <w:rPr>
          <w:b/>
          <w:bCs/>
          <w:color w:val="00518E"/>
        </w:rPr>
        <w:t>17</w:t>
      </w:r>
      <w:r w:rsidRPr="00B108F1">
        <w:rPr>
          <w:b/>
          <w:bCs/>
          <w:color w:val="00518E"/>
        </w:rPr>
        <w:t>%</w:t>
      </w:r>
      <w:r w:rsidRPr="00B108F1">
        <w:t>)</w:t>
      </w:r>
      <w:r w:rsidR="00E95212">
        <w:t>,</w:t>
      </w:r>
      <w:r>
        <w:rPr>
          <w:b/>
          <w:bCs/>
          <w:color w:val="00518E"/>
        </w:rPr>
        <w:t xml:space="preserve"> </w:t>
      </w:r>
      <w:r>
        <w:t>Queensland (</w:t>
      </w:r>
      <w:r w:rsidRPr="00C32309">
        <w:rPr>
          <w:rFonts w:ascii="Wingdings 3" w:hAnsi="Wingdings 3"/>
          <w:b/>
          <w:bCs/>
          <w:color w:val="00518E"/>
        </w:rPr>
        <w:t>h</w:t>
      </w:r>
      <w:r w:rsidRPr="00C32309">
        <w:rPr>
          <w:b/>
          <w:bCs/>
          <w:color w:val="00518E"/>
        </w:rPr>
        <w:t xml:space="preserve"> </w:t>
      </w:r>
      <w:r>
        <w:rPr>
          <w:b/>
          <w:bCs/>
          <w:color w:val="00518E"/>
        </w:rPr>
        <w:t>up 6</w:t>
      </w:r>
      <w:r w:rsidRPr="00B108F1">
        <w:rPr>
          <w:b/>
          <w:bCs/>
          <w:color w:val="00518E"/>
        </w:rPr>
        <w:t>%</w:t>
      </w:r>
      <w:r w:rsidRPr="00B108F1">
        <w:t>)</w:t>
      </w:r>
      <w:r>
        <w:rPr>
          <w:b/>
          <w:bCs/>
          <w:color w:val="00518E"/>
        </w:rPr>
        <w:t xml:space="preserve"> </w:t>
      </w:r>
      <w:r>
        <w:t xml:space="preserve">and </w:t>
      </w:r>
      <w:r w:rsidR="00E95212">
        <w:t>South Australia and the Australian Government (</w:t>
      </w:r>
      <w:r w:rsidR="008B665B" w:rsidRPr="002556A8">
        <w:rPr>
          <w:b/>
          <w:bCs/>
          <w:color w:val="00518E"/>
        </w:rPr>
        <w:t>both</w:t>
      </w:r>
      <w:r w:rsidR="008B665B">
        <w:t xml:space="preserve"> </w:t>
      </w:r>
      <w:r w:rsidR="00E95212" w:rsidRPr="00C32309">
        <w:rPr>
          <w:rFonts w:ascii="Wingdings 3" w:hAnsi="Wingdings 3"/>
          <w:b/>
          <w:bCs/>
          <w:color w:val="00518E"/>
        </w:rPr>
        <w:t>h</w:t>
      </w:r>
      <w:r w:rsidR="00E95212" w:rsidRPr="00C32309">
        <w:rPr>
          <w:b/>
          <w:bCs/>
          <w:color w:val="00518E"/>
        </w:rPr>
        <w:t xml:space="preserve"> </w:t>
      </w:r>
      <w:r w:rsidR="00E95212">
        <w:rPr>
          <w:b/>
          <w:bCs/>
          <w:color w:val="00518E"/>
        </w:rPr>
        <w:t>up 2</w:t>
      </w:r>
      <w:r w:rsidR="00E95212" w:rsidRPr="00B108F1">
        <w:rPr>
          <w:b/>
          <w:bCs/>
          <w:color w:val="00518E"/>
        </w:rPr>
        <w:t>%</w:t>
      </w:r>
      <w:r w:rsidR="00E95212" w:rsidRPr="00B108F1">
        <w:t>)</w:t>
      </w:r>
      <w:r w:rsidR="00E95212">
        <w:t xml:space="preserve">. </w:t>
      </w:r>
      <w:r w:rsidR="001428A7">
        <w:t>The Northern Territory recorded</w:t>
      </w:r>
      <w:r w:rsidR="002712B6">
        <w:t xml:space="preserve"> the largest decrease (</w:t>
      </w:r>
      <w:r w:rsidR="002712B6" w:rsidRPr="00EA497B">
        <w:rPr>
          <w:rFonts w:ascii="Wingdings 3" w:hAnsi="Wingdings 3"/>
          <w:b/>
          <w:bCs/>
          <w:color w:val="B94F25"/>
        </w:rPr>
        <w:t>i</w:t>
      </w:r>
      <w:r w:rsidR="002712B6">
        <w:t xml:space="preserve"> </w:t>
      </w:r>
      <w:r w:rsidR="002712B6" w:rsidRPr="00F1735F">
        <w:rPr>
          <w:b/>
          <w:bCs/>
          <w:color w:val="B94F25"/>
        </w:rPr>
        <w:t xml:space="preserve">down </w:t>
      </w:r>
      <w:r w:rsidR="002712B6">
        <w:rPr>
          <w:b/>
          <w:bCs/>
          <w:color w:val="B94F25"/>
        </w:rPr>
        <w:t>12</w:t>
      </w:r>
      <w:r w:rsidR="002712B6" w:rsidRPr="00F1735F">
        <w:rPr>
          <w:b/>
          <w:bCs/>
          <w:color w:val="B94F25"/>
        </w:rPr>
        <w:t>%</w:t>
      </w:r>
      <w:r w:rsidR="002712B6" w:rsidRPr="00F1735F">
        <w:t>)</w:t>
      </w:r>
      <w:r w:rsidR="00421269">
        <w:t>,</w:t>
      </w:r>
      <w:r w:rsidR="002712B6">
        <w:t xml:space="preserve"> followed by Western Australia (</w:t>
      </w:r>
      <w:r w:rsidR="002712B6" w:rsidRPr="00EA497B">
        <w:rPr>
          <w:rFonts w:ascii="Wingdings 3" w:hAnsi="Wingdings 3"/>
          <w:b/>
          <w:bCs/>
          <w:color w:val="B94F25"/>
        </w:rPr>
        <w:t>i</w:t>
      </w:r>
      <w:r w:rsidR="002712B6">
        <w:t xml:space="preserve"> </w:t>
      </w:r>
      <w:r w:rsidR="002712B6" w:rsidRPr="00F1735F">
        <w:rPr>
          <w:b/>
          <w:bCs/>
          <w:color w:val="B94F25"/>
        </w:rPr>
        <w:t xml:space="preserve">down </w:t>
      </w:r>
      <w:r w:rsidR="002712B6">
        <w:rPr>
          <w:b/>
          <w:bCs/>
          <w:color w:val="B94F25"/>
        </w:rPr>
        <w:t>9</w:t>
      </w:r>
      <w:r w:rsidR="002712B6" w:rsidRPr="00F1735F">
        <w:rPr>
          <w:b/>
          <w:bCs/>
          <w:color w:val="B94F25"/>
        </w:rPr>
        <w:t>%</w:t>
      </w:r>
      <w:r w:rsidR="002712B6" w:rsidRPr="00F1735F">
        <w:t>)</w:t>
      </w:r>
      <w:r w:rsidR="002712B6">
        <w:t xml:space="preserve"> and Victoria and the Australian Capital Territory (both </w:t>
      </w:r>
      <w:r w:rsidR="002712B6" w:rsidRPr="00EA497B">
        <w:rPr>
          <w:rFonts w:ascii="Wingdings 3" w:hAnsi="Wingdings 3"/>
          <w:b/>
          <w:bCs/>
          <w:color w:val="B94F25"/>
        </w:rPr>
        <w:t>i</w:t>
      </w:r>
      <w:r w:rsidR="002712B6">
        <w:t xml:space="preserve"> </w:t>
      </w:r>
      <w:r w:rsidR="002712B6" w:rsidRPr="00F1735F">
        <w:rPr>
          <w:b/>
          <w:bCs/>
          <w:color w:val="B94F25"/>
        </w:rPr>
        <w:t xml:space="preserve">down </w:t>
      </w:r>
      <w:r w:rsidR="002712B6">
        <w:rPr>
          <w:b/>
          <w:bCs/>
          <w:color w:val="B94F25"/>
        </w:rPr>
        <w:t>5</w:t>
      </w:r>
      <w:r w:rsidR="002712B6" w:rsidRPr="00F1735F">
        <w:rPr>
          <w:b/>
          <w:bCs/>
          <w:color w:val="B94F25"/>
        </w:rPr>
        <w:t>%</w:t>
      </w:r>
      <w:r w:rsidR="002712B6" w:rsidRPr="00F1735F">
        <w:t>)</w:t>
      </w:r>
    </w:p>
    <w:p w14:paraId="6B36404B" w14:textId="3253913A" w:rsidR="00777C4A" w:rsidRDefault="00E572FC" w:rsidP="00777C4A">
      <w:pPr>
        <w:pStyle w:val="ListParagraph"/>
        <w:numPr>
          <w:ilvl w:val="1"/>
          <w:numId w:val="9"/>
        </w:numPr>
      </w:pPr>
      <w:r w:rsidRPr="00E572FC">
        <w:t>In January 2018 the Tasmanian workers</w:t>
      </w:r>
      <w:r w:rsidR="0086630C">
        <w:t>’</w:t>
      </w:r>
      <w:r w:rsidRPr="00E572FC">
        <w:t xml:space="preserve"> compensation legislation was amended to remove excess payments for employers. This resulted in an expected increase in claims being reported and is reflected in the increase in claim rates for the 2018</w:t>
      </w:r>
      <w:r w:rsidR="00987B11" w:rsidRPr="00B108F1">
        <w:t>–</w:t>
      </w:r>
      <w:r w:rsidRPr="00E572FC">
        <w:t>19 and subsequent years.</w:t>
      </w:r>
    </w:p>
    <w:p w14:paraId="5022C8FA" w14:textId="2A30A2B8" w:rsidR="00B108F1" w:rsidRPr="00F46416" w:rsidRDefault="004C7BE0" w:rsidP="008659BF">
      <w:pPr>
        <w:pStyle w:val="ListParagraph"/>
        <w:numPr>
          <w:ilvl w:val="0"/>
          <w:numId w:val="8"/>
        </w:numPr>
      </w:pPr>
      <w:bookmarkStart w:id="11" w:name="_Hlk83125463"/>
      <w:r>
        <w:t>N</w:t>
      </w:r>
      <w:r w:rsidR="00461C5D">
        <w:t>ew Zealand</w:t>
      </w:r>
      <w:r>
        <w:t xml:space="preserve"> </w:t>
      </w:r>
      <w:r w:rsidR="00E96B81">
        <w:t>has consistently recorded</w:t>
      </w:r>
      <w:r w:rsidR="003A0107">
        <w:t xml:space="preserve"> </w:t>
      </w:r>
      <w:r>
        <w:t>higher average incident rates compared to Australia.</w:t>
      </w:r>
      <w:r w:rsidR="00F11282">
        <w:t xml:space="preserve"> Preliminary </w:t>
      </w:r>
      <w:r w:rsidR="00F7688A">
        <w:t>result</w:t>
      </w:r>
      <w:r w:rsidR="00AE3136">
        <w:t>s</w:t>
      </w:r>
      <w:r w:rsidR="00F7688A">
        <w:t xml:space="preserve"> </w:t>
      </w:r>
      <w:r w:rsidR="00F11282">
        <w:t>indicate an incident rate for 20</w:t>
      </w:r>
      <w:r w:rsidR="008B665B">
        <w:t>20</w:t>
      </w:r>
      <w:r w:rsidR="00C20587" w:rsidRPr="00B108F1">
        <w:t>–</w:t>
      </w:r>
      <w:r w:rsidR="00F11282">
        <w:t>2</w:t>
      </w:r>
      <w:r w:rsidR="008B665B">
        <w:t>1</w:t>
      </w:r>
      <w:r w:rsidR="00AE3136">
        <w:t>p</w:t>
      </w:r>
      <w:r w:rsidR="00F11282">
        <w:t xml:space="preserve"> of 1</w:t>
      </w:r>
      <w:r w:rsidR="007E3213">
        <w:t>8.0</w:t>
      </w:r>
      <w:r w:rsidR="00F11282">
        <w:t xml:space="preserve"> claims per 1,000 employees</w:t>
      </w:r>
      <w:r w:rsidR="008E09A6">
        <w:t>.</w:t>
      </w:r>
      <w:r w:rsidR="00F11282">
        <w:t xml:space="preserve"> </w:t>
      </w:r>
      <w:r w:rsidR="00F7688A">
        <w:t>F</w:t>
      </w:r>
      <w:r w:rsidR="008E09A6">
        <w:t>rom 201</w:t>
      </w:r>
      <w:r w:rsidR="007E3213">
        <w:t>5</w:t>
      </w:r>
      <w:r w:rsidR="008E09A6">
        <w:t>–1</w:t>
      </w:r>
      <w:r w:rsidR="007E3213">
        <w:t>6</w:t>
      </w:r>
      <w:r w:rsidR="008E09A6">
        <w:t xml:space="preserve"> to 201</w:t>
      </w:r>
      <w:r w:rsidR="007E3213">
        <w:t>9</w:t>
      </w:r>
      <w:r w:rsidR="008E09A6">
        <w:t>–</w:t>
      </w:r>
      <w:r w:rsidR="007E3213">
        <w:t>20</w:t>
      </w:r>
      <w:r w:rsidR="008E09A6">
        <w:t xml:space="preserve">, New Zealand recorded a </w:t>
      </w:r>
      <w:r w:rsidR="007E3213">
        <w:rPr>
          <w:b/>
          <w:bCs/>
          <w:color w:val="1F497D" w:themeColor="text2"/>
        </w:rPr>
        <w:t>19</w:t>
      </w:r>
      <w:r w:rsidR="008E09A6" w:rsidRPr="008E09A6">
        <w:rPr>
          <w:b/>
          <w:bCs/>
          <w:color w:val="1F497D" w:themeColor="text2"/>
        </w:rPr>
        <w:t>% increase</w:t>
      </w:r>
      <w:r w:rsidR="008E09A6" w:rsidRPr="008E09A6">
        <w:rPr>
          <w:color w:val="1F497D" w:themeColor="text2"/>
        </w:rPr>
        <w:t xml:space="preserve"> </w:t>
      </w:r>
      <w:r w:rsidR="008E09A6">
        <w:t>in the incidence rate of serious claims.</w:t>
      </w:r>
    </w:p>
    <w:p w14:paraId="287DBDE0" w14:textId="69803072" w:rsidR="00D10D6A" w:rsidRDefault="00E1127D" w:rsidP="009C00F7">
      <w:pPr>
        <w:pStyle w:val="Heading3"/>
        <w:spacing w:after="0"/>
      </w:pPr>
      <w:bookmarkStart w:id="12" w:name="_Toc56603292"/>
      <w:bookmarkStart w:id="13" w:name="_Toc56772227"/>
      <w:bookmarkStart w:id="14" w:name="_Toc86602454"/>
      <w:bookmarkEnd w:id="11"/>
      <w:r>
        <w:t xml:space="preserve">Indicator </w:t>
      </w:r>
      <w:r w:rsidR="009D6F53">
        <w:rPr>
          <w:b w:val="0"/>
        </w:rPr>
        <w:fldChar w:fldCharType="begin"/>
      </w:r>
      <w:r w:rsidR="009D6F53">
        <w:rPr>
          <w:b w:val="0"/>
        </w:rPr>
        <w:instrText xml:space="preserve"> SEQ Indicator \* ARABIC </w:instrText>
      </w:r>
      <w:r w:rsidR="009D6F53">
        <w:rPr>
          <w:b w:val="0"/>
        </w:rPr>
        <w:fldChar w:fldCharType="separate"/>
      </w:r>
      <w:r w:rsidR="004132C1">
        <w:rPr>
          <w:b w:val="0"/>
          <w:noProof/>
        </w:rPr>
        <w:t>1</w:t>
      </w:r>
      <w:r w:rsidR="009D6F53">
        <w:rPr>
          <w:rFonts w:ascii="Arial" w:eastAsia="Times New Roman" w:hAnsi="Arial" w:cs="Times New Roman"/>
          <w:b w:val="0"/>
          <w:noProof/>
          <w:color w:val="auto"/>
          <w:szCs w:val="24"/>
          <w:lang w:eastAsia="en-AU"/>
        </w:rPr>
        <w:fldChar w:fldCharType="end"/>
      </w:r>
      <w:r w:rsidRPr="00086AB2">
        <w:t xml:space="preserve"> – Incidence rates of serious injury and disease claims by jurisdiction</w:t>
      </w:r>
      <w:bookmarkEnd w:id="12"/>
      <w:bookmarkEnd w:id="13"/>
      <w:bookmarkEnd w:id="14"/>
    </w:p>
    <w:p w14:paraId="4813193D" w14:textId="0C6F56ED" w:rsidR="007E3213" w:rsidRPr="00771625" w:rsidRDefault="00EF0328" w:rsidP="002556A8">
      <w:r>
        <w:rPr>
          <w:noProof/>
        </w:rPr>
        <w:drawing>
          <wp:inline distT="0" distB="0" distL="0" distR="0" wp14:anchorId="7276556A" wp14:editId="79220B68">
            <wp:extent cx="5589194" cy="3015414"/>
            <wp:effectExtent l="0" t="0" r="0" b="0"/>
            <wp:docPr id="15" name="Picture 15" descr="Indicator 1 – Incidence rates of serious injury and disease claims by jurisdiction&#10;&#10;This column chart shows comparison of incidence rates of serious injury and disease claims in Australian jurisdictions and New Zealand between 2015-16 and 2020-21, and a line indicating the average incident rate across Australia based on the preliminary data for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dicator 1 – Incidence rates of serious injury and disease claims by jurisdiction&#10;&#10;This column chart shows comparison of incidence rates of serious injury and disease claims in Australian jurisdictions and New Zealand between 2015-16 and 2020-21, and a line indicating the average incident rate across Australia based on the preliminary data for 2020–2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782" cy="3024363"/>
                    </a:xfrm>
                    <a:prstGeom prst="rect">
                      <a:avLst/>
                    </a:prstGeom>
                    <a:noFill/>
                  </pic:spPr>
                </pic:pic>
              </a:graphicData>
            </a:graphic>
          </wp:inline>
        </w:drawing>
      </w:r>
    </w:p>
    <w:p w14:paraId="3D5E950F" w14:textId="5C3FBDF2" w:rsidR="00AA5771" w:rsidRPr="00D05B56" w:rsidRDefault="00AA5771" w:rsidP="0017447F">
      <w:pPr>
        <w:jc w:val="center"/>
        <w:rPr>
          <w:i/>
          <w:iCs/>
          <w:sz w:val="16"/>
          <w:szCs w:val="16"/>
        </w:rPr>
      </w:pPr>
    </w:p>
    <w:p w14:paraId="7F58464F" w14:textId="1AEB1FF8" w:rsidR="00C85DF5" w:rsidRPr="00086AB2" w:rsidRDefault="00C85DF5" w:rsidP="0017447F">
      <w:pPr>
        <w:pStyle w:val="SWASectionnum2"/>
        <w:spacing w:before="240"/>
      </w:pPr>
      <w:bookmarkStart w:id="15" w:name="_Toc86602455"/>
      <w:r w:rsidRPr="00086AB2">
        <w:lastRenderedPageBreak/>
        <w:t xml:space="preserve">Frequency </w:t>
      </w:r>
      <w:r w:rsidR="00546938" w:rsidRPr="00086AB2">
        <w:t>r</w:t>
      </w:r>
      <w:r w:rsidRPr="00086AB2">
        <w:t>ate</w:t>
      </w:r>
      <w:bookmarkEnd w:id="15"/>
      <w:r w:rsidR="00C87D5A">
        <w:t xml:space="preserve"> </w:t>
      </w:r>
    </w:p>
    <w:p w14:paraId="5FC292B3" w14:textId="0D246F66" w:rsidR="00DD2884" w:rsidRPr="00D05B56" w:rsidRDefault="00DD2884" w:rsidP="00D10D6A">
      <w:r w:rsidRPr="00D05B56">
        <w:t xml:space="preserve">The overall Australian frequency rate of serious claims (Indicator 2) has </w:t>
      </w:r>
      <w:r w:rsidR="00BF7DB6">
        <w:t xml:space="preserve">increased by 9% from 5.7 per million hours worked in 2015–16 to 6.2 in 2019–20. </w:t>
      </w:r>
      <w:r w:rsidRPr="00FC1393">
        <w:t xml:space="preserve">Preliminary </w:t>
      </w:r>
      <w:r w:rsidR="00F7688A">
        <w:t>result</w:t>
      </w:r>
      <w:r w:rsidR="008400BE">
        <w:t>s</w:t>
      </w:r>
      <w:r w:rsidRPr="00FC1393">
        <w:t xml:space="preserve"> </w:t>
      </w:r>
      <w:r w:rsidR="00D05B56" w:rsidRPr="00FC1393">
        <w:t xml:space="preserve">in </w:t>
      </w:r>
      <w:r w:rsidR="003A1B9E" w:rsidRPr="00FC1393">
        <w:t>20</w:t>
      </w:r>
      <w:r w:rsidR="00BF7DB6">
        <w:t>20</w:t>
      </w:r>
      <w:r w:rsidR="003A1B9E" w:rsidRPr="00FC1393">
        <w:t>–2</w:t>
      </w:r>
      <w:r w:rsidR="00BF7DB6">
        <w:t>1</w:t>
      </w:r>
      <w:r w:rsidR="003A1B9E" w:rsidRPr="00FC1393">
        <w:t>p</w:t>
      </w:r>
      <w:r w:rsidR="00D05B56" w:rsidRPr="00FC1393">
        <w:t xml:space="preserve"> </w:t>
      </w:r>
      <w:r w:rsidRPr="00FC1393">
        <w:t xml:space="preserve">shows that the Australian frequency rate of serious claims has </w:t>
      </w:r>
      <w:r w:rsidR="00F31A5A" w:rsidRPr="00FC1393">
        <w:t xml:space="preserve">increased </w:t>
      </w:r>
      <w:r w:rsidR="00F31A5A" w:rsidRPr="00D05B56">
        <w:t>to 6.</w:t>
      </w:r>
      <w:r w:rsidR="00BF7DB6">
        <w:t>5</w:t>
      </w:r>
      <w:r w:rsidR="00D05B56">
        <w:t xml:space="preserve"> </w:t>
      </w:r>
      <w:r w:rsidR="00D05B56" w:rsidRPr="00D05B56">
        <w:t>claims per million hours worked</w:t>
      </w:r>
      <w:r w:rsidRPr="00D05B56">
        <w:t>.</w:t>
      </w:r>
      <w:r w:rsidR="003A1B9E">
        <w:t xml:space="preserve"> </w:t>
      </w:r>
      <w:r w:rsidR="00D05B56">
        <w:t xml:space="preserve">Indicator 2 also shows: </w:t>
      </w:r>
    </w:p>
    <w:p w14:paraId="35FDF89D" w14:textId="017DF169" w:rsidR="008E4254" w:rsidRPr="008E4254" w:rsidRDefault="00F31A5A" w:rsidP="00C03259">
      <w:pPr>
        <w:pStyle w:val="ListParagraph"/>
        <w:numPr>
          <w:ilvl w:val="0"/>
          <w:numId w:val="9"/>
        </w:numPr>
        <w:rPr>
          <w:color w:val="C00000"/>
        </w:rPr>
      </w:pPr>
      <w:r w:rsidRPr="00D05B56">
        <w:t>Tasmania</w:t>
      </w:r>
      <w:r w:rsidR="00375853">
        <w:t xml:space="preserve"> recorded the </w:t>
      </w:r>
      <w:r w:rsidR="005170CF" w:rsidRPr="00D05B56">
        <w:t xml:space="preserve">highest frequency rate </w:t>
      </w:r>
      <w:r w:rsidR="00375853">
        <w:t xml:space="preserve">in </w:t>
      </w:r>
      <w:r w:rsidR="003A1B9E">
        <w:t>20</w:t>
      </w:r>
      <w:r w:rsidR="00BF7DB6">
        <w:t>20</w:t>
      </w:r>
      <w:r w:rsidR="003A1B9E">
        <w:t>–2</w:t>
      </w:r>
      <w:r w:rsidR="00BF7DB6">
        <w:t>1</w:t>
      </w:r>
      <w:r w:rsidR="003A1B9E">
        <w:t>p</w:t>
      </w:r>
      <w:r w:rsidR="00375853">
        <w:t xml:space="preserve"> </w:t>
      </w:r>
      <w:r w:rsidR="005170CF" w:rsidRPr="00D05B56">
        <w:t>of 9.</w:t>
      </w:r>
      <w:r w:rsidR="00BF7DB6">
        <w:t>6</w:t>
      </w:r>
      <w:r w:rsidR="00375853">
        <w:t xml:space="preserve"> claims per million hours worked.</w:t>
      </w:r>
      <w:r w:rsidR="003A1B9E">
        <w:t xml:space="preserve"> </w:t>
      </w:r>
      <w:r w:rsidR="00375853">
        <w:t xml:space="preserve">This was followed by </w:t>
      </w:r>
      <w:r w:rsidR="00BF7DB6">
        <w:t xml:space="preserve">Queensland </w:t>
      </w:r>
      <w:r w:rsidR="00375853">
        <w:t>(8.</w:t>
      </w:r>
      <w:r w:rsidR="00BF7DB6">
        <w:t>2</w:t>
      </w:r>
      <w:r w:rsidR="00375853">
        <w:t xml:space="preserve"> claims per million hours worked</w:t>
      </w:r>
      <w:r w:rsidR="008E4254">
        <w:t>)</w:t>
      </w:r>
      <w:r w:rsidR="00375853">
        <w:t>.</w:t>
      </w:r>
      <w:r w:rsidR="005170CF">
        <w:rPr>
          <w:color w:val="C00000"/>
        </w:rPr>
        <w:t xml:space="preserve"> </w:t>
      </w:r>
    </w:p>
    <w:p w14:paraId="458C8113" w14:textId="36CBDA0F" w:rsidR="005170CF" w:rsidRDefault="00375853" w:rsidP="00C03259">
      <w:pPr>
        <w:pStyle w:val="ListParagraph"/>
        <w:numPr>
          <w:ilvl w:val="0"/>
          <w:numId w:val="9"/>
        </w:numPr>
      </w:pPr>
      <w:r>
        <w:t xml:space="preserve">The Australian Government </w:t>
      </w:r>
      <w:r w:rsidR="00461C5D">
        <w:t xml:space="preserve">recorded the lowest </w:t>
      </w:r>
      <w:r w:rsidR="00461C5D" w:rsidRPr="00D92A91">
        <w:t>frequency rate</w:t>
      </w:r>
      <w:r w:rsidR="00461C5D">
        <w:t xml:space="preserve"> </w:t>
      </w:r>
      <w:r w:rsidR="008E4254">
        <w:t xml:space="preserve">in </w:t>
      </w:r>
      <w:r w:rsidR="003A1B9E">
        <w:t>20</w:t>
      </w:r>
      <w:r w:rsidR="00BF7DB6">
        <w:t>20</w:t>
      </w:r>
      <w:r w:rsidR="003A1B9E">
        <w:t>–2</w:t>
      </w:r>
      <w:r w:rsidR="00BF7DB6">
        <w:t>1</w:t>
      </w:r>
      <w:r w:rsidR="003A1B9E">
        <w:t>p</w:t>
      </w:r>
      <w:r w:rsidR="008E4254">
        <w:t xml:space="preserve"> </w:t>
      </w:r>
      <w:r w:rsidR="00461C5D">
        <w:t>of 2.</w:t>
      </w:r>
      <w:r w:rsidR="00BF7DB6">
        <w:t>6</w:t>
      </w:r>
      <w:r w:rsidR="008E4254">
        <w:t xml:space="preserve"> claims</w:t>
      </w:r>
      <w:r w:rsidR="00461C5D" w:rsidRPr="00D92A91">
        <w:t xml:space="preserve"> per million hours worked</w:t>
      </w:r>
      <w:r w:rsidR="008E4254">
        <w:t>.</w:t>
      </w:r>
    </w:p>
    <w:p w14:paraId="6AA40A36" w14:textId="2A39F4C1" w:rsidR="008E4254" w:rsidRDefault="00BF7DB6" w:rsidP="00C03259">
      <w:pPr>
        <w:pStyle w:val="ListParagraph"/>
        <w:numPr>
          <w:ilvl w:val="0"/>
          <w:numId w:val="9"/>
        </w:numPr>
      </w:pPr>
      <w:r>
        <w:t>New South Wales (</w:t>
      </w:r>
      <w:r w:rsidRPr="008E4254">
        <w:rPr>
          <w:rFonts w:ascii="Wingdings 3" w:hAnsi="Wingdings 3"/>
          <w:b/>
          <w:bCs/>
          <w:color w:val="00518E"/>
        </w:rPr>
        <w:t>h</w:t>
      </w:r>
      <w:r w:rsidRPr="008E4254">
        <w:rPr>
          <w:b/>
          <w:bCs/>
          <w:color w:val="00518E"/>
        </w:rPr>
        <w:t xml:space="preserve"> up 2</w:t>
      </w:r>
      <w:r>
        <w:rPr>
          <w:b/>
          <w:bCs/>
          <w:color w:val="00518E"/>
        </w:rPr>
        <w:t>7</w:t>
      </w:r>
      <w:r w:rsidRPr="008E4254">
        <w:rPr>
          <w:b/>
          <w:bCs/>
          <w:color w:val="00518E"/>
        </w:rPr>
        <w:t>%</w:t>
      </w:r>
      <w:r w:rsidRPr="00B108F1">
        <w:t>)</w:t>
      </w:r>
      <w:r>
        <w:t>,</w:t>
      </w:r>
      <w:r w:rsidRPr="008E4254">
        <w:rPr>
          <w:b/>
          <w:bCs/>
          <w:color w:val="00518E"/>
        </w:rPr>
        <w:t xml:space="preserve"> </w:t>
      </w:r>
      <w:r w:rsidR="008E4254">
        <w:t>Tasmania (</w:t>
      </w:r>
      <w:r w:rsidR="008E4254" w:rsidRPr="008E4254">
        <w:rPr>
          <w:rFonts w:ascii="Wingdings 3" w:hAnsi="Wingdings 3"/>
          <w:b/>
          <w:bCs/>
          <w:color w:val="00518E"/>
        </w:rPr>
        <w:t>h</w:t>
      </w:r>
      <w:r w:rsidR="008E4254" w:rsidRPr="008E4254">
        <w:rPr>
          <w:b/>
          <w:bCs/>
          <w:color w:val="00518E"/>
        </w:rPr>
        <w:t xml:space="preserve"> up 2</w:t>
      </w:r>
      <w:r>
        <w:rPr>
          <w:b/>
          <w:bCs/>
          <w:color w:val="00518E"/>
        </w:rPr>
        <w:t>1</w:t>
      </w:r>
      <w:r w:rsidR="008E4254" w:rsidRPr="008E4254">
        <w:rPr>
          <w:b/>
          <w:bCs/>
          <w:color w:val="00518E"/>
        </w:rPr>
        <w:t>%</w:t>
      </w:r>
      <w:r w:rsidR="008E4254" w:rsidRPr="00B108F1">
        <w:t>)</w:t>
      </w:r>
      <w:r w:rsidR="00287A54">
        <w:t xml:space="preserve">, </w:t>
      </w:r>
      <w:r w:rsidR="008E4254">
        <w:t>Queensland (</w:t>
      </w:r>
      <w:r w:rsidR="008E4254" w:rsidRPr="008E4254">
        <w:rPr>
          <w:rFonts w:ascii="Wingdings 3" w:hAnsi="Wingdings 3"/>
          <w:b/>
          <w:bCs/>
          <w:color w:val="00518E"/>
        </w:rPr>
        <w:t>h</w:t>
      </w:r>
      <w:r w:rsidR="008E4254" w:rsidRPr="008E4254">
        <w:rPr>
          <w:b/>
          <w:bCs/>
          <w:color w:val="00518E"/>
        </w:rPr>
        <w:t xml:space="preserve"> up </w:t>
      </w:r>
      <w:r>
        <w:rPr>
          <w:b/>
          <w:bCs/>
          <w:color w:val="00518E"/>
        </w:rPr>
        <w:t>10</w:t>
      </w:r>
      <w:r w:rsidR="008E4254" w:rsidRPr="008E4254">
        <w:rPr>
          <w:b/>
          <w:bCs/>
          <w:color w:val="00518E"/>
        </w:rPr>
        <w:t>%</w:t>
      </w:r>
      <w:r w:rsidR="008E4254" w:rsidRPr="00B108F1">
        <w:t>)</w:t>
      </w:r>
      <w:r w:rsidR="00287A54">
        <w:t>, South Australia (</w:t>
      </w:r>
      <w:r w:rsidR="00287A54" w:rsidRPr="008E4254">
        <w:rPr>
          <w:rFonts w:ascii="Wingdings 3" w:hAnsi="Wingdings 3"/>
          <w:b/>
          <w:bCs/>
          <w:color w:val="00518E"/>
        </w:rPr>
        <w:t>h</w:t>
      </w:r>
      <w:r w:rsidR="00287A54" w:rsidRPr="008E4254">
        <w:rPr>
          <w:b/>
          <w:bCs/>
          <w:color w:val="00518E"/>
        </w:rPr>
        <w:t xml:space="preserve"> up</w:t>
      </w:r>
      <w:r w:rsidR="00287A54">
        <w:rPr>
          <w:b/>
          <w:bCs/>
          <w:color w:val="00518E"/>
        </w:rPr>
        <w:t xml:space="preserve"> </w:t>
      </w:r>
      <w:r w:rsidR="00287A54" w:rsidRPr="008E4254">
        <w:rPr>
          <w:b/>
          <w:bCs/>
          <w:color w:val="00518E"/>
        </w:rPr>
        <w:t>3%</w:t>
      </w:r>
      <w:r w:rsidR="00287A54" w:rsidRPr="00B108F1">
        <w:t>)</w:t>
      </w:r>
      <w:r w:rsidR="00287A54">
        <w:t xml:space="preserve"> and the Australian Government (</w:t>
      </w:r>
      <w:r w:rsidR="00287A54" w:rsidRPr="008E4254">
        <w:rPr>
          <w:rFonts w:ascii="Wingdings 3" w:hAnsi="Wingdings 3"/>
          <w:b/>
          <w:bCs/>
          <w:color w:val="00518E"/>
        </w:rPr>
        <w:t>h</w:t>
      </w:r>
      <w:r w:rsidR="00287A54" w:rsidRPr="008E4254">
        <w:rPr>
          <w:b/>
          <w:bCs/>
          <w:color w:val="00518E"/>
        </w:rPr>
        <w:t xml:space="preserve"> up 2%</w:t>
      </w:r>
      <w:r w:rsidR="00287A54" w:rsidRPr="00B108F1">
        <w:t>)</w:t>
      </w:r>
      <w:r w:rsidR="00287A54">
        <w:t>,</w:t>
      </w:r>
      <w:r w:rsidR="00287A54" w:rsidRPr="008E4254">
        <w:rPr>
          <w:b/>
          <w:bCs/>
          <w:color w:val="00518E"/>
        </w:rPr>
        <w:t xml:space="preserve"> </w:t>
      </w:r>
      <w:r w:rsidR="008E4254">
        <w:t xml:space="preserve">all recorded increases </w:t>
      </w:r>
      <w:r w:rsidR="00DB2F86">
        <w:t xml:space="preserve">in the frequency rate </w:t>
      </w:r>
      <w:r w:rsidR="008E4254">
        <w:t>between 201</w:t>
      </w:r>
      <w:r w:rsidR="00287A54">
        <w:t>5</w:t>
      </w:r>
      <w:r w:rsidR="008E4254">
        <w:t>–1</w:t>
      </w:r>
      <w:r w:rsidR="00287A54">
        <w:t>6</w:t>
      </w:r>
      <w:r w:rsidR="008E4254">
        <w:t xml:space="preserve"> and 201</w:t>
      </w:r>
      <w:r w:rsidR="00287A54">
        <w:t>9</w:t>
      </w:r>
      <w:r w:rsidR="008E4254">
        <w:t>–</w:t>
      </w:r>
      <w:r w:rsidR="00287A54">
        <w:t>20</w:t>
      </w:r>
      <w:r w:rsidR="008E4254">
        <w:t>, whereas the other Australian</w:t>
      </w:r>
      <w:r w:rsidR="00780CE7">
        <w:t> </w:t>
      </w:r>
      <w:r w:rsidR="008E4254">
        <w:t>jurisdictions recorded decreases during this period.</w:t>
      </w:r>
      <w:r w:rsidR="003A1B9E">
        <w:t xml:space="preserve"> </w:t>
      </w:r>
      <w:proofErr w:type="spellStart"/>
      <w:r w:rsidR="00287A54">
        <w:t>Seacare</w:t>
      </w:r>
      <w:proofErr w:type="spellEnd"/>
      <w:r w:rsidR="00287A54">
        <w:t xml:space="preserve"> registered the largest increase (</w:t>
      </w:r>
      <w:r w:rsidR="00287A54" w:rsidRPr="008E4254">
        <w:rPr>
          <w:rFonts w:ascii="Wingdings 3" w:hAnsi="Wingdings 3"/>
          <w:b/>
          <w:bCs/>
          <w:color w:val="00518E"/>
        </w:rPr>
        <w:t>h</w:t>
      </w:r>
      <w:r w:rsidR="00287A54" w:rsidRPr="008E4254">
        <w:rPr>
          <w:b/>
          <w:bCs/>
          <w:color w:val="00518E"/>
        </w:rPr>
        <w:t xml:space="preserve"> up </w:t>
      </w:r>
      <w:r w:rsidR="00287A54">
        <w:rPr>
          <w:b/>
          <w:bCs/>
          <w:color w:val="00518E"/>
        </w:rPr>
        <w:t>97</w:t>
      </w:r>
      <w:r w:rsidR="00287A54" w:rsidRPr="008E4254">
        <w:rPr>
          <w:b/>
          <w:bCs/>
          <w:color w:val="00518E"/>
        </w:rPr>
        <w:t>%</w:t>
      </w:r>
      <w:r w:rsidR="00287A54" w:rsidRPr="00B108F1">
        <w:t>)</w:t>
      </w:r>
      <w:r w:rsidR="00287A54">
        <w:t xml:space="preserve"> </w:t>
      </w:r>
      <w:r w:rsidR="00CE79A8">
        <w:t xml:space="preserve">however </w:t>
      </w:r>
      <w:r w:rsidR="000F4F04">
        <w:t>its</w:t>
      </w:r>
      <w:r w:rsidR="00287A54">
        <w:t xml:space="preserve"> rates are highly volatile due to the small number of claims compared with all other jurisdictions.</w:t>
      </w:r>
    </w:p>
    <w:p w14:paraId="7900E76A" w14:textId="3DB823A3" w:rsidR="00461C5D" w:rsidRDefault="00461C5D" w:rsidP="00C03259">
      <w:pPr>
        <w:pStyle w:val="ListParagraph"/>
        <w:numPr>
          <w:ilvl w:val="0"/>
          <w:numId w:val="9"/>
        </w:numPr>
      </w:pPr>
      <w:r>
        <w:t>New Zealand</w:t>
      </w:r>
      <w:r w:rsidR="008E4254">
        <w:t xml:space="preserve"> reco</w:t>
      </w:r>
      <w:r w:rsidR="00DB2F86">
        <w:t>r</w:t>
      </w:r>
      <w:r w:rsidR="008E4254">
        <w:t xml:space="preserve">ded a frequency rate of </w:t>
      </w:r>
      <w:r w:rsidR="00287A54">
        <w:t>9.9</w:t>
      </w:r>
      <w:r w:rsidR="008E4254">
        <w:t xml:space="preserve"> claims </w:t>
      </w:r>
      <w:r w:rsidR="008E4254" w:rsidRPr="00D92A91">
        <w:t>per million hours worked</w:t>
      </w:r>
      <w:r w:rsidR="008E4254">
        <w:t xml:space="preserve"> in 20</w:t>
      </w:r>
      <w:r w:rsidR="00287A54">
        <w:t>20</w:t>
      </w:r>
      <w:r w:rsidR="008E4254">
        <w:t>–2</w:t>
      </w:r>
      <w:r w:rsidR="00287A54">
        <w:t>1</w:t>
      </w:r>
      <w:r w:rsidR="008E4254">
        <w:t>p.</w:t>
      </w:r>
      <w:r w:rsidR="003A1B9E">
        <w:t xml:space="preserve"> </w:t>
      </w:r>
      <w:r w:rsidR="008E4254">
        <w:t>Between 201</w:t>
      </w:r>
      <w:r w:rsidR="00287A54">
        <w:t>5</w:t>
      </w:r>
      <w:r w:rsidR="008E4254">
        <w:t>–1</w:t>
      </w:r>
      <w:r w:rsidR="00287A54">
        <w:t>6</w:t>
      </w:r>
      <w:r w:rsidR="008E4254">
        <w:t xml:space="preserve"> and 201</w:t>
      </w:r>
      <w:r w:rsidR="00287A54">
        <w:t>9</w:t>
      </w:r>
      <w:r w:rsidR="008E4254">
        <w:t>–</w:t>
      </w:r>
      <w:r w:rsidR="00287A54">
        <w:t>20</w:t>
      </w:r>
      <w:r w:rsidR="00A77091">
        <w:t>,</w:t>
      </w:r>
      <w:r w:rsidR="008E4254">
        <w:t xml:space="preserve"> there was a </w:t>
      </w:r>
      <w:r w:rsidR="008E4254" w:rsidRPr="006E2C4F">
        <w:rPr>
          <w:b/>
          <w:bCs/>
          <w:color w:val="00518E"/>
        </w:rPr>
        <w:t>2</w:t>
      </w:r>
      <w:r w:rsidR="00287A54">
        <w:rPr>
          <w:b/>
          <w:bCs/>
          <w:color w:val="00518E"/>
        </w:rPr>
        <w:t>0</w:t>
      </w:r>
      <w:r w:rsidR="008E4254" w:rsidRPr="006E2C4F">
        <w:rPr>
          <w:b/>
          <w:bCs/>
          <w:color w:val="00518E"/>
        </w:rPr>
        <w:t>% increase</w:t>
      </w:r>
      <w:r w:rsidR="008E4254">
        <w:t xml:space="preserve"> in the frequency rates recorded</w:t>
      </w:r>
      <w:r>
        <w:t>.</w:t>
      </w:r>
    </w:p>
    <w:p w14:paraId="30432FFD" w14:textId="46930D73" w:rsidR="00D10D6A" w:rsidRPr="00086AB2" w:rsidRDefault="00D10D6A" w:rsidP="009C00F7">
      <w:pPr>
        <w:pStyle w:val="Heading3"/>
        <w:spacing w:before="240" w:after="0"/>
      </w:pPr>
      <w:bookmarkStart w:id="16" w:name="_Toc56603293"/>
      <w:bookmarkStart w:id="17" w:name="_Toc56772228"/>
      <w:bookmarkStart w:id="18" w:name="_Toc86602456"/>
      <w:r w:rsidRPr="00086AB2">
        <w:t xml:space="preserve">Indicator </w:t>
      </w:r>
      <w:r w:rsidR="009D6F53">
        <w:rPr>
          <w:b w:val="0"/>
        </w:rPr>
        <w:fldChar w:fldCharType="begin"/>
      </w:r>
      <w:r w:rsidR="009D6F53">
        <w:rPr>
          <w:b w:val="0"/>
        </w:rPr>
        <w:instrText xml:space="preserve"> SEQ Indicator \* ARABIC </w:instrText>
      </w:r>
      <w:r w:rsidR="009D6F53">
        <w:rPr>
          <w:b w:val="0"/>
        </w:rPr>
        <w:fldChar w:fldCharType="separate"/>
      </w:r>
      <w:r w:rsidR="004132C1">
        <w:rPr>
          <w:b w:val="0"/>
          <w:noProof/>
        </w:rPr>
        <w:t>2</w:t>
      </w:r>
      <w:r w:rsidR="009D6F53">
        <w:rPr>
          <w:rFonts w:ascii="Arial" w:eastAsia="Times New Roman" w:hAnsi="Arial" w:cs="Times New Roman"/>
          <w:b w:val="0"/>
          <w:noProof/>
          <w:color w:val="auto"/>
          <w:szCs w:val="24"/>
          <w:lang w:eastAsia="en-AU"/>
        </w:rPr>
        <w:fldChar w:fldCharType="end"/>
      </w:r>
      <w:r w:rsidRPr="00086AB2">
        <w:t xml:space="preserve"> </w:t>
      </w:r>
      <w:r w:rsidR="00E76BFC" w:rsidRPr="00086AB2">
        <w:t>–</w:t>
      </w:r>
      <w:r w:rsidRPr="00086AB2">
        <w:t xml:space="preserve"> Frequency rate of serious injury claims by jurisdiction</w:t>
      </w:r>
      <w:bookmarkEnd w:id="16"/>
      <w:bookmarkEnd w:id="17"/>
      <w:bookmarkEnd w:id="18"/>
    </w:p>
    <w:p w14:paraId="43F0603E" w14:textId="2666682A" w:rsidR="00271700" w:rsidRPr="00086AB2" w:rsidRDefault="00EF0328" w:rsidP="0017447F">
      <w:pPr>
        <w:jc w:val="center"/>
      </w:pPr>
      <w:r>
        <w:rPr>
          <w:noProof/>
        </w:rPr>
        <w:drawing>
          <wp:inline distT="0" distB="0" distL="0" distR="0" wp14:anchorId="1E874403" wp14:editId="5505A790">
            <wp:extent cx="5511165" cy="2511343"/>
            <wp:effectExtent l="0" t="0" r="0" b="3810"/>
            <wp:docPr id="8" name="Picture 8" descr="Indicator 2 – Frequency rates of serious injury claims by jurisdiction&#10;&#10;This column chart shows comparison of frequency rates of serious injury and disease claims in Australian jurisdictions and New Zealand between 2015-16 and 2020-21, and a line indicating the average frequency rate across Australia based on the preliminary data for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dicator 2 – Frequency rates of serious injury claims by jurisdiction&#10;&#10;This column chart shows comparison of frequency rates of serious injury and disease claims in Australian jurisdictions and New Zealand between 2015-16 and 2020-21, and a line indicating the average frequency rate across Australia based on the preliminary data for 2020–2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9186" cy="2519555"/>
                    </a:xfrm>
                    <a:prstGeom prst="rect">
                      <a:avLst/>
                    </a:prstGeom>
                    <a:noFill/>
                  </pic:spPr>
                </pic:pic>
              </a:graphicData>
            </a:graphic>
          </wp:inline>
        </w:drawing>
      </w:r>
    </w:p>
    <w:p w14:paraId="5CA7D044" w14:textId="77777777" w:rsidR="008659BF" w:rsidRDefault="008659BF">
      <w:pPr>
        <w:spacing w:after="200" w:line="276" w:lineRule="auto"/>
        <w:jc w:val="left"/>
        <w:rPr>
          <w:rFonts w:eastAsiaTheme="majorEastAsia" w:cs="Arial"/>
          <w:b/>
          <w:color w:val="AF1E2D"/>
          <w:sz w:val="32"/>
          <w:szCs w:val="22"/>
        </w:rPr>
      </w:pPr>
      <w:bookmarkStart w:id="19" w:name="_Toc86602457"/>
      <w:r>
        <w:br w:type="page"/>
      </w:r>
    </w:p>
    <w:p w14:paraId="500E1BB2" w14:textId="26DF3959" w:rsidR="00C85DF5" w:rsidRPr="0023228D" w:rsidRDefault="005E07FA" w:rsidP="005E07FA">
      <w:pPr>
        <w:pStyle w:val="SWASectionnum2"/>
        <w:numPr>
          <w:ilvl w:val="0"/>
          <w:numId w:val="0"/>
        </w:numPr>
        <w:rPr>
          <w:color w:val="00B050"/>
          <w:sz w:val="16"/>
          <w:szCs w:val="16"/>
        </w:rPr>
      </w:pPr>
      <w:r>
        <w:lastRenderedPageBreak/>
        <w:t xml:space="preserve">1.3 </w:t>
      </w:r>
      <w:r w:rsidR="00C85DF5" w:rsidRPr="00086AB2">
        <w:t>Long term incidence and frequency rates</w:t>
      </w:r>
      <w:bookmarkEnd w:id="19"/>
      <w:r w:rsidR="00020821">
        <w:t xml:space="preserve"> </w:t>
      </w:r>
    </w:p>
    <w:p w14:paraId="45120BAE" w14:textId="76F671B2" w:rsidR="0068269E" w:rsidRDefault="00A33758" w:rsidP="00D10D6A">
      <w:r w:rsidRPr="0068269E">
        <w:t>The incidence rate of long term (12 weeks or more compensation) injury and disease claims (Indicator</w:t>
      </w:r>
      <w:r w:rsidR="0068269E">
        <w:t> </w:t>
      </w:r>
      <w:r w:rsidRPr="0068269E">
        <w:t xml:space="preserve">3) in </w:t>
      </w:r>
      <w:r w:rsidRPr="006852E9">
        <w:t xml:space="preserve">Australia between </w:t>
      </w:r>
      <w:r w:rsidR="003A1B9E">
        <w:t>201</w:t>
      </w:r>
      <w:r w:rsidR="004D4012">
        <w:t>5</w:t>
      </w:r>
      <w:r w:rsidR="003A1B9E">
        <w:t>–1</w:t>
      </w:r>
      <w:r w:rsidR="004D4012">
        <w:t>6</w:t>
      </w:r>
      <w:r w:rsidR="00A57645" w:rsidRPr="001465EE">
        <w:t xml:space="preserve"> </w:t>
      </w:r>
      <w:r w:rsidRPr="006852E9">
        <w:t>and 201</w:t>
      </w:r>
      <w:r w:rsidR="004D4012">
        <w:t>9</w:t>
      </w:r>
      <w:r w:rsidRPr="006852E9">
        <w:t>–</w:t>
      </w:r>
      <w:r w:rsidR="004D4012">
        <w:t>20</w:t>
      </w:r>
      <w:r w:rsidRPr="006852E9">
        <w:t xml:space="preserve"> </w:t>
      </w:r>
      <w:r w:rsidR="00565D1F" w:rsidRPr="001465EE">
        <w:t>ha</w:t>
      </w:r>
      <w:r w:rsidR="00565D1F" w:rsidRPr="00FC1393">
        <w:t xml:space="preserve">s increased </w:t>
      </w:r>
      <w:r w:rsidR="001465EE" w:rsidRPr="00FC1393">
        <w:t xml:space="preserve">in </w:t>
      </w:r>
      <w:r w:rsidR="001465EE" w:rsidRPr="001465EE">
        <w:t>recent years</w:t>
      </w:r>
      <w:r w:rsidR="006852E9">
        <w:t xml:space="preserve"> to a rate of 3.</w:t>
      </w:r>
      <w:r w:rsidR="009C29C4">
        <w:t>9</w:t>
      </w:r>
      <w:r w:rsidR="006852E9" w:rsidRPr="006852E9">
        <w:t xml:space="preserve"> claims per 1,000 employees</w:t>
      </w:r>
      <w:r w:rsidRPr="006852E9">
        <w:t xml:space="preserve">. </w:t>
      </w:r>
    </w:p>
    <w:p w14:paraId="39E72BD5" w14:textId="39FD99A2" w:rsidR="0068269E" w:rsidRDefault="0068269E" w:rsidP="00D10D6A">
      <w:r w:rsidRPr="00D05B56">
        <w:t xml:space="preserve">Preliminary </w:t>
      </w:r>
      <w:r w:rsidR="00A77091">
        <w:t>result</w:t>
      </w:r>
      <w:r w:rsidR="008400BE">
        <w:t xml:space="preserve">s </w:t>
      </w:r>
      <w:r w:rsidRPr="00D05B56">
        <w:t xml:space="preserve">in </w:t>
      </w:r>
      <w:r w:rsidR="003A1B9E">
        <w:t>20</w:t>
      </w:r>
      <w:r w:rsidR="009C29C4">
        <w:t>20</w:t>
      </w:r>
      <w:r w:rsidR="003A1B9E">
        <w:t>–2</w:t>
      </w:r>
      <w:r w:rsidR="009C29C4">
        <w:t>1</w:t>
      </w:r>
      <w:r w:rsidR="003A1B9E">
        <w:t>p</w:t>
      </w:r>
      <w:r w:rsidRPr="00D05B56">
        <w:t xml:space="preserve"> </w:t>
      </w:r>
      <w:r w:rsidR="006659E2">
        <w:t xml:space="preserve">shows </w:t>
      </w:r>
      <w:r w:rsidRPr="00D05B56">
        <w:t xml:space="preserve">that the </w:t>
      </w:r>
      <w:r>
        <w:t xml:space="preserve">incidence rate remains at </w:t>
      </w:r>
      <w:r w:rsidR="00742261">
        <w:t>3.</w:t>
      </w:r>
      <w:r w:rsidR="009C29C4">
        <w:t>9</w:t>
      </w:r>
      <w:r>
        <w:t xml:space="preserve"> </w:t>
      </w:r>
      <w:r w:rsidRPr="00D05B56">
        <w:t>claims per million hours worked.</w:t>
      </w:r>
      <w:r w:rsidR="003A1B9E">
        <w:t xml:space="preserve"> </w:t>
      </w:r>
      <w:r w:rsidR="00F1735F" w:rsidRPr="0068269E">
        <w:t>However,</w:t>
      </w:r>
      <w:r w:rsidRPr="0068269E">
        <w:t xml:space="preserve"> </w:t>
      </w:r>
      <w:r>
        <w:t xml:space="preserve">this </w:t>
      </w:r>
      <w:r w:rsidRPr="0068269E">
        <w:t>should be treated with caution as claimants with open claims may accrue more time lost or compensation payments in subsequent years</w:t>
      </w:r>
      <w:r>
        <w:t>.</w:t>
      </w:r>
      <w:r w:rsidR="003A1B9E">
        <w:t xml:space="preserve"> </w:t>
      </w:r>
      <w:r>
        <w:t>Indicator 3 also shows:</w:t>
      </w:r>
    </w:p>
    <w:p w14:paraId="4BE769DE" w14:textId="1306A08B" w:rsidR="0068269E" w:rsidRDefault="0068269E" w:rsidP="00C03259">
      <w:pPr>
        <w:pStyle w:val="ListParagraph"/>
        <w:numPr>
          <w:ilvl w:val="0"/>
          <w:numId w:val="8"/>
        </w:numPr>
      </w:pPr>
      <w:r>
        <w:t xml:space="preserve">Most </w:t>
      </w:r>
      <w:r w:rsidRPr="00086AB2">
        <w:t>Australian jurisdictions,</w:t>
      </w:r>
      <w:r>
        <w:t xml:space="preserve"> </w:t>
      </w:r>
      <w:r w:rsidRPr="00086AB2">
        <w:t xml:space="preserve">except </w:t>
      </w:r>
      <w:r>
        <w:t xml:space="preserve">for </w:t>
      </w:r>
      <w:r w:rsidR="00F1735F">
        <w:t xml:space="preserve">the </w:t>
      </w:r>
      <w:r w:rsidR="00CC1B76">
        <w:t>Northern Territory</w:t>
      </w:r>
      <w:r>
        <w:t xml:space="preserve"> (</w:t>
      </w:r>
      <w:r w:rsidR="00F1735F" w:rsidRPr="00EA497B">
        <w:rPr>
          <w:rFonts w:ascii="Wingdings 3" w:hAnsi="Wingdings 3"/>
          <w:b/>
          <w:bCs/>
          <w:color w:val="B94F25"/>
        </w:rPr>
        <w:t>i</w:t>
      </w:r>
      <w:r w:rsidR="00F1735F">
        <w:t xml:space="preserve"> </w:t>
      </w:r>
      <w:r w:rsidR="00F1735F" w:rsidRPr="00F1735F">
        <w:rPr>
          <w:b/>
          <w:bCs/>
          <w:color w:val="B94F25"/>
        </w:rPr>
        <w:t xml:space="preserve">down </w:t>
      </w:r>
      <w:r w:rsidR="00CC1B76">
        <w:rPr>
          <w:b/>
          <w:bCs/>
          <w:color w:val="B94F25"/>
        </w:rPr>
        <w:t>30</w:t>
      </w:r>
      <w:r w:rsidRPr="00F1735F">
        <w:rPr>
          <w:b/>
          <w:bCs/>
          <w:color w:val="B94F25"/>
        </w:rPr>
        <w:t>%</w:t>
      </w:r>
      <w:r w:rsidRPr="00F1735F">
        <w:t>)</w:t>
      </w:r>
      <w:r w:rsidR="00F1735F">
        <w:t xml:space="preserve"> and the </w:t>
      </w:r>
      <w:r w:rsidR="00CC1B76">
        <w:t xml:space="preserve">Australian Capital </w:t>
      </w:r>
      <w:r w:rsidR="00F1735F">
        <w:t>Territory</w:t>
      </w:r>
      <w:r>
        <w:t xml:space="preserve"> (</w:t>
      </w:r>
      <w:r w:rsidR="00F1735F" w:rsidRPr="00EA497B">
        <w:rPr>
          <w:rFonts w:ascii="Wingdings 3" w:hAnsi="Wingdings 3"/>
          <w:b/>
          <w:bCs/>
          <w:color w:val="B94F25"/>
        </w:rPr>
        <w:t>i</w:t>
      </w:r>
      <w:r w:rsidR="00F1735F">
        <w:t xml:space="preserve"> </w:t>
      </w:r>
      <w:r w:rsidR="00F1735F" w:rsidRPr="00F1735F">
        <w:rPr>
          <w:b/>
          <w:bCs/>
          <w:color w:val="B94F25"/>
        </w:rPr>
        <w:t xml:space="preserve">down </w:t>
      </w:r>
      <w:r w:rsidR="00CC1B76">
        <w:rPr>
          <w:b/>
          <w:bCs/>
          <w:color w:val="B94F25"/>
        </w:rPr>
        <w:t>3</w:t>
      </w:r>
      <w:r w:rsidRPr="00F1735F">
        <w:rPr>
          <w:b/>
          <w:bCs/>
          <w:color w:val="B94F25"/>
        </w:rPr>
        <w:t>%</w:t>
      </w:r>
      <w:r w:rsidRPr="00F1735F">
        <w:t>)</w:t>
      </w:r>
      <w:r w:rsidRPr="00F1735F">
        <w:rPr>
          <w:b/>
          <w:bCs/>
        </w:rPr>
        <w:t>,</w:t>
      </w:r>
      <w:r w:rsidRPr="00F1735F">
        <w:t xml:space="preserve"> </w:t>
      </w:r>
      <w:r w:rsidRPr="00086AB2">
        <w:t>recorded a</w:t>
      </w:r>
      <w:r w:rsidR="00F1735F">
        <w:t xml:space="preserve">n increase </w:t>
      </w:r>
      <w:r w:rsidRPr="00086AB2">
        <w:t xml:space="preserve">in incidence rates of </w:t>
      </w:r>
      <w:proofErr w:type="gramStart"/>
      <w:r w:rsidRPr="00086AB2">
        <w:t>long term</w:t>
      </w:r>
      <w:proofErr w:type="gramEnd"/>
      <w:r w:rsidRPr="00086AB2">
        <w:t xml:space="preserve"> claims over the period from 201</w:t>
      </w:r>
      <w:r w:rsidR="00CC1B76">
        <w:t>5</w:t>
      </w:r>
      <w:r w:rsidRPr="00086AB2">
        <w:t>–1</w:t>
      </w:r>
      <w:r w:rsidR="00CC1B76">
        <w:t>6</w:t>
      </w:r>
      <w:r w:rsidRPr="00086AB2">
        <w:t xml:space="preserve"> to 201</w:t>
      </w:r>
      <w:r w:rsidR="00CC1B76">
        <w:t>9</w:t>
      </w:r>
      <w:r w:rsidRPr="00086AB2">
        <w:t>–</w:t>
      </w:r>
      <w:r w:rsidR="00CC1B76">
        <w:t>20</w:t>
      </w:r>
      <w:r w:rsidRPr="00086AB2">
        <w:t>.</w:t>
      </w:r>
    </w:p>
    <w:p w14:paraId="610446BF" w14:textId="0049B0F8" w:rsidR="0068269E" w:rsidRPr="008324DA" w:rsidRDefault="00F1735F" w:rsidP="00C03259">
      <w:pPr>
        <w:pStyle w:val="ListParagraph"/>
        <w:numPr>
          <w:ilvl w:val="0"/>
          <w:numId w:val="8"/>
        </w:numPr>
      </w:pPr>
      <w:r w:rsidRPr="008324DA">
        <w:t>The highest increase was recorded by New South Wales (</w:t>
      </w:r>
      <w:r w:rsidRPr="008324DA">
        <w:rPr>
          <w:rFonts w:ascii="Wingdings 3" w:hAnsi="Wingdings 3"/>
          <w:b/>
          <w:bCs/>
          <w:color w:val="00518E"/>
        </w:rPr>
        <w:t>h</w:t>
      </w:r>
      <w:r w:rsidRPr="008324DA">
        <w:rPr>
          <w:b/>
          <w:bCs/>
          <w:color w:val="00518E"/>
        </w:rPr>
        <w:t xml:space="preserve"> up </w:t>
      </w:r>
      <w:r w:rsidR="00CC1B76" w:rsidRPr="008324DA">
        <w:rPr>
          <w:b/>
          <w:bCs/>
          <w:color w:val="00518E"/>
        </w:rPr>
        <w:t>55</w:t>
      </w:r>
      <w:r w:rsidRPr="008324DA">
        <w:rPr>
          <w:b/>
          <w:bCs/>
          <w:color w:val="00518E"/>
        </w:rPr>
        <w:t>%</w:t>
      </w:r>
      <w:r w:rsidRPr="008324DA">
        <w:t>)</w:t>
      </w:r>
      <w:r w:rsidRPr="008324DA">
        <w:rPr>
          <w:color w:val="00518E"/>
        </w:rPr>
        <w:t xml:space="preserve"> </w:t>
      </w:r>
      <w:r w:rsidRPr="008324DA">
        <w:t>over the period.</w:t>
      </w:r>
    </w:p>
    <w:p w14:paraId="1D3CD9B0" w14:textId="668B9849" w:rsidR="0068269E" w:rsidRPr="008324DA" w:rsidRDefault="0068269E" w:rsidP="00C03259">
      <w:pPr>
        <w:pStyle w:val="ListParagraph"/>
        <w:numPr>
          <w:ilvl w:val="0"/>
          <w:numId w:val="8"/>
        </w:numPr>
      </w:pPr>
      <w:r w:rsidRPr="008324DA">
        <w:t xml:space="preserve">New Zealand recorded a </w:t>
      </w:r>
      <w:r w:rsidR="004D5167" w:rsidRPr="003D703C">
        <w:rPr>
          <w:b/>
          <w:bCs/>
          <w:color w:val="B94F25"/>
        </w:rPr>
        <w:t>1</w:t>
      </w:r>
      <w:r w:rsidRPr="003D703C">
        <w:rPr>
          <w:b/>
          <w:bCs/>
          <w:color w:val="B94F25"/>
        </w:rPr>
        <w:t xml:space="preserve">% </w:t>
      </w:r>
      <w:r w:rsidR="004D5167" w:rsidRPr="003D703C">
        <w:rPr>
          <w:b/>
          <w:bCs/>
          <w:color w:val="B94F25"/>
        </w:rPr>
        <w:t>de</w:t>
      </w:r>
      <w:r w:rsidRPr="003D703C">
        <w:rPr>
          <w:b/>
          <w:bCs/>
          <w:color w:val="B94F25"/>
        </w:rPr>
        <w:t>crease</w:t>
      </w:r>
      <w:r w:rsidRPr="008324DA">
        <w:rPr>
          <w:color w:val="00518E"/>
        </w:rPr>
        <w:t xml:space="preserve"> </w:t>
      </w:r>
      <w:r w:rsidRPr="008324DA">
        <w:t xml:space="preserve">over </w:t>
      </w:r>
      <w:r w:rsidR="00F1735F" w:rsidRPr="008324DA">
        <w:t>the</w:t>
      </w:r>
      <w:r w:rsidRPr="008324DA">
        <w:t xml:space="preserve"> period, recording a rate of </w:t>
      </w:r>
      <w:r w:rsidR="00F1735F" w:rsidRPr="008324DA">
        <w:t>3.</w:t>
      </w:r>
      <w:r w:rsidR="004D5167" w:rsidRPr="008324DA">
        <w:t>0</w:t>
      </w:r>
      <w:r w:rsidR="00F1735F" w:rsidRPr="008324DA">
        <w:t xml:space="preserve"> claims per 1,000 employees.</w:t>
      </w:r>
    </w:p>
    <w:p w14:paraId="49ADAA4A" w14:textId="251A8705" w:rsidR="005820B5" w:rsidRPr="00086AB2" w:rsidRDefault="005820B5" w:rsidP="0031228B">
      <w:pPr>
        <w:pStyle w:val="Heading3"/>
      </w:pPr>
      <w:bookmarkStart w:id="20" w:name="_Toc56603294"/>
      <w:bookmarkStart w:id="21" w:name="_Toc56772229"/>
      <w:bookmarkStart w:id="22" w:name="_Toc86602458"/>
      <w:r w:rsidRPr="00086AB2">
        <w:t xml:space="preserve">Indicator </w:t>
      </w:r>
      <w:r w:rsidR="00594771">
        <w:fldChar w:fldCharType="begin"/>
      </w:r>
      <w:r w:rsidR="00594771">
        <w:instrText xml:space="preserve"> SEQ Indicator \* ARABIC </w:instrText>
      </w:r>
      <w:r w:rsidR="00594771">
        <w:fldChar w:fldCharType="separate"/>
      </w:r>
      <w:r w:rsidR="004132C1">
        <w:rPr>
          <w:noProof/>
        </w:rPr>
        <w:t>3</w:t>
      </w:r>
      <w:r w:rsidR="00594771">
        <w:rPr>
          <w:noProof/>
        </w:rPr>
        <w:fldChar w:fldCharType="end"/>
      </w:r>
      <w:r w:rsidRPr="00086AB2">
        <w:t xml:space="preserve"> </w:t>
      </w:r>
      <w:r w:rsidR="00E76BFC" w:rsidRPr="00086AB2">
        <w:t>–</w:t>
      </w:r>
      <w:r w:rsidRPr="00086AB2">
        <w:t xml:space="preserve"> Incidence rates of long term (12 weeks or more compensation) injury and disease claims by jurisdiction</w:t>
      </w:r>
      <w:bookmarkEnd w:id="20"/>
      <w:bookmarkEnd w:id="21"/>
      <w:bookmarkEnd w:id="22"/>
      <w:r w:rsidR="0023228D">
        <w:t xml:space="preserve"> </w:t>
      </w:r>
    </w:p>
    <w:p w14:paraId="225C6CA1" w14:textId="68BD0F40" w:rsidR="009F07C5" w:rsidRDefault="00AB5B6A" w:rsidP="00050658">
      <w:pPr>
        <w:jc w:val="center"/>
      </w:pPr>
      <w:r>
        <w:rPr>
          <w:noProof/>
        </w:rPr>
        <w:drawing>
          <wp:inline distT="0" distB="0" distL="0" distR="0" wp14:anchorId="42915744" wp14:editId="39CF820D">
            <wp:extent cx="6492875" cy="37369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875" cy="3736975"/>
                    </a:xfrm>
                    <a:prstGeom prst="rect">
                      <a:avLst/>
                    </a:prstGeom>
                    <a:noFill/>
                  </pic:spPr>
                </pic:pic>
              </a:graphicData>
            </a:graphic>
          </wp:inline>
        </w:drawing>
      </w:r>
    </w:p>
    <w:p w14:paraId="5E3A545F" w14:textId="77777777" w:rsidR="00050658" w:rsidRPr="00086AB2" w:rsidRDefault="00050658" w:rsidP="00050658">
      <w:pPr>
        <w:jc w:val="center"/>
      </w:pPr>
    </w:p>
    <w:p w14:paraId="09BF0220" w14:textId="4AFC64E9" w:rsidR="004F6B49" w:rsidRPr="0068269E" w:rsidRDefault="004F6B49" w:rsidP="00D10D6A">
      <w:r w:rsidRPr="0068269E">
        <w:t xml:space="preserve">The overall Australian frequency rate (Indicator 4) of </w:t>
      </w:r>
      <w:proofErr w:type="gramStart"/>
      <w:r w:rsidRPr="0068269E">
        <w:t>long</w:t>
      </w:r>
      <w:r w:rsidR="004E6C9F">
        <w:t xml:space="preserve"> </w:t>
      </w:r>
      <w:r w:rsidRPr="0068269E">
        <w:t>term</w:t>
      </w:r>
      <w:proofErr w:type="gramEnd"/>
      <w:r w:rsidRPr="0068269E">
        <w:t xml:space="preserve"> claims </w:t>
      </w:r>
      <w:r w:rsidR="00DA738E" w:rsidRPr="0068269E">
        <w:t xml:space="preserve">has </w:t>
      </w:r>
      <w:r w:rsidR="00D067C2">
        <w:rPr>
          <w:b/>
          <w:bCs/>
          <w:color w:val="00518E"/>
        </w:rPr>
        <w:t xml:space="preserve">increased by </w:t>
      </w:r>
      <w:r w:rsidR="002C5948">
        <w:rPr>
          <w:b/>
          <w:bCs/>
          <w:color w:val="00518E"/>
        </w:rPr>
        <w:t>25</w:t>
      </w:r>
      <w:r w:rsidR="00D067C2">
        <w:rPr>
          <w:b/>
          <w:bCs/>
          <w:color w:val="00518E"/>
        </w:rPr>
        <w:t xml:space="preserve">% </w:t>
      </w:r>
      <w:r w:rsidR="00DA738E" w:rsidRPr="0068269E">
        <w:t>between 201</w:t>
      </w:r>
      <w:r w:rsidR="002C5948">
        <w:t>5</w:t>
      </w:r>
      <w:r w:rsidR="00DA738E" w:rsidRPr="0068269E">
        <w:t>–1</w:t>
      </w:r>
      <w:r w:rsidR="002C5948">
        <w:t>6</w:t>
      </w:r>
      <w:r w:rsidRPr="0068269E">
        <w:t xml:space="preserve"> and 201</w:t>
      </w:r>
      <w:r w:rsidR="002C5948">
        <w:t>9</w:t>
      </w:r>
      <w:r w:rsidR="00206AD9" w:rsidRPr="0068269E">
        <w:t>–</w:t>
      </w:r>
      <w:r w:rsidR="002C5948">
        <w:t>20</w:t>
      </w:r>
      <w:r w:rsidR="00F1735F">
        <w:t>.</w:t>
      </w:r>
      <w:r w:rsidR="00DA738E" w:rsidRPr="0068269E">
        <w:t xml:space="preserve"> </w:t>
      </w:r>
      <w:r w:rsidR="00F1735F">
        <w:t>P</w:t>
      </w:r>
      <w:r w:rsidRPr="0068269E">
        <w:t xml:space="preserve">reliminary data </w:t>
      </w:r>
      <w:r w:rsidR="00F1735F" w:rsidRPr="00086AB2">
        <w:t xml:space="preserve">showed </w:t>
      </w:r>
      <w:r w:rsidR="00F1735F">
        <w:t xml:space="preserve">that the </w:t>
      </w:r>
      <w:r w:rsidR="00F1735F" w:rsidRPr="00086AB2">
        <w:t xml:space="preserve">Australian frequency rate of </w:t>
      </w:r>
      <w:proofErr w:type="gramStart"/>
      <w:r w:rsidR="00F1735F" w:rsidRPr="00086AB2">
        <w:t>long</w:t>
      </w:r>
      <w:r w:rsidR="004E6C9F">
        <w:t xml:space="preserve"> </w:t>
      </w:r>
      <w:r w:rsidR="00F1735F" w:rsidRPr="00086AB2">
        <w:t>term</w:t>
      </w:r>
      <w:proofErr w:type="gramEnd"/>
      <w:r w:rsidR="00F1735F" w:rsidRPr="00086AB2">
        <w:t xml:space="preserve"> serious claims</w:t>
      </w:r>
      <w:r w:rsidR="00F1735F">
        <w:t xml:space="preserve"> </w:t>
      </w:r>
      <w:r w:rsidR="00DB2F86">
        <w:t xml:space="preserve">increased from </w:t>
      </w:r>
      <w:r w:rsidR="002C5948">
        <w:t>1.9</w:t>
      </w:r>
      <w:r w:rsidR="00DB2F86">
        <w:t xml:space="preserve"> to</w:t>
      </w:r>
      <w:r w:rsidR="00F1735F">
        <w:t xml:space="preserve"> 2.</w:t>
      </w:r>
      <w:r w:rsidR="002C5948">
        <w:t>4</w:t>
      </w:r>
      <w:r w:rsidR="00F1735F" w:rsidRPr="00086AB2">
        <w:t xml:space="preserve"> claims per million hours worked</w:t>
      </w:r>
      <w:r w:rsidR="00F1735F">
        <w:t>.</w:t>
      </w:r>
      <w:r w:rsidR="003A1B9E">
        <w:t xml:space="preserve"> </w:t>
      </w:r>
      <w:r w:rsidR="00F1735F">
        <w:t xml:space="preserve">However, this </w:t>
      </w:r>
      <w:r w:rsidR="00F1735F" w:rsidRPr="0068269E">
        <w:t>should be treated with caution as claimants with open claims may accrue more time lost or compensation payments in subsequent years</w:t>
      </w:r>
      <w:r w:rsidR="00F1735F">
        <w:t>.</w:t>
      </w:r>
    </w:p>
    <w:p w14:paraId="17D3B961" w14:textId="09CEDAE9" w:rsidR="00AA5815" w:rsidRPr="00AA5815" w:rsidRDefault="00C07186" w:rsidP="00C03259">
      <w:pPr>
        <w:pStyle w:val="ListParagraph"/>
        <w:numPr>
          <w:ilvl w:val="0"/>
          <w:numId w:val="10"/>
        </w:numPr>
        <w:rPr>
          <w:color w:val="C00000"/>
        </w:rPr>
      </w:pPr>
      <w:r>
        <w:t>T</w:t>
      </w:r>
      <w:r w:rsidR="00AA5815">
        <w:t xml:space="preserve">he </w:t>
      </w:r>
      <w:r w:rsidR="002C5948">
        <w:t>Northern Territory</w:t>
      </w:r>
      <w:r w:rsidR="00AA5815">
        <w:t xml:space="preserve"> (</w:t>
      </w:r>
      <w:r w:rsidR="00AA5815" w:rsidRPr="00EA497B">
        <w:rPr>
          <w:rFonts w:ascii="Wingdings 3" w:hAnsi="Wingdings 3"/>
          <w:b/>
          <w:bCs/>
          <w:color w:val="B94F25"/>
        </w:rPr>
        <w:t>i</w:t>
      </w:r>
      <w:r w:rsidR="00AA5815">
        <w:t xml:space="preserve"> </w:t>
      </w:r>
      <w:r w:rsidR="00AA5815" w:rsidRPr="00F1735F">
        <w:rPr>
          <w:b/>
          <w:bCs/>
          <w:color w:val="B94F25"/>
        </w:rPr>
        <w:t>down 2</w:t>
      </w:r>
      <w:r w:rsidR="002C5948">
        <w:rPr>
          <w:b/>
          <w:bCs/>
          <w:color w:val="B94F25"/>
        </w:rPr>
        <w:t>3</w:t>
      </w:r>
      <w:r w:rsidR="00AA5815" w:rsidRPr="00F1735F">
        <w:rPr>
          <w:b/>
          <w:bCs/>
          <w:color w:val="B94F25"/>
        </w:rPr>
        <w:t>%</w:t>
      </w:r>
      <w:r w:rsidR="00AA5815" w:rsidRPr="00F1735F">
        <w:t>)</w:t>
      </w:r>
      <w:r w:rsidR="00AA5815">
        <w:t xml:space="preserve"> and the </w:t>
      </w:r>
      <w:r w:rsidR="002C5948">
        <w:t xml:space="preserve">Australian Capital </w:t>
      </w:r>
      <w:r w:rsidR="00AA5815">
        <w:t>Territory (</w:t>
      </w:r>
      <w:r w:rsidR="00AA5815" w:rsidRPr="00EA497B">
        <w:rPr>
          <w:rFonts w:ascii="Wingdings 3" w:hAnsi="Wingdings 3"/>
          <w:b/>
          <w:bCs/>
          <w:color w:val="B94F25"/>
        </w:rPr>
        <w:t>i</w:t>
      </w:r>
      <w:r w:rsidR="00AA5815">
        <w:t> </w:t>
      </w:r>
      <w:r w:rsidR="00AA5815" w:rsidRPr="00F1735F">
        <w:rPr>
          <w:b/>
          <w:bCs/>
          <w:color w:val="B94F25"/>
        </w:rPr>
        <w:t xml:space="preserve">down </w:t>
      </w:r>
      <w:r w:rsidR="00AA5815">
        <w:rPr>
          <w:b/>
          <w:bCs/>
          <w:color w:val="B94F25"/>
        </w:rPr>
        <w:t>1</w:t>
      </w:r>
      <w:r w:rsidR="00AA5815" w:rsidRPr="00F1735F">
        <w:rPr>
          <w:b/>
          <w:bCs/>
          <w:color w:val="B94F25"/>
        </w:rPr>
        <w:t>%</w:t>
      </w:r>
      <w:r w:rsidR="00AA5815" w:rsidRPr="00F1735F">
        <w:t>)</w:t>
      </w:r>
      <w:r w:rsidR="00DB2F86">
        <w:t xml:space="preserve"> </w:t>
      </w:r>
      <w:r w:rsidR="00A77091">
        <w:t>both</w:t>
      </w:r>
      <w:r>
        <w:t xml:space="preserve"> decreased the </w:t>
      </w:r>
      <w:r w:rsidR="00A77091">
        <w:t>frequency rate</w:t>
      </w:r>
      <w:r>
        <w:t>s</w:t>
      </w:r>
      <w:r w:rsidR="00A77091">
        <w:t xml:space="preserve"> of </w:t>
      </w:r>
      <w:proofErr w:type="gramStart"/>
      <w:r w:rsidR="00A77091">
        <w:t>long</w:t>
      </w:r>
      <w:r w:rsidR="004E6C9F">
        <w:t xml:space="preserve"> </w:t>
      </w:r>
      <w:r w:rsidR="00A77091">
        <w:t>term</w:t>
      </w:r>
      <w:proofErr w:type="gramEnd"/>
      <w:r w:rsidR="00A77091">
        <w:t xml:space="preserve"> claims </w:t>
      </w:r>
      <w:r w:rsidR="00DB2F86">
        <w:t xml:space="preserve">between </w:t>
      </w:r>
      <w:r w:rsidR="00DB2F86" w:rsidRPr="0068269E">
        <w:t>201</w:t>
      </w:r>
      <w:r w:rsidR="002C5948">
        <w:t>5</w:t>
      </w:r>
      <w:r w:rsidR="00DB2F86" w:rsidRPr="0068269E">
        <w:t>–1</w:t>
      </w:r>
      <w:r w:rsidR="002C5948">
        <w:t>6</w:t>
      </w:r>
      <w:r w:rsidR="00DB2F86" w:rsidRPr="0068269E">
        <w:t xml:space="preserve"> and 201</w:t>
      </w:r>
      <w:r w:rsidR="002C5948">
        <w:t>9</w:t>
      </w:r>
      <w:r w:rsidR="00DB2F86" w:rsidRPr="0068269E">
        <w:t>–</w:t>
      </w:r>
      <w:r w:rsidR="002C5948">
        <w:t>20</w:t>
      </w:r>
      <w:r w:rsidR="00AA5815">
        <w:rPr>
          <w:b/>
          <w:bCs/>
        </w:rPr>
        <w:t xml:space="preserve">. </w:t>
      </w:r>
    </w:p>
    <w:p w14:paraId="315C95EA" w14:textId="5DA5A8B8" w:rsidR="00AA5815" w:rsidRPr="00AA5815" w:rsidRDefault="00AA5815" w:rsidP="00C03259">
      <w:pPr>
        <w:pStyle w:val="ListParagraph"/>
        <w:numPr>
          <w:ilvl w:val="0"/>
          <w:numId w:val="10"/>
        </w:numPr>
        <w:rPr>
          <w:color w:val="C00000"/>
        </w:rPr>
      </w:pPr>
      <w:r>
        <w:t>Over the same period</w:t>
      </w:r>
      <w:r w:rsidR="00C07186">
        <w:t>,</w:t>
      </w:r>
      <w:r w:rsidR="003A1B9E">
        <w:t xml:space="preserve"> </w:t>
      </w:r>
      <w:r>
        <w:t>New South Wales, (</w:t>
      </w:r>
      <w:r w:rsidR="0017447F" w:rsidRPr="00F1735F">
        <w:rPr>
          <w:rFonts w:ascii="Wingdings 3" w:hAnsi="Wingdings 3"/>
          <w:b/>
          <w:bCs/>
          <w:color w:val="00518E"/>
        </w:rPr>
        <w:t>h</w:t>
      </w:r>
      <w:r w:rsidR="0017447F" w:rsidRPr="00F1735F">
        <w:rPr>
          <w:b/>
          <w:bCs/>
          <w:color w:val="00518E"/>
        </w:rPr>
        <w:t xml:space="preserve"> up</w:t>
      </w:r>
      <w:r>
        <w:t xml:space="preserve"> </w:t>
      </w:r>
      <w:r w:rsidR="002C5948">
        <w:rPr>
          <w:b/>
          <w:bCs/>
          <w:color w:val="00518E"/>
        </w:rPr>
        <w:t>59</w:t>
      </w:r>
      <w:r w:rsidRPr="0017447F">
        <w:rPr>
          <w:b/>
          <w:bCs/>
          <w:color w:val="00518E"/>
        </w:rPr>
        <w:t>%</w:t>
      </w:r>
      <w:r>
        <w:t xml:space="preserve">), </w:t>
      </w:r>
      <w:r w:rsidR="002C5948">
        <w:t xml:space="preserve">Queensland </w:t>
      </w:r>
      <w:r>
        <w:t>(</w:t>
      </w:r>
      <w:r w:rsidR="0017447F" w:rsidRPr="00F1735F">
        <w:rPr>
          <w:rFonts w:ascii="Wingdings 3" w:hAnsi="Wingdings 3"/>
          <w:b/>
          <w:bCs/>
          <w:color w:val="00518E"/>
        </w:rPr>
        <w:t>h</w:t>
      </w:r>
      <w:r w:rsidR="0017447F">
        <w:rPr>
          <w:b/>
          <w:bCs/>
          <w:color w:val="00518E"/>
        </w:rPr>
        <w:t> </w:t>
      </w:r>
      <w:r w:rsidR="0017447F" w:rsidRPr="00F1735F">
        <w:rPr>
          <w:b/>
          <w:bCs/>
          <w:color w:val="00518E"/>
        </w:rPr>
        <w:t xml:space="preserve">up </w:t>
      </w:r>
      <w:r w:rsidR="002C5948">
        <w:rPr>
          <w:b/>
          <w:bCs/>
          <w:color w:val="00518E"/>
        </w:rPr>
        <w:t>32</w:t>
      </w:r>
      <w:r w:rsidRPr="0017447F">
        <w:rPr>
          <w:b/>
          <w:bCs/>
          <w:color w:val="00518E"/>
        </w:rPr>
        <w:t>%</w:t>
      </w:r>
      <w:r>
        <w:t xml:space="preserve">), </w:t>
      </w:r>
      <w:r w:rsidR="002C5948">
        <w:t xml:space="preserve">Tasmania </w:t>
      </w:r>
      <w:r>
        <w:t>(</w:t>
      </w:r>
      <w:r w:rsidR="0017447F" w:rsidRPr="00F1735F">
        <w:rPr>
          <w:rFonts w:ascii="Wingdings 3" w:hAnsi="Wingdings 3"/>
          <w:b/>
          <w:bCs/>
          <w:color w:val="00518E"/>
        </w:rPr>
        <w:t>h</w:t>
      </w:r>
      <w:r w:rsidR="00780CE7">
        <w:rPr>
          <w:b/>
          <w:bCs/>
          <w:color w:val="00518E"/>
        </w:rPr>
        <w:t> </w:t>
      </w:r>
      <w:r w:rsidR="0017447F" w:rsidRPr="00F1735F">
        <w:rPr>
          <w:b/>
          <w:bCs/>
          <w:color w:val="00518E"/>
        </w:rPr>
        <w:t xml:space="preserve">up </w:t>
      </w:r>
      <w:r w:rsidRPr="0017447F">
        <w:rPr>
          <w:b/>
          <w:bCs/>
          <w:color w:val="00518E"/>
        </w:rPr>
        <w:t>2</w:t>
      </w:r>
      <w:r w:rsidR="002C5948">
        <w:rPr>
          <w:b/>
          <w:bCs/>
          <w:color w:val="00518E"/>
        </w:rPr>
        <w:t>1</w:t>
      </w:r>
      <w:r w:rsidRPr="0017447F">
        <w:rPr>
          <w:b/>
          <w:bCs/>
          <w:color w:val="00518E"/>
        </w:rPr>
        <w:t>%</w:t>
      </w:r>
      <w:r>
        <w:t xml:space="preserve">), </w:t>
      </w:r>
      <w:proofErr w:type="spellStart"/>
      <w:r>
        <w:t>Seacare</w:t>
      </w:r>
      <w:proofErr w:type="spellEnd"/>
      <w:r>
        <w:t xml:space="preserve"> (</w:t>
      </w:r>
      <w:r w:rsidR="0017447F" w:rsidRPr="00F1735F">
        <w:rPr>
          <w:rFonts w:ascii="Wingdings 3" w:hAnsi="Wingdings 3"/>
          <w:b/>
          <w:bCs/>
          <w:color w:val="00518E"/>
        </w:rPr>
        <w:t>h</w:t>
      </w:r>
      <w:r w:rsidR="0017447F" w:rsidRPr="00F1735F">
        <w:rPr>
          <w:b/>
          <w:bCs/>
          <w:color w:val="00518E"/>
        </w:rPr>
        <w:t xml:space="preserve"> up </w:t>
      </w:r>
      <w:r w:rsidRPr="0017447F">
        <w:rPr>
          <w:b/>
          <w:bCs/>
          <w:color w:val="00518E"/>
        </w:rPr>
        <w:t>21%</w:t>
      </w:r>
      <w:r>
        <w:t>), South Australia (</w:t>
      </w:r>
      <w:r w:rsidR="0017447F" w:rsidRPr="00F1735F">
        <w:rPr>
          <w:rFonts w:ascii="Wingdings 3" w:hAnsi="Wingdings 3"/>
          <w:b/>
          <w:bCs/>
          <w:color w:val="00518E"/>
        </w:rPr>
        <w:t>h</w:t>
      </w:r>
      <w:r w:rsidR="0017447F" w:rsidRPr="00F1735F">
        <w:rPr>
          <w:b/>
          <w:bCs/>
          <w:color w:val="00518E"/>
        </w:rPr>
        <w:t xml:space="preserve"> up </w:t>
      </w:r>
      <w:r w:rsidR="002C5948">
        <w:rPr>
          <w:b/>
          <w:bCs/>
          <w:color w:val="00518E"/>
        </w:rPr>
        <w:t>15</w:t>
      </w:r>
      <w:r w:rsidRPr="0017447F">
        <w:rPr>
          <w:b/>
          <w:bCs/>
          <w:color w:val="00518E"/>
        </w:rPr>
        <w:t>%</w:t>
      </w:r>
      <w:r>
        <w:t xml:space="preserve">), </w:t>
      </w:r>
      <w:r w:rsidR="002C5948">
        <w:t>Australian Government (</w:t>
      </w:r>
      <w:r w:rsidR="002C5948" w:rsidRPr="00F1735F">
        <w:rPr>
          <w:rFonts w:ascii="Wingdings 3" w:hAnsi="Wingdings 3"/>
          <w:b/>
          <w:bCs/>
          <w:color w:val="00518E"/>
        </w:rPr>
        <w:t>h</w:t>
      </w:r>
      <w:r w:rsidR="002C5948" w:rsidRPr="00F1735F">
        <w:rPr>
          <w:b/>
          <w:bCs/>
          <w:color w:val="00518E"/>
        </w:rPr>
        <w:t xml:space="preserve"> up </w:t>
      </w:r>
      <w:r w:rsidR="002C5948">
        <w:rPr>
          <w:b/>
          <w:bCs/>
          <w:color w:val="00518E"/>
        </w:rPr>
        <w:t>13</w:t>
      </w:r>
      <w:r w:rsidR="002C5948" w:rsidRPr="0017447F">
        <w:rPr>
          <w:b/>
          <w:bCs/>
          <w:color w:val="00518E"/>
        </w:rPr>
        <w:t>%</w:t>
      </w:r>
      <w:r w:rsidR="002C5948">
        <w:t>), Victoria (</w:t>
      </w:r>
      <w:r w:rsidR="002C5948" w:rsidRPr="00F1735F">
        <w:rPr>
          <w:rFonts w:ascii="Wingdings 3" w:hAnsi="Wingdings 3"/>
          <w:b/>
          <w:bCs/>
          <w:color w:val="00518E"/>
        </w:rPr>
        <w:t>h</w:t>
      </w:r>
      <w:r w:rsidR="002C5948" w:rsidRPr="00F1735F">
        <w:rPr>
          <w:b/>
          <w:bCs/>
          <w:color w:val="00518E"/>
        </w:rPr>
        <w:t xml:space="preserve"> up </w:t>
      </w:r>
      <w:r w:rsidR="002C5948">
        <w:rPr>
          <w:b/>
          <w:bCs/>
          <w:color w:val="00518E"/>
        </w:rPr>
        <w:t>8</w:t>
      </w:r>
      <w:r w:rsidR="002C5948" w:rsidRPr="0017447F">
        <w:rPr>
          <w:b/>
          <w:bCs/>
          <w:color w:val="00518E"/>
        </w:rPr>
        <w:t>%</w:t>
      </w:r>
      <w:r w:rsidR="002C5948">
        <w:t xml:space="preserve">) and </w:t>
      </w:r>
      <w:r>
        <w:t>Western Australia (</w:t>
      </w:r>
      <w:r w:rsidR="0017447F" w:rsidRPr="00F1735F">
        <w:rPr>
          <w:rFonts w:ascii="Wingdings 3" w:hAnsi="Wingdings 3"/>
          <w:b/>
          <w:bCs/>
          <w:color w:val="00518E"/>
        </w:rPr>
        <w:t>h</w:t>
      </w:r>
      <w:r w:rsidR="0017447F" w:rsidRPr="00F1735F">
        <w:rPr>
          <w:b/>
          <w:bCs/>
          <w:color w:val="00518E"/>
        </w:rPr>
        <w:t xml:space="preserve"> up </w:t>
      </w:r>
      <w:r w:rsidR="002C5948">
        <w:rPr>
          <w:b/>
          <w:bCs/>
          <w:color w:val="00518E"/>
        </w:rPr>
        <w:t>4</w:t>
      </w:r>
      <w:r w:rsidRPr="0017447F">
        <w:rPr>
          <w:b/>
          <w:bCs/>
          <w:color w:val="00518E"/>
        </w:rPr>
        <w:t>%</w:t>
      </w:r>
      <w:r>
        <w:t>) all experienced increases.</w:t>
      </w:r>
    </w:p>
    <w:p w14:paraId="2F23636A" w14:textId="65B83165" w:rsidR="00D067C2" w:rsidRPr="00AD1DD9" w:rsidRDefault="00B10377" w:rsidP="00C03259">
      <w:pPr>
        <w:pStyle w:val="ListParagraph"/>
        <w:numPr>
          <w:ilvl w:val="0"/>
          <w:numId w:val="10"/>
        </w:numPr>
        <w:rPr>
          <w:color w:val="C00000"/>
        </w:rPr>
      </w:pPr>
      <w:r w:rsidRPr="000171F0">
        <w:lastRenderedPageBreak/>
        <w:t>New Zealand</w:t>
      </w:r>
      <w:r w:rsidR="00AA5815" w:rsidRPr="000171F0">
        <w:t>’s</w:t>
      </w:r>
      <w:r w:rsidRPr="000171F0">
        <w:t xml:space="preserve"> frequency rates of </w:t>
      </w:r>
      <w:proofErr w:type="gramStart"/>
      <w:r w:rsidRPr="000171F0">
        <w:t>long</w:t>
      </w:r>
      <w:r w:rsidR="004E6C9F">
        <w:t xml:space="preserve"> </w:t>
      </w:r>
      <w:r w:rsidRPr="000171F0">
        <w:t>term</w:t>
      </w:r>
      <w:proofErr w:type="gramEnd"/>
      <w:r w:rsidRPr="000171F0">
        <w:t xml:space="preserve"> claims </w:t>
      </w:r>
      <w:r w:rsidR="004D5167" w:rsidRPr="00AD1DD9">
        <w:t>didn’t record any change over</w:t>
      </w:r>
      <w:r w:rsidR="00E510C6" w:rsidRPr="00AD1DD9">
        <w:t xml:space="preserve"> the reporting period 2015–16 to 2019</w:t>
      </w:r>
      <w:r w:rsidR="00E510C6" w:rsidRPr="00AD1DD9">
        <w:softHyphen/>
        <w:t xml:space="preserve">–20. </w:t>
      </w:r>
    </w:p>
    <w:p w14:paraId="7556C68A" w14:textId="112E023A" w:rsidR="005820B5" w:rsidRDefault="005820B5" w:rsidP="0031228B">
      <w:pPr>
        <w:pStyle w:val="Heading3"/>
      </w:pPr>
      <w:bookmarkStart w:id="23" w:name="_Toc56603295"/>
      <w:bookmarkStart w:id="24" w:name="_Toc56772230"/>
      <w:bookmarkStart w:id="25" w:name="_Toc86602459"/>
      <w:r w:rsidRPr="00086AB2">
        <w:t xml:space="preserve">Indicator </w:t>
      </w:r>
      <w:r w:rsidR="00594771">
        <w:fldChar w:fldCharType="begin"/>
      </w:r>
      <w:r w:rsidR="00594771">
        <w:instrText xml:space="preserve"> SEQ Indicator \* ARABIC </w:instrText>
      </w:r>
      <w:r w:rsidR="00594771">
        <w:fldChar w:fldCharType="separate"/>
      </w:r>
      <w:r w:rsidR="004132C1">
        <w:rPr>
          <w:noProof/>
        </w:rPr>
        <w:t>4</w:t>
      </w:r>
      <w:r w:rsidR="00594771">
        <w:rPr>
          <w:noProof/>
        </w:rPr>
        <w:fldChar w:fldCharType="end"/>
      </w:r>
      <w:r w:rsidRPr="00086AB2">
        <w:t xml:space="preserve"> </w:t>
      </w:r>
      <w:r w:rsidR="00E76BFC" w:rsidRPr="00086AB2">
        <w:t>–</w:t>
      </w:r>
      <w:r w:rsidRPr="00086AB2">
        <w:t xml:space="preserve"> Frequency rate of long term (12 weeks or more compensation) injury and disease claims by jurisdiction</w:t>
      </w:r>
      <w:bookmarkEnd w:id="23"/>
      <w:bookmarkEnd w:id="24"/>
      <w:bookmarkEnd w:id="25"/>
      <w:r w:rsidR="00711D93">
        <w:t xml:space="preserve"> </w:t>
      </w:r>
    </w:p>
    <w:p w14:paraId="2F9247D4" w14:textId="5380DAEB" w:rsidR="00C7463D" w:rsidRPr="00C7463D" w:rsidRDefault="00AB5B6A" w:rsidP="00C7463D">
      <w:pPr>
        <w:rPr>
          <w:lang w:eastAsia="en-US"/>
        </w:rPr>
      </w:pPr>
      <w:r>
        <w:rPr>
          <w:noProof/>
          <w:lang w:eastAsia="en-US"/>
        </w:rPr>
        <w:drawing>
          <wp:inline distT="0" distB="0" distL="0" distR="0" wp14:anchorId="69222286" wp14:editId="1AEA4A0D">
            <wp:extent cx="6450330" cy="33167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889" cy="3335504"/>
                    </a:xfrm>
                    <a:prstGeom prst="rect">
                      <a:avLst/>
                    </a:prstGeom>
                    <a:noFill/>
                  </pic:spPr>
                </pic:pic>
              </a:graphicData>
            </a:graphic>
          </wp:inline>
        </w:drawing>
      </w:r>
    </w:p>
    <w:p w14:paraId="32EF90ED" w14:textId="77777777" w:rsidR="008659BF" w:rsidRDefault="008659BF">
      <w:pPr>
        <w:spacing w:after="200" w:line="276" w:lineRule="auto"/>
        <w:jc w:val="left"/>
        <w:rPr>
          <w:rFonts w:eastAsiaTheme="majorEastAsia" w:cs="Arial"/>
          <w:b/>
          <w:color w:val="AF1E2D"/>
          <w:sz w:val="32"/>
          <w:szCs w:val="22"/>
        </w:rPr>
      </w:pPr>
      <w:bookmarkStart w:id="26" w:name="_Toc86602460"/>
      <w:r>
        <w:br w:type="page"/>
      </w:r>
    </w:p>
    <w:p w14:paraId="5DC7AB9C" w14:textId="2CED9EBD" w:rsidR="004014F4" w:rsidRPr="00086AB2" w:rsidRDefault="00CA4F45" w:rsidP="00CA4F45">
      <w:pPr>
        <w:pStyle w:val="SWASectionnum2"/>
        <w:numPr>
          <w:ilvl w:val="0"/>
          <w:numId w:val="0"/>
        </w:numPr>
      </w:pPr>
      <w:r>
        <w:lastRenderedPageBreak/>
        <w:t xml:space="preserve">1.4 </w:t>
      </w:r>
      <w:r w:rsidR="004014F4" w:rsidRPr="00086AB2">
        <w:t>Self-insured serious claims</w:t>
      </w:r>
      <w:bookmarkEnd w:id="26"/>
      <w:r w:rsidR="00020821">
        <w:t xml:space="preserve"> </w:t>
      </w:r>
    </w:p>
    <w:p w14:paraId="1C84A07F" w14:textId="328DD16B" w:rsidR="00E74178" w:rsidRPr="0017447F" w:rsidRDefault="00E74178" w:rsidP="00BC0DA2">
      <w:pPr>
        <w:rPr>
          <w:i/>
        </w:rPr>
      </w:pPr>
      <w:r w:rsidRPr="0017447F">
        <w:rPr>
          <w:i/>
        </w:rPr>
        <w:t>Number of self-insured claims</w:t>
      </w:r>
    </w:p>
    <w:p w14:paraId="60A32B2B" w14:textId="77900732" w:rsidR="00780CE7" w:rsidRDefault="0017447F" w:rsidP="00780CE7">
      <w:pPr>
        <w:spacing w:after="0"/>
      </w:pPr>
      <w:r>
        <w:t>T</w:t>
      </w:r>
      <w:r w:rsidRPr="00086AB2">
        <w:t xml:space="preserve">he number of self-insured serious claims in Australia </w:t>
      </w:r>
      <w:r>
        <w:t xml:space="preserve">(Indicator 5a) </w:t>
      </w:r>
      <w:r w:rsidR="009B2CED" w:rsidRPr="008E6EF2">
        <w:rPr>
          <w:b/>
          <w:bCs/>
          <w:color w:val="00518E"/>
        </w:rPr>
        <w:t>increase</w:t>
      </w:r>
      <w:r w:rsidR="009B2CED">
        <w:rPr>
          <w:b/>
          <w:bCs/>
          <w:color w:val="00518E"/>
        </w:rPr>
        <w:t>d</w:t>
      </w:r>
      <w:r w:rsidR="009B2CED" w:rsidRPr="008E6EF2">
        <w:rPr>
          <w:color w:val="00518E"/>
        </w:rPr>
        <w:t xml:space="preserve"> </w:t>
      </w:r>
      <w:r w:rsidR="009B2CED">
        <w:rPr>
          <w:b/>
          <w:bCs/>
          <w:color w:val="00518E"/>
        </w:rPr>
        <w:t>8</w:t>
      </w:r>
      <w:r w:rsidRPr="00AD1DD9">
        <w:rPr>
          <w:b/>
          <w:bCs/>
          <w:color w:val="00518E"/>
        </w:rPr>
        <w:t>%</w:t>
      </w:r>
      <w:r w:rsidRPr="00086AB2">
        <w:t xml:space="preserve"> </w:t>
      </w:r>
      <w:r>
        <w:t>between</w:t>
      </w:r>
      <w:r w:rsidRPr="00086AB2">
        <w:t xml:space="preserve"> </w:t>
      </w:r>
    </w:p>
    <w:p w14:paraId="5CC052CA" w14:textId="3B193BFB" w:rsidR="00630C18" w:rsidRDefault="0017447F" w:rsidP="00780CE7">
      <w:r w:rsidRPr="00086AB2">
        <w:t>201</w:t>
      </w:r>
      <w:r w:rsidR="009B2CED">
        <w:t>5</w:t>
      </w:r>
      <w:r w:rsidRPr="00086AB2">
        <w:t>–1</w:t>
      </w:r>
      <w:r w:rsidR="009B2CED">
        <w:t>6</w:t>
      </w:r>
      <w:r w:rsidRPr="00086AB2">
        <w:t xml:space="preserve"> </w:t>
      </w:r>
      <w:r>
        <w:t>and</w:t>
      </w:r>
      <w:r w:rsidRPr="00086AB2">
        <w:t xml:space="preserve"> 201</w:t>
      </w:r>
      <w:r w:rsidR="009B2CED">
        <w:t>9</w:t>
      </w:r>
      <w:r w:rsidRPr="00086AB2">
        <w:t>–</w:t>
      </w:r>
      <w:r w:rsidR="009B2CED">
        <w:t>20</w:t>
      </w:r>
      <w:r w:rsidRPr="00086AB2">
        <w:t>.</w:t>
      </w:r>
      <w:r w:rsidR="003A1B9E">
        <w:t xml:space="preserve"> </w:t>
      </w:r>
      <w:r w:rsidR="00630C18" w:rsidRPr="00F71D23">
        <w:t>The preliminary data for Australia show</w:t>
      </w:r>
      <w:r w:rsidR="00630C18">
        <w:t xml:space="preserve"> that there were 11,</w:t>
      </w:r>
      <w:r w:rsidR="00FA3352">
        <w:t>750</w:t>
      </w:r>
      <w:r w:rsidR="00630C18">
        <w:t xml:space="preserve"> self-insured serious claims accepted in </w:t>
      </w:r>
      <w:r w:rsidR="003A1B9E">
        <w:t>20</w:t>
      </w:r>
      <w:r w:rsidR="009B2CED">
        <w:t>20</w:t>
      </w:r>
      <w:r w:rsidR="003A1B9E">
        <w:t>–2</w:t>
      </w:r>
      <w:r w:rsidR="009B2CED">
        <w:t>1</w:t>
      </w:r>
      <w:r w:rsidR="003A1B9E">
        <w:t>p</w:t>
      </w:r>
      <w:r w:rsidR="00630C18">
        <w:t>.</w:t>
      </w:r>
      <w:r w:rsidR="003A1B9E">
        <w:t xml:space="preserve"> </w:t>
      </w:r>
    </w:p>
    <w:p w14:paraId="1E195C3F" w14:textId="54233E4C" w:rsidR="0017447F" w:rsidRDefault="0017447F" w:rsidP="0017447F">
      <w:r>
        <w:t>Indicator 5a also show</w:t>
      </w:r>
      <w:r w:rsidR="00254B5D">
        <w:t>s</w:t>
      </w:r>
      <w:r>
        <w:t>:</w:t>
      </w:r>
    </w:p>
    <w:p w14:paraId="3D1BF162" w14:textId="542784BA" w:rsidR="0017447F" w:rsidRDefault="0017447F" w:rsidP="00C03259">
      <w:pPr>
        <w:pStyle w:val="ListParagraph"/>
        <w:numPr>
          <w:ilvl w:val="0"/>
          <w:numId w:val="21"/>
        </w:numPr>
      </w:pPr>
      <w:r w:rsidRPr="0017447F">
        <w:t xml:space="preserve">Western Australia recorded the largest decrease </w:t>
      </w:r>
      <w:r w:rsidR="00630C18">
        <w:t xml:space="preserve">in </w:t>
      </w:r>
      <w:r w:rsidR="00DB2F86">
        <w:t xml:space="preserve">self-insured serious </w:t>
      </w:r>
      <w:r w:rsidR="00630C18">
        <w:t xml:space="preserve">claims </w:t>
      </w:r>
      <w:r>
        <w:t xml:space="preserve">between </w:t>
      </w:r>
      <w:r w:rsidRPr="00086AB2">
        <w:t>201</w:t>
      </w:r>
      <w:r w:rsidR="009B2CED">
        <w:t>5</w:t>
      </w:r>
      <w:r w:rsidRPr="00086AB2">
        <w:t>–1</w:t>
      </w:r>
      <w:r w:rsidR="009B2CED">
        <w:t>6</w:t>
      </w:r>
      <w:r w:rsidRPr="00086AB2">
        <w:t xml:space="preserve"> </w:t>
      </w:r>
      <w:r>
        <w:t>and</w:t>
      </w:r>
      <w:r w:rsidRPr="00086AB2">
        <w:t xml:space="preserve"> 201</w:t>
      </w:r>
      <w:r w:rsidR="009B2CED">
        <w:t>9</w:t>
      </w:r>
      <w:r w:rsidRPr="00086AB2">
        <w:t>–</w:t>
      </w:r>
      <w:r w:rsidR="009B2CED">
        <w:t>20</w:t>
      </w:r>
      <w:r w:rsidRPr="0017447F">
        <w:t xml:space="preserve"> </w:t>
      </w:r>
      <w:r w:rsidRPr="00F71D23">
        <w:t>(</w:t>
      </w:r>
      <w:r>
        <w:rPr>
          <w:rFonts w:ascii="Wingdings 3" w:hAnsi="Wingdings 3"/>
          <w:b/>
          <w:bCs/>
          <w:color w:val="B94F25"/>
        </w:rPr>
        <w:t>i</w:t>
      </w:r>
      <w:r>
        <w:rPr>
          <w:b/>
          <w:bCs/>
          <w:color w:val="B94F25"/>
        </w:rPr>
        <w:t xml:space="preserve"> down </w:t>
      </w:r>
      <w:r w:rsidR="009B2CED">
        <w:rPr>
          <w:b/>
          <w:bCs/>
          <w:color w:val="B94F25"/>
        </w:rPr>
        <w:t>18</w:t>
      </w:r>
      <w:r>
        <w:rPr>
          <w:b/>
          <w:bCs/>
          <w:color w:val="B94F25"/>
        </w:rPr>
        <w:t>%</w:t>
      </w:r>
      <w:r w:rsidRPr="00F71D23">
        <w:t>)</w:t>
      </w:r>
      <w:r w:rsidRPr="0017447F">
        <w:t>,</w:t>
      </w:r>
      <w:r>
        <w:rPr>
          <w:color w:val="C00000"/>
        </w:rPr>
        <w:t xml:space="preserve"> </w:t>
      </w:r>
      <w:r w:rsidRPr="0017447F">
        <w:t xml:space="preserve">followed by </w:t>
      </w:r>
      <w:r w:rsidR="00630C18">
        <w:t xml:space="preserve">the Australian Capital Territory </w:t>
      </w:r>
      <w:r w:rsidRPr="00F71D23">
        <w:t>(</w:t>
      </w:r>
      <w:r>
        <w:rPr>
          <w:rFonts w:ascii="Wingdings 3" w:hAnsi="Wingdings 3"/>
          <w:b/>
          <w:bCs/>
          <w:color w:val="B94F25"/>
        </w:rPr>
        <w:t>i</w:t>
      </w:r>
      <w:r w:rsidR="00BF65EC">
        <w:rPr>
          <w:b/>
          <w:bCs/>
          <w:color w:val="B94F25"/>
        </w:rPr>
        <w:t> </w:t>
      </w:r>
      <w:r>
        <w:rPr>
          <w:b/>
          <w:bCs/>
          <w:color w:val="B94F25"/>
        </w:rPr>
        <w:t>down</w:t>
      </w:r>
      <w:r w:rsidR="00BF65EC">
        <w:rPr>
          <w:b/>
          <w:bCs/>
          <w:color w:val="B94F25"/>
        </w:rPr>
        <w:t> </w:t>
      </w:r>
      <w:r w:rsidR="009B2CED">
        <w:rPr>
          <w:b/>
          <w:bCs/>
          <w:color w:val="B94F25"/>
        </w:rPr>
        <w:t>4</w:t>
      </w:r>
      <w:r>
        <w:rPr>
          <w:b/>
          <w:bCs/>
          <w:color w:val="B94F25"/>
        </w:rPr>
        <w:t>%</w:t>
      </w:r>
      <w:r w:rsidRPr="00F71D23">
        <w:t>)</w:t>
      </w:r>
      <w:r w:rsidRPr="007E7F9A">
        <w:t>.</w:t>
      </w:r>
    </w:p>
    <w:p w14:paraId="5D009D8E" w14:textId="4250CA5D" w:rsidR="008E6EF2" w:rsidRDefault="00630C18" w:rsidP="00C03259">
      <w:pPr>
        <w:pStyle w:val="ListParagraph"/>
        <w:numPr>
          <w:ilvl w:val="0"/>
          <w:numId w:val="21"/>
        </w:numPr>
      </w:pPr>
      <w:r>
        <w:t xml:space="preserve">The </w:t>
      </w:r>
      <w:r w:rsidR="009B2CED">
        <w:t>Australian Government</w:t>
      </w:r>
      <w:r>
        <w:t xml:space="preserve"> recorded the largest increase </w:t>
      </w:r>
      <w:r w:rsidRPr="00630C18">
        <w:rPr>
          <w:b/>
          <w:bCs/>
          <w:color w:val="00518E"/>
        </w:rPr>
        <w:t>(</w:t>
      </w:r>
      <w:r w:rsidRPr="00630C18">
        <w:rPr>
          <w:rFonts w:ascii="Wingdings 3" w:hAnsi="Wingdings 3"/>
          <w:b/>
          <w:bCs/>
          <w:color w:val="00518E"/>
        </w:rPr>
        <w:t>h</w:t>
      </w:r>
      <w:r w:rsidRPr="00630C18">
        <w:rPr>
          <w:b/>
          <w:bCs/>
          <w:color w:val="00518E"/>
        </w:rPr>
        <w:t xml:space="preserve"> up </w:t>
      </w:r>
      <w:r w:rsidR="009B2CED">
        <w:rPr>
          <w:b/>
          <w:bCs/>
          <w:color w:val="00518E"/>
        </w:rPr>
        <w:t>46</w:t>
      </w:r>
      <w:r w:rsidRPr="00630C18">
        <w:rPr>
          <w:b/>
          <w:bCs/>
          <w:color w:val="00518E"/>
        </w:rPr>
        <w:t>%</w:t>
      </w:r>
      <w:r>
        <w:t>).</w:t>
      </w:r>
    </w:p>
    <w:p w14:paraId="7D81C269" w14:textId="47CE697B" w:rsidR="0017447F" w:rsidRPr="00AD1DD9" w:rsidRDefault="0017447F" w:rsidP="00C03259">
      <w:pPr>
        <w:pStyle w:val="ListParagraph"/>
        <w:numPr>
          <w:ilvl w:val="0"/>
          <w:numId w:val="21"/>
        </w:numPr>
      </w:pPr>
      <w:r w:rsidRPr="00AD1DD9">
        <w:t xml:space="preserve">The number of self-insured serious claims in New Zealand showed a </w:t>
      </w:r>
      <w:r w:rsidR="00630C18" w:rsidRPr="00AD1DD9">
        <w:rPr>
          <w:b/>
          <w:bCs/>
          <w:color w:val="00518E"/>
        </w:rPr>
        <w:t>3</w:t>
      </w:r>
      <w:r w:rsidR="00E510C6" w:rsidRPr="00AD1DD9">
        <w:rPr>
          <w:b/>
          <w:bCs/>
          <w:color w:val="00518E"/>
        </w:rPr>
        <w:t>5</w:t>
      </w:r>
      <w:r w:rsidRPr="00AD1DD9">
        <w:rPr>
          <w:b/>
          <w:bCs/>
          <w:color w:val="00518E"/>
        </w:rPr>
        <w:t>% increase</w:t>
      </w:r>
      <w:r w:rsidRPr="00AD1DD9">
        <w:rPr>
          <w:color w:val="00518E"/>
        </w:rPr>
        <w:t xml:space="preserve"> </w:t>
      </w:r>
      <w:r w:rsidRPr="00AD1DD9">
        <w:t xml:space="preserve">between </w:t>
      </w:r>
      <w:r w:rsidR="00630C18" w:rsidRPr="00AD1DD9">
        <w:t>201</w:t>
      </w:r>
      <w:r w:rsidR="00E510C6" w:rsidRPr="00AD1DD9">
        <w:t>5</w:t>
      </w:r>
      <w:r w:rsidR="00630C18" w:rsidRPr="00AD1DD9">
        <w:t>–1</w:t>
      </w:r>
      <w:r w:rsidR="00E510C6" w:rsidRPr="00AD1DD9">
        <w:t>6</w:t>
      </w:r>
      <w:r w:rsidR="00630C18" w:rsidRPr="00AD1DD9">
        <w:t xml:space="preserve"> and 201</w:t>
      </w:r>
      <w:r w:rsidR="00E510C6" w:rsidRPr="00AD1DD9">
        <w:t>9</w:t>
      </w:r>
      <w:r w:rsidR="00630C18" w:rsidRPr="00AD1DD9">
        <w:t>–</w:t>
      </w:r>
      <w:r w:rsidR="00E510C6" w:rsidRPr="00AD1DD9">
        <w:t>20</w:t>
      </w:r>
      <w:r w:rsidRPr="00AD1DD9">
        <w:t>.</w:t>
      </w:r>
    </w:p>
    <w:p w14:paraId="48369F18" w14:textId="17A149B8" w:rsidR="000A3553" w:rsidRDefault="000A3553" w:rsidP="0031228B">
      <w:pPr>
        <w:pStyle w:val="Heading3"/>
      </w:pPr>
      <w:bookmarkStart w:id="27" w:name="_Toc56772231"/>
      <w:bookmarkStart w:id="28" w:name="_Toc86602461"/>
      <w:r w:rsidRPr="00086AB2">
        <w:t xml:space="preserve">Indicator </w:t>
      </w:r>
      <w:r w:rsidR="00594771">
        <w:fldChar w:fldCharType="begin"/>
      </w:r>
      <w:r w:rsidR="00594771">
        <w:instrText xml:space="preserve"> SEQ Indicator \* ARABIC </w:instrText>
      </w:r>
      <w:r w:rsidR="00594771">
        <w:fldChar w:fldCharType="separate"/>
      </w:r>
      <w:r w:rsidR="004132C1">
        <w:rPr>
          <w:noProof/>
        </w:rPr>
        <w:t>5</w:t>
      </w:r>
      <w:r w:rsidR="00594771">
        <w:rPr>
          <w:noProof/>
        </w:rPr>
        <w:fldChar w:fldCharType="end"/>
      </w:r>
      <w:r w:rsidRPr="00086AB2">
        <w:rPr>
          <w:noProof/>
        </w:rPr>
        <w:t>a</w:t>
      </w:r>
      <w:r w:rsidRPr="00086AB2">
        <w:t xml:space="preserve"> – Self-insured claims: number of serious claims by jurisdiction</w:t>
      </w:r>
      <w:bookmarkEnd w:id="27"/>
      <w:bookmarkEnd w:id="28"/>
      <w:r>
        <w:t xml:space="preserve"> </w:t>
      </w:r>
    </w:p>
    <w:tbl>
      <w:tblPr>
        <w:tblStyle w:val="TableGrid"/>
        <w:tblW w:w="982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081"/>
        <w:gridCol w:w="717"/>
        <w:gridCol w:w="717"/>
        <w:gridCol w:w="782"/>
        <w:gridCol w:w="778"/>
        <w:gridCol w:w="771"/>
        <w:gridCol w:w="749"/>
        <w:gridCol w:w="766"/>
        <w:gridCol w:w="770"/>
        <w:gridCol w:w="740"/>
        <w:gridCol w:w="1195"/>
        <w:gridCol w:w="762"/>
      </w:tblGrid>
      <w:tr w:rsidR="00D77DD3" w:rsidRPr="00094BB6" w14:paraId="5C37B410" w14:textId="77777777" w:rsidTr="00D77DD3">
        <w:trPr>
          <w:trHeight w:val="367"/>
        </w:trPr>
        <w:tc>
          <w:tcPr>
            <w:tcW w:w="1081" w:type="dxa"/>
            <w:shd w:val="clear" w:color="auto" w:fill="C00000"/>
            <w:vAlign w:val="center"/>
          </w:tcPr>
          <w:p w14:paraId="11FC4604" w14:textId="5DD31D9B" w:rsidR="00DA0D25" w:rsidRPr="00D77DD3" w:rsidRDefault="00DA0D25" w:rsidP="00DA0D25">
            <w:pPr>
              <w:jc w:val="left"/>
              <w:rPr>
                <w:b/>
                <w:bCs/>
                <w:szCs w:val="20"/>
                <w:lang w:eastAsia="en-US"/>
              </w:rPr>
            </w:pPr>
            <w:r w:rsidRPr="00D77DD3">
              <w:rPr>
                <w:b/>
                <w:bCs/>
                <w:szCs w:val="20"/>
                <w:lang w:eastAsia="en-US"/>
              </w:rPr>
              <w:t>Year</w:t>
            </w:r>
          </w:p>
        </w:tc>
        <w:tc>
          <w:tcPr>
            <w:tcW w:w="717" w:type="dxa"/>
            <w:shd w:val="clear" w:color="auto" w:fill="C00000"/>
            <w:vAlign w:val="center"/>
          </w:tcPr>
          <w:p w14:paraId="1616D35C" w14:textId="3487BA62" w:rsidR="00DA0D25" w:rsidRPr="00DA0D25" w:rsidRDefault="00DA0D25" w:rsidP="00DA0D25">
            <w:pPr>
              <w:jc w:val="center"/>
              <w:rPr>
                <w:szCs w:val="20"/>
                <w:lang w:eastAsia="en-US"/>
              </w:rPr>
            </w:pPr>
            <w:r w:rsidRPr="00DA0D25">
              <w:rPr>
                <w:rFonts w:cs="Arial"/>
                <w:b/>
                <w:bCs/>
                <w:szCs w:val="20"/>
              </w:rPr>
              <w:t>NSW</w:t>
            </w:r>
          </w:p>
        </w:tc>
        <w:tc>
          <w:tcPr>
            <w:tcW w:w="717" w:type="dxa"/>
            <w:shd w:val="clear" w:color="auto" w:fill="C00000"/>
            <w:vAlign w:val="center"/>
          </w:tcPr>
          <w:p w14:paraId="04B723FA" w14:textId="56060F73" w:rsidR="00DA0D25" w:rsidRPr="00DA0D25" w:rsidRDefault="00DA0D25" w:rsidP="00DA0D25">
            <w:pPr>
              <w:jc w:val="center"/>
              <w:rPr>
                <w:szCs w:val="20"/>
                <w:lang w:eastAsia="en-US"/>
              </w:rPr>
            </w:pPr>
            <w:r w:rsidRPr="00DA0D25">
              <w:rPr>
                <w:rFonts w:cs="Arial"/>
                <w:b/>
                <w:bCs/>
                <w:szCs w:val="20"/>
              </w:rPr>
              <w:t>SA</w:t>
            </w:r>
          </w:p>
        </w:tc>
        <w:tc>
          <w:tcPr>
            <w:tcW w:w="782" w:type="dxa"/>
            <w:shd w:val="clear" w:color="auto" w:fill="C00000"/>
            <w:vAlign w:val="center"/>
          </w:tcPr>
          <w:p w14:paraId="4873F7E7" w14:textId="418BA46A" w:rsidR="00DA0D25" w:rsidRPr="00DA0D25" w:rsidRDefault="00DA0D25" w:rsidP="00DA0D25">
            <w:pPr>
              <w:jc w:val="center"/>
              <w:rPr>
                <w:szCs w:val="20"/>
                <w:lang w:eastAsia="en-US"/>
              </w:rPr>
            </w:pPr>
            <w:r w:rsidRPr="00DA0D25">
              <w:rPr>
                <w:rFonts w:cs="Arial"/>
                <w:b/>
                <w:bCs/>
                <w:szCs w:val="20"/>
              </w:rPr>
              <w:t>QLD</w:t>
            </w:r>
          </w:p>
        </w:tc>
        <w:tc>
          <w:tcPr>
            <w:tcW w:w="778" w:type="dxa"/>
            <w:shd w:val="clear" w:color="auto" w:fill="C00000"/>
            <w:vAlign w:val="center"/>
          </w:tcPr>
          <w:p w14:paraId="3A000AFC" w14:textId="252F5718" w:rsidR="00DA0D25" w:rsidRPr="00DA0D25" w:rsidRDefault="00DA0D25" w:rsidP="00DA0D25">
            <w:pPr>
              <w:jc w:val="center"/>
              <w:rPr>
                <w:szCs w:val="20"/>
                <w:lang w:eastAsia="en-US"/>
              </w:rPr>
            </w:pPr>
            <w:proofErr w:type="spellStart"/>
            <w:r w:rsidRPr="00DA0D25">
              <w:rPr>
                <w:rFonts w:cs="Arial"/>
                <w:b/>
                <w:bCs/>
                <w:szCs w:val="20"/>
              </w:rPr>
              <w:t>Aus</w:t>
            </w:r>
            <w:proofErr w:type="spellEnd"/>
            <w:r w:rsidRPr="00DA0D25">
              <w:rPr>
                <w:rFonts w:cs="Arial"/>
                <w:b/>
                <w:bCs/>
                <w:szCs w:val="20"/>
              </w:rPr>
              <w:br/>
              <w:t>Gov</w:t>
            </w:r>
          </w:p>
        </w:tc>
        <w:tc>
          <w:tcPr>
            <w:tcW w:w="771" w:type="dxa"/>
            <w:shd w:val="clear" w:color="auto" w:fill="C00000"/>
            <w:vAlign w:val="center"/>
          </w:tcPr>
          <w:p w14:paraId="00EBE01A" w14:textId="242CEC5E" w:rsidR="00DA0D25" w:rsidRPr="00DA0D25" w:rsidRDefault="00DA0D25" w:rsidP="00DA0D25">
            <w:pPr>
              <w:jc w:val="center"/>
              <w:rPr>
                <w:szCs w:val="20"/>
                <w:lang w:eastAsia="en-US"/>
              </w:rPr>
            </w:pPr>
            <w:r w:rsidRPr="00DA0D25">
              <w:rPr>
                <w:rFonts w:cs="Arial"/>
                <w:b/>
                <w:bCs/>
                <w:szCs w:val="20"/>
              </w:rPr>
              <w:t>VIC</w:t>
            </w:r>
          </w:p>
        </w:tc>
        <w:tc>
          <w:tcPr>
            <w:tcW w:w="749" w:type="dxa"/>
            <w:shd w:val="clear" w:color="auto" w:fill="C00000"/>
            <w:vAlign w:val="center"/>
          </w:tcPr>
          <w:p w14:paraId="7400F459" w14:textId="6A7491E9" w:rsidR="00DA0D25" w:rsidRPr="00DA0D25" w:rsidRDefault="00DA0D25" w:rsidP="00DA0D25">
            <w:pPr>
              <w:jc w:val="center"/>
              <w:rPr>
                <w:szCs w:val="20"/>
                <w:lang w:eastAsia="en-US"/>
              </w:rPr>
            </w:pPr>
            <w:r w:rsidRPr="00DA0D25">
              <w:rPr>
                <w:rFonts w:cs="Arial"/>
                <w:b/>
                <w:bCs/>
                <w:szCs w:val="20"/>
              </w:rPr>
              <w:t>WA</w:t>
            </w:r>
          </w:p>
        </w:tc>
        <w:tc>
          <w:tcPr>
            <w:tcW w:w="766" w:type="dxa"/>
            <w:shd w:val="clear" w:color="auto" w:fill="C00000"/>
            <w:vAlign w:val="center"/>
          </w:tcPr>
          <w:p w14:paraId="63AAEF4B" w14:textId="150E8797" w:rsidR="00DA0D25" w:rsidRPr="00DA0D25" w:rsidRDefault="00DA0D25" w:rsidP="00DA0D25">
            <w:pPr>
              <w:jc w:val="center"/>
              <w:rPr>
                <w:szCs w:val="20"/>
                <w:lang w:eastAsia="en-US"/>
              </w:rPr>
            </w:pPr>
            <w:r w:rsidRPr="00DA0D25">
              <w:rPr>
                <w:rFonts w:cs="Arial"/>
                <w:b/>
                <w:bCs/>
                <w:szCs w:val="20"/>
              </w:rPr>
              <w:t>TAS</w:t>
            </w:r>
          </w:p>
        </w:tc>
        <w:tc>
          <w:tcPr>
            <w:tcW w:w="770" w:type="dxa"/>
            <w:shd w:val="clear" w:color="auto" w:fill="C00000"/>
            <w:vAlign w:val="center"/>
          </w:tcPr>
          <w:p w14:paraId="2FAB0A75" w14:textId="69746D91" w:rsidR="00DA0D25" w:rsidRPr="00DA0D25" w:rsidRDefault="00DA0D25" w:rsidP="00DA0D25">
            <w:pPr>
              <w:jc w:val="center"/>
              <w:rPr>
                <w:szCs w:val="20"/>
                <w:lang w:eastAsia="en-US"/>
              </w:rPr>
            </w:pPr>
            <w:r w:rsidRPr="00DA0D25">
              <w:rPr>
                <w:rFonts w:cs="Arial"/>
                <w:b/>
                <w:bCs/>
                <w:szCs w:val="20"/>
              </w:rPr>
              <w:t>ACT</w:t>
            </w:r>
          </w:p>
        </w:tc>
        <w:tc>
          <w:tcPr>
            <w:tcW w:w="740" w:type="dxa"/>
            <w:shd w:val="clear" w:color="auto" w:fill="C00000"/>
            <w:vAlign w:val="center"/>
          </w:tcPr>
          <w:p w14:paraId="4FBCE7CB" w14:textId="329C38FB" w:rsidR="00DA0D25" w:rsidRPr="00DA0D25" w:rsidRDefault="00DA0D25" w:rsidP="00DA0D25">
            <w:pPr>
              <w:jc w:val="center"/>
              <w:rPr>
                <w:szCs w:val="20"/>
                <w:lang w:eastAsia="en-US"/>
              </w:rPr>
            </w:pPr>
            <w:r w:rsidRPr="00DA0D25">
              <w:rPr>
                <w:rFonts w:cs="Arial"/>
                <w:b/>
                <w:bCs/>
                <w:szCs w:val="20"/>
              </w:rPr>
              <w:t>NT</w:t>
            </w:r>
          </w:p>
        </w:tc>
        <w:tc>
          <w:tcPr>
            <w:tcW w:w="1195" w:type="dxa"/>
            <w:shd w:val="clear" w:color="auto" w:fill="808080" w:themeFill="background1" w:themeFillShade="80"/>
            <w:vAlign w:val="center"/>
          </w:tcPr>
          <w:p w14:paraId="1D1546EB" w14:textId="2E42BED7" w:rsidR="00DA0D25" w:rsidRPr="00D77DD3" w:rsidRDefault="00DA0D25" w:rsidP="00DA0D25">
            <w:pPr>
              <w:jc w:val="center"/>
              <w:rPr>
                <w:color w:val="FFFFFF" w:themeColor="background1"/>
                <w:szCs w:val="20"/>
                <w:lang w:eastAsia="en-US"/>
              </w:rPr>
            </w:pPr>
            <w:r w:rsidRPr="00D77DD3">
              <w:rPr>
                <w:rFonts w:cs="Arial"/>
                <w:b/>
                <w:bCs/>
                <w:color w:val="FFFFFF" w:themeColor="background1"/>
                <w:szCs w:val="20"/>
              </w:rPr>
              <w:t>Australian</w:t>
            </w:r>
            <w:r w:rsidRPr="00D77DD3">
              <w:rPr>
                <w:rFonts w:cs="Arial"/>
                <w:b/>
                <w:bCs/>
                <w:color w:val="FFFFFF" w:themeColor="background1"/>
                <w:szCs w:val="20"/>
              </w:rPr>
              <w:br/>
              <w:t>Total***</w:t>
            </w:r>
          </w:p>
        </w:tc>
        <w:tc>
          <w:tcPr>
            <w:tcW w:w="762" w:type="dxa"/>
            <w:shd w:val="clear" w:color="auto" w:fill="C00000"/>
            <w:vAlign w:val="center"/>
          </w:tcPr>
          <w:p w14:paraId="544E55A0" w14:textId="51A006C9" w:rsidR="00DA0D25" w:rsidRPr="00DA0D25" w:rsidRDefault="00DA0D25" w:rsidP="00DA0D25">
            <w:pPr>
              <w:jc w:val="center"/>
              <w:rPr>
                <w:szCs w:val="20"/>
                <w:lang w:eastAsia="en-US"/>
              </w:rPr>
            </w:pPr>
            <w:r w:rsidRPr="00DA0D25">
              <w:rPr>
                <w:rFonts w:cs="Arial"/>
                <w:b/>
                <w:bCs/>
                <w:szCs w:val="20"/>
              </w:rPr>
              <w:t>NZ</w:t>
            </w:r>
          </w:p>
        </w:tc>
      </w:tr>
      <w:tr w:rsidR="00DA0D25" w:rsidRPr="00094BB6" w14:paraId="3CAA4E6D" w14:textId="77777777" w:rsidTr="00AD1DD9">
        <w:trPr>
          <w:trHeight w:val="367"/>
        </w:trPr>
        <w:tc>
          <w:tcPr>
            <w:tcW w:w="1081" w:type="dxa"/>
            <w:vAlign w:val="center"/>
          </w:tcPr>
          <w:p w14:paraId="37F479E5" w14:textId="522A9F7F" w:rsidR="00DA0D25" w:rsidRPr="00094BB6" w:rsidRDefault="00DA0D25" w:rsidP="00DA0D25">
            <w:pPr>
              <w:jc w:val="left"/>
              <w:rPr>
                <w:szCs w:val="20"/>
                <w:lang w:eastAsia="en-US"/>
              </w:rPr>
            </w:pPr>
            <w:r>
              <w:rPr>
                <w:rFonts w:cs="Arial"/>
                <w:b/>
                <w:bCs/>
                <w:color w:val="000000"/>
                <w:szCs w:val="20"/>
              </w:rPr>
              <w:t>2015-16</w:t>
            </w:r>
          </w:p>
        </w:tc>
        <w:tc>
          <w:tcPr>
            <w:tcW w:w="717" w:type="dxa"/>
            <w:vAlign w:val="center"/>
          </w:tcPr>
          <w:p w14:paraId="38F5128B" w14:textId="4D068502" w:rsidR="00DA0D25" w:rsidRPr="00094BB6" w:rsidRDefault="00DA0D25" w:rsidP="00D77DD3">
            <w:pPr>
              <w:jc w:val="center"/>
              <w:rPr>
                <w:szCs w:val="20"/>
                <w:lang w:eastAsia="en-US"/>
              </w:rPr>
            </w:pPr>
            <w:r>
              <w:rPr>
                <w:rFonts w:cs="Arial"/>
                <w:color w:val="000000"/>
                <w:szCs w:val="20"/>
              </w:rPr>
              <w:t>2,234</w:t>
            </w:r>
          </w:p>
        </w:tc>
        <w:tc>
          <w:tcPr>
            <w:tcW w:w="717" w:type="dxa"/>
            <w:vAlign w:val="center"/>
          </w:tcPr>
          <w:p w14:paraId="2CD53BDC" w14:textId="31921A45" w:rsidR="00DA0D25" w:rsidRPr="00094BB6" w:rsidRDefault="00DA0D25" w:rsidP="00D77DD3">
            <w:pPr>
              <w:jc w:val="center"/>
              <w:rPr>
                <w:szCs w:val="20"/>
                <w:lang w:eastAsia="en-US"/>
              </w:rPr>
            </w:pPr>
            <w:r>
              <w:rPr>
                <w:rFonts w:cs="Arial"/>
                <w:color w:val="000000"/>
                <w:szCs w:val="20"/>
              </w:rPr>
              <w:t>2,246</w:t>
            </w:r>
          </w:p>
        </w:tc>
        <w:tc>
          <w:tcPr>
            <w:tcW w:w="782" w:type="dxa"/>
            <w:vAlign w:val="center"/>
          </w:tcPr>
          <w:p w14:paraId="0B6626D7" w14:textId="0B50B08F" w:rsidR="00DA0D25" w:rsidRPr="00094BB6" w:rsidRDefault="00DA0D25" w:rsidP="00D77DD3">
            <w:pPr>
              <w:jc w:val="center"/>
              <w:rPr>
                <w:szCs w:val="20"/>
                <w:lang w:eastAsia="en-US"/>
              </w:rPr>
            </w:pPr>
            <w:r>
              <w:rPr>
                <w:rFonts w:cs="Arial"/>
                <w:color w:val="000000"/>
                <w:szCs w:val="20"/>
              </w:rPr>
              <w:t>1,760</w:t>
            </w:r>
          </w:p>
        </w:tc>
        <w:tc>
          <w:tcPr>
            <w:tcW w:w="778" w:type="dxa"/>
            <w:vAlign w:val="center"/>
          </w:tcPr>
          <w:p w14:paraId="68ECB742" w14:textId="47521451" w:rsidR="00DA0D25" w:rsidRPr="00094BB6" w:rsidRDefault="00DA0D25" w:rsidP="00D77DD3">
            <w:pPr>
              <w:jc w:val="center"/>
              <w:rPr>
                <w:szCs w:val="20"/>
                <w:lang w:eastAsia="en-US"/>
              </w:rPr>
            </w:pPr>
            <w:r>
              <w:rPr>
                <w:rFonts w:cs="Arial"/>
                <w:color w:val="000000"/>
                <w:szCs w:val="20"/>
              </w:rPr>
              <w:t>995</w:t>
            </w:r>
          </w:p>
        </w:tc>
        <w:tc>
          <w:tcPr>
            <w:tcW w:w="771" w:type="dxa"/>
            <w:vAlign w:val="center"/>
          </w:tcPr>
          <w:p w14:paraId="5C3F3ECF" w14:textId="2E1F51AB" w:rsidR="00DA0D25" w:rsidRPr="00094BB6" w:rsidRDefault="00DA0D25" w:rsidP="00D77DD3">
            <w:pPr>
              <w:jc w:val="center"/>
              <w:rPr>
                <w:szCs w:val="20"/>
                <w:lang w:eastAsia="en-US"/>
              </w:rPr>
            </w:pPr>
            <w:r>
              <w:rPr>
                <w:rFonts w:cs="Arial"/>
                <w:color w:val="000000"/>
                <w:szCs w:val="20"/>
              </w:rPr>
              <w:t>1,163</w:t>
            </w:r>
          </w:p>
        </w:tc>
        <w:tc>
          <w:tcPr>
            <w:tcW w:w="749" w:type="dxa"/>
            <w:vAlign w:val="center"/>
          </w:tcPr>
          <w:p w14:paraId="01597141" w14:textId="028CD7AE" w:rsidR="00DA0D25" w:rsidRPr="00094BB6" w:rsidRDefault="00DA0D25" w:rsidP="00D77DD3">
            <w:pPr>
              <w:jc w:val="center"/>
              <w:rPr>
                <w:szCs w:val="20"/>
                <w:lang w:eastAsia="en-US"/>
              </w:rPr>
            </w:pPr>
            <w:r>
              <w:rPr>
                <w:rFonts w:cs="Arial"/>
                <w:color w:val="000000"/>
                <w:szCs w:val="20"/>
              </w:rPr>
              <w:t>971</w:t>
            </w:r>
          </w:p>
        </w:tc>
        <w:tc>
          <w:tcPr>
            <w:tcW w:w="766" w:type="dxa"/>
            <w:vAlign w:val="center"/>
          </w:tcPr>
          <w:p w14:paraId="5F5A8D39" w14:textId="703AD76B" w:rsidR="00DA0D25" w:rsidRPr="00094BB6" w:rsidRDefault="00DA0D25" w:rsidP="00D77DD3">
            <w:pPr>
              <w:jc w:val="center"/>
              <w:rPr>
                <w:szCs w:val="20"/>
                <w:lang w:eastAsia="en-US"/>
              </w:rPr>
            </w:pPr>
            <w:r>
              <w:rPr>
                <w:rFonts w:cs="Arial"/>
                <w:color w:val="000000"/>
                <w:szCs w:val="20"/>
              </w:rPr>
              <w:t>595</w:t>
            </w:r>
          </w:p>
        </w:tc>
        <w:tc>
          <w:tcPr>
            <w:tcW w:w="770" w:type="dxa"/>
            <w:vAlign w:val="center"/>
          </w:tcPr>
          <w:p w14:paraId="2FE8AFE8" w14:textId="1C672055" w:rsidR="00DA0D25" w:rsidRPr="00094BB6" w:rsidRDefault="00DA0D25" w:rsidP="00D77DD3">
            <w:pPr>
              <w:jc w:val="center"/>
              <w:rPr>
                <w:szCs w:val="20"/>
                <w:lang w:eastAsia="en-US"/>
              </w:rPr>
            </w:pPr>
            <w:r>
              <w:rPr>
                <w:rFonts w:cs="Arial"/>
                <w:color w:val="000000"/>
                <w:szCs w:val="20"/>
              </w:rPr>
              <w:t>313</w:t>
            </w:r>
          </w:p>
        </w:tc>
        <w:tc>
          <w:tcPr>
            <w:tcW w:w="740" w:type="dxa"/>
            <w:vAlign w:val="center"/>
          </w:tcPr>
          <w:p w14:paraId="0CB12150" w14:textId="1B8207FB" w:rsidR="00DA0D25" w:rsidRPr="00094BB6" w:rsidRDefault="00DA0D25" w:rsidP="00D77DD3">
            <w:pPr>
              <w:jc w:val="center"/>
              <w:rPr>
                <w:szCs w:val="20"/>
                <w:lang w:eastAsia="en-US"/>
              </w:rPr>
            </w:pPr>
            <w:r>
              <w:rPr>
                <w:rFonts w:cs="Arial"/>
                <w:color w:val="000000"/>
                <w:szCs w:val="20"/>
              </w:rPr>
              <w:t>17</w:t>
            </w:r>
            <w:r w:rsidR="00184E3F">
              <w:rPr>
                <w:rFonts w:cs="Arial"/>
                <w:color w:val="000000"/>
                <w:szCs w:val="20"/>
              </w:rPr>
              <w:t>8</w:t>
            </w:r>
          </w:p>
        </w:tc>
        <w:tc>
          <w:tcPr>
            <w:tcW w:w="1195" w:type="dxa"/>
            <w:shd w:val="clear" w:color="auto" w:fill="808080" w:themeFill="background1" w:themeFillShade="80"/>
            <w:vAlign w:val="center"/>
          </w:tcPr>
          <w:p w14:paraId="0257BF3A" w14:textId="57EF3FC3" w:rsidR="00DA0D25" w:rsidRPr="00D77DD3" w:rsidRDefault="00DA0D25" w:rsidP="00D77DD3">
            <w:pPr>
              <w:jc w:val="center"/>
              <w:rPr>
                <w:rFonts w:cs="Arial"/>
                <w:color w:val="FFFFFF" w:themeColor="background1"/>
                <w:szCs w:val="20"/>
              </w:rPr>
            </w:pPr>
            <w:r w:rsidRPr="00D77DD3">
              <w:rPr>
                <w:rFonts w:cs="Arial"/>
                <w:color w:val="FFFFFF" w:themeColor="background1"/>
                <w:szCs w:val="20"/>
              </w:rPr>
              <w:t>10,455</w:t>
            </w:r>
          </w:p>
        </w:tc>
        <w:tc>
          <w:tcPr>
            <w:tcW w:w="762" w:type="dxa"/>
            <w:shd w:val="clear" w:color="auto" w:fill="FFFFFF" w:themeFill="background1"/>
            <w:vAlign w:val="center"/>
          </w:tcPr>
          <w:p w14:paraId="7B4FBA48" w14:textId="22DB527E" w:rsidR="00DA0D25" w:rsidRPr="00AD1DD9" w:rsidRDefault="00E510C6" w:rsidP="00D77DD3">
            <w:pPr>
              <w:jc w:val="center"/>
              <w:rPr>
                <w:szCs w:val="20"/>
                <w:lang w:eastAsia="en-US"/>
              </w:rPr>
            </w:pPr>
            <w:r w:rsidRPr="00AD1DD9">
              <w:rPr>
                <w:szCs w:val="20"/>
                <w:lang w:eastAsia="en-US"/>
              </w:rPr>
              <w:t>5,</w:t>
            </w:r>
            <w:r w:rsidRPr="00AD1DD9">
              <w:rPr>
                <w:rFonts w:cs="Arial"/>
                <w:color w:val="000000"/>
                <w:szCs w:val="20"/>
              </w:rPr>
              <w:t>786</w:t>
            </w:r>
          </w:p>
        </w:tc>
      </w:tr>
      <w:tr w:rsidR="00D77DD3" w:rsidRPr="00094BB6" w14:paraId="4EDDAD5F" w14:textId="77777777" w:rsidTr="00F2335F">
        <w:trPr>
          <w:trHeight w:val="367"/>
        </w:trPr>
        <w:tc>
          <w:tcPr>
            <w:tcW w:w="1081" w:type="dxa"/>
            <w:shd w:val="clear" w:color="auto" w:fill="EFD3D2"/>
            <w:vAlign w:val="center"/>
          </w:tcPr>
          <w:p w14:paraId="3F099621" w14:textId="4835A3C7" w:rsidR="00DA0D25" w:rsidRPr="00094BB6" w:rsidRDefault="00DA0D25" w:rsidP="00DA0D25">
            <w:pPr>
              <w:jc w:val="left"/>
              <w:rPr>
                <w:szCs w:val="20"/>
                <w:lang w:eastAsia="en-US"/>
              </w:rPr>
            </w:pPr>
            <w:r>
              <w:rPr>
                <w:rFonts w:cs="Arial"/>
                <w:b/>
                <w:bCs/>
                <w:color w:val="000000"/>
                <w:szCs w:val="20"/>
              </w:rPr>
              <w:t>2016-17</w:t>
            </w:r>
          </w:p>
        </w:tc>
        <w:tc>
          <w:tcPr>
            <w:tcW w:w="717" w:type="dxa"/>
            <w:shd w:val="clear" w:color="auto" w:fill="EFD3D2"/>
            <w:vAlign w:val="center"/>
          </w:tcPr>
          <w:p w14:paraId="6DD1373F" w14:textId="0E29838F" w:rsidR="00DA0D25" w:rsidRPr="00094BB6" w:rsidRDefault="00DA0D25" w:rsidP="00D77DD3">
            <w:pPr>
              <w:jc w:val="center"/>
              <w:rPr>
                <w:szCs w:val="20"/>
                <w:lang w:eastAsia="en-US"/>
              </w:rPr>
            </w:pPr>
            <w:r>
              <w:rPr>
                <w:rFonts w:cs="Arial"/>
                <w:color w:val="000000"/>
                <w:szCs w:val="20"/>
              </w:rPr>
              <w:t>2,151</w:t>
            </w:r>
          </w:p>
        </w:tc>
        <w:tc>
          <w:tcPr>
            <w:tcW w:w="717" w:type="dxa"/>
            <w:shd w:val="clear" w:color="auto" w:fill="EFD3D2"/>
            <w:vAlign w:val="center"/>
          </w:tcPr>
          <w:p w14:paraId="0E4152C4" w14:textId="69A8B2A7" w:rsidR="00DA0D25" w:rsidRPr="00094BB6" w:rsidRDefault="00DA0D25" w:rsidP="00D77DD3">
            <w:pPr>
              <w:jc w:val="center"/>
              <w:rPr>
                <w:szCs w:val="20"/>
                <w:lang w:eastAsia="en-US"/>
              </w:rPr>
            </w:pPr>
            <w:r>
              <w:rPr>
                <w:rFonts w:cs="Arial"/>
                <w:color w:val="000000"/>
                <w:szCs w:val="20"/>
              </w:rPr>
              <w:t>2,340</w:t>
            </w:r>
          </w:p>
        </w:tc>
        <w:tc>
          <w:tcPr>
            <w:tcW w:w="782" w:type="dxa"/>
            <w:shd w:val="clear" w:color="auto" w:fill="EFD3D2"/>
            <w:vAlign w:val="center"/>
          </w:tcPr>
          <w:p w14:paraId="7B10EBD0" w14:textId="07DAA93B" w:rsidR="00DA0D25" w:rsidRPr="00094BB6" w:rsidRDefault="00DA0D25" w:rsidP="00D77DD3">
            <w:pPr>
              <w:jc w:val="center"/>
              <w:rPr>
                <w:szCs w:val="20"/>
                <w:lang w:eastAsia="en-US"/>
              </w:rPr>
            </w:pPr>
            <w:r>
              <w:rPr>
                <w:rFonts w:cs="Arial"/>
                <w:color w:val="000000"/>
                <w:szCs w:val="20"/>
              </w:rPr>
              <w:t>1,682</w:t>
            </w:r>
          </w:p>
        </w:tc>
        <w:tc>
          <w:tcPr>
            <w:tcW w:w="778" w:type="dxa"/>
            <w:shd w:val="clear" w:color="auto" w:fill="EFD3D2"/>
            <w:vAlign w:val="center"/>
          </w:tcPr>
          <w:p w14:paraId="533376C2" w14:textId="6A9AF9DF" w:rsidR="00DA0D25" w:rsidRPr="00094BB6" w:rsidRDefault="00DA0D25" w:rsidP="00D77DD3">
            <w:pPr>
              <w:jc w:val="center"/>
              <w:rPr>
                <w:szCs w:val="20"/>
                <w:lang w:eastAsia="en-US"/>
              </w:rPr>
            </w:pPr>
            <w:r>
              <w:rPr>
                <w:rFonts w:cs="Arial"/>
                <w:color w:val="000000"/>
                <w:szCs w:val="20"/>
              </w:rPr>
              <w:t>1,118</w:t>
            </w:r>
          </w:p>
        </w:tc>
        <w:tc>
          <w:tcPr>
            <w:tcW w:w="771" w:type="dxa"/>
            <w:shd w:val="clear" w:color="auto" w:fill="EFD3D2"/>
            <w:vAlign w:val="center"/>
          </w:tcPr>
          <w:p w14:paraId="785FD567" w14:textId="5670DE1D" w:rsidR="00DA0D25" w:rsidRPr="00094BB6" w:rsidRDefault="00DA0D25" w:rsidP="00D77DD3">
            <w:pPr>
              <w:jc w:val="center"/>
              <w:rPr>
                <w:szCs w:val="20"/>
                <w:lang w:eastAsia="en-US"/>
              </w:rPr>
            </w:pPr>
            <w:r>
              <w:rPr>
                <w:rFonts w:cs="Arial"/>
                <w:color w:val="000000"/>
                <w:szCs w:val="20"/>
              </w:rPr>
              <w:t>1,147</w:t>
            </w:r>
          </w:p>
        </w:tc>
        <w:tc>
          <w:tcPr>
            <w:tcW w:w="749" w:type="dxa"/>
            <w:shd w:val="clear" w:color="auto" w:fill="EFD3D2"/>
            <w:vAlign w:val="center"/>
          </w:tcPr>
          <w:p w14:paraId="0F8AC3F6" w14:textId="4305F346" w:rsidR="00DA0D25" w:rsidRPr="00094BB6" w:rsidRDefault="00DA0D25" w:rsidP="00D77DD3">
            <w:pPr>
              <w:jc w:val="center"/>
              <w:rPr>
                <w:szCs w:val="20"/>
                <w:lang w:eastAsia="en-US"/>
              </w:rPr>
            </w:pPr>
            <w:r>
              <w:rPr>
                <w:rFonts w:cs="Arial"/>
                <w:color w:val="000000"/>
                <w:szCs w:val="20"/>
              </w:rPr>
              <w:t>927</w:t>
            </w:r>
          </w:p>
        </w:tc>
        <w:tc>
          <w:tcPr>
            <w:tcW w:w="766" w:type="dxa"/>
            <w:shd w:val="clear" w:color="auto" w:fill="EFD3D2"/>
            <w:vAlign w:val="center"/>
          </w:tcPr>
          <w:p w14:paraId="598C6B70" w14:textId="56529E1E" w:rsidR="00DA0D25" w:rsidRPr="00094BB6" w:rsidRDefault="00DA0D25" w:rsidP="00D77DD3">
            <w:pPr>
              <w:jc w:val="center"/>
              <w:rPr>
                <w:szCs w:val="20"/>
                <w:lang w:eastAsia="en-US"/>
              </w:rPr>
            </w:pPr>
            <w:r>
              <w:rPr>
                <w:rFonts w:cs="Arial"/>
                <w:color w:val="000000"/>
                <w:szCs w:val="20"/>
              </w:rPr>
              <w:t>628</w:t>
            </w:r>
          </w:p>
        </w:tc>
        <w:tc>
          <w:tcPr>
            <w:tcW w:w="770" w:type="dxa"/>
            <w:shd w:val="clear" w:color="auto" w:fill="EFD3D2"/>
            <w:vAlign w:val="center"/>
          </w:tcPr>
          <w:p w14:paraId="7B0294EE" w14:textId="3A88CEFF" w:rsidR="00DA0D25" w:rsidRPr="00094BB6" w:rsidRDefault="00DA0D25" w:rsidP="00D77DD3">
            <w:pPr>
              <w:jc w:val="center"/>
              <w:rPr>
                <w:szCs w:val="20"/>
                <w:lang w:eastAsia="en-US"/>
              </w:rPr>
            </w:pPr>
            <w:r>
              <w:rPr>
                <w:rFonts w:cs="Arial"/>
                <w:color w:val="000000"/>
                <w:szCs w:val="20"/>
              </w:rPr>
              <w:t>358</w:t>
            </w:r>
          </w:p>
        </w:tc>
        <w:tc>
          <w:tcPr>
            <w:tcW w:w="740" w:type="dxa"/>
            <w:shd w:val="clear" w:color="auto" w:fill="EFD3D2"/>
            <w:vAlign w:val="center"/>
          </w:tcPr>
          <w:p w14:paraId="2D186839" w14:textId="2D79EE45" w:rsidR="00DA0D25" w:rsidRPr="00094BB6" w:rsidRDefault="00DA0D25" w:rsidP="00D77DD3">
            <w:pPr>
              <w:jc w:val="center"/>
              <w:rPr>
                <w:szCs w:val="20"/>
                <w:lang w:eastAsia="en-US"/>
              </w:rPr>
            </w:pPr>
            <w:r>
              <w:rPr>
                <w:rFonts w:cs="Arial"/>
                <w:color w:val="000000"/>
                <w:szCs w:val="20"/>
              </w:rPr>
              <w:t>215</w:t>
            </w:r>
          </w:p>
        </w:tc>
        <w:tc>
          <w:tcPr>
            <w:tcW w:w="1195" w:type="dxa"/>
            <w:shd w:val="clear" w:color="auto" w:fill="808080" w:themeFill="background1" w:themeFillShade="80"/>
            <w:vAlign w:val="center"/>
          </w:tcPr>
          <w:p w14:paraId="1C630CA1" w14:textId="21DB9B5E" w:rsidR="00DA0D25" w:rsidRPr="00D77DD3" w:rsidRDefault="00DA0D25" w:rsidP="00D77DD3">
            <w:pPr>
              <w:jc w:val="center"/>
              <w:rPr>
                <w:rFonts w:cs="Arial"/>
                <w:color w:val="FFFFFF" w:themeColor="background1"/>
                <w:szCs w:val="20"/>
              </w:rPr>
            </w:pPr>
            <w:r w:rsidRPr="00D77DD3">
              <w:rPr>
                <w:rFonts w:cs="Arial"/>
                <w:color w:val="FFFFFF" w:themeColor="background1"/>
                <w:szCs w:val="20"/>
              </w:rPr>
              <w:t>10,566</w:t>
            </w:r>
          </w:p>
        </w:tc>
        <w:tc>
          <w:tcPr>
            <w:tcW w:w="762" w:type="dxa"/>
            <w:shd w:val="clear" w:color="auto" w:fill="EFD3D2"/>
            <w:vAlign w:val="center"/>
          </w:tcPr>
          <w:p w14:paraId="1EE83FA0" w14:textId="00E42F2F" w:rsidR="00DA0D25" w:rsidRPr="00094BB6" w:rsidRDefault="00DA0D25" w:rsidP="00D77DD3">
            <w:pPr>
              <w:jc w:val="center"/>
              <w:rPr>
                <w:szCs w:val="20"/>
                <w:lang w:eastAsia="en-US"/>
              </w:rPr>
            </w:pPr>
            <w:r>
              <w:rPr>
                <w:rFonts w:cs="Arial"/>
                <w:color w:val="000000"/>
                <w:szCs w:val="20"/>
              </w:rPr>
              <w:t>5,837</w:t>
            </w:r>
          </w:p>
        </w:tc>
      </w:tr>
      <w:tr w:rsidR="00DA0D25" w:rsidRPr="00094BB6" w14:paraId="5873F847" w14:textId="77777777" w:rsidTr="00F2335F">
        <w:trPr>
          <w:trHeight w:val="367"/>
        </w:trPr>
        <w:tc>
          <w:tcPr>
            <w:tcW w:w="1081" w:type="dxa"/>
            <w:vAlign w:val="center"/>
          </w:tcPr>
          <w:p w14:paraId="0814975B" w14:textId="4CD8DE90" w:rsidR="00DA0D25" w:rsidRPr="00094BB6" w:rsidRDefault="00DA0D25" w:rsidP="00DA0D25">
            <w:pPr>
              <w:jc w:val="left"/>
              <w:rPr>
                <w:szCs w:val="20"/>
                <w:lang w:eastAsia="en-US"/>
              </w:rPr>
            </w:pPr>
            <w:r>
              <w:rPr>
                <w:rFonts w:cs="Arial"/>
                <w:b/>
                <w:bCs/>
                <w:color w:val="000000"/>
                <w:szCs w:val="20"/>
              </w:rPr>
              <w:t>2017-28</w:t>
            </w:r>
          </w:p>
        </w:tc>
        <w:tc>
          <w:tcPr>
            <w:tcW w:w="717" w:type="dxa"/>
            <w:vAlign w:val="center"/>
          </w:tcPr>
          <w:p w14:paraId="18FF3283" w14:textId="2D53994B" w:rsidR="00DA0D25" w:rsidRPr="00094BB6" w:rsidRDefault="00DA0D25" w:rsidP="00D77DD3">
            <w:pPr>
              <w:jc w:val="center"/>
              <w:rPr>
                <w:szCs w:val="20"/>
                <w:lang w:eastAsia="en-US"/>
              </w:rPr>
            </w:pPr>
            <w:r>
              <w:rPr>
                <w:rFonts w:cs="Arial"/>
                <w:color w:val="000000"/>
                <w:szCs w:val="20"/>
              </w:rPr>
              <w:t>2,271</w:t>
            </w:r>
          </w:p>
        </w:tc>
        <w:tc>
          <w:tcPr>
            <w:tcW w:w="717" w:type="dxa"/>
            <w:vAlign w:val="center"/>
          </w:tcPr>
          <w:p w14:paraId="114184C3" w14:textId="7B2CA111" w:rsidR="00DA0D25" w:rsidRPr="00094BB6" w:rsidRDefault="00DA0D25" w:rsidP="00D77DD3">
            <w:pPr>
              <w:jc w:val="center"/>
              <w:rPr>
                <w:szCs w:val="20"/>
                <w:lang w:eastAsia="en-US"/>
              </w:rPr>
            </w:pPr>
            <w:r>
              <w:rPr>
                <w:rFonts w:cs="Arial"/>
                <w:color w:val="000000"/>
                <w:szCs w:val="20"/>
              </w:rPr>
              <w:t>2,138</w:t>
            </w:r>
          </w:p>
        </w:tc>
        <w:tc>
          <w:tcPr>
            <w:tcW w:w="782" w:type="dxa"/>
            <w:vAlign w:val="center"/>
          </w:tcPr>
          <w:p w14:paraId="198EF706" w14:textId="06EF1A4C" w:rsidR="00DA0D25" w:rsidRPr="00094BB6" w:rsidRDefault="00DA0D25" w:rsidP="00D77DD3">
            <w:pPr>
              <w:jc w:val="center"/>
              <w:rPr>
                <w:szCs w:val="20"/>
                <w:lang w:eastAsia="en-US"/>
              </w:rPr>
            </w:pPr>
            <w:r>
              <w:rPr>
                <w:rFonts w:cs="Arial"/>
                <w:color w:val="000000"/>
                <w:szCs w:val="20"/>
              </w:rPr>
              <w:t>1,817</w:t>
            </w:r>
          </w:p>
        </w:tc>
        <w:tc>
          <w:tcPr>
            <w:tcW w:w="778" w:type="dxa"/>
            <w:vAlign w:val="center"/>
          </w:tcPr>
          <w:p w14:paraId="1CA74DEA" w14:textId="66B7452D" w:rsidR="00DA0D25" w:rsidRPr="00094BB6" w:rsidRDefault="00DA0D25" w:rsidP="00D77DD3">
            <w:pPr>
              <w:jc w:val="center"/>
              <w:rPr>
                <w:szCs w:val="20"/>
                <w:lang w:eastAsia="en-US"/>
              </w:rPr>
            </w:pPr>
            <w:r>
              <w:rPr>
                <w:rFonts w:cs="Arial"/>
                <w:color w:val="000000"/>
                <w:szCs w:val="20"/>
              </w:rPr>
              <w:t>1,222</w:t>
            </w:r>
          </w:p>
        </w:tc>
        <w:tc>
          <w:tcPr>
            <w:tcW w:w="771" w:type="dxa"/>
            <w:vAlign w:val="center"/>
          </w:tcPr>
          <w:p w14:paraId="5964CE57" w14:textId="4B728743" w:rsidR="00DA0D25" w:rsidRPr="00094BB6" w:rsidRDefault="00DA0D25" w:rsidP="00D77DD3">
            <w:pPr>
              <w:jc w:val="center"/>
              <w:rPr>
                <w:szCs w:val="20"/>
                <w:lang w:eastAsia="en-US"/>
              </w:rPr>
            </w:pPr>
            <w:r>
              <w:rPr>
                <w:rFonts w:cs="Arial"/>
                <w:color w:val="000000"/>
                <w:szCs w:val="20"/>
              </w:rPr>
              <w:t>1,216</w:t>
            </w:r>
          </w:p>
        </w:tc>
        <w:tc>
          <w:tcPr>
            <w:tcW w:w="749" w:type="dxa"/>
            <w:vAlign w:val="center"/>
          </w:tcPr>
          <w:p w14:paraId="0B4CD2A0" w14:textId="5A1E9D0A" w:rsidR="00DA0D25" w:rsidRPr="00094BB6" w:rsidRDefault="00DA0D25" w:rsidP="00D77DD3">
            <w:pPr>
              <w:jc w:val="center"/>
              <w:rPr>
                <w:szCs w:val="20"/>
                <w:lang w:eastAsia="en-US"/>
              </w:rPr>
            </w:pPr>
            <w:r>
              <w:rPr>
                <w:rFonts w:cs="Arial"/>
                <w:color w:val="000000"/>
                <w:szCs w:val="20"/>
              </w:rPr>
              <w:t>867</w:t>
            </w:r>
          </w:p>
        </w:tc>
        <w:tc>
          <w:tcPr>
            <w:tcW w:w="766" w:type="dxa"/>
            <w:vAlign w:val="center"/>
          </w:tcPr>
          <w:p w14:paraId="1D38F0A3" w14:textId="114F38AE" w:rsidR="00DA0D25" w:rsidRPr="00094BB6" w:rsidRDefault="00DA0D25" w:rsidP="00D77DD3">
            <w:pPr>
              <w:jc w:val="center"/>
              <w:rPr>
                <w:szCs w:val="20"/>
                <w:lang w:eastAsia="en-US"/>
              </w:rPr>
            </w:pPr>
            <w:r>
              <w:rPr>
                <w:rFonts w:cs="Arial"/>
                <w:color w:val="000000"/>
                <w:szCs w:val="20"/>
              </w:rPr>
              <w:t>605</w:t>
            </w:r>
          </w:p>
        </w:tc>
        <w:tc>
          <w:tcPr>
            <w:tcW w:w="770" w:type="dxa"/>
            <w:vAlign w:val="center"/>
          </w:tcPr>
          <w:p w14:paraId="2C744CA5" w14:textId="188A70D0" w:rsidR="00DA0D25" w:rsidRPr="00094BB6" w:rsidRDefault="00DA0D25" w:rsidP="00D77DD3">
            <w:pPr>
              <w:jc w:val="center"/>
              <w:rPr>
                <w:szCs w:val="20"/>
                <w:lang w:eastAsia="en-US"/>
              </w:rPr>
            </w:pPr>
            <w:r>
              <w:rPr>
                <w:rFonts w:cs="Arial"/>
                <w:color w:val="000000"/>
                <w:szCs w:val="20"/>
              </w:rPr>
              <w:t>293</w:t>
            </w:r>
          </w:p>
        </w:tc>
        <w:tc>
          <w:tcPr>
            <w:tcW w:w="740" w:type="dxa"/>
            <w:vAlign w:val="center"/>
          </w:tcPr>
          <w:p w14:paraId="04AD2EF6" w14:textId="0ADB51DF" w:rsidR="00DA0D25" w:rsidRPr="00094BB6" w:rsidRDefault="00DA0D25" w:rsidP="00D77DD3">
            <w:pPr>
              <w:jc w:val="center"/>
              <w:rPr>
                <w:szCs w:val="20"/>
                <w:lang w:eastAsia="en-US"/>
              </w:rPr>
            </w:pPr>
            <w:r>
              <w:rPr>
                <w:rFonts w:cs="Arial"/>
                <w:color w:val="000000"/>
                <w:szCs w:val="20"/>
              </w:rPr>
              <w:t>211</w:t>
            </w:r>
          </w:p>
        </w:tc>
        <w:tc>
          <w:tcPr>
            <w:tcW w:w="1195" w:type="dxa"/>
            <w:shd w:val="clear" w:color="auto" w:fill="808080" w:themeFill="background1" w:themeFillShade="80"/>
            <w:vAlign w:val="center"/>
          </w:tcPr>
          <w:p w14:paraId="02EF3EC1" w14:textId="3052246B" w:rsidR="00DA0D25" w:rsidRPr="00D77DD3" w:rsidRDefault="00DA0D25" w:rsidP="00D77DD3">
            <w:pPr>
              <w:jc w:val="center"/>
              <w:rPr>
                <w:rFonts w:cs="Arial"/>
                <w:color w:val="FFFFFF" w:themeColor="background1"/>
                <w:szCs w:val="20"/>
              </w:rPr>
            </w:pPr>
            <w:r w:rsidRPr="00D77DD3">
              <w:rPr>
                <w:rFonts w:cs="Arial"/>
                <w:color w:val="FFFFFF" w:themeColor="background1"/>
                <w:szCs w:val="20"/>
              </w:rPr>
              <w:t>10,640</w:t>
            </w:r>
          </w:p>
        </w:tc>
        <w:tc>
          <w:tcPr>
            <w:tcW w:w="762" w:type="dxa"/>
            <w:vAlign w:val="center"/>
          </w:tcPr>
          <w:p w14:paraId="2F472C1C" w14:textId="5A4BDFEE" w:rsidR="00DA0D25" w:rsidRPr="00094BB6" w:rsidRDefault="00DA0D25" w:rsidP="00D77DD3">
            <w:pPr>
              <w:jc w:val="center"/>
              <w:rPr>
                <w:szCs w:val="20"/>
                <w:lang w:eastAsia="en-US"/>
              </w:rPr>
            </w:pPr>
            <w:r>
              <w:rPr>
                <w:rFonts w:cs="Arial"/>
                <w:color w:val="000000"/>
                <w:szCs w:val="20"/>
              </w:rPr>
              <w:t>6,749</w:t>
            </w:r>
          </w:p>
        </w:tc>
      </w:tr>
      <w:tr w:rsidR="00D77DD3" w:rsidRPr="00D77DD3" w14:paraId="27C83E63" w14:textId="77777777" w:rsidTr="00F2335F">
        <w:trPr>
          <w:trHeight w:val="367"/>
        </w:trPr>
        <w:tc>
          <w:tcPr>
            <w:tcW w:w="1081" w:type="dxa"/>
            <w:shd w:val="clear" w:color="auto" w:fill="EFD3D2"/>
            <w:vAlign w:val="center"/>
          </w:tcPr>
          <w:p w14:paraId="08D711A7" w14:textId="36DF08EA" w:rsidR="00DA0D25" w:rsidRPr="00D77DD3" w:rsidRDefault="00DA0D25" w:rsidP="00DA0D25">
            <w:pPr>
              <w:jc w:val="left"/>
              <w:rPr>
                <w:rFonts w:cs="Arial"/>
                <w:b/>
                <w:bCs/>
                <w:color w:val="000000"/>
                <w:szCs w:val="20"/>
              </w:rPr>
            </w:pPr>
            <w:r>
              <w:rPr>
                <w:rFonts w:cs="Arial"/>
                <w:b/>
                <w:bCs/>
                <w:color w:val="000000"/>
                <w:szCs w:val="20"/>
              </w:rPr>
              <w:t>2018-19</w:t>
            </w:r>
          </w:p>
        </w:tc>
        <w:tc>
          <w:tcPr>
            <w:tcW w:w="717" w:type="dxa"/>
            <w:shd w:val="clear" w:color="auto" w:fill="EFD3D2"/>
            <w:vAlign w:val="center"/>
          </w:tcPr>
          <w:p w14:paraId="3DCCFA40" w14:textId="33DE05E0" w:rsidR="00DA0D25" w:rsidRPr="00184E3F" w:rsidRDefault="00DA0D25" w:rsidP="00D77DD3">
            <w:pPr>
              <w:jc w:val="center"/>
              <w:rPr>
                <w:rFonts w:cs="Arial"/>
                <w:color w:val="000000"/>
                <w:szCs w:val="20"/>
              </w:rPr>
            </w:pPr>
            <w:r w:rsidRPr="00184E3F">
              <w:rPr>
                <w:rFonts w:cs="Arial"/>
                <w:color w:val="000000"/>
                <w:szCs w:val="20"/>
              </w:rPr>
              <w:t>2,221</w:t>
            </w:r>
          </w:p>
        </w:tc>
        <w:tc>
          <w:tcPr>
            <w:tcW w:w="717" w:type="dxa"/>
            <w:shd w:val="clear" w:color="auto" w:fill="EFD3D2"/>
            <w:vAlign w:val="center"/>
          </w:tcPr>
          <w:p w14:paraId="7BA94722" w14:textId="4AE9FF88" w:rsidR="00DA0D25" w:rsidRPr="00184E3F" w:rsidRDefault="00DA0D25" w:rsidP="00D77DD3">
            <w:pPr>
              <w:jc w:val="center"/>
              <w:rPr>
                <w:rFonts w:cs="Arial"/>
                <w:color w:val="000000"/>
                <w:szCs w:val="20"/>
              </w:rPr>
            </w:pPr>
            <w:r w:rsidRPr="00184E3F">
              <w:rPr>
                <w:rFonts w:cs="Arial"/>
                <w:color w:val="000000"/>
                <w:szCs w:val="20"/>
              </w:rPr>
              <w:t>2,402</w:t>
            </w:r>
          </w:p>
        </w:tc>
        <w:tc>
          <w:tcPr>
            <w:tcW w:w="782" w:type="dxa"/>
            <w:shd w:val="clear" w:color="auto" w:fill="EFD3D2"/>
            <w:vAlign w:val="center"/>
          </w:tcPr>
          <w:p w14:paraId="281AD40C" w14:textId="380C7263" w:rsidR="00DA0D25" w:rsidRPr="00184E3F" w:rsidRDefault="00DA0D25" w:rsidP="00D77DD3">
            <w:pPr>
              <w:jc w:val="center"/>
              <w:rPr>
                <w:rFonts w:cs="Arial"/>
                <w:color w:val="000000"/>
                <w:szCs w:val="20"/>
              </w:rPr>
            </w:pPr>
            <w:r w:rsidRPr="00184E3F">
              <w:rPr>
                <w:rFonts w:cs="Arial"/>
                <w:color w:val="000000"/>
                <w:szCs w:val="20"/>
              </w:rPr>
              <w:t>1,718</w:t>
            </w:r>
          </w:p>
        </w:tc>
        <w:tc>
          <w:tcPr>
            <w:tcW w:w="778" w:type="dxa"/>
            <w:shd w:val="clear" w:color="auto" w:fill="EFD3D2"/>
            <w:vAlign w:val="center"/>
          </w:tcPr>
          <w:p w14:paraId="28458B08" w14:textId="761C836A" w:rsidR="00DA0D25" w:rsidRPr="00184E3F" w:rsidRDefault="00DA0D25" w:rsidP="00D77DD3">
            <w:pPr>
              <w:jc w:val="center"/>
              <w:rPr>
                <w:rFonts w:cs="Arial"/>
                <w:color w:val="000000"/>
                <w:szCs w:val="20"/>
              </w:rPr>
            </w:pPr>
            <w:r w:rsidRPr="00184E3F">
              <w:rPr>
                <w:rFonts w:cs="Arial"/>
                <w:color w:val="000000"/>
                <w:szCs w:val="20"/>
              </w:rPr>
              <w:t>1,390</w:t>
            </w:r>
          </w:p>
        </w:tc>
        <w:tc>
          <w:tcPr>
            <w:tcW w:w="771" w:type="dxa"/>
            <w:shd w:val="clear" w:color="auto" w:fill="EFD3D2"/>
            <w:vAlign w:val="center"/>
          </w:tcPr>
          <w:p w14:paraId="0EF36E01" w14:textId="44408D62" w:rsidR="00DA0D25" w:rsidRPr="00184E3F" w:rsidRDefault="00DA0D25" w:rsidP="00D77DD3">
            <w:pPr>
              <w:jc w:val="center"/>
              <w:rPr>
                <w:rFonts w:cs="Arial"/>
                <w:color w:val="000000"/>
                <w:szCs w:val="20"/>
              </w:rPr>
            </w:pPr>
            <w:r w:rsidRPr="00184E3F">
              <w:rPr>
                <w:rFonts w:cs="Arial"/>
                <w:color w:val="000000"/>
                <w:szCs w:val="20"/>
              </w:rPr>
              <w:t>1,376</w:t>
            </w:r>
          </w:p>
        </w:tc>
        <w:tc>
          <w:tcPr>
            <w:tcW w:w="749" w:type="dxa"/>
            <w:shd w:val="clear" w:color="auto" w:fill="EFD3D2"/>
            <w:vAlign w:val="center"/>
          </w:tcPr>
          <w:p w14:paraId="2BCFC367" w14:textId="79EEF53B" w:rsidR="00DA0D25" w:rsidRPr="00184E3F" w:rsidRDefault="00DA0D25" w:rsidP="00D77DD3">
            <w:pPr>
              <w:jc w:val="center"/>
              <w:rPr>
                <w:rFonts w:cs="Arial"/>
                <w:color w:val="000000"/>
                <w:szCs w:val="20"/>
              </w:rPr>
            </w:pPr>
            <w:r w:rsidRPr="00184E3F">
              <w:rPr>
                <w:rFonts w:cs="Arial"/>
                <w:color w:val="000000"/>
                <w:szCs w:val="20"/>
              </w:rPr>
              <w:t>828</w:t>
            </w:r>
          </w:p>
        </w:tc>
        <w:tc>
          <w:tcPr>
            <w:tcW w:w="766" w:type="dxa"/>
            <w:shd w:val="clear" w:color="auto" w:fill="EFD3D2"/>
            <w:vAlign w:val="center"/>
          </w:tcPr>
          <w:p w14:paraId="5C88123E" w14:textId="228EF630" w:rsidR="00DA0D25" w:rsidRPr="00184E3F" w:rsidRDefault="00DA0D25" w:rsidP="00D77DD3">
            <w:pPr>
              <w:jc w:val="center"/>
              <w:rPr>
                <w:rFonts w:cs="Arial"/>
                <w:color w:val="000000"/>
                <w:szCs w:val="20"/>
              </w:rPr>
            </w:pPr>
            <w:r w:rsidRPr="00184E3F">
              <w:rPr>
                <w:rFonts w:cs="Arial"/>
                <w:color w:val="000000"/>
                <w:szCs w:val="20"/>
              </w:rPr>
              <w:t>729</w:t>
            </w:r>
          </w:p>
        </w:tc>
        <w:tc>
          <w:tcPr>
            <w:tcW w:w="770" w:type="dxa"/>
            <w:shd w:val="clear" w:color="auto" w:fill="EFD3D2"/>
            <w:vAlign w:val="center"/>
          </w:tcPr>
          <w:p w14:paraId="6B30CDD4" w14:textId="202419E5" w:rsidR="00DA0D25" w:rsidRPr="00184E3F" w:rsidRDefault="00DA0D25" w:rsidP="00D77DD3">
            <w:pPr>
              <w:jc w:val="center"/>
              <w:rPr>
                <w:rFonts w:cs="Arial"/>
                <w:color w:val="000000"/>
                <w:szCs w:val="20"/>
              </w:rPr>
            </w:pPr>
            <w:r w:rsidRPr="00184E3F">
              <w:rPr>
                <w:rFonts w:cs="Arial"/>
                <w:color w:val="000000"/>
                <w:szCs w:val="20"/>
              </w:rPr>
              <w:t>281</w:t>
            </w:r>
          </w:p>
        </w:tc>
        <w:tc>
          <w:tcPr>
            <w:tcW w:w="740" w:type="dxa"/>
            <w:shd w:val="clear" w:color="auto" w:fill="EFD3D2"/>
            <w:vAlign w:val="center"/>
          </w:tcPr>
          <w:p w14:paraId="4A554124" w14:textId="0026A0B8" w:rsidR="00DA0D25" w:rsidRPr="00184E3F" w:rsidRDefault="00DA0D25" w:rsidP="00D77DD3">
            <w:pPr>
              <w:jc w:val="center"/>
              <w:rPr>
                <w:rFonts w:cs="Arial"/>
                <w:color w:val="000000"/>
                <w:szCs w:val="20"/>
              </w:rPr>
            </w:pPr>
            <w:r w:rsidRPr="00184E3F">
              <w:rPr>
                <w:rFonts w:cs="Arial"/>
                <w:color w:val="000000"/>
                <w:szCs w:val="20"/>
              </w:rPr>
              <w:t>260</w:t>
            </w:r>
          </w:p>
        </w:tc>
        <w:tc>
          <w:tcPr>
            <w:tcW w:w="1195" w:type="dxa"/>
            <w:shd w:val="clear" w:color="auto" w:fill="808080" w:themeFill="background1" w:themeFillShade="80"/>
            <w:vAlign w:val="center"/>
          </w:tcPr>
          <w:p w14:paraId="43B0D71F" w14:textId="0A108B9F" w:rsidR="00DA0D25" w:rsidRPr="00184E3F" w:rsidRDefault="00DA0D25" w:rsidP="00D77DD3">
            <w:pPr>
              <w:jc w:val="center"/>
              <w:rPr>
                <w:rFonts w:cs="Arial"/>
                <w:color w:val="FFFFFF" w:themeColor="background1"/>
                <w:szCs w:val="20"/>
              </w:rPr>
            </w:pPr>
            <w:r w:rsidRPr="00184E3F">
              <w:rPr>
                <w:rFonts w:cs="Arial"/>
                <w:color w:val="FFFFFF" w:themeColor="background1"/>
                <w:szCs w:val="20"/>
              </w:rPr>
              <w:t>11,205</w:t>
            </w:r>
          </w:p>
        </w:tc>
        <w:tc>
          <w:tcPr>
            <w:tcW w:w="762" w:type="dxa"/>
            <w:shd w:val="clear" w:color="auto" w:fill="EFD3D2"/>
            <w:vAlign w:val="center"/>
          </w:tcPr>
          <w:p w14:paraId="7239A051" w14:textId="37C90D48" w:rsidR="00DA0D25" w:rsidRPr="00184E3F" w:rsidRDefault="00DA0D25" w:rsidP="00D77DD3">
            <w:pPr>
              <w:jc w:val="center"/>
              <w:rPr>
                <w:rFonts w:cs="Arial"/>
                <w:color w:val="000000"/>
                <w:szCs w:val="20"/>
              </w:rPr>
            </w:pPr>
            <w:r w:rsidRPr="00184E3F">
              <w:rPr>
                <w:rFonts w:cs="Arial"/>
                <w:color w:val="000000"/>
                <w:szCs w:val="20"/>
              </w:rPr>
              <w:t>7,575</w:t>
            </w:r>
          </w:p>
        </w:tc>
      </w:tr>
      <w:tr w:rsidR="00DA0D25" w:rsidRPr="00094BB6" w14:paraId="78962143" w14:textId="77777777" w:rsidTr="00F2335F">
        <w:trPr>
          <w:trHeight w:val="367"/>
        </w:trPr>
        <w:tc>
          <w:tcPr>
            <w:tcW w:w="1081" w:type="dxa"/>
            <w:vAlign w:val="center"/>
          </w:tcPr>
          <w:p w14:paraId="41A60841" w14:textId="2565C13E" w:rsidR="00DA0D25" w:rsidRPr="00094BB6" w:rsidRDefault="00DA0D25" w:rsidP="00DA0D25">
            <w:pPr>
              <w:jc w:val="left"/>
              <w:rPr>
                <w:szCs w:val="20"/>
                <w:lang w:eastAsia="en-US"/>
              </w:rPr>
            </w:pPr>
            <w:r>
              <w:rPr>
                <w:rFonts w:cs="Arial"/>
                <w:b/>
                <w:bCs/>
                <w:color w:val="000000"/>
                <w:szCs w:val="20"/>
              </w:rPr>
              <w:t>2019-20</w:t>
            </w:r>
          </w:p>
        </w:tc>
        <w:tc>
          <w:tcPr>
            <w:tcW w:w="717" w:type="dxa"/>
            <w:vAlign w:val="center"/>
          </w:tcPr>
          <w:p w14:paraId="19976C46" w14:textId="75390D78" w:rsidR="00DA0D25" w:rsidRPr="00094BB6" w:rsidRDefault="00DA0D25" w:rsidP="00D77DD3">
            <w:pPr>
              <w:jc w:val="center"/>
              <w:rPr>
                <w:szCs w:val="20"/>
                <w:lang w:eastAsia="en-US"/>
              </w:rPr>
            </w:pPr>
            <w:r>
              <w:rPr>
                <w:rFonts w:cs="Arial"/>
                <w:color w:val="000000"/>
                <w:szCs w:val="20"/>
              </w:rPr>
              <w:t>2,310</w:t>
            </w:r>
          </w:p>
        </w:tc>
        <w:tc>
          <w:tcPr>
            <w:tcW w:w="717" w:type="dxa"/>
            <w:vAlign w:val="center"/>
          </w:tcPr>
          <w:p w14:paraId="612177EB" w14:textId="684F7C3C" w:rsidR="00DA0D25" w:rsidRPr="00094BB6" w:rsidRDefault="00DA0D25" w:rsidP="00D77DD3">
            <w:pPr>
              <w:jc w:val="center"/>
              <w:rPr>
                <w:szCs w:val="20"/>
                <w:lang w:eastAsia="en-US"/>
              </w:rPr>
            </w:pPr>
            <w:r>
              <w:rPr>
                <w:rFonts w:cs="Arial"/>
                <w:color w:val="000000"/>
                <w:szCs w:val="20"/>
              </w:rPr>
              <w:t>2,359</w:t>
            </w:r>
          </w:p>
        </w:tc>
        <w:tc>
          <w:tcPr>
            <w:tcW w:w="782" w:type="dxa"/>
            <w:vAlign w:val="center"/>
          </w:tcPr>
          <w:p w14:paraId="5C025EF1" w14:textId="4A31C788" w:rsidR="00DA0D25" w:rsidRPr="00094BB6" w:rsidRDefault="00DA0D25" w:rsidP="00D77DD3">
            <w:pPr>
              <w:jc w:val="center"/>
              <w:rPr>
                <w:szCs w:val="20"/>
                <w:lang w:eastAsia="en-US"/>
              </w:rPr>
            </w:pPr>
            <w:r>
              <w:rPr>
                <w:rFonts w:cs="Arial"/>
                <w:color w:val="000000"/>
                <w:szCs w:val="20"/>
              </w:rPr>
              <w:t>1,737</w:t>
            </w:r>
          </w:p>
        </w:tc>
        <w:tc>
          <w:tcPr>
            <w:tcW w:w="778" w:type="dxa"/>
            <w:vAlign w:val="center"/>
          </w:tcPr>
          <w:p w14:paraId="620124F5" w14:textId="5F49CC4A" w:rsidR="00DA0D25" w:rsidRPr="00094BB6" w:rsidRDefault="00DA0D25" w:rsidP="00D77DD3">
            <w:pPr>
              <w:jc w:val="center"/>
              <w:rPr>
                <w:szCs w:val="20"/>
                <w:lang w:eastAsia="en-US"/>
              </w:rPr>
            </w:pPr>
            <w:r>
              <w:rPr>
                <w:rFonts w:cs="Arial"/>
                <w:color w:val="000000"/>
                <w:szCs w:val="20"/>
              </w:rPr>
              <w:t>1,449</w:t>
            </w:r>
          </w:p>
        </w:tc>
        <w:tc>
          <w:tcPr>
            <w:tcW w:w="771" w:type="dxa"/>
            <w:vAlign w:val="center"/>
          </w:tcPr>
          <w:p w14:paraId="60F3A9F0" w14:textId="03974966" w:rsidR="00DA0D25" w:rsidRPr="00094BB6" w:rsidRDefault="00DA0D25" w:rsidP="00D77DD3">
            <w:pPr>
              <w:jc w:val="center"/>
              <w:rPr>
                <w:szCs w:val="20"/>
                <w:lang w:eastAsia="en-US"/>
              </w:rPr>
            </w:pPr>
            <w:r>
              <w:rPr>
                <w:rFonts w:cs="Arial"/>
                <w:color w:val="000000"/>
                <w:szCs w:val="20"/>
              </w:rPr>
              <w:t>1,368</w:t>
            </w:r>
          </w:p>
        </w:tc>
        <w:tc>
          <w:tcPr>
            <w:tcW w:w="749" w:type="dxa"/>
            <w:vAlign w:val="center"/>
          </w:tcPr>
          <w:p w14:paraId="7ECB3B58" w14:textId="127B7173" w:rsidR="00DA0D25" w:rsidRPr="00094BB6" w:rsidRDefault="00DA0D25" w:rsidP="00D77DD3">
            <w:pPr>
              <w:jc w:val="center"/>
              <w:rPr>
                <w:szCs w:val="20"/>
                <w:lang w:eastAsia="en-US"/>
              </w:rPr>
            </w:pPr>
            <w:r>
              <w:rPr>
                <w:rFonts w:cs="Arial"/>
                <w:color w:val="000000"/>
                <w:szCs w:val="20"/>
              </w:rPr>
              <w:t>797</w:t>
            </w:r>
          </w:p>
        </w:tc>
        <w:tc>
          <w:tcPr>
            <w:tcW w:w="766" w:type="dxa"/>
            <w:vAlign w:val="center"/>
          </w:tcPr>
          <w:p w14:paraId="55B09308" w14:textId="59142EF1" w:rsidR="00DA0D25" w:rsidRPr="00094BB6" w:rsidRDefault="00DA0D25" w:rsidP="00D77DD3">
            <w:pPr>
              <w:jc w:val="center"/>
              <w:rPr>
                <w:szCs w:val="20"/>
                <w:lang w:eastAsia="en-US"/>
              </w:rPr>
            </w:pPr>
            <w:r>
              <w:rPr>
                <w:rFonts w:cs="Arial"/>
                <w:color w:val="000000"/>
                <w:szCs w:val="20"/>
              </w:rPr>
              <w:t>732</w:t>
            </w:r>
          </w:p>
        </w:tc>
        <w:tc>
          <w:tcPr>
            <w:tcW w:w="770" w:type="dxa"/>
            <w:vAlign w:val="center"/>
          </w:tcPr>
          <w:p w14:paraId="720581AE" w14:textId="6B2F520C" w:rsidR="00DA0D25" w:rsidRPr="00094BB6" w:rsidRDefault="00DA0D25" w:rsidP="00D77DD3">
            <w:pPr>
              <w:jc w:val="center"/>
              <w:rPr>
                <w:szCs w:val="20"/>
                <w:lang w:eastAsia="en-US"/>
              </w:rPr>
            </w:pPr>
            <w:r>
              <w:rPr>
                <w:rFonts w:cs="Arial"/>
                <w:color w:val="000000"/>
                <w:szCs w:val="20"/>
              </w:rPr>
              <w:t>302</w:t>
            </w:r>
          </w:p>
        </w:tc>
        <w:tc>
          <w:tcPr>
            <w:tcW w:w="740" w:type="dxa"/>
            <w:vAlign w:val="center"/>
          </w:tcPr>
          <w:p w14:paraId="584CE001" w14:textId="651A7F79" w:rsidR="00DA0D25" w:rsidRPr="00094BB6" w:rsidRDefault="00DA0D25" w:rsidP="00D77DD3">
            <w:pPr>
              <w:jc w:val="center"/>
              <w:rPr>
                <w:szCs w:val="20"/>
                <w:lang w:eastAsia="en-US"/>
              </w:rPr>
            </w:pPr>
            <w:r>
              <w:rPr>
                <w:rFonts w:cs="Arial"/>
                <w:color w:val="000000"/>
                <w:szCs w:val="20"/>
              </w:rPr>
              <w:t>245</w:t>
            </w:r>
          </w:p>
        </w:tc>
        <w:tc>
          <w:tcPr>
            <w:tcW w:w="1195" w:type="dxa"/>
            <w:shd w:val="clear" w:color="auto" w:fill="808080" w:themeFill="background1" w:themeFillShade="80"/>
            <w:vAlign w:val="center"/>
          </w:tcPr>
          <w:p w14:paraId="183A6081" w14:textId="34A82987" w:rsidR="00DA0D25" w:rsidRPr="00D77DD3" w:rsidRDefault="00DA0D25" w:rsidP="00D77DD3">
            <w:pPr>
              <w:jc w:val="center"/>
              <w:rPr>
                <w:rFonts w:cs="Arial"/>
                <w:color w:val="FFFFFF" w:themeColor="background1"/>
                <w:szCs w:val="20"/>
              </w:rPr>
            </w:pPr>
            <w:r w:rsidRPr="00D77DD3">
              <w:rPr>
                <w:rFonts w:cs="Arial"/>
                <w:color w:val="FFFFFF" w:themeColor="background1"/>
                <w:szCs w:val="20"/>
              </w:rPr>
              <w:t>11,299</w:t>
            </w:r>
          </w:p>
        </w:tc>
        <w:tc>
          <w:tcPr>
            <w:tcW w:w="762" w:type="dxa"/>
            <w:vAlign w:val="center"/>
          </w:tcPr>
          <w:p w14:paraId="1294FC0C" w14:textId="324DF490" w:rsidR="00DA0D25" w:rsidRPr="00094BB6" w:rsidRDefault="00DA0D25" w:rsidP="00D77DD3">
            <w:pPr>
              <w:jc w:val="center"/>
              <w:rPr>
                <w:szCs w:val="20"/>
                <w:lang w:eastAsia="en-US"/>
              </w:rPr>
            </w:pPr>
            <w:r>
              <w:rPr>
                <w:rFonts w:cs="Arial"/>
                <w:color w:val="000000"/>
                <w:szCs w:val="20"/>
              </w:rPr>
              <w:t>7,821</w:t>
            </w:r>
          </w:p>
        </w:tc>
      </w:tr>
      <w:tr w:rsidR="00D77DD3" w:rsidRPr="00D77DD3" w14:paraId="13C50E85" w14:textId="77777777" w:rsidTr="00F2335F">
        <w:trPr>
          <w:trHeight w:val="367"/>
        </w:trPr>
        <w:tc>
          <w:tcPr>
            <w:tcW w:w="1081" w:type="dxa"/>
            <w:shd w:val="clear" w:color="auto" w:fill="EFD3D2"/>
            <w:vAlign w:val="center"/>
          </w:tcPr>
          <w:p w14:paraId="4A5237CB" w14:textId="3519E6FC" w:rsidR="00DA0D25" w:rsidRPr="00D77DD3" w:rsidRDefault="00DA0D25" w:rsidP="00DA0D25">
            <w:pPr>
              <w:jc w:val="left"/>
              <w:rPr>
                <w:rFonts w:cs="Arial"/>
                <w:b/>
                <w:bCs/>
                <w:color w:val="000000"/>
                <w:szCs w:val="20"/>
              </w:rPr>
            </w:pPr>
            <w:r w:rsidRPr="00DA0D25">
              <w:rPr>
                <w:rFonts w:cs="Arial"/>
                <w:b/>
                <w:bCs/>
                <w:color w:val="000000"/>
                <w:szCs w:val="20"/>
              </w:rPr>
              <w:t>20</w:t>
            </w:r>
            <w:r w:rsidR="00FA3352">
              <w:rPr>
                <w:rFonts w:cs="Arial"/>
                <w:b/>
                <w:bCs/>
                <w:color w:val="000000"/>
                <w:szCs w:val="20"/>
              </w:rPr>
              <w:t>20</w:t>
            </w:r>
            <w:r w:rsidRPr="00DA0D25">
              <w:rPr>
                <w:rFonts w:cs="Arial"/>
                <w:b/>
                <w:bCs/>
                <w:color w:val="000000"/>
                <w:szCs w:val="20"/>
              </w:rPr>
              <w:t>-2</w:t>
            </w:r>
            <w:r w:rsidR="00FA3352">
              <w:rPr>
                <w:rFonts w:cs="Arial"/>
                <w:b/>
                <w:bCs/>
                <w:color w:val="000000"/>
                <w:szCs w:val="20"/>
              </w:rPr>
              <w:t>1</w:t>
            </w:r>
            <w:r w:rsidRPr="00DA0D25">
              <w:rPr>
                <w:rFonts w:cs="Arial"/>
                <w:b/>
                <w:bCs/>
                <w:color w:val="000000"/>
                <w:szCs w:val="20"/>
              </w:rPr>
              <w:t>p</w:t>
            </w:r>
          </w:p>
        </w:tc>
        <w:tc>
          <w:tcPr>
            <w:tcW w:w="717" w:type="dxa"/>
            <w:shd w:val="clear" w:color="auto" w:fill="EFD3D2"/>
            <w:vAlign w:val="center"/>
          </w:tcPr>
          <w:p w14:paraId="4F33369F" w14:textId="46ABAB51" w:rsidR="00DA0D25" w:rsidRPr="00D77DD3" w:rsidRDefault="00DA0D25" w:rsidP="00D77DD3">
            <w:pPr>
              <w:jc w:val="center"/>
              <w:rPr>
                <w:rFonts w:cs="Arial"/>
                <w:b/>
                <w:bCs/>
                <w:color w:val="000000"/>
                <w:szCs w:val="20"/>
              </w:rPr>
            </w:pPr>
            <w:r w:rsidRPr="00D77DD3">
              <w:rPr>
                <w:rFonts w:cs="Arial"/>
                <w:b/>
                <w:bCs/>
                <w:color w:val="000000"/>
                <w:szCs w:val="20"/>
              </w:rPr>
              <w:t>2,497</w:t>
            </w:r>
          </w:p>
        </w:tc>
        <w:tc>
          <w:tcPr>
            <w:tcW w:w="717" w:type="dxa"/>
            <w:shd w:val="clear" w:color="auto" w:fill="EFD3D2"/>
            <w:vAlign w:val="center"/>
          </w:tcPr>
          <w:p w14:paraId="7AC3545D" w14:textId="78598785" w:rsidR="00DA0D25" w:rsidRPr="00D77DD3" w:rsidRDefault="00DA0D25" w:rsidP="00D77DD3">
            <w:pPr>
              <w:jc w:val="center"/>
              <w:rPr>
                <w:rFonts w:cs="Arial"/>
                <w:b/>
                <w:bCs/>
                <w:color w:val="000000"/>
                <w:szCs w:val="20"/>
              </w:rPr>
            </w:pPr>
            <w:r w:rsidRPr="00D77DD3">
              <w:rPr>
                <w:rFonts w:cs="Arial"/>
                <w:b/>
                <w:bCs/>
                <w:color w:val="000000"/>
                <w:szCs w:val="20"/>
              </w:rPr>
              <w:t>2,482</w:t>
            </w:r>
          </w:p>
        </w:tc>
        <w:tc>
          <w:tcPr>
            <w:tcW w:w="782" w:type="dxa"/>
            <w:shd w:val="clear" w:color="auto" w:fill="EFD3D2"/>
            <w:vAlign w:val="center"/>
          </w:tcPr>
          <w:p w14:paraId="3288757D" w14:textId="255383D4" w:rsidR="00DA0D25" w:rsidRPr="00D77DD3" w:rsidRDefault="00DA0D25" w:rsidP="00D77DD3">
            <w:pPr>
              <w:jc w:val="center"/>
              <w:rPr>
                <w:rFonts w:cs="Arial"/>
                <w:b/>
                <w:bCs/>
                <w:color w:val="000000"/>
                <w:szCs w:val="20"/>
              </w:rPr>
            </w:pPr>
            <w:r w:rsidRPr="00D77DD3">
              <w:rPr>
                <w:rFonts w:cs="Arial"/>
                <w:b/>
                <w:bCs/>
                <w:color w:val="000000"/>
                <w:szCs w:val="20"/>
              </w:rPr>
              <w:t>1,809</w:t>
            </w:r>
          </w:p>
        </w:tc>
        <w:tc>
          <w:tcPr>
            <w:tcW w:w="778" w:type="dxa"/>
            <w:shd w:val="clear" w:color="auto" w:fill="EFD3D2"/>
            <w:vAlign w:val="center"/>
          </w:tcPr>
          <w:p w14:paraId="38100012" w14:textId="4820BDC8" w:rsidR="00DA0D25" w:rsidRPr="00D77DD3" w:rsidRDefault="00DA0D25" w:rsidP="00D77DD3">
            <w:pPr>
              <w:jc w:val="center"/>
              <w:rPr>
                <w:rFonts w:cs="Arial"/>
                <w:b/>
                <w:bCs/>
                <w:color w:val="000000"/>
                <w:szCs w:val="20"/>
              </w:rPr>
            </w:pPr>
            <w:r w:rsidRPr="00D77DD3">
              <w:rPr>
                <w:rFonts w:cs="Arial"/>
                <w:b/>
                <w:bCs/>
                <w:color w:val="000000"/>
                <w:szCs w:val="20"/>
              </w:rPr>
              <w:t>1,586</w:t>
            </w:r>
          </w:p>
        </w:tc>
        <w:tc>
          <w:tcPr>
            <w:tcW w:w="771" w:type="dxa"/>
            <w:shd w:val="clear" w:color="auto" w:fill="EFD3D2"/>
            <w:vAlign w:val="center"/>
          </w:tcPr>
          <w:p w14:paraId="58DF8D33" w14:textId="23E3F6A6" w:rsidR="00DA0D25" w:rsidRPr="00D77DD3" w:rsidRDefault="00DA0D25" w:rsidP="00D77DD3">
            <w:pPr>
              <w:jc w:val="center"/>
              <w:rPr>
                <w:rFonts w:cs="Arial"/>
                <w:b/>
                <w:bCs/>
                <w:color w:val="000000"/>
                <w:szCs w:val="20"/>
              </w:rPr>
            </w:pPr>
            <w:r w:rsidRPr="00D77DD3">
              <w:rPr>
                <w:rFonts w:cs="Arial"/>
                <w:b/>
                <w:bCs/>
                <w:color w:val="000000"/>
                <w:szCs w:val="20"/>
              </w:rPr>
              <w:t>1,200</w:t>
            </w:r>
          </w:p>
        </w:tc>
        <w:tc>
          <w:tcPr>
            <w:tcW w:w="749" w:type="dxa"/>
            <w:shd w:val="clear" w:color="auto" w:fill="EFD3D2"/>
            <w:vAlign w:val="center"/>
          </w:tcPr>
          <w:p w14:paraId="1338D57E" w14:textId="13035763" w:rsidR="00DA0D25" w:rsidRPr="00D77DD3" w:rsidRDefault="00DA0D25" w:rsidP="00D77DD3">
            <w:pPr>
              <w:jc w:val="center"/>
              <w:rPr>
                <w:rFonts w:cs="Arial"/>
                <w:b/>
                <w:bCs/>
                <w:color w:val="000000"/>
                <w:szCs w:val="20"/>
              </w:rPr>
            </w:pPr>
            <w:r w:rsidRPr="00D77DD3">
              <w:rPr>
                <w:rFonts w:cs="Arial"/>
                <w:b/>
                <w:bCs/>
                <w:color w:val="000000"/>
                <w:szCs w:val="20"/>
              </w:rPr>
              <w:t>921</w:t>
            </w:r>
          </w:p>
        </w:tc>
        <w:tc>
          <w:tcPr>
            <w:tcW w:w="766" w:type="dxa"/>
            <w:shd w:val="clear" w:color="auto" w:fill="EFD3D2"/>
            <w:vAlign w:val="center"/>
          </w:tcPr>
          <w:p w14:paraId="0662EED6" w14:textId="5AEF7676" w:rsidR="00DA0D25" w:rsidRPr="00D77DD3" w:rsidRDefault="00DA0D25" w:rsidP="00D77DD3">
            <w:pPr>
              <w:jc w:val="center"/>
              <w:rPr>
                <w:rFonts w:cs="Arial"/>
                <w:b/>
                <w:bCs/>
                <w:color w:val="000000"/>
                <w:szCs w:val="20"/>
              </w:rPr>
            </w:pPr>
            <w:r w:rsidRPr="00D77DD3">
              <w:rPr>
                <w:rFonts w:cs="Arial"/>
                <w:b/>
                <w:bCs/>
                <w:color w:val="000000"/>
                <w:szCs w:val="20"/>
              </w:rPr>
              <w:t>712</w:t>
            </w:r>
          </w:p>
        </w:tc>
        <w:tc>
          <w:tcPr>
            <w:tcW w:w="770" w:type="dxa"/>
            <w:shd w:val="clear" w:color="auto" w:fill="EFD3D2"/>
            <w:vAlign w:val="center"/>
          </w:tcPr>
          <w:p w14:paraId="1C7133BA" w14:textId="36B6A042" w:rsidR="00DA0D25" w:rsidRPr="00D77DD3" w:rsidRDefault="00DA0D25" w:rsidP="00D77DD3">
            <w:pPr>
              <w:jc w:val="center"/>
              <w:rPr>
                <w:rFonts w:cs="Arial"/>
                <w:b/>
                <w:bCs/>
                <w:color w:val="000000"/>
                <w:szCs w:val="20"/>
              </w:rPr>
            </w:pPr>
            <w:r w:rsidRPr="00D77DD3">
              <w:rPr>
                <w:rFonts w:cs="Arial"/>
                <w:b/>
                <w:bCs/>
                <w:color w:val="000000"/>
                <w:szCs w:val="20"/>
              </w:rPr>
              <w:t>401</w:t>
            </w:r>
          </w:p>
        </w:tc>
        <w:tc>
          <w:tcPr>
            <w:tcW w:w="740" w:type="dxa"/>
            <w:shd w:val="clear" w:color="auto" w:fill="EFD3D2"/>
            <w:vAlign w:val="center"/>
          </w:tcPr>
          <w:p w14:paraId="3DDA31F3" w14:textId="7B84D228" w:rsidR="00DA0D25" w:rsidRPr="00D77DD3" w:rsidRDefault="00DA0D25" w:rsidP="00D77DD3">
            <w:pPr>
              <w:jc w:val="center"/>
              <w:rPr>
                <w:rFonts w:cs="Arial"/>
                <w:b/>
                <w:bCs/>
                <w:color w:val="000000"/>
                <w:szCs w:val="20"/>
              </w:rPr>
            </w:pPr>
            <w:r w:rsidRPr="00D77DD3">
              <w:rPr>
                <w:rFonts w:cs="Arial"/>
                <w:b/>
                <w:bCs/>
                <w:color w:val="000000"/>
                <w:szCs w:val="20"/>
              </w:rPr>
              <w:t>142</w:t>
            </w:r>
          </w:p>
        </w:tc>
        <w:tc>
          <w:tcPr>
            <w:tcW w:w="1195" w:type="dxa"/>
            <w:shd w:val="clear" w:color="auto" w:fill="808080" w:themeFill="background1" w:themeFillShade="80"/>
            <w:vAlign w:val="center"/>
          </w:tcPr>
          <w:p w14:paraId="76BB06C6" w14:textId="25E1F8F2" w:rsidR="00DA0D25" w:rsidRPr="00D77DD3" w:rsidRDefault="00DA0D25" w:rsidP="00D77DD3">
            <w:pPr>
              <w:jc w:val="center"/>
              <w:rPr>
                <w:rFonts w:cs="Arial"/>
                <w:b/>
                <w:bCs/>
                <w:color w:val="FFFFFF" w:themeColor="background1"/>
                <w:szCs w:val="20"/>
              </w:rPr>
            </w:pPr>
            <w:r w:rsidRPr="00D77DD3">
              <w:rPr>
                <w:rFonts w:cs="Arial"/>
                <w:b/>
                <w:bCs/>
                <w:color w:val="FFFFFF" w:themeColor="background1"/>
                <w:szCs w:val="20"/>
              </w:rPr>
              <w:t>11,750</w:t>
            </w:r>
          </w:p>
        </w:tc>
        <w:tc>
          <w:tcPr>
            <w:tcW w:w="762" w:type="dxa"/>
            <w:shd w:val="clear" w:color="auto" w:fill="EFD3D2"/>
            <w:vAlign w:val="center"/>
          </w:tcPr>
          <w:p w14:paraId="7FFFCF6A" w14:textId="69181515" w:rsidR="00DA0D25" w:rsidRPr="00D77DD3" w:rsidRDefault="00DA0D25" w:rsidP="00D77DD3">
            <w:pPr>
              <w:jc w:val="center"/>
              <w:rPr>
                <w:rFonts w:cs="Arial"/>
                <w:b/>
                <w:bCs/>
                <w:color w:val="000000"/>
                <w:szCs w:val="20"/>
              </w:rPr>
            </w:pPr>
            <w:r w:rsidRPr="00D77DD3">
              <w:rPr>
                <w:rFonts w:cs="Arial"/>
                <w:b/>
                <w:bCs/>
                <w:color w:val="000000"/>
                <w:szCs w:val="20"/>
              </w:rPr>
              <w:t>8,994</w:t>
            </w:r>
          </w:p>
        </w:tc>
      </w:tr>
    </w:tbl>
    <w:p w14:paraId="0DF124AA" w14:textId="43E91637" w:rsidR="000A3553" w:rsidRDefault="000A3553" w:rsidP="00D407E6">
      <w:pPr>
        <w:jc w:val="left"/>
        <w:rPr>
          <w:rFonts w:eastAsiaTheme="minorHAnsi" w:cs="Arial"/>
          <w:color w:val="000000"/>
          <w:sz w:val="16"/>
          <w:szCs w:val="16"/>
          <w:lang w:val="en-US" w:eastAsia="en-US"/>
        </w:rPr>
      </w:pPr>
      <w:r w:rsidRPr="00F60444">
        <w:rPr>
          <w:rFonts w:eastAsiaTheme="minorHAnsi" w:cs="Arial"/>
          <w:color w:val="000000"/>
          <w:sz w:val="16"/>
          <w:szCs w:val="16"/>
          <w:lang w:val="en-US" w:eastAsia="en-US"/>
        </w:rPr>
        <w:t>*Tasmanian self-insured claims also include state government agencies</w:t>
      </w:r>
    </w:p>
    <w:p w14:paraId="1A4090A3" w14:textId="5BF1E7AE" w:rsidR="00741D61" w:rsidRDefault="00741D61" w:rsidP="00F83FBC">
      <w:pPr>
        <w:rPr>
          <w:rFonts w:eastAsiaTheme="minorHAnsi" w:cs="Arial"/>
          <w:color w:val="000000"/>
          <w:sz w:val="16"/>
          <w:szCs w:val="16"/>
          <w:lang w:val="en-US" w:eastAsia="en-US"/>
        </w:rPr>
      </w:pPr>
      <w:r>
        <w:rPr>
          <w:rFonts w:eastAsiaTheme="minorHAnsi" w:cs="Arial"/>
          <w:color w:val="000000"/>
          <w:sz w:val="16"/>
          <w:szCs w:val="16"/>
          <w:lang w:val="en-US" w:eastAsia="en-US"/>
        </w:rPr>
        <w:t>**</w:t>
      </w:r>
      <w:r w:rsidR="00F83FBC" w:rsidRPr="00F83FBC">
        <w:rPr>
          <w:rFonts w:eastAsiaTheme="minorHAnsi" w:cs="Arial"/>
          <w:color w:val="000000"/>
          <w:sz w:val="16"/>
          <w:szCs w:val="16"/>
          <w:lang w:val="en-US" w:eastAsia="en-US"/>
        </w:rPr>
        <w:t>Australian Capital Territory self-insured claims also include the Australian Capital Territory Government.</w:t>
      </w:r>
    </w:p>
    <w:p w14:paraId="60060974" w14:textId="6FBB417F" w:rsidR="00D62774" w:rsidRPr="00F60444" w:rsidRDefault="00D62774" w:rsidP="004651A1">
      <w:pPr>
        <w:rPr>
          <w:rFonts w:eastAsiaTheme="minorHAnsi" w:cs="Arial"/>
          <w:color w:val="000000"/>
          <w:sz w:val="16"/>
          <w:szCs w:val="16"/>
          <w:lang w:val="en-US" w:eastAsia="en-US"/>
        </w:rPr>
      </w:pPr>
      <w:r>
        <w:rPr>
          <w:rFonts w:eastAsiaTheme="minorHAnsi" w:cs="Arial"/>
          <w:color w:val="000000"/>
          <w:sz w:val="16"/>
          <w:szCs w:val="16"/>
          <w:lang w:val="en-US" w:eastAsia="en-US"/>
        </w:rPr>
        <w:t>**</w:t>
      </w:r>
      <w:r w:rsidR="006A682A">
        <w:rPr>
          <w:rFonts w:eastAsiaTheme="minorHAnsi" w:cs="Arial"/>
          <w:color w:val="000000"/>
          <w:sz w:val="16"/>
          <w:szCs w:val="16"/>
          <w:lang w:val="en-US" w:eastAsia="en-US"/>
        </w:rPr>
        <w:t>*</w:t>
      </w:r>
      <w:r>
        <w:rPr>
          <w:rFonts w:eastAsiaTheme="minorHAnsi" w:cs="Arial"/>
          <w:color w:val="000000"/>
          <w:sz w:val="16"/>
          <w:szCs w:val="16"/>
          <w:lang w:val="en-US" w:eastAsia="en-US"/>
        </w:rPr>
        <w:t xml:space="preserve">The Australian total excludes </w:t>
      </w:r>
      <w:proofErr w:type="spellStart"/>
      <w:r>
        <w:rPr>
          <w:rFonts w:eastAsiaTheme="minorHAnsi" w:cs="Arial"/>
          <w:color w:val="000000"/>
          <w:sz w:val="16"/>
          <w:szCs w:val="16"/>
          <w:lang w:val="en-US" w:eastAsia="en-US"/>
        </w:rPr>
        <w:t>Seacare</w:t>
      </w:r>
      <w:proofErr w:type="spellEnd"/>
      <w:r>
        <w:rPr>
          <w:rFonts w:eastAsiaTheme="minorHAnsi" w:cs="Arial"/>
          <w:color w:val="000000"/>
          <w:sz w:val="16"/>
          <w:szCs w:val="16"/>
          <w:lang w:val="en-US" w:eastAsia="en-US"/>
        </w:rPr>
        <w:t xml:space="preserve"> </w:t>
      </w:r>
      <w:r w:rsidRPr="00F60444">
        <w:rPr>
          <w:rFonts w:eastAsiaTheme="minorHAnsi" w:cs="Arial"/>
          <w:color w:val="000000"/>
          <w:sz w:val="16"/>
          <w:szCs w:val="16"/>
          <w:lang w:val="en-US" w:eastAsia="en-US"/>
        </w:rPr>
        <w:t>self-insured</w:t>
      </w:r>
      <w:r>
        <w:rPr>
          <w:rFonts w:eastAsiaTheme="minorHAnsi" w:cs="Arial"/>
          <w:color w:val="000000"/>
          <w:sz w:val="16"/>
          <w:szCs w:val="16"/>
          <w:lang w:val="en-US" w:eastAsia="en-US"/>
        </w:rPr>
        <w:t xml:space="preserve"> claims.</w:t>
      </w:r>
    </w:p>
    <w:p w14:paraId="6D7B6EDF" w14:textId="7DCCA75C" w:rsidR="00E74178" w:rsidRPr="007E7F9A" w:rsidRDefault="00E74178" w:rsidP="004014F4">
      <w:pPr>
        <w:rPr>
          <w:i/>
        </w:rPr>
      </w:pPr>
      <w:r w:rsidRPr="007E7F9A">
        <w:rPr>
          <w:i/>
        </w:rPr>
        <w:t>Proportion of self-insured claims</w:t>
      </w:r>
    </w:p>
    <w:p w14:paraId="1DBDC308" w14:textId="66109341" w:rsidR="008E6EF2" w:rsidRDefault="008E6EF2" w:rsidP="008E6EF2">
      <w:pPr>
        <w:spacing w:after="200" w:line="276" w:lineRule="auto"/>
        <w:jc w:val="left"/>
      </w:pPr>
      <w:bookmarkStart w:id="29" w:name="_Hlk56772447"/>
      <w:r w:rsidRPr="00D2760A">
        <w:t xml:space="preserve">Preliminary data </w:t>
      </w:r>
      <w:r w:rsidR="00507FD0">
        <w:t>for 20</w:t>
      </w:r>
      <w:r w:rsidR="009B2CED">
        <w:t>20</w:t>
      </w:r>
      <w:r w:rsidR="0097473A" w:rsidRPr="00B108F1">
        <w:t>–</w:t>
      </w:r>
      <w:r w:rsidR="00507FD0">
        <w:t>2</w:t>
      </w:r>
      <w:r w:rsidR="009B2CED">
        <w:t>1</w:t>
      </w:r>
      <w:r w:rsidR="00507FD0">
        <w:t xml:space="preserve"> </w:t>
      </w:r>
      <w:r>
        <w:t xml:space="preserve">show </w:t>
      </w:r>
      <w:r w:rsidR="00507FD0">
        <w:t xml:space="preserve">that </w:t>
      </w:r>
      <w:r w:rsidRPr="00D2760A">
        <w:t xml:space="preserve">self-insured claims </w:t>
      </w:r>
      <w:r w:rsidR="00507FD0">
        <w:t xml:space="preserve">contributed </w:t>
      </w:r>
      <w:r>
        <w:t xml:space="preserve">9% of serious claims </w:t>
      </w:r>
      <w:r w:rsidRPr="00D2760A">
        <w:t>in Australia (Indicator 5b)</w:t>
      </w:r>
      <w:r>
        <w:t>.</w:t>
      </w:r>
      <w:r w:rsidR="003A1B9E">
        <w:t xml:space="preserve"> </w:t>
      </w:r>
      <w:r>
        <w:t>This indicator also showed:</w:t>
      </w:r>
    </w:p>
    <w:p w14:paraId="13EFC9D3" w14:textId="6AF95137" w:rsidR="008E6EF2" w:rsidRDefault="00507FD0" w:rsidP="00C03259">
      <w:pPr>
        <w:pStyle w:val="ListParagraph"/>
        <w:numPr>
          <w:ilvl w:val="0"/>
          <w:numId w:val="22"/>
        </w:numPr>
      </w:pPr>
      <w:r>
        <w:t>T</w:t>
      </w:r>
      <w:r w:rsidR="008E6EF2" w:rsidRPr="00086AB2">
        <w:t>he Australian Government had the highest percentage of self</w:t>
      </w:r>
      <w:r w:rsidR="008E6EF2" w:rsidRPr="00086AB2">
        <w:noBreakHyphen/>
        <w:t>insured</w:t>
      </w:r>
      <w:r w:rsidR="008E6EF2">
        <w:t xml:space="preserve"> claims in 20</w:t>
      </w:r>
      <w:r w:rsidR="009B2CED">
        <w:t>20</w:t>
      </w:r>
      <w:r w:rsidR="008E6EF2">
        <w:t>–2</w:t>
      </w:r>
      <w:r w:rsidR="009B2CED">
        <w:t>1</w:t>
      </w:r>
      <w:r w:rsidR="008E6EF2">
        <w:t>p</w:t>
      </w:r>
      <w:r w:rsidR="00597011">
        <w:t>,</w:t>
      </w:r>
      <w:r w:rsidR="008E6EF2" w:rsidRPr="00630C18">
        <w:t xml:space="preserve"> </w:t>
      </w:r>
      <w:r>
        <w:t xml:space="preserve">accounting for </w:t>
      </w:r>
      <w:r w:rsidR="00597011">
        <w:t>7</w:t>
      </w:r>
      <w:r w:rsidR="009B2CED">
        <w:t>9</w:t>
      </w:r>
      <w:r w:rsidR="00597011">
        <w:t xml:space="preserve">% </w:t>
      </w:r>
      <w:r w:rsidR="008E6EF2">
        <w:t xml:space="preserve">of their serious </w:t>
      </w:r>
      <w:r w:rsidR="00ED4B2D">
        <w:t>claims.</w:t>
      </w:r>
      <w:r w:rsidR="008E6EF2">
        <w:t xml:space="preserve"> </w:t>
      </w:r>
    </w:p>
    <w:p w14:paraId="711E54CD" w14:textId="1636BFB4" w:rsidR="008E6EF2" w:rsidRDefault="008E6EF2" w:rsidP="00780CE7">
      <w:pPr>
        <w:pStyle w:val="ListParagraph"/>
        <w:numPr>
          <w:ilvl w:val="0"/>
          <w:numId w:val="22"/>
        </w:numPr>
        <w:ind w:hanging="357"/>
      </w:pPr>
      <w:r>
        <w:t xml:space="preserve">New South Wales </w:t>
      </w:r>
      <w:r w:rsidR="009B2CED">
        <w:t xml:space="preserve">and Victoria both </w:t>
      </w:r>
      <w:r w:rsidRPr="00086AB2">
        <w:t xml:space="preserve">had the lowest proportion of self-insured claims </w:t>
      </w:r>
      <w:r>
        <w:t>(5%</w:t>
      </w:r>
      <w:r w:rsidR="006E2C4F">
        <w:t xml:space="preserve"> of their serious claims</w:t>
      </w:r>
      <w:r w:rsidR="009B2CED">
        <w:t xml:space="preserve"> each</w:t>
      </w:r>
      <w:r>
        <w:t>)</w:t>
      </w:r>
      <w:r w:rsidRPr="00086AB2">
        <w:t xml:space="preserve"> in </w:t>
      </w:r>
      <w:r>
        <w:t>20</w:t>
      </w:r>
      <w:r w:rsidR="009B2CED">
        <w:t>20</w:t>
      </w:r>
      <w:r>
        <w:t>–2</w:t>
      </w:r>
      <w:r w:rsidR="009B2CED">
        <w:t>1</w:t>
      </w:r>
      <w:r>
        <w:t xml:space="preserve">p. </w:t>
      </w:r>
    </w:p>
    <w:p w14:paraId="33A842AC" w14:textId="6FD2E62B" w:rsidR="008E6EF2" w:rsidRDefault="008E6EF2" w:rsidP="00C03259">
      <w:pPr>
        <w:pStyle w:val="ListParagraph"/>
        <w:numPr>
          <w:ilvl w:val="0"/>
          <w:numId w:val="22"/>
        </w:numPr>
      </w:pPr>
      <w:r>
        <w:t>O</w:t>
      </w:r>
      <w:r w:rsidRPr="00086AB2">
        <w:t>verall</w:t>
      </w:r>
      <w:r w:rsidR="00597011">
        <w:t>,</w:t>
      </w:r>
      <w:r w:rsidRPr="00086AB2">
        <w:t xml:space="preserve"> </w:t>
      </w:r>
      <w:r w:rsidR="009B2CED">
        <w:t xml:space="preserve">the </w:t>
      </w:r>
      <w:r>
        <w:t>proportion</w:t>
      </w:r>
      <w:r w:rsidRPr="00086AB2">
        <w:t xml:space="preserve"> of self-insured claims in Australia </w:t>
      </w:r>
      <w:r>
        <w:t>decreased (</w:t>
      </w:r>
      <w:r w:rsidRPr="008E6EF2">
        <w:rPr>
          <w:rFonts w:ascii="Wingdings 3" w:hAnsi="Wingdings 3"/>
          <w:b/>
          <w:bCs/>
          <w:color w:val="B94F25"/>
        </w:rPr>
        <w:t>i</w:t>
      </w:r>
      <w:r>
        <w:t xml:space="preserve"> </w:t>
      </w:r>
      <w:r w:rsidRPr="008E6EF2">
        <w:rPr>
          <w:b/>
          <w:bCs/>
          <w:color w:val="B94F25"/>
        </w:rPr>
        <w:t xml:space="preserve">down </w:t>
      </w:r>
      <w:r w:rsidR="009B2CED">
        <w:rPr>
          <w:b/>
          <w:bCs/>
          <w:color w:val="B94F25"/>
        </w:rPr>
        <w:t>6</w:t>
      </w:r>
      <w:r w:rsidRPr="008E6EF2">
        <w:rPr>
          <w:b/>
          <w:bCs/>
          <w:color w:val="B94F25"/>
        </w:rPr>
        <w:t>%</w:t>
      </w:r>
      <w:r>
        <w:t>) between</w:t>
      </w:r>
      <w:r w:rsidR="00D77DD3">
        <w:t xml:space="preserve"> </w:t>
      </w:r>
      <w:r w:rsidRPr="00086AB2">
        <w:t>201</w:t>
      </w:r>
      <w:r w:rsidR="009B2CED">
        <w:t>5</w:t>
      </w:r>
      <w:r w:rsidR="00512BB9">
        <w:t>–</w:t>
      </w:r>
      <w:r w:rsidRPr="00086AB2">
        <w:t>1</w:t>
      </w:r>
      <w:r w:rsidR="009B2CED">
        <w:t>6</w:t>
      </w:r>
      <w:r w:rsidRPr="00086AB2">
        <w:t xml:space="preserve"> </w:t>
      </w:r>
      <w:r>
        <w:t>and</w:t>
      </w:r>
      <w:r w:rsidRPr="00086AB2">
        <w:t xml:space="preserve"> 201</w:t>
      </w:r>
      <w:r w:rsidR="009B2CED">
        <w:t>9</w:t>
      </w:r>
      <w:r w:rsidRPr="00086AB2">
        <w:t>–</w:t>
      </w:r>
      <w:r w:rsidR="009B2CED">
        <w:t>20</w:t>
      </w:r>
      <w:r>
        <w:t xml:space="preserve">, with the largest decreases occurring in </w:t>
      </w:r>
      <w:r w:rsidR="002822CC">
        <w:t xml:space="preserve">New South Wales </w:t>
      </w:r>
      <w:r>
        <w:t>(</w:t>
      </w:r>
      <w:r w:rsidRPr="008E6EF2">
        <w:rPr>
          <w:rFonts w:ascii="Wingdings 3" w:hAnsi="Wingdings 3"/>
          <w:b/>
          <w:bCs/>
          <w:color w:val="B94F25"/>
        </w:rPr>
        <w:t>i</w:t>
      </w:r>
      <w:r>
        <w:t xml:space="preserve"> </w:t>
      </w:r>
      <w:r w:rsidRPr="008E6EF2">
        <w:rPr>
          <w:b/>
          <w:bCs/>
          <w:color w:val="B94F25"/>
        </w:rPr>
        <w:t xml:space="preserve">down </w:t>
      </w:r>
      <w:r w:rsidR="002822CC">
        <w:rPr>
          <w:b/>
          <w:bCs/>
          <w:color w:val="B94F25"/>
        </w:rPr>
        <w:t>22</w:t>
      </w:r>
      <w:r w:rsidRPr="008E6EF2">
        <w:rPr>
          <w:b/>
          <w:bCs/>
          <w:color w:val="B94F25"/>
        </w:rPr>
        <w:t>%</w:t>
      </w:r>
      <w:r>
        <w:t xml:space="preserve">) and </w:t>
      </w:r>
      <w:r w:rsidR="002822CC">
        <w:t>Queensland</w:t>
      </w:r>
      <w:r>
        <w:t xml:space="preserve"> (</w:t>
      </w:r>
      <w:r w:rsidRPr="008E6EF2">
        <w:rPr>
          <w:rFonts w:ascii="Wingdings 3" w:hAnsi="Wingdings 3"/>
          <w:b/>
          <w:bCs/>
          <w:color w:val="B94F25"/>
        </w:rPr>
        <w:t>i</w:t>
      </w:r>
      <w:r>
        <w:t xml:space="preserve"> </w:t>
      </w:r>
      <w:r w:rsidRPr="008E6EF2">
        <w:rPr>
          <w:b/>
          <w:bCs/>
          <w:color w:val="B94F25"/>
        </w:rPr>
        <w:t xml:space="preserve">down </w:t>
      </w:r>
      <w:r w:rsidR="002822CC">
        <w:rPr>
          <w:b/>
          <w:bCs/>
          <w:color w:val="B94F25"/>
        </w:rPr>
        <w:t>14</w:t>
      </w:r>
      <w:r w:rsidRPr="008E6EF2">
        <w:rPr>
          <w:b/>
          <w:bCs/>
          <w:color w:val="B94F25"/>
        </w:rPr>
        <w:t>%</w:t>
      </w:r>
      <w:r>
        <w:t>).</w:t>
      </w:r>
    </w:p>
    <w:p w14:paraId="5912803F" w14:textId="7BB1DCED" w:rsidR="008E6EF2" w:rsidRPr="00E97C26" w:rsidRDefault="008E6EF2" w:rsidP="00AD1DD9">
      <w:pPr>
        <w:pStyle w:val="ListParagraph"/>
        <w:numPr>
          <w:ilvl w:val="0"/>
          <w:numId w:val="22"/>
        </w:numPr>
        <w:ind w:hanging="357"/>
      </w:pPr>
      <w:r w:rsidRPr="00E97C26">
        <w:t>In New Zealand, 25% of serious claims in 20</w:t>
      </w:r>
      <w:r w:rsidR="002822CC" w:rsidRPr="00E97C26">
        <w:t>20</w:t>
      </w:r>
      <w:r w:rsidRPr="00E97C26">
        <w:t>–2</w:t>
      </w:r>
      <w:r w:rsidR="002822CC" w:rsidRPr="00E97C26">
        <w:t>1</w:t>
      </w:r>
      <w:r w:rsidRPr="00E97C26">
        <w:t xml:space="preserve">p were recorded by self-insurers. This is over 2.5 times the Australian proportion for the same financial year. </w:t>
      </w:r>
    </w:p>
    <w:p w14:paraId="74D063AB" w14:textId="77777777" w:rsidR="008659BF" w:rsidRDefault="008659BF">
      <w:pPr>
        <w:spacing w:after="200" w:line="276" w:lineRule="auto"/>
        <w:jc w:val="left"/>
        <w:rPr>
          <w:rFonts w:ascii="Arial Bold" w:eastAsiaTheme="majorEastAsia" w:hAnsi="Arial Bold" w:cstheme="majorBidi"/>
          <w:b/>
          <w:color w:val="C00000"/>
          <w:szCs w:val="20"/>
          <w:lang w:eastAsia="en-US"/>
        </w:rPr>
      </w:pPr>
      <w:bookmarkStart w:id="30" w:name="_Toc86602462"/>
      <w:r>
        <w:br w:type="page"/>
      </w:r>
    </w:p>
    <w:p w14:paraId="459D8051" w14:textId="2B97ACE4" w:rsidR="00077368" w:rsidRDefault="00077368" w:rsidP="0031228B">
      <w:pPr>
        <w:pStyle w:val="Heading3"/>
      </w:pPr>
      <w:r w:rsidRPr="00086AB2">
        <w:lastRenderedPageBreak/>
        <w:t xml:space="preserve">Indicator </w:t>
      </w:r>
      <w:r w:rsidR="002C7AAB" w:rsidRPr="00086AB2">
        <w:t>5</w:t>
      </w:r>
      <w:r w:rsidRPr="00086AB2">
        <w:t xml:space="preserve">b </w:t>
      </w:r>
      <w:r w:rsidR="00E76BFC" w:rsidRPr="00086AB2">
        <w:t>–</w:t>
      </w:r>
      <w:r w:rsidRPr="00086AB2">
        <w:t xml:space="preserve"> Self-insured claims</w:t>
      </w:r>
      <w:r w:rsidR="00A61D78">
        <w:t xml:space="preserve"> as a</w:t>
      </w:r>
      <w:r w:rsidRPr="00086AB2">
        <w:t xml:space="preserve"> proportion of serious claims by jurisdiction</w:t>
      </w:r>
      <w:r w:rsidR="00574F63">
        <w:t xml:space="preserve"> (%)</w:t>
      </w:r>
      <w:bookmarkEnd w:id="30"/>
    </w:p>
    <w:tbl>
      <w:tblPr>
        <w:tblStyle w:val="TableGrid"/>
        <w:tblW w:w="982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081"/>
        <w:gridCol w:w="717"/>
        <w:gridCol w:w="717"/>
        <w:gridCol w:w="782"/>
        <w:gridCol w:w="778"/>
        <w:gridCol w:w="771"/>
        <w:gridCol w:w="749"/>
        <w:gridCol w:w="766"/>
        <w:gridCol w:w="770"/>
        <w:gridCol w:w="740"/>
        <w:gridCol w:w="1195"/>
        <w:gridCol w:w="762"/>
      </w:tblGrid>
      <w:tr w:rsidR="00392528" w:rsidRPr="00094BB6" w14:paraId="41F8ED7C" w14:textId="77777777" w:rsidTr="008E764D">
        <w:trPr>
          <w:trHeight w:val="367"/>
        </w:trPr>
        <w:tc>
          <w:tcPr>
            <w:tcW w:w="1081" w:type="dxa"/>
            <w:shd w:val="clear" w:color="auto" w:fill="C00000"/>
            <w:vAlign w:val="center"/>
          </w:tcPr>
          <w:p w14:paraId="4C5303A9" w14:textId="77777777" w:rsidR="002822CC" w:rsidRPr="00D77DD3" w:rsidRDefault="002822CC" w:rsidP="008659BF">
            <w:pPr>
              <w:spacing w:after="0"/>
              <w:jc w:val="left"/>
              <w:rPr>
                <w:b/>
                <w:bCs/>
                <w:szCs w:val="20"/>
                <w:lang w:eastAsia="en-US"/>
              </w:rPr>
            </w:pPr>
            <w:r w:rsidRPr="00D77DD3">
              <w:rPr>
                <w:b/>
                <w:bCs/>
                <w:szCs w:val="20"/>
                <w:lang w:eastAsia="en-US"/>
              </w:rPr>
              <w:t>Year</w:t>
            </w:r>
          </w:p>
        </w:tc>
        <w:tc>
          <w:tcPr>
            <w:tcW w:w="717" w:type="dxa"/>
            <w:shd w:val="clear" w:color="auto" w:fill="C00000"/>
            <w:vAlign w:val="center"/>
          </w:tcPr>
          <w:p w14:paraId="27C05039" w14:textId="77777777" w:rsidR="002822CC" w:rsidRPr="00DA0D25" w:rsidRDefault="002822CC" w:rsidP="008659BF">
            <w:pPr>
              <w:spacing w:after="0"/>
              <w:jc w:val="center"/>
              <w:rPr>
                <w:szCs w:val="20"/>
                <w:lang w:eastAsia="en-US"/>
              </w:rPr>
            </w:pPr>
            <w:r w:rsidRPr="00DA0D25">
              <w:rPr>
                <w:rFonts w:cs="Arial"/>
                <w:b/>
                <w:bCs/>
                <w:szCs w:val="20"/>
              </w:rPr>
              <w:t>NSW</w:t>
            </w:r>
          </w:p>
        </w:tc>
        <w:tc>
          <w:tcPr>
            <w:tcW w:w="717" w:type="dxa"/>
            <w:shd w:val="clear" w:color="auto" w:fill="C00000"/>
            <w:vAlign w:val="center"/>
          </w:tcPr>
          <w:p w14:paraId="17D26EC8" w14:textId="77777777" w:rsidR="002822CC" w:rsidRPr="00DA0D25" w:rsidRDefault="002822CC" w:rsidP="008659BF">
            <w:pPr>
              <w:spacing w:after="0"/>
              <w:jc w:val="center"/>
              <w:rPr>
                <w:szCs w:val="20"/>
                <w:lang w:eastAsia="en-US"/>
              </w:rPr>
            </w:pPr>
            <w:r w:rsidRPr="00DA0D25">
              <w:rPr>
                <w:rFonts w:cs="Arial"/>
                <w:b/>
                <w:bCs/>
                <w:szCs w:val="20"/>
              </w:rPr>
              <w:t>SA</w:t>
            </w:r>
          </w:p>
        </w:tc>
        <w:tc>
          <w:tcPr>
            <w:tcW w:w="782" w:type="dxa"/>
            <w:shd w:val="clear" w:color="auto" w:fill="C00000"/>
            <w:vAlign w:val="center"/>
          </w:tcPr>
          <w:p w14:paraId="7EF09A7C" w14:textId="77777777" w:rsidR="002822CC" w:rsidRPr="00DA0D25" w:rsidRDefault="002822CC" w:rsidP="008659BF">
            <w:pPr>
              <w:spacing w:after="0"/>
              <w:jc w:val="center"/>
              <w:rPr>
                <w:szCs w:val="20"/>
                <w:lang w:eastAsia="en-US"/>
              </w:rPr>
            </w:pPr>
            <w:r w:rsidRPr="00DA0D25">
              <w:rPr>
                <w:rFonts w:cs="Arial"/>
                <w:b/>
                <w:bCs/>
                <w:szCs w:val="20"/>
              </w:rPr>
              <w:t>QLD</w:t>
            </w:r>
          </w:p>
        </w:tc>
        <w:tc>
          <w:tcPr>
            <w:tcW w:w="778" w:type="dxa"/>
            <w:shd w:val="clear" w:color="auto" w:fill="C00000"/>
            <w:vAlign w:val="center"/>
          </w:tcPr>
          <w:p w14:paraId="6F639136" w14:textId="77777777" w:rsidR="002822CC" w:rsidRPr="00DA0D25" w:rsidRDefault="002822CC" w:rsidP="008659BF">
            <w:pPr>
              <w:spacing w:after="0"/>
              <w:jc w:val="center"/>
              <w:rPr>
                <w:szCs w:val="20"/>
                <w:lang w:eastAsia="en-US"/>
              </w:rPr>
            </w:pPr>
            <w:proofErr w:type="spellStart"/>
            <w:r w:rsidRPr="00DA0D25">
              <w:rPr>
                <w:rFonts w:cs="Arial"/>
                <w:b/>
                <w:bCs/>
                <w:szCs w:val="20"/>
              </w:rPr>
              <w:t>Aus</w:t>
            </w:r>
            <w:proofErr w:type="spellEnd"/>
            <w:r w:rsidRPr="00DA0D25">
              <w:rPr>
                <w:rFonts w:cs="Arial"/>
                <w:b/>
                <w:bCs/>
                <w:szCs w:val="20"/>
              </w:rPr>
              <w:br/>
              <w:t>Gov</w:t>
            </w:r>
          </w:p>
        </w:tc>
        <w:tc>
          <w:tcPr>
            <w:tcW w:w="771" w:type="dxa"/>
            <w:shd w:val="clear" w:color="auto" w:fill="C00000"/>
            <w:vAlign w:val="center"/>
          </w:tcPr>
          <w:p w14:paraId="59C6C2B8" w14:textId="77777777" w:rsidR="002822CC" w:rsidRPr="00DA0D25" w:rsidRDefault="002822CC" w:rsidP="008659BF">
            <w:pPr>
              <w:spacing w:after="0"/>
              <w:jc w:val="center"/>
              <w:rPr>
                <w:szCs w:val="20"/>
                <w:lang w:eastAsia="en-US"/>
              </w:rPr>
            </w:pPr>
            <w:r w:rsidRPr="00DA0D25">
              <w:rPr>
                <w:rFonts w:cs="Arial"/>
                <w:b/>
                <w:bCs/>
                <w:szCs w:val="20"/>
              </w:rPr>
              <w:t>VIC</w:t>
            </w:r>
          </w:p>
        </w:tc>
        <w:tc>
          <w:tcPr>
            <w:tcW w:w="749" w:type="dxa"/>
            <w:shd w:val="clear" w:color="auto" w:fill="C00000"/>
            <w:vAlign w:val="center"/>
          </w:tcPr>
          <w:p w14:paraId="392901A8" w14:textId="77777777" w:rsidR="002822CC" w:rsidRPr="00DA0D25" w:rsidRDefault="002822CC" w:rsidP="008659BF">
            <w:pPr>
              <w:spacing w:after="0"/>
              <w:jc w:val="center"/>
              <w:rPr>
                <w:szCs w:val="20"/>
                <w:lang w:eastAsia="en-US"/>
              </w:rPr>
            </w:pPr>
            <w:r w:rsidRPr="00DA0D25">
              <w:rPr>
                <w:rFonts w:cs="Arial"/>
                <w:b/>
                <w:bCs/>
                <w:szCs w:val="20"/>
              </w:rPr>
              <w:t>WA</w:t>
            </w:r>
          </w:p>
        </w:tc>
        <w:tc>
          <w:tcPr>
            <w:tcW w:w="766" w:type="dxa"/>
            <w:shd w:val="clear" w:color="auto" w:fill="C00000"/>
            <w:vAlign w:val="center"/>
          </w:tcPr>
          <w:p w14:paraId="75316AB0" w14:textId="77777777" w:rsidR="002822CC" w:rsidRPr="00DA0D25" w:rsidRDefault="002822CC" w:rsidP="008659BF">
            <w:pPr>
              <w:spacing w:after="0"/>
              <w:jc w:val="center"/>
              <w:rPr>
                <w:szCs w:val="20"/>
                <w:lang w:eastAsia="en-US"/>
              </w:rPr>
            </w:pPr>
            <w:r w:rsidRPr="00DA0D25">
              <w:rPr>
                <w:rFonts w:cs="Arial"/>
                <w:b/>
                <w:bCs/>
                <w:szCs w:val="20"/>
              </w:rPr>
              <w:t>TAS</w:t>
            </w:r>
          </w:p>
        </w:tc>
        <w:tc>
          <w:tcPr>
            <w:tcW w:w="770" w:type="dxa"/>
            <w:shd w:val="clear" w:color="auto" w:fill="C00000"/>
            <w:vAlign w:val="center"/>
          </w:tcPr>
          <w:p w14:paraId="03D6C7EB" w14:textId="77777777" w:rsidR="002822CC" w:rsidRPr="00DA0D25" w:rsidRDefault="002822CC" w:rsidP="008659BF">
            <w:pPr>
              <w:spacing w:after="0"/>
              <w:jc w:val="center"/>
              <w:rPr>
                <w:szCs w:val="20"/>
                <w:lang w:eastAsia="en-US"/>
              </w:rPr>
            </w:pPr>
            <w:r w:rsidRPr="00DA0D25">
              <w:rPr>
                <w:rFonts w:cs="Arial"/>
                <w:b/>
                <w:bCs/>
                <w:szCs w:val="20"/>
              </w:rPr>
              <w:t>ACT</w:t>
            </w:r>
          </w:p>
        </w:tc>
        <w:tc>
          <w:tcPr>
            <w:tcW w:w="740" w:type="dxa"/>
            <w:shd w:val="clear" w:color="auto" w:fill="C00000"/>
            <w:vAlign w:val="center"/>
          </w:tcPr>
          <w:p w14:paraId="61C03E16" w14:textId="77777777" w:rsidR="002822CC" w:rsidRPr="00DA0D25" w:rsidRDefault="002822CC" w:rsidP="008659BF">
            <w:pPr>
              <w:spacing w:after="0"/>
              <w:jc w:val="center"/>
              <w:rPr>
                <w:szCs w:val="20"/>
                <w:lang w:eastAsia="en-US"/>
              </w:rPr>
            </w:pPr>
            <w:r w:rsidRPr="00DA0D25">
              <w:rPr>
                <w:rFonts w:cs="Arial"/>
                <w:b/>
                <w:bCs/>
                <w:szCs w:val="20"/>
              </w:rPr>
              <w:t>NT</w:t>
            </w:r>
          </w:p>
        </w:tc>
        <w:tc>
          <w:tcPr>
            <w:tcW w:w="1195" w:type="dxa"/>
            <w:shd w:val="clear" w:color="auto" w:fill="808080" w:themeFill="background1" w:themeFillShade="80"/>
            <w:vAlign w:val="center"/>
          </w:tcPr>
          <w:p w14:paraId="271AC948" w14:textId="77777777" w:rsidR="002822CC" w:rsidRPr="00D77DD3" w:rsidRDefault="002822CC" w:rsidP="008659BF">
            <w:pPr>
              <w:spacing w:after="0"/>
              <w:jc w:val="center"/>
              <w:rPr>
                <w:color w:val="FFFFFF" w:themeColor="background1"/>
                <w:szCs w:val="20"/>
                <w:lang w:eastAsia="en-US"/>
              </w:rPr>
            </w:pPr>
            <w:r w:rsidRPr="00D77DD3">
              <w:rPr>
                <w:rFonts w:cs="Arial"/>
                <w:b/>
                <w:bCs/>
                <w:color w:val="FFFFFF" w:themeColor="background1"/>
                <w:szCs w:val="20"/>
              </w:rPr>
              <w:t>Australian</w:t>
            </w:r>
            <w:r w:rsidRPr="00D77DD3">
              <w:rPr>
                <w:rFonts w:cs="Arial"/>
                <w:b/>
                <w:bCs/>
                <w:color w:val="FFFFFF" w:themeColor="background1"/>
                <w:szCs w:val="20"/>
              </w:rPr>
              <w:br/>
              <w:t>Total***</w:t>
            </w:r>
          </w:p>
        </w:tc>
        <w:tc>
          <w:tcPr>
            <w:tcW w:w="762" w:type="dxa"/>
            <w:shd w:val="clear" w:color="auto" w:fill="C00000"/>
            <w:vAlign w:val="center"/>
          </w:tcPr>
          <w:p w14:paraId="49A8893A" w14:textId="77777777" w:rsidR="002822CC" w:rsidRPr="00DA0D25" w:rsidRDefault="002822CC" w:rsidP="008659BF">
            <w:pPr>
              <w:spacing w:after="0"/>
              <w:jc w:val="center"/>
              <w:rPr>
                <w:szCs w:val="20"/>
                <w:lang w:eastAsia="en-US"/>
              </w:rPr>
            </w:pPr>
            <w:r w:rsidRPr="00DA0D25">
              <w:rPr>
                <w:rFonts w:cs="Arial"/>
                <w:b/>
                <w:bCs/>
                <w:szCs w:val="20"/>
              </w:rPr>
              <w:t>NZ</w:t>
            </w:r>
          </w:p>
        </w:tc>
      </w:tr>
      <w:tr w:rsidR="00560EBC" w:rsidRPr="00094BB6" w14:paraId="139F7314" w14:textId="77777777" w:rsidTr="00AD1DD9">
        <w:trPr>
          <w:trHeight w:val="367"/>
        </w:trPr>
        <w:tc>
          <w:tcPr>
            <w:tcW w:w="1081" w:type="dxa"/>
            <w:vAlign w:val="center"/>
          </w:tcPr>
          <w:p w14:paraId="1CA71E73" w14:textId="77777777" w:rsidR="002822CC" w:rsidRPr="00094BB6" w:rsidRDefault="002822CC" w:rsidP="008659BF">
            <w:pPr>
              <w:spacing w:after="0"/>
              <w:jc w:val="left"/>
              <w:rPr>
                <w:szCs w:val="20"/>
                <w:lang w:eastAsia="en-US"/>
              </w:rPr>
            </w:pPr>
            <w:r>
              <w:rPr>
                <w:rFonts w:cs="Arial"/>
                <w:b/>
                <w:bCs/>
                <w:color w:val="000000"/>
                <w:szCs w:val="20"/>
              </w:rPr>
              <w:t>2015-16</w:t>
            </w:r>
          </w:p>
        </w:tc>
        <w:tc>
          <w:tcPr>
            <w:tcW w:w="717" w:type="dxa"/>
          </w:tcPr>
          <w:p w14:paraId="5247EA9B" w14:textId="77777777" w:rsidR="002822CC" w:rsidRPr="00094BB6" w:rsidRDefault="002822CC" w:rsidP="008659BF">
            <w:pPr>
              <w:spacing w:after="0"/>
              <w:jc w:val="center"/>
              <w:rPr>
                <w:szCs w:val="20"/>
                <w:lang w:eastAsia="en-US"/>
              </w:rPr>
            </w:pPr>
            <w:r w:rsidRPr="00997F86">
              <w:t>7</w:t>
            </w:r>
          </w:p>
        </w:tc>
        <w:tc>
          <w:tcPr>
            <w:tcW w:w="717" w:type="dxa"/>
          </w:tcPr>
          <w:p w14:paraId="2C002B6E" w14:textId="77777777" w:rsidR="002822CC" w:rsidRPr="00094BB6" w:rsidRDefault="002822CC" w:rsidP="008659BF">
            <w:pPr>
              <w:spacing w:after="0"/>
              <w:jc w:val="center"/>
              <w:rPr>
                <w:szCs w:val="20"/>
                <w:lang w:eastAsia="en-US"/>
              </w:rPr>
            </w:pPr>
            <w:r w:rsidRPr="00997F86">
              <w:t>35</w:t>
            </w:r>
          </w:p>
        </w:tc>
        <w:tc>
          <w:tcPr>
            <w:tcW w:w="782" w:type="dxa"/>
          </w:tcPr>
          <w:p w14:paraId="1D8EDCC0" w14:textId="77777777" w:rsidR="002822CC" w:rsidRPr="00094BB6" w:rsidRDefault="002822CC" w:rsidP="008659BF">
            <w:pPr>
              <w:spacing w:after="0"/>
              <w:jc w:val="center"/>
              <w:rPr>
                <w:szCs w:val="20"/>
                <w:lang w:eastAsia="en-US"/>
              </w:rPr>
            </w:pPr>
            <w:r w:rsidRPr="00997F86">
              <w:t>7</w:t>
            </w:r>
          </w:p>
        </w:tc>
        <w:tc>
          <w:tcPr>
            <w:tcW w:w="778" w:type="dxa"/>
          </w:tcPr>
          <w:p w14:paraId="0CB777A9" w14:textId="77777777" w:rsidR="002822CC" w:rsidRPr="00094BB6" w:rsidRDefault="002822CC" w:rsidP="008659BF">
            <w:pPr>
              <w:spacing w:after="0"/>
              <w:jc w:val="center"/>
              <w:rPr>
                <w:szCs w:val="20"/>
                <w:lang w:eastAsia="en-US"/>
              </w:rPr>
            </w:pPr>
            <w:r w:rsidRPr="00997F86">
              <w:t>57</w:t>
            </w:r>
          </w:p>
        </w:tc>
        <w:tc>
          <w:tcPr>
            <w:tcW w:w="771" w:type="dxa"/>
          </w:tcPr>
          <w:p w14:paraId="757653ED" w14:textId="77777777" w:rsidR="002822CC" w:rsidRPr="00094BB6" w:rsidRDefault="002822CC" w:rsidP="008659BF">
            <w:pPr>
              <w:spacing w:after="0"/>
              <w:jc w:val="center"/>
              <w:rPr>
                <w:szCs w:val="20"/>
                <w:lang w:eastAsia="en-US"/>
              </w:rPr>
            </w:pPr>
            <w:r w:rsidRPr="00997F86">
              <w:t>5</w:t>
            </w:r>
          </w:p>
        </w:tc>
        <w:tc>
          <w:tcPr>
            <w:tcW w:w="749" w:type="dxa"/>
          </w:tcPr>
          <w:p w14:paraId="577E9A84" w14:textId="77777777" w:rsidR="002822CC" w:rsidRPr="00094BB6" w:rsidRDefault="002822CC" w:rsidP="008659BF">
            <w:pPr>
              <w:spacing w:after="0"/>
              <w:jc w:val="center"/>
              <w:rPr>
                <w:szCs w:val="20"/>
                <w:lang w:eastAsia="en-US"/>
              </w:rPr>
            </w:pPr>
            <w:r w:rsidRPr="00997F86">
              <w:t>8</w:t>
            </w:r>
          </w:p>
        </w:tc>
        <w:tc>
          <w:tcPr>
            <w:tcW w:w="766" w:type="dxa"/>
          </w:tcPr>
          <w:p w14:paraId="2EFA97B1" w14:textId="77777777" w:rsidR="002822CC" w:rsidRPr="00094BB6" w:rsidRDefault="002822CC" w:rsidP="008659BF">
            <w:pPr>
              <w:spacing w:after="0"/>
              <w:jc w:val="center"/>
              <w:rPr>
                <w:szCs w:val="20"/>
                <w:lang w:eastAsia="en-US"/>
              </w:rPr>
            </w:pPr>
            <w:r w:rsidRPr="00997F86">
              <w:t>22</w:t>
            </w:r>
          </w:p>
        </w:tc>
        <w:tc>
          <w:tcPr>
            <w:tcW w:w="770" w:type="dxa"/>
          </w:tcPr>
          <w:p w14:paraId="5E9A1DB1" w14:textId="77777777" w:rsidR="002822CC" w:rsidRPr="00094BB6" w:rsidRDefault="002822CC" w:rsidP="008659BF">
            <w:pPr>
              <w:spacing w:after="0"/>
              <w:jc w:val="center"/>
              <w:rPr>
                <w:szCs w:val="20"/>
                <w:lang w:eastAsia="en-US"/>
              </w:rPr>
            </w:pPr>
            <w:r w:rsidRPr="00997F86">
              <w:t>19</w:t>
            </w:r>
          </w:p>
        </w:tc>
        <w:tc>
          <w:tcPr>
            <w:tcW w:w="740" w:type="dxa"/>
          </w:tcPr>
          <w:p w14:paraId="5971F893" w14:textId="77777777" w:rsidR="002822CC" w:rsidRPr="00094BB6" w:rsidRDefault="002822CC" w:rsidP="008659BF">
            <w:pPr>
              <w:spacing w:after="0"/>
              <w:jc w:val="center"/>
              <w:rPr>
                <w:szCs w:val="20"/>
                <w:lang w:eastAsia="en-US"/>
              </w:rPr>
            </w:pPr>
            <w:r w:rsidRPr="00997F86">
              <w:t>14</w:t>
            </w:r>
          </w:p>
        </w:tc>
        <w:tc>
          <w:tcPr>
            <w:tcW w:w="1195" w:type="dxa"/>
            <w:shd w:val="clear" w:color="auto" w:fill="808080" w:themeFill="background1" w:themeFillShade="80"/>
          </w:tcPr>
          <w:p w14:paraId="045A011D" w14:textId="77777777" w:rsidR="002822CC" w:rsidRPr="006A1476" w:rsidRDefault="002822CC" w:rsidP="008659BF">
            <w:pPr>
              <w:spacing w:after="0"/>
              <w:jc w:val="center"/>
              <w:rPr>
                <w:rFonts w:cs="Arial"/>
                <w:color w:val="FFFFFF" w:themeColor="background1"/>
                <w:szCs w:val="20"/>
              </w:rPr>
            </w:pPr>
            <w:r w:rsidRPr="006A1476">
              <w:rPr>
                <w:color w:val="FFFFFF" w:themeColor="background1"/>
              </w:rPr>
              <w:t>10</w:t>
            </w:r>
          </w:p>
        </w:tc>
        <w:tc>
          <w:tcPr>
            <w:tcW w:w="762" w:type="dxa"/>
            <w:shd w:val="clear" w:color="auto" w:fill="FFFFFF" w:themeFill="background1"/>
          </w:tcPr>
          <w:p w14:paraId="0BE9639F" w14:textId="71757D2F" w:rsidR="002822CC" w:rsidRPr="00D77DD3" w:rsidRDefault="00E510C6" w:rsidP="008659BF">
            <w:pPr>
              <w:spacing w:after="0"/>
              <w:jc w:val="center"/>
              <w:rPr>
                <w:szCs w:val="20"/>
                <w:highlight w:val="yellow"/>
                <w:lang w:eastAsia="en-US"/>
              </w:rPr>
            </w:pPr>
            <w:r>
              <w:t>24</w:t>
            </w:r>
          </w:p>
        </w:tc>
      </w:tr>
      <w:tr w:rsidR="00392528" w:rsidRPr="00094BB6" w14:paraId="1E4F4E7D" w14:textId="77777777" w:rsidTr="008E764D">
        <w:trPr>
          <w:trHeight w:val="367"/>
        </w:trPr>
        <w:tc>
          <w:tcPr>
            <w:tcW w:w="1081" w:type="dxa"/>
            <w:shd w:val="clear" w:color="auto" w:fill="EFD3D2"/>
            <w:vAlign w:val="center"/>
          </w:tcPr>
          <w:p w14:paraId="670E6F19" w14:textId="77777777" w:rsidR="002822CC" w:rsidRPr="00094BB6" w:rsidRDefault="002822CC" w:rsidP="008659BF">
            <w:pPr>
              <w:spacing w:after="0"/>
              <w:jc w:val="left"/>
              <w:rPr>
                <w:szCs w:val="20"/>
                <w:lang w:eastAsia="en-US"/>
              </w:rPr>
            </w:pPr>
            <w:r>
              <w:rPr>
                <w:rFonts w:cs="Arial"/>
                <w:b/>
                <w:bCs/>
                <w:color w:val="000000"/>
                <w:szCs w:val="20"/>
              </w:rPr>
              <w:t>2016-17</w:t>
            </w:r>
          </w:p>
        </w:tc>
        <w:tc>
          <w:tcPr>
            <w:tcW w:w="717" w:type="dxa"/>
            <w:shd w:val="clear" w:color="auto" w:fill="EFD3D2"/>
          </w:tcPr>
          <w:p w14:paraId="2FC91210" w14:textId="77777777" w:rsidR="002822CC" w:rsidRPr="00094BB6" w:rsidRDefault="002822CC" w:rsidP="008659BF">
            <w:pPr>
              <w:spacing w:after="0"/>
              <w:jc w:val="center"/>
              <w:rPr>
                <w:szCs w:val="20"/>
                <w:lang w:eastAsia="en-US"/>
              </w:rPr>
            </w:pPr>
            <w:r w:rsidRPr="00997F86">
              <w:t>6</w:t>
            </w:r>
          </w:p>
        </w:tc>
        <w:tc>
          <w:tcPr>
            <w:tcW w:w="717" w:type="dxa"/>
            <w:shd w:val="clear" w:color="auto" w:fill="EFD3D2"/>
          </w:tcPr>
          <w:p w14:paraId="4FC6AC94" w14:textId="77777777" w:rsidR="002822CC" w:rsidRPr="00094BB6" w:rsidRDefault="002822CC" w:rsidP="008659BF">
            <w:pPr>
              <w:spacing w:after="0"/>
              <w:jc w:val="center"/>
              <w:rPr>
                <w:szCs w:val="20"/>
                <w:lang w:eastAsia="en-US"/>
              </w:rPr>
            </w:pPr>
            <w:r w:rsidRPr="00997F86">
              <w:t>37</w:t>
            </w:r>
          </w:p>
        </w:tc>
        <w:tc>
          <w:tcPr>
            <w:tcW w:w="782" w:type="dxa"/>
            <w:shd w:val="clear" w:color="auto" w:fill="EFD3D2"/>
          </w:tcPr>
          <w:p w14:paraId="13D78F85" w14:textId="77777777" w:rsidR="002822CC" w:rsidRPr="00094BB6" w:rsidRDefault="002822CC" w:rsidP="008659BF">
            <w:pPr>
              <w:spacing w:after="0"/>
              <w:jc w:val="center"/>
              <w:rPr>
                <w:szCs w:val="20"/>
                <w:lang w:eastAsia="en-US"/>
              </w:rPr>
            </w:pPr>
            <w:r w:rsidRPr="00997F86">
              <w:t>6</w:t>
            </w:r>
          </w:p>
        </w:tc>
        <w:tc>
          <w:tcPr>
            <w:tcW w:w="778" w:type="dxa"/>
            <w:shd w:val="clear" w:color="auto" w:fill="EFD3D2"/>
          </w:tcPr>
          <w:p w14:paraId="4FA9AE6B" w14:textId="77777777" w:rsidR="002822CC" w:rsidRPr="00094BB6" w:rsidRDefault="002822CC" w:rsidP="008659BF">
            <w:pPr>
              <w:spacing w:after="0"/>
              <w:jc w:val="center"/>
              <w:rPr>
                <w:szCs w:val="20"/>
                <w:lang w:eastAsia="en-US"/>
              </w:rPr>
            </w:pPr>
            <w:r w:rsidRPr="00997F86">
              <w:t>65</w:t>
            </w:r>
          </w:p>
        </w:tc>
        <w:tc>
          <w:tcPr>
            <w:tcW w:w="771" w:type="dxa"/>
            <w:shd w:val="clear" w:color="auto" w:fill="EFD3D2"/>
          </w:tcPr>
          <w:p w14:paraId="3B951530" w14:textId="77777777" w:rsidR="002822CC" w:rsidRPr="00094BB6" w:rsidRDefault="002822CC" w:rsidP="008659BF">
            <w:pPr>
              <w:spacing w:after="0"/>
              <w:jc w:val="center"/>
              <w:rPr>
                <w:szCs w:val="20"/>
                <w:lang w:eastAsia="en-US"/>
              </w:rPr>
            </w:pPr>
            <w:r w:rsidRPr="00997F86">
              <w:t>5</w:t>
            </w:r>
          </w:p>
        </w:tc>
        <w:tc>
          <w:tcPr>
            <w:tcW w:w="749" w:type="dxa"/>
            <w:shd w:val="clear" w:color="auto" w:fill="EFD3D2"/>
          </w:tcPr>
          <w:p w14:paraId="615AB5DE" w14:textId="77777777" w:rsidR="002822CC" w:rsidRPr="00094BB6" w:rsidRDefault="002822CC" w:rsidP="008659BF">
            <w:pPr>
              <w:spacing w:after="0"/>
              <w:jc w:val="center"/>
              <w:rPr>
                <w:szCs w:val="20"/>
                <w:lang w:eastAsia="en-US"/>
              </w:rPr>
            </w:pPr>
            <w:r w:rsidRPr="00997F86">
              <w:t>8</w:t>
            </w:r>
          </w:p>
        </w:tc>
        <w:tc>
          <w:tcPr>
            <w:tcW w:w="766" w:type="dxa"/>
            <w:shd w:val="clear" w:color="auto" w:fill="EFD3D2"/>
          </w:tcPr>
          <w:p w14:paraId="6FFFE0E9" w14:textId="77777777" w:rsidR="002822CC" w:rsidRPr="00094BB6" w:rsidRDefault="002822CC" w:rsidP="008659BF">
            <w:pPr>
              <w:spacing w:after="0"/>
              <w:jc w:val="center"/>
              <w:rPr>
                <w:szCs w:val="20"/>
                <w:lang w:eastAsia="en-US"/>
              </w:rPr>
            </w:pPr>
            <w:r w:rsidRPr="00997F86">
              <w:t>23</w:t>
            </w:r>
          </w:p>
        </w:tc>
        <w:tc>
          <w:tcPr>
            <w:tcW w:w="770" w:type="dxa"/>
            <w:shd w:val="clear" w:color="auto" w:fill="EFD3D2"/>
          </w:tcPr>
          <w:p w14:paraId="46642DA0" w14:textId="77777777" w:rsidR="002822CC" w:rsidRPr="00094BB6" w:rsidRDefault="002822CC" w:rsidP="008659BF">
            <w:pPr>
              <w:spacing w:after="0"/>
              <w:jc w:val="center"/>
              <w:rPr>
                <w:szCs w:val="20"/>
                <w:lang w:eastAsia="en-US"/>
              </w:rPr>
            </w:pPr>
            <w:r w:rsidRPr="00997F86">
              <w:t>20</w:t>
            </w:r>
          </w:p>
        </w:tc>
        <w:tc>
          <w:tcPr>
            <w:tcW w:w="740" w:type="dxa"/>
            <w:shd w:val="clear" w:color="auto" w:fill="EFD3D2"/>
          </w:tcPr>
          <w:p w14:paraId="0C372B05" w14:textId="77777777" w:rsidR="002822CC" w:rsidRPr="00094BB6" w:rsidRDefault="002822CC" w:rsidP="008659BF">
            <w:pPr>
              <w:spacing w:after="0"/>
              <w:jc w:val="center"/>
              <w:rPr>
                <w:szCs w:val="20"/>
                <w:lang w:eastAsia="en-US"/>
              </w:rPr>
            </w:pPr>
            <w:r w:rsidRPr="00997F86">
              <w:t>16</w:t>
            </w:r>
          </w:p>
        </w:tc>
        <w:tc>
          <w:tcPr>
            <w:tcW w:w="1195" w:type="dxa"/>
            <w:shd w:val="clear" w:color="auto" w:fill="808080" w:themeFill="background1" w:themeFillShade="80"/>
          </w:tcPr>
          <w:p w14:paraId="3B7A14C4" w14:textId="77777777" w:rsidR="002822CC" w:rsidRPr="006A1476" w:rsidRDefault="002822CC" w:rsidP="008659BF">
            <w:pPr>
              <w:spacing w:after="0"/>
              <w:jc w:val="center"/>
              <w:rPr>
                <w:rFonts w:cs="Arial"/>
                <w:color w:val="FFFFFF" w:themeColor="background1"/>
                <w:szCs w:val="20"/>
              </w:rPr>
            </w:pPr>
            <w:r w:rsidRPr="006A1476">
              <w:rPr>
                <w:color w:val="FFFFFF" w:themeColor="background1"/>
              </w:rPr>
              <w:t>10</w:t>
            </w:r>
          </w:p>
        </w:tc>
        <w:tc>
          <w:tcPr>
            <w:tcW w:w="762" w:type="dxa"/>
            <w:shd w:val="clear" w:color="auto" w:fill="EFD3D2"/>
          </w:tcPr>
          <w:p w14:paraId="557B74A6" w14:textId="77777777" w:rsidR="002822CC" w:rsidRPr="00094BB6" w:rsidRDefault="002822CC" w:rsidP="008659BF">
            <w:pPr>
              <w:spacing w:after="0"/>
              <w:jc w:val="center"/>
              <w:rPr>
                <w:szCs w:val="20"/>
                <w:lang w:eastAsia="en-US"/>
              </w:rPr>
            </w:pPr>
            <w:r w:rsidRPr="00997F86">
              <w:t>23</w:t>
            </w:r>
          </w:p>
        </w:tc>
      </w:tr>
      <w:tr w:rsidR="00560EBC" w:rsidRPr="00094BB6" w14:paraId="5521F8F8" w14:textId="77777777" w:rsidTr="008E764D">
        <w:trPr>
          <w:trHeight w:val="367"/>
        </w:trPr>
        <w:tc>
          <w:tcPr>
            <w:tcW w:w="1081" w:type="dxa"/>
            <w:vAlign w:val="center"/>
          </w:tcPr>
          <w:p w14:paraId="628185C1" w14:textId="77777777" w:rsidR="002822CC" w:rsidRPr="00094BB6" w:rsidRDefault="002822CC" w:rsidP="008659BF">
            <w:pPr>
              <w:spacing w:after="0"/>
              <w:jc w:val="left"/>
              <w:rPr>
                <w:szCs w:val="20"/>
                <w:lang w:eastAsia="en-US"/>
              </w:rPr>
            </w:pPr>
            <w:r>
              <w:rPr>
                <w:rFonts w:cs="Arial"/>
                <w:b/>
                <w:bCs/>
                <w:color w:val="000000"/>
                <w:szCs w:val="20"/>
              </w:rPr>
              <w:t>2017-28</w:t>
            </w:r>
          </w:p>
        </w:tc>
        <w:tc>
          <w:tcPr>
            <w:tcW w:w="717" w:type="dxa"/>
          </w:tcPr>
          <w:p w14:paraId="1DF52E2F" w14:textId="77777777" w:rsidR="002822CC" w:rsidRPr="00094BB6" w:rsidRDefault="002822CC" w:rsidP="008659BF">
            <w:pPr>
              <w:spacing w:after="0"/>
              <w:jc w:val="center"/>
              <w:rPr>
                <w:szCs w:val="20"/>
                <w:lang w:eastAsia="en-US"/>
              </w:rPr>
            </w:pPr>
            <w:r w:rsidRPr="00997F86">
              <w:t>6</w:t>
            </w:r>
          </w:p>
        </w:tc>
        <w:tc>
          <w:tcPr>
            <w:tcW w:w="717" w:type="dxa"/>
          </w:tcPr>
          <w:p w14:paraId="61F97838" w14:textId="77777777" w:rsidR="002822CC" w:rsidRPr="00094BB6" w:rsidRDefault="002822CC" w:rsidP="008659BF">
            <w:pPr>
              <w:spacing w:after="0"/>
              <w:jc w:val="center"/>
              <w:rPr>
                <w:szCs w:val="20"/>
                <w:lang w:eastAsia="en-US"/>
              </w:rPr>
            </w:pPr>
            <w:r w:rsidRPr="00997F86">
              <w:t>34</w:t>
            </w:r>
          </w:p>
        </w:tc>
        <w:tc>
          <w:tcPr>
            <w:tcW w:w="782" w:type="dxa"/>
          </w:tcPr>
          <w:p w14:paraId="3A85F08F" w14:textId="77777777" w:rsidR="002822CC" w:rsidRPr="00094BB6" w:rsidRDefault="002822CC" w:rsidP="008659BF">
            <w:pPr>
              <w:spacing w:after="0"/>
              <w:jc w:val="center"/>
              <w:rPr>
                <w:szCs w:val="20"/>
                <w:lang w:eastAsia="en-US"/>
              </w:rPr>
            </w:pPr>
            <w:r w:rsidRPr="00997F86">
              <w:t>7</w:t>
            </w:r>
          </w:p>
        </w:tc>
        <w:tc>
          <w:tcPr>
            <w:tcW w:w="778" w:type="dxa"/>
          </w:tcPr>
          <w:p w14:paraId="3F6A6D39" w14:textId="77777777" w:rsidR="002822CC" w:rsidRPr="00094BB6" w:rsidRDefault="002822CC" w:rsidP="008659BF">
            <w:pPr>
              <w:spacing w:after="0"/>
              <w:jc w:val="center"/>
              <w:rPr>
                <w:szCs w:val="20"/>
                <w:lang w:eastAsia="en-US"/>
              </w:rPr>
            </w:pPr>
            <w:r w:rsidRPr="00997F86">
              <w:t>68</w:t>
            </w:r>
          </w:p>
        </w:tc>
        <w:tc>
          <w:tcPr>
            <w:tcW w:w="771" w:type="dxa"/>
          </w:tcPr>
          <w:p w14:paraId="70ED0449" w14:textId="77777777" w:rsidR="002822CC" w:rsidRPr="00094BB6" w:rsidRDefault="002822CC" w:rsidP="008659BF">
            <w:pPr>
              <w:spacing w:after="0"/>
              <w:jc w:val="center"/>
              <w:rPr>
                <w:szCs w:val="20"/>
                <w:lang w:eastAsia="en-US"/>
              </w:rPr>
            </w:pPr>
            <w:r w:rsidRPr="00997F86">
              <w:t>5</w:t>
            </w:r>
          </w:p>
        </w:tc>
        <w:tc>
          <w:tcPr>
            <w:tcW w:w="749" w:type="dxa"/>
          </w:tcPr>
          <w:p w14:paraId="4FCA69E4" w14:textId="77777777" w:rsidR="002822CC" w:rsidRPr="00094BB6" w:rsidRDefault="002822CC" w:rsidP="008659BF">
            <w:pPr>
              <w:spacing w:after="0"/>
              <w:jc w:val="center"/>
              <w:rPr>
                <w:szCs w:val="20"/>
                <w:lang w:eastAsia="en-US"/>
              </w:rPr>
            </w:pPr>
            <w:r w:rsidRPr="00997F86">
              <w:t>7</w:t>
            </w:r>
          </w:p>
        </w:tc>
        <w:tc>
          <w:tcPr>
            <w:tcW w:w="766" w:type="dxa"/>
          </w:tcPr>
          <w:p w14:paraId="234D35F5" w14:textId="77777777" w:rsidR="002822CC" w:rsidRPr="00094BB6" w:rsidRDefault="002822CC" w:rsidP="008659BF">
            <w:pPr>
              <w:spacing w:after="0"/>
              <w:jc w:val="center"/>
              <w:rPr>
                <w:szCs w:val="20"/>
                <w:lang w:eastAsia="en-US"/>
              </w:rPr>
            </w:pPr>
            <w:r w:rsidRPr="00997F86">
              <w:t>22</w:t>
            </w:r>
          </w:p>
        </w:tc>
        <w:tc>
          <w:tcPr>
            <w:tcW w:w="770" w:type="dxa"/>
          </w:tcPr>
          <w:p w14:paraId="641BC195" w14:textId="77777777" w:rsidR="002822CC" w:rsidRPr="00094BB6" w:rsidRDefault="002822CC" w:rsidP="008659BF">
            <w:pPr>
              <w:spacing w:after="0"/>
              <w:jc w:val="center"/>
              <w:rPr>
                <w:szCs w:val="20"/>
                <w:lang w:eastAsia="en-US"/>
              </w:rPr>
            </w:pPr>
            <w:r w:rsidRPr="00997F86">
              <w:t>16</w:t>
            </w:r>
          </w:p>
        </w:tc>
        <w:tc>
          <w:tcPr>
            <w:tcW w:w="740" w:type="dxa"/>
          </w:tcPr>
          <w:p w14:paraId="17DE5935" w14:textId="77777777" w:rsidR="002822CC" w:rsidRPr="00094BB6" w:rsidRDefault="002822CC" w:rsidP="008659BF">
            <w:pPr>
              <w:spacing w:after="0"/>
              <w:jc w:val="center"/>
              <w:rPr>
                <w:szCs w:val="20"/>
                <w:lang w:eastAsia="en-US"/>
              </w:rPr>
            </w:pPr>
            <w:r w:rsidRPr="00997F86">
              <w:t>17</w:t>
            </w:r>
          </w:p>
        </w:tc>
        <w:tc>
          <w:tcPr>
            <w:tcW w:w="1195" w:type="dxa"/>
            <w:shd w:val="clear" w:color="auto" w:fill="808080" w:themeFill="background1" w:themeFillShade="80"/>
          </w:tcPr>
          <w:p w14:paraId="48110532" w14:textId="77777777" w:rsidR="002822CC" w:rsidRPr="006A1476" w:rsidRDefault="002822CC" w:rsidP="008659BF">
            <w:pPr>
              <w:spacing w:after="0"/>
              <w:jc w:val="center"/>
              <w:rPr>
                <w:rFonts w:cs="Arial"/>
                <w:color w:val="FFFFFF" w:themeColor="background1"/>
                <w:szCs w:val="20"/>
              </w:rPr>
            </w:pPr>
            <w:r w:rsidRPr="006A1476">
              <w:rPr>
                <w:color w:val="FFFFFF" w:themeColor="background1"/>
              </w:rPr>
              <w:t>10</w:t>
            </w:r>
          </w:p>
        </w:tc>
        <w:tc>
          <w:tcPr>
            <w:tcW w:w="762" w:type="dxa"/>
          </w:tcPr>
          <w:p w14:paraId="500118D1" w14:textId="77777777" w:rsidR="002822CC" w:rsidRPr="00094BB6" w:rsidRDefault="002822CC" w:rsidP="008659BF">
            <w:pPr>
              <w:spacing w:after="0"/>
              <w:jc w:val="center"/>
              <w:rPr>
                <w:szCs w:val="20"/>
                <w:lang w:eastAsia="en-US"/>
              </w:rPr>
            </w:pPr>
            <w:r w:rsidRPr="00997F86">
              <w:t>24</w:t>
            </w:r>
          </w:p>
        </w:tc>
      </w:tr>
      <w:tr w:rsidR="00392528" w:rsidRPr="00D77DD3" w14:paraId="219DB14F" w14:textId="77777777" w:rsidTr="008E764D">
        <w:trPr>
          <w:trHeight w:val="367"/>
        </w:trPr>
        <w:tc>
          <w:tcPr>
            <w:tcW w:w="1081" w:type="dxa"/>
            <w:shd w:val="clear" w:color="auto" w:fill="EFD3D2"/>
            <w:vAlign w:val="center"/>
          </w:tcPr>
          <w:p w14:paraId="13592347" w14:textId="77777777" w:rsidR="002822CC" w:rsidRPr="00D77DD3" w:rsidRDefault="002822CC" w:rsidP="008659BF">
            <w:pPr>
              <w:spacing w:after="0"/>
              <w:jc w:val="left"/>
              <w:rPr>
                <w:rFonts w:cs="Arial"/>
                <w:b/>
                <w:bCs/>
                <w:color w:val="000000"/>
                <w:szCs w:val="20"/>
              </w:rPr>
            </w:pPr>
            <w:r>
              <w:rPr>
                <w:rFonts w:cs="Arial"/>
                <w:b/>
                <w:bCs/>
                <w:color w:val="000000"/>
                <w:szCs w:val="20"/>
              </w:rPr>
              <w:t>2018-19</w:t>
            </w:r>
          </w:p>
        </w:tc>
        <w:tc>
          <w:tcPr>
            <w:tcW w:w="717" w:type="dxa"/>
            <w:shd w:val="clear" w:color="auto" w:fill="EFD3D2"/>
          </w:tcPr>
          <w:p w14:paraId="5DAB24D2" w14:textId="77777777" w:rsidR="002822CC" w:rsidRPr="00D77DD3" w:rsidRDefault="002822CC" w:rsidP="008659BF">
            <w:pPr>
              <w:spacing w:after="0"/>
              <w:jc w:val="center"/>
              <w:rPr>
                <w:rFonts w:cs="Arial"/>
                <w:b/>
                <w:bCs/>
                <w:color w:val="000000"/>
                <w:szCs w:val="20"/>
              </w:rPr>
            </w:pPr>
            <w:r w:rsidRPr="00997F86">
              <w:t>6</w:t>
            </w:r>
          </w:p>
        </w:tc>
        <w:tc>
          <w:tcPr>
            <w:tcW w:w="717" w:type="dxa"/>
            <w:shd w:val="clear" w:color="auto" w:fill="EFD3D2"/>
          </w:tcPr>
          <w:p w14:paraId="09B077D1" w14:textId="77777777" w:rsidR="002822CC" w:rsidRPr="00D77DD3" w:rsidRDefault="002822CC" w:rsidP="008659BF">
            <w:pPr>
              <w:spacing w:after="0"/>
              <w:jc w:val="center"/>
              <w:rPr>
                <w:rFonts w:cs="Arial"/>
                <w:b/>
                <w:bCs/>
                <w:color w:val="000000"/>
                <w:szCs w:val="20"/>
              </w:rPr>
            </w:pPr>
            <w:r w:rsidRPr="00997F86">
              <w:t>35</w:t>
            </w:r>
          </w:p>
        </w:tc>
        <w:tc>
          <w:tcPr>
            <w:tcW w:w="782" w:type="dxa"/>
            <w:shd w:val="clear" w:color="auto" w:fill="EFD3D2"/>
          </w:tcPr>
          <w:p w14:paraId="51F13323" w14:textId="77777777" w:rsidR="002822CC" w:rsidRPr="00D77DD3" w:rsidRDefault="002822CC" w:rsidP="008659BF">
            <w:pPr>
              <w:spacing w:after="0"/>
              <w:jc w:val="center"/>
              <w:rPr>
                <w:rFonts w:cs="Arial"/>
                <w:b/>
                <w:bCs/>
                <w:color w:val="000000"/>
                <w:szCs w:val="20"/>
              </w:rPr>
            </w:pPr>
            <w:r w:rsidRPr="00997F86">
              <w:t>6</w:t>
            </w:r>
          </w:p>
        </w:tc>
        <w:tc>
          <w:tcPr>
            <w:tcW w:w="778" w:type="dxa"/>
            <w:shd w:val="clear" w:color="auto" w:fill="EFD3D2"/>
          </w:tcPr>
          <w:p w14:paraId="2D43B7FB" w14:textId="77777777" w:rsidR="002822CC" w:rsidRPr="00D77DD3" w:rsidRDefault="002822CC" w:rsidP="008659BF">
            <w:pPr>
              <w:spacing w:after="0"/>
              <w:jc w:val="center"/>
              <w:rPr>
                <w:rFonts w:cs="Arial"/>
                <w:b/>
                <w:bCs/>
                <w:color w:val="000000"/>
                <w:szCs w:val="20"/>
              </w:rPr>
            </w:pPr>
            <w:r w:rsidRPr="00997F86">
              <w:t>74</w:t>
            </w:r>
          </w:p>
        </w:tc>
        <w:tc>
          <w:tcPr>
            <w:tcW w:w="771" w:type="dxa"/>
            <w:shd w:val="clear" w:color="auto" w:fill="EFD3D2"/>
          </w:tcPr>
          <w:p w14:paraId="19F5F21A" w14:textId="77777777" w:rsidR="002822CC" w:rsidRPr="00D77DD3" w:rsidRDefault="002822CC" w:rsidP="008659BF">
            <w:pPr>
              <w:spacing w:after="0"/>
              <w:jc w:val="center"/>
              <w:rPr>
                <w:rFonts w:cs="Arial"/>
                <w:b/>
                <w:bCs/>
                <w:color w:val="000000"/>
                <w:szCs w:val="20"/>
              </w:rPr>
            </w:pPr>
            <w:r w:rsidRPr="00997F86">
              <w:t>6</w:t>
            </w:r>
          </w:p>
        </w:tc>
        <w:tc>
          <w:tcPr>
            <w:tcW w:w="749" w:type="dxa"/>
            <w:shd w:val="clear" w:color="auto" w:fill="EFD3D2"/>
          </w:tcPr>
          <w:p w14:paraId="0B5581BA" w14:textId="77777777" w:rsidR="002822CC" w:rsidRPr="00D77DD3" w:rsidRDefault="002822CC" w:rsidP="008659BF">
            <w:pPr>
              <w:spacing w:after="0"/>
              <w:jc w:val="center"/>
              <w:rPr>
                <w:rFonts w:cs="Arial"/>
                <w:b/>
                <w:bCs/>
                <w:color w:val="000000"/>
                <w:szCs w:val="20"/>
              </w:rPr>
            </w:pPr>
            <w:r w:rsidRPr="00997F86">
              <w:t>7</w:t>
            </w:r>
          </w:p>
        </w:tc>
        <w:tc>
          <w:tcPr>
            <w:tcW w:w="766" w:type="dxa"/>
            <w:shd w:val="clear" w:color="auto" w:fill="EFD3D2"/>
          </w:tcPr>
          <w:p w14:paraId="6A5E6B79" w14:textId="77777777" w:rsidR="002822CC" w:rsidRPr="00D77DD3" w:rsidRDefault="002822CC" w:rsidP="008659BF">
            <w:pPr>
              <w:spacing w:after="0"/>
              <w:jc w:val="center"/>
              <w:rPr>
                <w:rFonts w:cs="Arial"/>
                <w:b/>
                <w:bCs/>
                <w:color w:val="000000"/>
                <w:szCs w:val="20"/>
              </w:rPr>
            </w:pPr>
            <w:r w:rsidRPr="00997F86">
              <w:t>22</w:t>
            </w:r>
          </w:p>
        </w:tc>
        <w:tc>
          <w:tcPr>
            <w:tcW w:w="770" w:type="dxa"/>
            <w:shd w:val="clear" w:color="auto" w:fill="EFD3D2"/>
          </w:tcPr>
          <w:p w14:paraId="434DF5EC" w14:textId="77777777" w:rsidR="002822CC" w:rsidRPr="00D77DD3" w:rsidRDefault="002822CC" w:rsidP="008659BF">
            <w:pPr>
              <w:spacing w:after="0"/>
              <w:jc w:val="center"/>
              <w:rPr>
                <w:rFonts w:cs="Arial"/>
                <w:b/>
                <w:bCs/>
                <w:color w:val="000000"/>
                <w:szCs w:val="20"/>
              </w:rPr>
            </w:pPr>
            <w:r w:rsidRPr="00997F86">
              <w:t>16</w:t>
            </w:r>
          </w:p>
        </w:tc>
        <w:tc>
          <w:tcPr>
            <w:tcW w:w="740" w:type="dxa"/>
            <w:shd w:val="clear" w:color="auto" w:fill="EFD3D2"/>
          </w:tcPr>
          <w:p w14:paraId="20E026F8" w14:textId="77777777" w:rsidR="002822CC" w:rsidRPr="00D77DD3" w:rsidRDefault="002822CC" w:rsidP="008659BF">
            <w:pPr>
              <w:spacing w:after="0"/>
              <w:jc w:val="center"/>
              <w:rPr>
                <w:rFonts w:cs="Arial"/>
                <w:b/>
                <w:bCs/>
                <w:color w:val="000000"/>
                <w:szCs w:val="20"/>
              </w:rPr>
            </w:pPr>
            <w:r w:rsidRPr="00997F86">
              <w:t>21</w:t>
            </w:r>
          </w:p>
        </w:tc>
        <w:tc>
          <w:tcPr>
            <w:tcW w:w="1195" w:type="dxa"/>
            <w:shd w:val="clear" w:color="auto" w:fill="808080" w:themeFill="background1" w:themeFillShade="80"/>
          </w:tcPr>
          <w:p w14:paraId="5243AF77" w14:textId="77777777" w:rsidR="002822CC" w:rsidRPr="006A1476" w:rsidRDefault="002822CC" w:rsidP="008659BF">
            <w:pPr>
              <w:spacing w:after="0"/>
              <w:jc w:val="center"/>
              <w:rPr>
                <w:rFonts w:cs="Arial"/>
                <w:b/>
                <w:bCs/>
                <w:color w:val="FFFFFF" w:themeColor="background1"/>
                <w:szCs w:val="20"/>
              </w:rPr>
            </w:pPr>
            <w:r w:rsidRPr="006A1476">
              <w:rPr>
                <w:color w:val="FFFFFF" w:themeColor="background1"/>
              </w:rPr>
              <w:t>9</w:t>
            </w:r>
          </w:p>
        </w:tc>
        <w:tc>
          <w:tcPr>
            <w:tcW w:w="762" w:type="dxa"/>
            <w:shd w:val="clear" w:color="auto" w:fill="EFD3D2"/>
          </w:tcPr>
          <w:p w14:paraId="09AF4AFD" w14:textId="77777777" w:rsidR="002822CC" w:rsidRPr="00D77DD3" w:rsidRDefault="002822CC" w:rsidP="008659BF">
            <w:pPr>
              <w:spacing w:after="0"/>
              <w:jc w:val="center"/>
              <w:rPr>
                <w:rFonts w:cs="Arial"/>
                <w:b/>
                <w:bCs/>
                <w:color w:val="000000"/>
                <w:szCs w:val="20"/>
              </w:rPr>
            </w:pPr>
            <w:r w:rsidRPr="00997F86">
              <w:t>24</w:t>
            </w:r>
          </w:p>
        </w:tc>
      </w:tr>
      <w:tr w:rsidR="00560EBC" w:rsidRPr="00094BB6" w14:paraId="1699BB71" w14:textId="77777777" w:rsidTr="008E764D">
        <w:trPr>
          <w:trHeight w:val="367"/>
        </w:trPr>
        <w:tc>
          <w:tcPr>
            <w:tcW w:w="1081" w:type="dxa"/>
            <w:vAlign w:val="center"/>
          </w:tcPr>
          <w:p w14:paraId="3C5FEFFF" w14:textId="77777777" w:rsidR="002822CC" w:rsidRPr="00094BB6" w:rsidRDefault="002822CC" w:rsidP="008659BF">
            <w:pPr>
              <w:spacing w:after="0"/>
              <w:jc w:val="left"/>
              <w:rPr>
                <w:szCs w:val="20"/>
                <w:lang w:eastAsia="en-US"/>
              </w:rPr>
            </w:pPr>
            <w:r>
              <w:rPr>
                <w:rFonts w:cs="Arial"/>
                <w:b/>
                <w:bCs/>
                <w:color w:val="000000"/>
                <w:szCs w:val="20"/>
              </w:rPr>
              <w:t>2019-20</w:t>
            </w:r>
          </w:p>
        </w:tc>
        <w:tc>
          <w:tcPr>
            <w:tcW w:w="717" w:type="dxa"/>
          </w:tcPr>
          <w:p w14:paraId="4786DE15" w14:textId="77777777" w:rsidR="002822CC" w:rsidRPr="00094BB6" w:rsidRDefault="002822CC" w:rsidP="008659BF">
            <w:pPr>
              <w:spacing w:after="0"/>
              <w:jc w:val="center"/>
              <w:rPr>
                <w:szCs w:val="20"/>
                <w:lang w:eastAsia="en-US"/>
              </w:rPr>
            </w:pPr>
            <w:r w:rsidRPr="00997F86">
              <w:t>5</w:t>
            </w:r>
          </w:p>
        </w:tc>
        <w:tc>
          <w:tcPr>
            <w:tcW w:w="717" w:type="dxa"/>
          </w:tcPr>
          <w:p w14:paraId="1C029A4E" w14:textId="77777777" w:rsidR="002822CC" w:rsidRPr="00094BB6" w:rsidRDefault="002822CC" w:rsidP="008659BF">
            <w:pPr>
              <w:spacing w:after="0"/>
              <w:jc w:val="center"/>
              <w:rPr>
                <w:szCs w:val="20"/>
                <w:lang w:eastAsia="en-US"/>
              </w:rPr>
            </w:pPr>
            <w:r w:rsidRPr="00997F86">
              <w:t>35</w:t>
            </w:r>
          </w:p>
        </w:tc>
        <w:tc>
          <w:tcPr>
            <w:tcW w:w="782" w:type="dxa"/>
          </w:tcPr>
          <w:p w14:paraId="2AE67189" w14:textId="77777777" w:rsidR="002822CC" w:rsidRPr="00094BB6" w:rsidRDefault="002822CC" w:rsidP="008659BF">
            <w:pPr>
              <w:spacing w:after="0"/>
              <w:jc w:val="center"/>
              <w:rPr>
                <w:szCs w:val="20"/>
                <w:lang w:eastAsia="en-US"/>
              </w:rPr>
            </w:pPr>
            <w:r w:rsidRPr="00997F86">
              <w:t>6</w:t>
            </w:r>
          </w:p>
        </w:tc>
        <w:tc>
          <w:tcPr>
            <w:tcW w:w="778" w:type="dxa"/>
          </w:tcPr>
          <w:p w14:paraId="659E6E62" w14:textId="77777777" w:rsidR="002822CC" w:rsidRPr="00094BB6" w:rsidRDefault="002822CC" w:rsidP="008659BF">
            <w:pPr>
              <w:spacing w:after="0"/>
              <w:jc w:val="center"/>
              <w:rPr>
                <w:szCs w:val="20"/>
                <w:lang w:eastAsia="en-US"/>
              </w:rPr>
            </w:pPr>
            <w:r w:rsidRPr="00997F86">
              <w:t>75</w:t>
            </w:r>
          </w:p>
        </w:tc>
        <w:tc>
          <w:tcPr>
            <w:tcW w:w="771" w:type="dxa"/>
          </w:tcPr>
          <w:p w14:paraId="09FD88BC" w14:textId="77777777" w:rsidR="002822CC" w:rsidRPr="00094BB6" w:rsidRDefault="002822CC" w:rsidP="008659BF">
            <w:pPr>
              <w:spacing w:after="0"/>
              <w:jc w:val="center"/>
              <w:rPr>
                <w:szCs w:val="20"/>
                <w:lang w:eastAsia="en-US"/>
              </w:rPr>
            </w:pPr>
            <w:r w:rsidRPr="00997F86">
              <w:t>6</w:t>
            </w:r>
          </w:p>
        </w:tc>
        <w:tc>
          <w:tcPr>
            <w:tcW w:w="749" w:type="dxa"/>
          </w:tcPr>
          <w:p w14:paraId="5E7353AF" w14:textId="77777777" w:rsidR="002822CC" w:rsidRPr="00094BB6" w:rsidRDefault="002822CC" w:rsidP="008659BF">
            <w:pPr>
              <w:spacing w:after="0"/>
              <w:jc w:val="center"/>
              <w:rPr>
                <w:szCs w:val="20"/>
                <w:lang w:eastAsia="en-US"/>
              </w:rPr>
            </w:pPr>
            <w:r w:rsidRPr="00997F86">
              <w:t>7</w:t>
            </w:r>
          </w:p>
        </w:tc>
        <w:tc>
          <w:tcPr>
            <w:tcW w:w="766" w:type="dxa"/>
          </w:tcPr>
          <w:p w14:paraId="095E540B" w14:textId="77777777" w:rsidR="002822CC" w:rsidRPr="00094BB6" w:rsidRDefault="002822CC" w:rsidP="008659BF">
            <w:pPr>
              <w:spacing w:after="0"/>
              <w:jc w:val="center"/>
              <w:rPr>
                <w:szCs w:val="20"/>
                <w:lang w:eastAsia="en-US"/>
              </w:rPr>
            </w:pPr>
            <w:r w:rsidRPr="00997F86">
              <w:t>23</w:t>
            </w:r>
          </w:p>
        </w:tc>
        <w:tc>
          <w:tcPr>
            <w:tcW w:w="770" w:type="dxa"/>
          </w:tcPr>
          <w:p w14:paraId="02CAD9F4" w14:textId="77777777" w:rsidR="002822CC" w:rsidRPr="00094BB6" w:rsidRDefault="002822CC" w:rsidP="008659BF">
            <w:pPr>
              <w:spacing w:after="0"/>
              <w:jc w:val="center"/>
              <w:rPr>
                <w:szCs w:val="20"/>
                <w:lang w:eastAsia="en-US"/>
              </w:rPr>
            </w:pPr>
            <w:r w:rsidRPr="00997F86">
              <w:t>18</w:t>
            </w:r>
          </w:p>
        </w:tc>
        <w:tc>
          <w:tcPr>
            <w:tcW w:w="740" w:type="dxa"/>
          </w:tcPr>
          <w:p w14:paraId="3B1822B5" w14:textId="77777777" w:rsidR="002822CC" w:rsidRPr="00094BB6" w:rsidRDefault="002822CC" w:rsidP="008659BF">
            <w:pPr>
              <w:spacing w:after="0"/>
              <w:jc w:val="center"/>
              <w:rPr>
                <w:szCs w:val="20"/>
                <w:lang w:eastAsia="en-US"/>
              </w:rPr>
            </w:pPr>
            <w:r w:rsidRPr="00997F86">
              <w:t>23</w:t>
            </w:r>
          </w:p>
        </w:tc>
        <w:tc>
          <w:tcPr>
            <w:tcW w:w="1195" w:type="dxa"/>
            <w:shd w:val="clear" w:color="auto" w:fill="808080" w:themeFill="background1" w:themeFillShade="80"/>
          </w:tcPr>
          <w:p w14:paraId="27F85505" w14:textId="77777777" w:rsidR="002822CC" w:rsidRPr="006A1476" w:rsidRDefault="002822CC" w:rsidP="008659BF">
            <w:pPr>
              <w:spacing w:after="0"/>
              <w:jc w:val="center"/>
              <w:rPr>
                <w:rFonts w:cs="Arial"/>
                <w:color w:val="FFFFFF" w:themeColor="background1"/>
                <w:szCs w:val="20"/>
              </w:rPr>
            </w:pPr>
            <w:r w:rsidRPr="006A1476">
              <w:rPr>
                <w:color w:val="FFFFFF" w:themeColor="background1"/>
              </w:rPr>
              <w:t>9</w:t>
            </w:r>
          </w:p>
        </w:tc>
        <w:tc>
          <w:tcPr>
            <w:tcW w:w="762" w:type="dxa"/>
          </w:tcPr>
          <w:p w14:paraId="7CE2746F" w14:textId="77777777" w:rsidR="002822CC" w:rsidRPr="00094BB6" w:rsidRDefault="002822CC" w:rsidP="008659BF">
            <w:pPr>
              <w:spacing w:after="0"/>
              <w:jc w:val="center"/>
              <w:rPr>
                <w:szCs w:val="20"/>
                <w:lang w:eastAsia="en-US"/>
              </w:rPr>
            </w:pPr>
            <w:r w:rsidRPr="00997F86">
              <w:t>25</w:t>
            </w:r>
          </w:p>
        </w:tc>
      </w:tr>
      <w:tr w:rsidR="00392528" w:rsidRPr="00D77DD3" w14:paraId="41AB86DA" w14:textId="77777777" w:rsidTr="008E764D">
        <w:trPr>
          <w:trHeight w:val="367"/>
        </w:trPr>
        <w:tc>
          <w:tcPr>
            <w:tcW w:w="1081" w:type="dxa"/>
            <w:shd w:val="clear" w:color="auto" w:fill="EFD3D2"/>
            <w:vAlign w:val="center"/>
          </w:tcPr>
          <w:p w14:paraId="22B88DEF" w14:textId="77777777" w:rsidR="002822CC" w:rsidRPr="00D77DD3" w:rsidRDefault="002822CC" w:rsidP="008659BF">
            <w:pPr>
              <w:spacing w:after="0"/>
              <w:jc w:val="left"/>
              <w:rPr>
                <w:rFonts w:cs="Arial"/>
                <w:b/>
                <w:bCs/>
                <w:color w:val="000000"/>
                <w:szCs w:val="20"/>
              </w:rPr>
            </w:pPr>
            <w:r w:rsidRPr="00DA0D25">
              <w:rPr>
                <w:rFonts w:cs="Arial"/>
                <w:b/>
                <w:bCs/>
                <w:color w:val="000000"/>
                <w:szCs w:val="20"/>
              </w:rPr>
              <w:t>2019-20p</w:t>
            </w:r>
          </w:p>
        </w:tc>
        <w:tc>
          <w:tcPr>
            <w:tcW w:w="717" w:type="dxa"/>
            <w:shd w:val="clear" w:color="auto" w:fill="EFD3D2"/>
          </w:tcPr>
          <w:p w14:paraId="1D29BFED" w14:textId="77777777" w:rsidR="002822CC" w:rsidRPr="00D77DD3" w:rsidRDefault="002822CC" w:rsidP="008659BF">
            <w:pPr>
              <w:spacing w:after="0"/>
              <w:jc w:val="center"/>
              <w:rPr>
                <w:rFonts w:cs="Arial"/>
                <w:b/>
                <w:bCs/>
                <w:color w:val="000000"/>
                <w:szCs w:val="20"/>
              </w:rPr>
            </w:pPr>
            <w:r w:rsidRPr="00997F86">
              <w:t>5</w:t>
            </w:r>
          </w:p>
        </w:tc>
        <w:tc>
          <w:tcPr>
            <w:tcW w:w="717" w:type="dxa"/>
            <w:shd w:val="clear" w:color="auto" w:fill="EFD3D2"/>
          </w:tcPr>
          <w:p w14:paraId="65B4A01E" w14:textId="77777777" w:rsidR="002822CC" w:rsidRPr="00D77DD3" w:rsidRDefault="002822CC" w:rsidP="008659BF">
            <w:pPr>
              <w:spacing w:after="0"/>
              <w:jc w:val="center"/>
              <w:rPr>
                <w:rFonts w:cs="Arial"/>
                <w:b/>
                <w:bCs/>
                <w:color w:val="000000"/>
                <w:szCs w:val="20"/>
              </w:rPr>
            </w:pPr>
            <w:r w:rsidRPr="00997F86">
              <w:t>37</w:t>
            </w:r>
          </w:p>
        </w:tc>
        <w:tc>
          <w:tcPr>
            <w:tcW w:w="782" w:type="dxa"/>
            <w:shd w:val="clear" w:color="auto" w:fill="EFD3D2"/>
          </w:tcPr>
          <w:p w14:paraId="5D6F8181" w14:textId="77777777" w:rsidR="002822CC" w:rsidRPr="00D77DD3" w:rsidRDefault="002822CC" w:rsidP="008659BF">
            <w:pPr>
              <w:spacing w:after="0"/>
              <w:jc w:val="center"/>
              <w:rPr>
                <w:rFonts w:cs="Arial"/>
                <w:b/>
                <w:bCs/>
                <w:color w:val="000000"/>
                <w:szCs w:val="20"/>
              </w:rPr>
            </w:pPr>
            <w:r w:rsidRPr="00997F86">
              <w:t>6</w:t>
            </w:r>
          </w:p>
        </w:tc>
        <w:tc>
          <w:tcPr>
            <w:tcW w:w="778" w:type="dxa"/>
            <w:shd w:val="clear" w:color="auto" w:fill="EFD3D2"/>
          </w:tcPr>
          <w:p w14:paraId="19C80D34" w14:textId="77777777" w:rsidR="002822CC" w:rsidRPr="00D77DD3" w:rsidRDefault="002822CC" w:rsidP="008659BF">
            <w:pPr>
              <w:spacing w:after="0"/>
              <w:jc w:val="center"/>
              <w:rPr>
                <w:rFonts w:cs="Arial"/>
                <w:b/>
                <w:bCs/>
                <w:color w:val="000000"/>
                <w:szCs w:val="20"/>
              </w:rPr>
            </w:pPr>
            <w:r w:rsidRPr="00997F86">
              <w:t>79</w:t>
            </w:r>
          </w:p>
        </w:tc>
        <w:tc>
          <w:tcPr>
            <w:tcW w:w="771" w:type="dxa"/>
            <w:shd w:val="clear" w:color="auto" w:fill="EFD3D2"/>
          </w:tcPr>
          <w:p w14:paraId="2AAF477A" w14:textId="77777777" w:rsidR="002822CC" w:rsidRPr="00D77DD3" w:rsidRDefault="002822CC" w:rsidP="008659BF">
            <w:pPr>
              <w:spacing w:after="0"/>
              <w:jc w:val="center"/>
              <w:rPr>
                <w:rFonts w:cs="Arial"/>
                <w:b/>
                <w:bCs/>
                <w:color w:val="000000"/>
                <w:szCs w:val="20"/>
              </w:rPr>
            </w:pPr>
            <w:r w:rsidRPr="00997F86">
              <w:t>5</w:t>
            </w:r>
          </w:p>
        </w:tc>
        <w:tc>
          <w:tcPr>
            <w:tcW w:w="749" w:type="dxa"/>
            <w:shd w:val="clear" w:color="auto" w:fill="EFD3D2"/>
          </w:tcPr>
          <w:p w14:paraId="2155E704" w14:textId="77777777" w:rsidR="002822CC" w:rsidRPr="00D77DD3" w:rsidRDefault="002822CC" w:rsidP="008659BF">
            <w:pPr>
              <w:spacing w:after="0"/>
              <w:jc w:val="center"/>
              <w:rPr>
                <w:rFonts w:cs="Arial"/>
                <w:b/>
                <w:bCs/>
                <w:color w:val="000000"/>
                <w:szCs w:val="20"/>
              </w:rPr>
            </w:pPr>
            <w:r w:rsidRPr="00997F86">
              <w:t>7</w:t>
            </w:r>
          </w:p>
        </w:tc>
        <w:tc>
          <w:tcPr>
            <w:tcW w:w="766" w:type="dxa"/>
            <w:shd w:val="clear" w:color="auto" w:fill="EFD3D2"/>
          </w:tcPr>
          <w:p w14:paraId="778C5A2B" w14:textId="77777777" w:rsidR="002822CC" w:rsidRPr="00D77DD3" w:rsidRDefault="002822CC" w:rsidP="008659BF">
            <w:pPr>
              <w:spacing w:after="0"/>
              <w:jc w:val="center"/>
              <w:rPr>
                <w:rFonts w:cs="Arial"/>
                <w:b/>
                <w:bCs/>
                <w:color w:val="000000"/>
                <w:szCs w:val="20"/>
              </w:rPr>
            </w:pPr>
            <w:r w:rsidRPr="00997F86">
              <w:t>21</w:t>
            </w:r>
          </w:p>
        </w:tc>
        <w:tc>
          <w:tcPr>
            <w:tcW w:w="770" w:type="dxa"/>
            <w:shd w:val="clear" w:color="auto" w:fill="EFD3D2"/>
          </w:tcPr>
          <w:p w14:paraId="5E6C1C08" w14:textId="77777777" w:rsidR="002822CC" w:rsidRPr="00D77DD3" w:rsidRDefault="002822CC" w:rsidP="008659BF">
            <w:pPr>
              <w:spacing w:after="0"/>
              <w:jc w:val="center"/>
              <w:rPr>
                <w:rFonts w:cs="Arial"/>
                <w:b/>
                <w:bCs/>
                <w:color w:val="000000"/>
                <w:szCs w:val="20"/>
              </w:rPr>
            </w:pPr>
            <w:r w:rsidRPr="00997F86">
              <w:t>23</w:t>
            </w:r>
          </w:p>
        </w:tc>
        <w:tc>
          <w:tcPr>
            <w:tcW w:w="740" w:type="dxa"/>
            <w:shd w:val="clear" w:color="auto" w:fill="EFD3D2"/>
          </w:tcPr>
          <w:p w14:paraId="747C34D9" w14:textId="77777777" w:rsidR="002822CC" w:rsidRPr="00D77DD3" w:rsidRDefault="002822CC" w:rsidP="008659BF">
            <w:pPr>
              <w:spacing w:after="0"/>
              <w:jc w:val="center"/>
              <w:rPr>
                <w:rFonts w:cs="Arial"/>
                <w:b/>
                <w:bCs/>
                <w:color w:val="000000"/>
                <w:szCs w:val="20"/>
              </w:rPr>
            </w:pPr>
            <w:r w:rsidRPr="00997F86">
              <w:t>17</w:t>
            </w:r>
          </w:p>
        </w:tc>
        <w:tc>
          <w:tcPr>
            <w:tcW w:w="1195" w:type="dxa"/>
            <w:shd w:val="clear" w:color="auto" w:fill="808080" w:themeFill="background1" w:themeFillShade="80"/>
          </w:tcPr>
          <w:p w14:paraId="5C044FC8" w14:textId="77777777" w:rsidR="002822CC" w:rsidRPr="006A1476" w:rsidRDefault="002822CC" w:rsidP="008659BF">
            <w:pPr>
              <w:spacing w:after="0"/>
              <w:jc w:val="center"/>
              <w:rPr>
                <w:rFonts w:cs="Arial"/>
                <w:b/>
                <w:bCs/>
                <w:color w:val="FFFFFF" w:themeColor="background1"/>
                <w:szCs w:val="20"/>
              </w:rPr>
            </w:pPr>
            <w:r w:rsidRPr="006A1476">
              <w:rPr>
                <w:color w:val="FFFFFF" w:themeColor="background1"/>
              </w:rPr>
              <w:t>9</w:t>
            </w:r>
          </w:p>
        </w:tc>
        <w:tc>
          <w:tcPr>
            <w:tcW w:w="762" w:type="dxa"/>
            <w:shd w:val="clear" w:color="auto" w:fill="EFD3D2"/>
          </w:tcPr>
          <w:p w14:paraId="2C759BAD" w14:textId="77777777" w:rsidR="002822CC" w:rsidRPr="00D77DD3" w:rsidRDefault="002822CC" w:rsidP="008659BF">
            <w:pPr>
              <w:spacing w:after="0"/>
              <w:jc w:val="center"/>
              <w:rPr>
                <w:rFonts w:cs="Arial"/>
                <w:b/>
                <w:bCs/>
                <w:color w:val="000000"/>
                <w:szCs w:val="20"/>
              </w:rPr>
            </w:pPr>
            <w:r w:rsidRPr="00997F86">
              <w:t>25</w:t>
            </w:r>
          </w:p>
        </w:tc>
      </w:tr>
    </w:tbl>
    <w:p w14:paraId="5F59F3E8" w14:textId="4350757A" w:rsidR="005B655B" w:rsidRPr="005B655B" w:rsidRDefault="005B655B" w:rsidP="005B655B">
      <w:pPr>
        <w:rPr>
          <w:lang w:eastAsia="en-US"/>
        </w:rPr>
      </w:pPr>
    </w:p>
    <w:bookmarkEnd w:id="29"/>
    <w:p w14:paraId="59BA129C" w14:textId="5CA0730B" w:rsidR="002122C3" w:rsidRDefault="002122C3" w:rsidP="002122C3">
      <w:pPr>
        <w:rPr>
          <w:rFonts w:eastAsiaTheme="minorHAnsi" w:cs="Arial"/>
          <w:color w:val="000000"/>
          <w:sz w:val="16"/>
          <w:szCs w:val="16"/>
          <w:lang w:val="en-US" w:eastAsia="en-US"/>
        </w:rPr>
      </w:pPr>
      <w:r w:rsidRPr="00B60449">
        <w:rPr>
          <w:rFonts w:eastAsiaTheme="minorHAnsi" w:cs="Arial"/>
          <w:color w:val="000000"/>
          <w:sz w:val="16"/>
          <w:szCs w:val="16"/>
          <w:lang w:val="en-US" w:eastAsia="en-US"/>
        </w:rPr>
        <w:t>*Tasmanian self-insured claims also include state government agencies</w:t>
      </w:r>
    </w:p>
    <w:p w14:paraId="137402AD" w14:textId="77777777" w:rsidR="008851BF" w:rsidRDefault="008851BF" w:rsidP="008851BF">
      <w:pPr>
        <w:rPr>
          <w:rFonts w:eastAsiaTheme="minorHAnsi" w:cs="Arial"/>
          <w:color w:val="000000"/>
          <w:sz w:val="16"/>
          <w:szCs w:val="16"/>
          <w:lang w:val="en-US" w:eastAsia="en-US"/>
        </w:rPr>
      </w:pPr>
      <w:r>
        <w:rPr>
          <w:rFonts w:eastAsiaTheme="minorHAnsi" w:cs="Arial"/>
          <w:color w:val="000000"/>
          <w:sz w:val="16"/>
          <w:szCs w:val="16"/>
          <w:lang w:val="en-US" w:eastAsia="en-US"/>
        </w:rPr>
        <w:t>**</w:t>
      </w:r>
      <w:r w:rsidRPr="00F83FBC">
        <w:t xml:space="preserve"> </w:t>
      </w:r>
      <w:r w:rsidRPr="00F83FBC">
        <w:rPr>
          <w:rFonts w:eastAsiaTheme="minorHAnsi" w:cs="Arial"/>
          <w:color w:val="000000"/>
          <w:sz w:val="16"/>
          <w:szCs w:val="16"/>
          <w:lang w:val="en-US" w:eastAsia="en-US"/>
        </w:rPr>
        <w:t>Australian Capital Territory self-insured claims also include the Australian Capital Territory Government.</w:t>
      </w:r>
    </w:p>
    <w:p w14:paraId="6497506E" w14:textId="6C4C8F5D" w:rsidR="008851BF" w:rsidRDefault="008851BF" w:rsidP="008851BF">
      <w:pPr>
        <w:rPr>
          <w:rFonts w:eastAsiaTheme="minorHAnsi" w:cs="Arial"/>
          <w:color w:val="000000"/>
          <w:sz w:val="16"/>
          <w:szCs w:val="16"/>
          <w:lang w:val="en-US" w:eastAsia="en-US"/>
        </w:rPr>
      </w:pPr>
      <w:r>
        <w:rPr>
          <w:rFonts w:eastAsiaTheme="minorHAnsi" w:cs="Arial"/>
          <w:color w:val="000000"/>
          <w:sz w:val="16"/>
          <w:szCs w:val="16"/>
          <w:lang w:val="en-US" w:eastAsia="en-US"/>
        </w:rPr>
        <w:t xml:space="preserve">*** The Australian total excludes </w:t>
      </w:r>
      <w:proofErr w:type="spellStart"/>
      <w:r>
        <w:rPr>
          <w:rFonts w:eastAsiaTheme="minorHAnsi" w:cs="Arial"/>
          <w:color w:val="000000"/>
          <w:sz w:val="16"/>
          <w:szCs w:val="16"/>
          <w:lang w:val="en-US" w:eastAsia="en-US"/>
        </w:rPr>
        <w:t>Seacare</w:t>
      </w:r>
      <w:proofErr w:type="spellEnd"/>
      <w:r>
        <w:rPr>
          <w:rFonts w:eastAsiaTheme="minorHAnsi" w:cs="Arial"/>
          <w:color w:val="000000"/>
          <w:sz w:val="16"/>
          <w:szCs w:val="16"/>
          <w:lang w:val="en-US" w:eastAsia="en-US"/>
        </w:rPr>
        <w:t xml:space="preserve"> </w:t>
      </w:r>
      <w:r w:rsidRPr="00F60444">
        <w:rPr>
          <w:rFonts w:eastAsiaTheme="minorHAnsi" w:cs="Arial"/>
          <w:color w:val="000000"/>
          <w:sz w:val="16"/>
          <w:szCs w:val="16"/>
          <w:lang w:val="en-US" w:eastAsia="en-US"/>
        </w:rPr>
        <w:t>self-insured</w:t>
      </w:r>
      <w:r>
        <w:rPr>
          <w:rFonts w:eastAsiaTheme="minorHAnsi" w:cs="Arial"/>
          <w:color w:val="000000"/>
          <w:sz w:val="16"/>
          <w:szCs w:val="16"/>
          <w:lang w:val="en-US" w:eastAsia="en-US"/>
        </w:rPr>
        <w:t xml:space="preserve"> claims.</w:t>
      </w:r>
    </w:p>
    <w:p w14:paraId="25A46489" w14:textId="798C83D7" w:rsidR="008659BF" w:rsidRDefault="008659BF">
      <w:pPr>
        <w:spacing w:after="200" w:line="276" w:lineRule="auto"/>
        <w:jc w:val="left"/>
        <w:rPr>
          <w:rFonts w:eastAsiaTheme="minorHAnsi" w:cs="Arial"/>
          <w:color w:val="000000"/>
          <w:sz w:val="16"/>
          <w:szCs w:val="16"/>
          <w:lang w:val="en-US" w:eastAsia="en-US"/>
        </w:rPr>
      </w:pPr>
      <w:r>
        <w:rPr>
          <w:rFonts w:eastAsiaTheme="minorHAnsi" w:cs="Arial"/>
          <w:color w:val="000000"/>
          <w:sz w:val="16"/>
          <w:szCs w:val="16"/>
          <w:lang w:val="en-US" w:eastAsia="en-US"/>
        </w:rPr>
        <w:br w:type="page"/>
      </w:r>
    </w:p>
    <w:p w14:paraId="5F0AFB66" w14:textId="1F1AE34E" w:rsidR="004014F4" w:rsidRPr="00086AB2" w:rsidRDefault="001B67B4" w:rsidP="007729EA">
      <w:pPr>
        <w:pStyle w:val="SWASectionnumberingheading"/>
      </w:pPr>
      <w:bookmarkStart w:id="31" w:name="_Toc85729322"/>
      <w:bookmarkStart w:id="32" w:name="_Toc86602463"/>
      <w:bookmarkEnd w:id="31"/>
      <w:r w:rsidRPr="00086AB2">
        <w:lastRenderedPageBreak/>
        <w:t>Duration of absence</w:t>
      </w:r>
      <w:bookmarkEnd w:id="32"/>
      <w:r w:rsidR="00020821">
        <w:t xml:space="preserve"> </w:t>
      </w:r>
    </w:p>
    <w:p w14:paraId="435B5EEE" w14:textId="2178D077" w:rsidR="001B67B4" w:rsidRDefault="001B67B4" w:rsidP="007729EA">
      <w:pPr>
        <w:keepNext/>
        <w:keepLines/>
      </w:pPr>
      <w:r w:rsidRPr="008E6EF2">
        <w:t xml:space="preserve">The duration of absence associated with </w:t>
      </w:r>
      <w:r w:rsidR="00B07EFB" w:rsidRPr="008E6EF2">
        <w:t xml:space="preserve">serious </w:t>
      </w:r>
      <w:r w:rsidRPr="008E6EF2">
        <w:t>claims provides an indication of the severity of injuries</w:t>
      </w:r>
      <w:r w:rsidR="00EA53BE" w:rsidRPr="008E6EF2">
        <w:t xml:space="preserve"> and diseases</w:t>
      </w:r>
      <w:r w:rsidRPr="008E6EF2">
        <w:t xml:space="preserve"> occurring in Australia. Indicator 6 shows the variation in the percentage of claims involving selected periods of compensation</w:t>
      </w:r>
      <w:r w:rsidR="00F20315" w:rsidRPr="008E6EF2">
        <w:t xml:space="preserve"> across the jurisdictions</w:t>
      </w:r>
      <w:r w:rsidRPr="008E6EF2">
        <w:t xml:space="preserve">. </w:t>
      </w:r>
      <w:r w:rsidR="00E74178" w:rsidRPr="008E6EF2">
        <w:t xml:space="preserve">Data </w:t>
      </w:r>
      <w:r w:rsidR="0039462E" w:rsidRPr="008E6EF2">
        <w:t>are</w:t>
      </w:r>
      <w:r w:rsidRPr="008E6EF2">
        <w:t xml:space="preserve"> based on claims lodged in</w:t>
      </w:r>
      <w:r w:rsidR="00F20315" w:rsidRPr="008E6EF2">
        <w:t xml:space="preserve"> </w:t>
      </w:r>
      <w:r w:rsidR="00AE29EB" w:rsidRPr="008E6EF2">
        <w:t>2</w:t>
      </w:r>
      <w:r w:rsidR="00F20315" w:rsidRPr="008E6EF2">
        <w:t>0</w:t>
      </w:r>
      <w:r w:rsidR="005B7D1F">
        <w:t>19</w:t>
      </w:r>
      <w:r w:rsidR="00F20315" w:rsidRPr="008E6EF2">
        <w:t>–</w:t>
      </w:r>
      <w:r w:rsidR="002822CC">
        <w:t>2</w:t>
      </w:r>
      <w:r w:rsidR="005B7D1F">
        <w:t>0</w:t>
      </w:r>
      <w:r w:rsidRPr="008E6EF2">
        <w:t xml:space="preserve">, which is the most recent year that </w:t>
      </w:r>
      <w:r w:rsidR="00E74178" w:rsidRPr="008E6EF2">
        <w:t xml:space="preserve">finalised </w:t>
      </w:r>
      <w:r w:rsidRPr="008E6EF2">
        <w:t xml:space="preserve">data </w:t>
      </w:r>
      <w:r w:rsidR="00E74178" w:rsidRPr="008E6EF2">
        <w:t xml:space="preserve">is </w:t>
      </w:r>
      <w:r w:rsidRPr="008E6EF2">
        <w:t xml:space="preserve">available for this indicator. </w:t>
      </w:r>
    </w:p>
    <w:p w14:paraId="053F98A1" w14:textId="17AA870A" w:rsidR="008E6EF2" w:rsidRPr="008E6EF2" w:rsidRDefault="008E6EF2" w:rsidP="007729EA">
      <w:pPr>
        <w:keepNext/>
        <w:keepLines/>
        <w:rPr>
          <w:i/>
          <w:iCs/>
        </w:rPr>
      </w:pPr>
      <w:r>
        <w:rPr>
          <w:i/>
          <w:iCs/>
        </w:rPr>
        <w:t>Proportion of serious claims</w:t>
      </w:r>
    </w:p>
    <w:p w14:paraId="2355B95D" w14:textId="59F48F17" w:rsidR="001B67B4" w:rsidRPr="00751338" w:rsidRDefault="001B67B4" w:rsidP="004513B8">
      <w:pPr>
        <w:keepNext/>
        <w:keepLines/>
      </w:pPr>
      <w:r w:rsidRPr="00751338">
        <w:t>Indicator 6 shows that</w:t>
      </w:r>
      <w:r w:rsidR="00F20315" w:rsidRPr="00751338">
        <w:t xml:space="preserve"> </w:t>
      </w:r>
      <w:r w:rsidR="008E6EF2">
        <w:t>4</w:t>
      </w:r>
      <w:r w:rsidR="006968F4">
        <w:t>6</w:t>
      </w:r>
      <w:r w:rsidR="003C4F76" w:rsidRPr="00751338">
        <w:t>%</w:t>
      </w:r>
      <w:r w:rsidRPr="00751338">
        <w:t xml:space="preserve"> of claims in Australia resulted in less than six weeks of compensation. The jurisdictional rates </w:t>
      </w:r>
      <w:r w:rsidR="00947F6E" w:rsidRPr="00751338">
        <w:t xml:space="preserve">ranged between </w:t>
      </w:r>
      <w:r w:rsidR="006968F4">
        <w:t>22</w:t>
      </w:r>
      <w:r w:rsidR="003C4F76" w:rsidRPr="00751338">
        <w:t>%</w:t>
      </w:r>
      <w:r w:rsidR="00947F6E" w:rsidRPr="00751338">
        <w:t xml:space="preserve"> for </w:t>
      </w:r>
      <w:proofErr w:type="spellStart"/>
      <w:r w:rsidR="00947F6E" w:rsidRPr="00751338">
        <w:t>Seacare</w:t>
      </w:r>
      <w:proofErr w:type="spellEnd"/>
      <w:r w:rsidR="00573E64">
        <w:t xml:space="preserve"> to </w:t>
      </w:r>
      <w:r w:rsidR="00573E64" w:rsidRPr="00751338">
        <w:t>5</w:t>
      </w:r>
      <w:r w:rsidR="006968F4">
        <w:t>6</w:t>
      </w:r>
      <w:r w:rsidR="00573E64" w:rsidRPr="00751338">
        <w:t>% for Tasmania</w:t>
      </w:r>
      <w:r w:rsidR="00947F6E" w:rsidRPr="00751338">
        <w:t>.</w:t>
      </w:r>
      <w:r w:rsidRPr="00751338">
        <w:t xml:space="preserve"> </w:t>
      </w:r>
    </w:p>
    <w:p w14:paraId="692B3C13" w14:textId="34BF206D" w:rsidR="004513B8" w:rsidRDefault="00D5578D" w:rsidP="00C03259">
      <w:pPr>
        <w:pStyle w:val="ListParagraph"/>
        <w:numPr>
          <w:ilvl w:val="0"/>
          <w:numId w:val="23"/>
        </w:numPr>
      </w:pPr>
      <w:r w:rsidRPr="00162C81">
        <w:t xml:space="preserve">Overall, </w:t>
      </w:r>
      <w:r w:rsidR="004513B8">
        <w:t>14</w:t>
      </w:r>
      <w:r w:rsidR="003C4F76" w:rsidRPr="008E6EF2">
        <w:t>%</w:t>
      </w:r>
      <w:r w:rsidR="00C24B25" w:rsidRPr="008E6EF2">
        <w:t xml:space="preserve"> of all claims across Australia continued for 52 weeks or more. </w:t>
      </w:r>
    </w:p>
    <w:p w14:paraId="0F33D661" w14:textId="162238E7" w:rsidR="004513B8" w:rsidRDefault="001B67B4" w:rsidP="00C03259">
      <w:pPr>
        <w:pStyle w:val="ListParagraph"/>
        <w:numPr>
          <w:ilvl w:val="0"/>
          <w:numId w:val="23"/>
        </w:numPr>
      </w:pPr>
      <w:r w:rsidRPr="008E6EF2">
        <w:t>Victoria had the highest percentage of claims that continued past 52 weeks of compensation (</w:t>
      </w:r>
      <w:r w:rsidR="00751338" w:rsidRPr="008E6EF2">
        <w:t>2</w:t>
      </w:r>
      <w:r w:rsidR="006968F4">
        <w:t>5</w:t>
      </w:r>
      <w:r w:rsidR="003C4F76" w:rsidRPr="008E6EF2">
        <w:t>%</w:t>
      </w:r>
      <w:r w:rsidRPr="008E6EF2">
        <w:t xml:space="preserve"> of claims), followed by </w:t>
      </w:r>
      <w:proofErr w:type="spellStart"/>
      <w:r w:rsidR="00D87A9B" w:rsidRPr="008E6EF2">
        <w:t>Seacare</w:t>
      </w:r>
      <w:proofErr w:type="spellEnd"/>
      <w:r w:rsidR="00D87A9B" w:rsidRPr="008E6EF2">
        <w:t xml:space="preserve"> (</w:t>
      </w:r>
      <w:r w:rsidR="004513B8">
        <w:t>17</w:t>
      </w:r>
      <w:r w:rsidR="003C4F76" w:rsidRPr="008E6EF2">
        <w:t>%</w:t>
      </w:r>
      <w:r w:rsidR="00D87A9B" w:rsidRPr="008E6EF2">
        <w:t>)</w:t>
      </w:r>
      <w:r w:rsidR="00C24B25" w:rsidRPr="0065461B">
        <w:t>.</w:t>
      </w:r>
      <w:r w:rsidR="0065461B" w:rsidRPr="0065461B">
        <w:t xml:space="preserve"> </w:t>
      </w:r>
    </w:p>
    <w:p w14:paraId="2AB4E3A7" w14:textId="0930759A" w:rsidR="001B67B4" w:rsidRPr="0065461B" w:rsidRDefault="00373D17" w:rsidP="00C03259">
      <w:pPr>
        <w:pStyle w:val="ListParagraph"/>
        <w:numPr>
          <w:ilvl w:val="0"/>
          <w:numId w:val="23"/>
        </w:numPr>
      </w:pPr>
      <w:r>
        <w:t>Northern Territory had the lowest percentage (6%) of claims continuing past 52 weeks of compensation, closely followed by Tasmania (7%)</w:t>
      </w:r>
      <w:r w:rsidR="0065461B" w:rsidRPr="0065461B">
        <w:t xml:space="preserve">, Queensland </w:t>
      </w:r>
      <w:r w:rsidR="006968F4">
        <w:t xml:space="preserve">(8%) </w:t>
      </w:r>
      <w:r w:rsidR="0065461B" w:rsidRPr="0065461B">
        <w:t>and the A</w:t>
      </w:r>
      <w:r w:rsidR="004513B8">
        <w:t>ustralian</w:t>
      </w:r>
      <w:r w:rsidR="00780CE7">
        <w:t> </w:t>
      </w:r>
      <w:r w:rsidR="0065461B" w:rsidRPr="0065461B">
        <w:t>C</w:t>
      </w:r>
      <w:r w:rsidR="004513B8">
        <w:t xml:space="preserve">apital </w:t>
      </w:r>
      <w:r w:rsidR="0065461B" w:rsidRPr="0065461B">
        <w:t>T</w:t>
      </w:r>
      <w:r w:rsidR="004513B8">
        <w:t>erritory</w:t>
      </w:r>
      <w:r w:rsidR="006968F4">
        <w:t xml:space="preserve"> and Australian Government</w:t>
      </w:r>
      <w:r w:rsidR="0065461B" w:rsidRPr="0065461B">
        <w:t xml:space="preserve"> (</w:t>
      </w:r>
      <w:r>
        <w:t>both</w:t>
      </w:r>
      <w:r w:rsidRPr="0065461B">
        <w:t xml:space="preserve"> </w:t>
      </w:r>
      <w:r>
        <w:t>with</w:t>
      </w:r>
      <w:r w:rsidR="0065461B" w:rsidRPr="0065461B">
        <w:t xml:space="preserve"> </w:t>
      </w:r>
      <w:r w:rsidR="006968F4">
        <w:t>10</w:t>
      </w:r>
      <w:r w:rsidR="003C4F76" w:rsidRPr="0065461B">
        <w:t>%</w:t>
      </w:r>
      <w:r w:rsidR="00430D6C" w:rsidRPr="0065461B">
        <w:t>).</w:t>
      </w:r>
    </w:p>
    <w:p w14:paraId="6C5399B7" w14:textId="7EEF6733" w:rsidR="00CF14E4" w:rsidRPr="0065461B" w:rsidRDefault="002E5FC6" w:rsidP="005B7D1F">
      <w:pPr>
        <w:pStyle w:val="ListParagraph"/>
        <w:numPr>
          <w:ilvl w:val="0"/>
          <w:numId w:val="22"/>
        </w:numPr>
        <w:ind w:hanging="357"/>
      </w:pPr>
      <w:r w:rsidRPr="00E97C26">
        <w:t xml:space="preserve">In </w:t>
      </w:r>
      <w:r w:rsidR="00663CC1">
        <w:t>2019-20</w:t>
      </w:r>
      <w:r w:rsidRPr="00E97C26">
        <w:t xml:space="preserve">, </w:t>
      </w:r>
      <w:r w:rsidR="00373D17" w:rsidRPr="00226AD2">
        <w:t>66</w:t>
      </w:r>
      <w:r w:rsidRPr="00E97C26">
        <w:t>% of</w:t>
      </w:r>
      <w:r w:rsidR="001B67B4" w:rsidRPr="00E97C26">
        <w:t xml:space="preserve"> New Zealand scheme </w:t>
      </w:r>
      <w:r w:rsidRPr="00E97C26">
        <w:t>claims resulted in less than six weeks of compensation</w:t>
      </w:r>
      <w:r w:rsidR="0065461B" w:rsidRPr="00E97C26">
        <w:t xml:space="preserve">, and </w:t>
      </w:r>
      <w:r w:rsidR="00373D17" w:rsidRPr="00226AD2">
        <w:t>3</w:t>
      </w:r>
      <w:r w:rsidR="0065461B" w:rsidRPr="00E97C26">
        <w:t xml:space="preserve">% resulted in 52 weeks or more. </w:t>
      </w:r>
    </w:p>
    <w:p w14:paraId="0447AFDD" w14:textId="1E4B97E6" w:rsidR="00AB20B9" w:rsidRPr="0031228B" w:rsidRDefault="00AB20B9" w:rsidP="0031228B">
      <w:pPr>
        <w:pStyle w:val="Heading3"/>
      </w:pPr>
      <w:bookmarkStart w:id="33" w:name="_Toc56603297"/>
      <w:bookmarkStart w:id="34" w:name="_Toc56772232"/>
      <w:bookmarkStart w:id="35" w:name="_Toc86602464"/>
      <w:r w:rsidRPr="0031228B">
        <w:t xml:space="preserve">Indicator </w:t>
      </w:r>
      <w:r w:rsidR="00594771">
        <w:fldChar w:fldCharType="begin"/>
      </w:r>
      <w:r w:rsidR="00594771">
        <w:instrText xml:space="preserve"> SEQ Indicator</w:instrText>
      </w:r>
      <w:r w:rsidR="00594771">
        <w:instrText xml:space="preserve"> \* ARABIC </w:instrText>
      </w:r>
      <w:r w:rsidR="00594771">
        <w:fldChar w:fldCharType="separate"/>
      </w:r>
      <w:r w:rsidR="004132C1">
        <w:rPr>
          <w:noProof/>
        </w:rPr>
        <w:t>6</w:t>
      </w:r>
      <w:r w:rsidR="00594771">
        <w:rPr>
          <w:noProof/>
        </w:rPr>
        <w:fldChar w:fldCharType="end"/>
      </w:r>
      <w:r w:rsidRPr="0031228B">
        <w:t xml:space="preserve"> </w:t>
      </w:r>
      <w:r w:rsidR="00E76BFC" w:rsidRPr="0031228B">
        <w:t>–</w:t>
      </w:r>
      <w:r w:rsidRPr="0031228B">
        <w:t xml:space="preserve"> Serious claims: Percentage involving selected periods of compensation</w:t>
      </w:r>
      <w:r w:rsidR="008E6EF2" w:rsidRPr="0031228B">
        <w:t xml:space="preserve"> (%)</w:t>
      </w:r>
      <w:r w:rsidRPr="0031228B">
        <w:t xml:space="preserve">, </w:t>
      </w:r>
      <w:r w:rsidR="00F869DA" w:rsidRPr="0031228B">
        <w:t>201</w:t>
      </w:r>
      <w:r w:rsidR="005B7D1F">
        <w:t>9</w:t>
      </w:r>
      <w:r w:rsidR="00F869DA" w:rsidRPr="0031228B">
        <w:t>–</w:t>
      </w:r>
      <w:bookmarkEnd w:id="33"/>
      <w:bookmarkEnd w:id="34"/>
      <w:bookmarkEnd w:id="35"/>
      <w:r w:rsidR="005B7D1F">
        <w:t>20</w:t>
      </w:r>
    </w:p>
    <w:tbl>
      <w:tblPr>
        <w:tblStyle w:val="LightShading-Accent2"/>
        <w:tblW w:w="5000" w:type="pct"/>
        <w:tblLook w:val="04A0" w:firstRow="1" w:lastRow="0" w:firstColumn="1" w:lastColumn="0" w:noHBand="0" w:noVBand="1"/>
        <w:tblCaption w:val="Indicator 6 – Serious claims: Percentage involving selected periods of compensation, 2018–19"/>
        <w:tblDescription w:val="This table shows the percentage of serious claims involving five selected periods of compensation, ‘less than 6 week’, ‘6 weeks or more’, ‘12 weeks or more’, ‘26 weeks or more’, or ‘52 weeks or more’ in 2018-19. Refer to body text for more details."/>
      </w:tblPr>
      <w:tblGrid>
        <w:gridCol w:w="2795"/>
        <w:gridCol w:w="1206"/>
        <w:gridCol w:w="1206"/>
        <w:gridCol w:w="1206"/>
        <w:gridCol w:w="1207"/>
        <w:gridCol w:w="1200"/>
      </w:tblGrid>
      <w:tr w:rsidR="00AB20B9" w:rsidRPr="00086AB2" w14:paraId="168ADDCF" w14:textId="77777777" w:rsidTr="0069501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14:paraId="4D326BCE" w14:textId="77777777" w:rsidR="00AB20B9" w:rsidRPr="00086AB2" w:rsidRDefault="00AB20B9" w:rsidP="008659BF">
            <w:pPr>
              <w:spacing w:before="0" w:after="0"/>
              <w:jc w:val="left"/>
              <w:rPr>
                <w:bCs w:val="0"/>
                <w:szCs w:val="20"/>
              </w:rPr>
            </w:pPr>
            <w:r w:rsidRPr="00086AB2">
              <w:rPr>
                <w:bCs w:val="0"/>
                <w:szCs w:val="20"/>
              </w:rPr>
              <w:t>Jurisdiction</w:t>
            </w:r>
          </w:p>
        </w:tc>
        <w:tc>
          <w:tcPr>
            <w:tcW w:w="684" w:type="pct"/>
            <w:vAlign w:val="center"/>
            <w:hideMark/>
          </w:tcPr>
          <w:p w14:paraId="225E925B" w14:textId="77777777" w:rsidR="00AB20B9" w:rsidRPr="00086AB2" w:rsidRDefault="00AB20B9" w:rsidP="008659BF">
            <w:pPr>
              <w:spacing w:before="0" w:after="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less than 6 weeks</w:t>
            </w:r>
          </w:p>
        </w:tc>
        <w:tc>
          <w:tcPr>
            <w:tcW w:w="684" w:type="pct"/>
            <w:vAlign w:val="center"/>
            <w:hideMark/>
          </w:tcPr>
          <w:p w14:paraId="212182B4" w14:textId="77777777" w:rsidR="00AB20B9" w:rsidRPr="00086AB2" w:rsidRDefault="00AB20B9" w:rsidP="008659BF">
            <w:pPr>
              <w:spacing w:before="0" w:after="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6 weeks or more</w:t>
            </w:r>
          </w:p>
        </w:tc>
        <w:tc>
          <w:tcPr>
            <w:tcW w:w="684" w:type="pct"/>
            <w:vAlign w:val="center"/>
            <w:hideMark/>
          </w:tcPr>
          <w:p w14:paraId="1D9FFE79" w14:textId="77777777" w:rsidR="00AB20B9" w:rsidRPr="00086AB2" w:rsidRDefault="00AB20B9" w:rsidP="008659BF">
            <w:pPr>
              <w:spacing w:before="0" w:after="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12 weeks or more</w:t>
            </w:r>
          </w:p>
        </w:tc>
        <w:tc>
          <w:tcPr>
            <w:tcW w:w="684" w:type="pct"/>
            <w:vAlign w:val="center"/>
            <w:hideMark/>
          </w:tcPr>
          <w:p w14:paraId="1DF21B96" w14:textId="77777777" w:rsidR="00AB20B9" w:rsidRPr="00086AB2" w:rsidRDefault="00AB20B9" w:rsidP="008659BF">
            <w:pPr>
              <w:spacing w:before="0" w:after="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26 weeks or more</w:t>
            </w:r>
          </w:p>
        </w:tc>
        <w:tc>
          <w:tcPr>
            <w:tcW w:w="680" w:type="pct"/>
            <w:vAlign w:val="center"/>
            <w:hideMark/>
          </w:tcPr>
          <w:p w14:paraId="6C1902BC" w14:textId="77777777" w:rsidR="00AB20B9" w:rsidRPr="00086AB2" w:rsidRDefault="00AB20B9" w:rsidP="008659BF">
            <w:pPr>
              <w:spacing w:before="0" w:after="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52 weeks or more</w:t>
            </w:r>
          </w:p>
        </w:tc>
      </w:tr>
      <w:tr w:rsidR="006968F4" w:rsidRPr="00086AB2" w14:paraId="4873DADA" w14:textId="77777777" w:rsidTr="00C746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686C1D3F" w14:textId="77777777" w:rsidR="006968F4" w:rsidRPr="00086AB2" w:rsidRDefault="006968F4" w:rsidP="008659BF">
            <w:pPr>
              <w:spacing w:before="0" w:after="0"/>
              <w:rPr>
                <w:color w:val="000000"/>
                <w:szCs w:val="20"/>
              </w:rPr>
            </w:pPr>
            <w:r w:rsidRPr="00086AB2">
              <w:rPr>
                <w:color w:val="000000"/>
                <w:szCs w:val="20"/>
              </w:rPr>
              <w:t>New South Wales</w:t>
            </w:r>
          </w:p>
        </w:tc>
        <w:tc>
          <w:tcPr>
            <w:tcW w:w="0" w:type="pct"/>
            <w:tcBorders>
              <w:top w:val="single" w:sz="4" w:space="0" w:color="FFFFFF"/>
              <w:left w:val="single" w:sz="4" w:space="0" w:color="FFFFFF"/>
              <w:bottom w:val="single" w:sz="4" w:space="0" w:color="FFFFFF"/>
              <w:right w:val="single" w:sz="4" w:space="0" w:color="FFFFFF"/>
            </w:tcBorders>
            <w:shd w:val="clear" w:color="000000" w:fill="EFD3D2"/>
            <w:noWrap/>
            <w:hideMark/>
          </w:tcPr>
          <w:p w14:paraId="16AAEBEE" w14:textId="413D6E0C"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52</w:t>
            </w:r>
          </w:p>
        </w:tc>
        <w:tc>
          <w:tcPr>
            <w:tcW w:w="0" w:type="pct"/>
            <w:tcBorders>
              <w:top w:val="single" w:sz="4" w:space="0" w:color="FFFFFF"/>
              <w:left w:val="nil"/>
              <w:bottom w:val="single" w:sz="4" w:space="0" w:color="FFFFFF"/>
              <w:right w:val="single" w:sz="4" w:space="0" w:color="FFFFFF"/>
            </w:tcBorders>
            <w:shd w:val="clear" w:color="000000" w:fill="EFD3D2"/>
            <w:noWrap/>
            <w:hideMark/>
          </w:tcPr>
          <w:p w14:paraId="3629CE79" w14:textId="6CB39E98"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48</w:t>
            </w:r>
          </w:p>
        </w:tc>
        <w:tc>
          <w:tcPr>
            <w:tcW w:w="0" w:type="pct"/>
            <w:tcBorders>
              <w:top w:val="single" w:sz="4" w:space="0" w:color="FFFFFF"/>
              <w:left w:val="nil"/>
              <w:bottom w:val="single" w:sz="4" w:space="0" w:color="FFFFFF"/>
              <w:right w:val="single" w:sz="4" w:space="0" w:color="FFFFFF"/>
            </w:tcBorders>
            <w:shd w:val="clear" w:color="000000" w:fill="EFD3D2"/>
            <w:noWrap/>
            <w:hideMark/>
          </w:tcPr>
          <w:p w14:paraId="7CE2B698" w14:textId="41D81E10"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33</w:t>
            </w:r>
          </w:p>
        </w:tc>
        <w:tc>
          <w:tcPr>
            <w:tcW w:w="0" w:type="pct"/>
            <w:tcBorders>
              <w:top w:val="single" w:sz="4" w:space="0" w:color="FFFFFF"/>
              <w:left w:val="nil"/>
              <w:bottom w:val="single" w:sz="4" w:space="0" w:color="FFFFFF"/>
              <w:right w:val="single" w:sz="4" w:space="0" w:color="FFFFFF"/>
            </w:tcBorders>
            <w:shd w:val="clear" w:color="000000" w:fill="EFD3D2"/>
            <w:noWrap/>
            <w:hideMark/>
          </w:tcPr>
          <w:p w14:paraId="2083DFBB" w14:textId="1B061492"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21</w:t>
            </w:r>
          </w:p>
        </w:tc>
        <w:tc>
          <w:tcPr>
            <w:tcW w:w="0" w:type="pct"/>
            <w:tcBorders>
              <w:top w:val="single" w:sz="4" w:space="0" w:color="FFFFFF"/>
              <w:left w:val="nil"/>
              <w:bottom w:val="single" w:sz="4" w:space="0" w:color="FFFFFF"/>
              <w:right w:val="single" w:sz="4" w:space="0" w:color="FFFFFF"/>
            </w:tcBorders>
            <w:shd w:val="clear" w:color="000000" w:fill="EFD3D2"/>
            <w:noWrap/>
            <w:hideMark/>
          </w:tcPr>
          <w:p w14:paraId="7E2ABBCE" w14:textId="534FE6D3"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14</w:t>
            </w:r>
          </w:p>
        </w:tc>
      </w:tr>
      <w:tr w:rsidR="006968F4" w:rsidRPr="00086AB2" w14:paraId="40A72C89" w14:textId="77777777" w:rsidTr="00C746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1F9FB158" w14:textId="77777777" w:rsidR="006968F4" w:rsidRPr="00086AB2" w:rsidRDefault="006968F4" w:rsidP="008659BF">
            <w:pPr>
              <w:spacing w:before="0" w:after="0"/>
              <w:rPr>
                <w:color w:val="000000"/>
                <w:szCs w:val="20"/>
              </w:rPr>
            </w:pPr>
            <w:r w:rsidRPr="00086AB2">
              <w:rPr>
                <w:color w:val="000000"/>
                <w:szCs w:val="20"/>
              </w:rPr>
              <w:t>Victoria</w:t>
            </w:r>
          </w:p>
        </w:tc>
        <w:tc>
          <w:tcPr>
            <w:tcW w:w="0" w:type="pct"/>
            <w:tcBorders>
              <w:top w:val="nil"/>
              <w:left w:val="single" w:sz="4" w:space="0" w:color="FFFFFF"/>
              <w:bottom w:val="single" w:sz="4" w:space="0" w:color="FFFFFF"/>
              <w:right w:val="single" w:sz="4" w:space="0" w:color="FFFFFF"/>
            </w:tcBorders>
            <w:shd w:val="clear" w:color="000000" w:fill="FFFFFF"/>
            <w:noWrap/>
            <w:hideMark/>
          </w:tcPr>
          <w:p w14:paraId="4C632FC5" w14:textId="3B5718ED"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34</w:t>
            </w:r>
          </w:p>
        </w:tc>
        <w:tc>
          <w:tcPr>
            <w:tcW w:w="0" w:type="pct"/>
            <w:tcBorders>
              <w:top w:val="nil"/>
              <w:left w:val="nil"/>
              <w:bottom w:val="single" w:sz="4" w:space="0" w:color="FFFFFF"/>
              <w:right w:val="single" w:sz="4" w:space="0" w:color="FFFFFF"/>
            </w:tcBorders>
            <w:shd w:val="clear" w:color="000000" w:fill="FFFFFF"/>
            <w:noWrap/>
            <w:hideMark/>
          </w:tcPr>
          <w:p w14:paraId="142C7841" w14:textId="176401A2"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66</w:t>
            </w:r>
          </w:p>
        </w:tc>
        <w:tc>
          <w:tcPr>
            <w:tcW w:w="0" w:type="pct"/>
            <w:tcBorders>
              <w:top w:val="nil"/>
              <w:left w:val="nil"/>
              <w:bottom w:val="single" w:sz="4" w:space="0" w:color="FFFFFF"/>
              <w:right w:val="single" w:sz="4" w:space="0" w:color="FFFFFF"/>
            </w:tcBorders>
            <w:shd w:val="clear" w:color="000000" w:fill="FFFFFF"/>
            <w:noWrap/>
            <w:hideMark/>
          </w:tcPr>
          <w:p w14:paraId="090E075F" w14:textId="729F6CE7"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51</w:t>
            </w:r>
          </w:p>
        </w:tc>
        <w:tc>
          <w:tcPr>
            <w:tcW w:w="0" w:type="pct"/>
            <w:tcBorders>
              <w:top w:val="nil"/>
              <w:left w:val="nil"/>
              <w:bottom w:val="single" w:sz="4" w:space="0" w:color="FFFFFF"/>
              <w:right w:val="single" w:sz="4" w:space="0" w:color="FFFFFF"/>
            </w:tcBorders>
            <w:shd w:val="clear" w:color="000000" w:fill="FFFFFF"/>
            <w:noWrap/>
            <w:hideMark/>
          </w:tcPr>
          <w:p w14:paraId="7A3D6C00" w14:textId="6921DDF0"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36</w:t>
            </w:r>
          </w:p>
        </w:tc>
        <w:tc>
          <w:tcPr>
            <w:tcW w:w="0" w:type="pct"/>
            <w:tcBorders>
              <w:top w:val="nil"/>
              <w:left w:val="nil"/>
              <w:bottom w:val="single" w:sz="4" w:space="0" w:color="FFFFFF"/>
              <w:right w:val="single" w:sz="4" w:space="0" w:color="FFFFFF"/>
            </w:tcBorders>
            <w:shd w:val="clear" w:color="000000" w:fill="FFFFFF"/>
            <w:noWrap/>
            <w:hideMark/>
          </w:tcPr>
          <w:p w14:paraId="21652773" w14:textId="534C427D"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25</w:t>
            </w:r>
          </w:p>
        </w:tc>
      </w:tr>
      <w:tr w:rsidR="006968F4" w:rsidRPr="00086AB2" w14:paraId="3B797EBD" w14:textId="77777777" w:rsidTr="00C746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686461BA" w14:textId="77777777" w:rsidR="006968F4" w:rsidRPr="00086AB2" w:rsidRDefault="006968F4" w:rsidP="008659BF">
            <w:pPr>
              <w:spacing w:before="0" w:after="0"/>
              <w:rPr>
                <w:color w:val="000000"/>
                <w:szCs w:val="20"/>
              </w:rPr>
            </w:pPr>
            <w:r w:rsidRPr="00086AB2">
              <w:rPr>
                <w:color w:val="000000"/>
                <w:szCs w:val="20"/>
              </w:rPr>
              <w:t>Queensland</w:t>
            </w:r>
          </w:p>
        </w:tc>
        <w:tc>
          <w:tcPr>
            <w:tcW w:w="0" w:type="pct"/>
            <w:tcBorders>
              <w:top w:val="nil"/>
              <w:left w:val="single" w:sz="4" w:space="0" w:color="FFFFFF"/>
              <w:bottom w:val="single" w:sz="4" w:space="0" w:color="FFFFFF"/>
              <w:right w:val="single" w:sz="4" w:space="0" w:color="FFFFFF"/>
            </w:tcBorders>
            <w:shd w:val="clear" w:color="000000" w:fill="EFD3D2"/>
            <w:noWrap/>
          </w:tcPr>
          <w:p w14:paraId="6E06143A" w14:textId="2F9F8A61"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49</w:t>
            </w:r>
          </w:p>
        </w:tc>
        <w:tc>
          <w:tcPr>
            <w:tcW w:w="0" w:type="pct"/>
            <w:tcBorders>
              <w:top w:val="nil"/>
              <w:left w:val="nil"/>
              <w:bottom w:val="single" w:sz="4" w:space="0" w:color="FFFFFF"/>
              <w:right w:val="single" w:sz="4" w:space="0" w:color="FFFFFF"/>
            </w:tcBorders>
            <w:shd w:val="clear" w:color="000000" w:fill="EFD3D2"/>
            <w:noWrap/>
          </w:tcPr>
          <w:p w14:paraId="7A42F857" w14:textId="168C8455"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51</w:t>
            </w:r>
          </w:p>
        </w:tc>
        <w:tc>
          <w:tcPr>
            <w:tcW w:w="0" w:type="pct"/>
            <w:tcBorders>
              <w:top w:val="nil"/>
              <w:left w:val="nil"/>
              <w:bottom w:val="single" w:sz="4" w:space="0" w:color="FFFFFF"/>
              <w:right w:val="single" w:sz="4" w:space="0" w:color="FFFFFF"/>
            </w:tcBorders>
            <w:shd w:val="clear" w:color="000000" w:fill="EFD3D2"/>
            <w:noWrap/>
          </w:tcPr>
          <w:p w14:paraId="763E2ACC" w14:textId="27BD633C"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34</w:t>
            </w:r>
          </w:p>
        </w:tc>
        <w:tc>
          <w:tcPr>
            <w:tcW w:w="0" w:type="pct"/>
            <w:tcBorders>
              <w:top w:val="nil"/>
              <w:left w:val="nil"/>
              <w:bottom w:val="single" w:sz="4" w:space="0" w:color="FFFFFF"/>
              <w:right w:val="single" w:sz="4" w:space="0" w:color="FFFFFF"/>
            </w:tcBorders>
            <w:shd w:val="clear" w:color="000000" w:fill="EFD3D2"/>
            <w:noWrap/>
          </w:tcPr>
          <w:p w14:paraId="49FCC46D" w14:textId="2794AAAC"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18</w:t>
            </w:r>
          </w:p>
        </w:tc>
        <w:tc>
          <w:tcPr>
            <w:tcW w:w="0" w:type="pct"/>
            <w:tcBorders>
              <w:top w:val="nil"/>
              <w:left w:val="nil"/>
              <w:bottom w:val="single" w:sz="4" w:space="0" w:color="FFFFFF"/>
              <w:right w:val="single" w:sz="4" w:space="0" w:color="FFFFFF"/>
            </w:tcBorders>
            <w:shd w:val="clear" w:color="000000" w:fill="EFD3D2"/>
            <w:noWrap/>
          </w:tcPr>
          <w:p w14:paraId="01086E3B" w14:textId="0D6452F7"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8</w:t>
            </w:r>
          </w:p>
        </w:tc>
      </w:tr>
      <w:tr w:rsidR="006968F4" w:rsidRPr="00086AB2" w14:paraId="43870D6F" w14:textId="77777777" w:rsidTr="00C746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3EFFE012" w14:textId="77777777" w:rsidR="006968F4" w:rsidRPr="00086AB2" w:rsidRDefault="006968F4" w:rsidP="008659BF">
            <w:pPr>
              <w:spacing w:before="0" w:after="0"/>
              <w:rPr>
                <w:color w:val="000000"/>
                <w:szCs w:val="20"/>
              </w:rPr>
            </w:pPr>
            <w:r w:rsidRPr="00086AB2">
              <w:rPr>
                <w:color w:val="000000"/>
                <w:szCs w:val="20"/>
              </w:rPr>
              <w:t>South Australia</w:t>
            </w:r>
          </w:p>
        </w:tc>
        <w:tc>
          <w:tcPr>
            <w:tcW w:w="0" w:type="pct"/>
            <w:tcBorders>
              <w:top w:val="nil"/>
              <w:left w:val="single" w:sz="4" w:space="0" w:color="FFFFFF"/>
              <w:bottom w:val="single" w:sz="4" w:space="0" w:color="FFFFFF"/>
              <w:right w:val="single" w:sz="4" w:space="0" w:color="FFFFFF"/>
            </w:tcBorders>
            <w:shd w:val="clear" w:color="000000" w:fill="FFFFFF"/>
            <w:noWrap/>
          </w:tcPr>
          <w:p w14:paraId="7943D572" w14:textId="5CCF9656"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42</w:t>
            </w:r>
          </w:p>
        </w:tc>
        <w:tc>
          <w:tcPr>
            <w:tcW w:w="0" w:type="pct"/>
            <w:tcBorders>
              <w:top w:val="nil"/>
              <w:left w:val="nil"/>
              <w:bottom w:val="single" w:sz="4" w:space="0" w:color="FFFFFF"/>
              <w:right w:val="single" w:sz="4" w:space="0" w:color="FFFFFF"/>
            </w:tcBorders>
            <w:shd w:val="clear" w:color="000000" w:fill="FFFFFF"/>
            <w:noWrap/>
          </w:tcPr>
          <w:p w14:paraId="3A607E7C" w14:textId="22C73B75"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58</w:t>
            </w:r>
          </w:p>
        </w:tc>
        <w:tc>
          <w:tcPr>
            <w:tcW w:w="0" w:type="pct"/>
            <w:tcBorders>
              <w:top w:val="nil"/>
              <w:left w:val="nil"/>
              <w:bottom w:val="single" w:sz="4" w:space="0" w:color="FFFFFF"/>
              <w:right w:val="single" w:sz="4" w:space="0" w:color="FFFFFF"/>
            </w:tcBorders>
            <w:shd w:val="clear" w:color="000000" w:fill="FFFFFF"/>
            <w:noWrap/>
          </w:tcPr>
          <w:p w14:paraId="22E12F7E" w14:textId="5040C5A7"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41</w:t>
            </w:r>
          </w:p>
        </w:tc>
        <w:tc>
          <w:tcPr>
            <w:tcW w:w="0" w:type="pct"/>
            <w:tcBorders>
              <w:top w:val="nil"/>
              <w:left w:val="nil"/>
              <w:bottom w:val="single" w:sz="4" w:space="0" w:color="FFFFFF"/>
              <w:right w:val="single" w:sz="4" w:space="0" w:color="FFFFFF"/>
            </w:tcBorders>
            <w:shd w:val="clear" w:color="000000" w:fill="FFFFFF"/>
            <w:noWrap/>
          </w:tcPr>
          <w:p w14:paraId="33E7C373" w14:textId="5FEB82D0"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25</w:t>
            </w:r>
          </w:p>
        </w:tc>
        <w:tc>
          <w:tcPr>
            <w:tcW w:w="0" w:type="pct"/>
            <w:tcBorders>
              <w:top w:val="nil"/>
              <w:left w:val="nil"/>
              <w:bottom w:val="single" w:sz="4" w:space="0" w:color="FFFFFF"/>
              <w:right w:val="single" w:sz="4" w:space="0" w:color="FFFFFF"/>
            </w:tcBorders>
            <w:shd w:val="clear" w:color="000000" w:fill="FFFFFF"/>
            <w:noWrap/>
          </w:tcPr>
          <w:p w14:paraId="5D41E1FA" w14:textId="69065C06"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13</w:t>
            </w:r>
          </w:p>
        </w:tc>
      </w:tr>
      <w:tr w:rsidR="006968F4" w:rsidRPr="00086AB2" w14:paraId="158C6C81" w14:textId="77777777" w:rsidTr="00C746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2F1B3E75" w14:textId="77777777" w:rsidR="006968F4" w:rsidRPr="00086AB2" w:rsidRDefault="006968F4" w:rsidP="008659BF">
            <w:pPr>
              <w:spacing w:before="0" w:after="0"/>
              <w:rPr>
                <w:color w:val="000000"/>
                <w:szCs w:val="20"/>
              </w:rPr>
            </w:pPr>
            <w:r w:rsidRPr="00086AB2">
              <w:rPr>
                <w:color w:val="000000"/>
                <w:szCs w:val="20"/>
              </w:rPr>
              <w:t>Western Australia</w:t>
            </w:r>
          </w:p>
        </w:tc>
        <w:tc>
          <w:tcPr>
            <w:tcW w:w="0" w:type="pct"/>
            <w:tcBorders>
              <w:top w:val="nil"/>
              <w:left w:val="single" w:sz="4" w:space="0" w:color="FFFFFF"/>
              <w:bottom w:val="single" w:sz="4" w:space="0" w:color="FFFFFF"/>
              <w:right w:val="single" w:sz="4" w:space="0" w:color="FFFFFF"/>
            </w:tcBorders>
            <w:shd w:val="clear" w:color="000000" w:fill="EFD3D2"/>
            <w:noWrap/>
          </w:tcPr>
          <w:p w14:paraId="4337CDE5" w14:textId="340532B0"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39</w:t>
            </w:r>
          </w:p>
        </w:tc>
        <w:tc>
          <w:tcPr>
            <w:tcW w:w="0" w:type="pct"/>
            <w:tcBorders>
              <w:top w:val="nil"/>
              <w:left w:val="nil"/>
              <w:bottom w:val="single" w:sz="4" w:space="0" w:color="FFFFFF"/>
              <w:right w:val="single" w:sz="4" w:space="0" w:color="FFFFFF"/>
            </w:tcBorders>
            <w:shd w:val="clear" w:color="000000" w:fill="EFD3D2"/>
            <w:noWrap/>
          </w:tcPr>
          <w:p w14:paraId="4EE2974B" w14:textId="467661FA"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61</w:t>
            </w:r>
          </w:p>
        </w:tc>
        <w:tc>
          <w:tcPr>
            <w:tcW w:w="0" w:type="pct"/>
            <w:tcBorders>
              <w:top w:val="nil"/>
              <w:left w:val="nil"/>
              <w:bottom w:val="single" w:sz="4" w:space="0" w:color="FFFFFF"/>
              <w:right w:val="single" w:sz="4" w:space="0" w:color="FFFFFF"/>
            </w:tcBorders>
            <w:shd w:val="clear" w:color="000000" w:fill="EFD3D2"/>
            <w:noWrap/>
          </w:tcPr>
          <w:p w14:paraId="65D2EE90" w14:textId="46999E12"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44</w:t>
            </w:r>
          </w:p>
        </w:tc>
        <w:tc>
          <w:tcPr>
            <w:tcW w:w="0" w:type="pct"/>
            <w:tcBorders>
              <w:top w:val="nil"/>
              <w:left w:val="nil"/>
              <w:bottom w:val="single" w:sz="4" w:space="0" w:color="FFFFFF"/>
              <w:right w:val="single" w:sz="4" w:space="0" w:color="FFFFFF"/>
            </w:tcBorders>
            <w:shd w:val="clear" w:color="000000" w:fill="EFD3D2"/>
            <w:noWrap/>
          </w:tcPr>
          <w:p w14:paraId="6816EDBD" w14:textId="0E51E1BF"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27</w:t>
            </w:r>
          </w:p>
        </w:tc>
        <w:tc>
          <w:tcPr>
            <w:tcW w:w="0" w:type="pct"/>
            <w:tcBorders>
              <w:top w:val="nil"/>
              <w:left w:val="nil"/>
              <w:bottom w:val="single" w:sz="4" w:space="0" w:color="FFFFFF"/>
              <w:right w:val="single" w:sz="4" w:space="0" w:color="FFFFFF"/>
            </w:tcBorders>
            <w:shd w:val="clear" w:color="000000" w:fill="EFD3D2"/>
            <w:noWrap/>
          </w:tcPr>
          <w:p w14:paraId="52AB6D49" w14:textId="764E219E"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14</w:t>
            </w:r>
          </w:p>
        </w:tc>
      </w:tr>
      <w:tr w:rsidR="006968F4" w:rsidRPr="00086AB2" w14:paraId="20962093" w14:textId="77777777" w:rsidTr="00C746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472B4251" w14:textId="77777777" w:rsidR="006968F4" w:rsidRPr="00086AB2" w:rsidRDefault="006968F4" w:rsidP="008659BF">
            <w:pPr>
              <w:spacing w:before="0" w:after="0"/>
              <w:rPr>
                <w:color w:val="000000"/>
                <w:szCs w:val="20"/>
              </w:rPr>
            </w:pPr>
            <w:r w:rsidRPr="00086AB2">
              <w:rPr>
                <w:color w:val="000000"/>
                <w:szCs w:val="20"/>
              </w:rPr>
              <w:t>Tasmania</w:t>
            </w:r>
          </w:p>
        </w:tc>
        <w:tc>
          <w:tcPr>
            <w:tcW w:w="0" w:type="pct"/>
            <w:tcBorders>
              <w:top w:val="nil"/>
              <w:left w:val="single" w:sz="4" w:space="0" w:color="FFFFFF"/>
              <w:bottom w:val="single" w:sz="4" w:space="0" w:color="FFFFFF"/>
              <w:right w:val="single" w:sz="4" w:space="0" w:color="FFFFFF"/>
            </w:tcBorders>
            <w:shd w:val="clear" w:color="000000" w:fill="FFFFFF"/>
            <w:noWrap/>
          </w:tcPr>
          <w:p w14:paraId="619BF2C4" w14:textId="2E6CA44F"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56</w:t>
            </w:r>
          </w:p>
        </w:tc>
        <w:tc>
          <w:tcPr>
            <w:tcW w:w="0" w:type="pct"/>
            <w:tcBorders>
              <w:top w:val="nil"/>
              <w:left w:val="nil"/>
              <w:bottom w:val="single" w:sz="4" w:space="0" w:color="FFFFFF"/>
              <w:right w:val="single" w:sz="4" w:space="0" w:color="FFFFFF"/>
            </w:tcBorders>
            <w:shd w:val="clear" w:color="000000" w:fill="FFFFFF"/>
            <w:noWrap/>
          </w:tcPr>
          <w:p w14:paraId="36BD4523" w14:textId="18E8328F"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44</w:t>
            </w:r>
          </w:p>
        </w:tc>
        <w:tc>
          <w:tcPr>
            <w:tcW w:w="0" w:type="pct"/>
            <w:tcBorders>
              <w:top w:val="nil"/>
              <w:left w:val="nil"/>
              <w:bottom w:val="single" w:sz="4" w:space="0" w:color="FFFFFF"/>
              <w:right w:val="single" w:sz="4" w:space="0" w:color="FFFFFF"/>
            </w:tcBorders>
            <w:shd w:val="clear" w:color="000000" w:fill="FFFFFF"/>
            <w:noWrap/>
          </w:tcPr>
          <w:p w14:paraId="161213D4" w14:textId="1EE852D8"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26</w:t>
            </w:r>
          </w:p>
        </w:tc>
        <w:tc>
          <w:tcPr>
            <w:tcW w:w="0" w:type="pct"/>
            <w:tcBorders>
              <w:top w:val="nil"/>
              <w:left w:val="nil"/>
              <w:bottom w:val="single" w:sz="4" w:space="0" w:color="FFFFFF"/>
              <w:right w:val="single" w:sz="4" w:space="0" w:color="FFFFFF"/>
            </w:tcBorders>
            <w:shd w:val="clear" w:color="000000" w:fill="FFFFFF"/>
            <w:noWrap/>
          </w:tcPr>
          <w:p w14:paraId="4E8F63C3" w14:textId="51BEF977"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13</w:t>
            </w:r>
          </w:p>
        </w:tc>
        <w:tc>
          <w:tcPr>
            <w:tcW w:w="0" w:type="pct"/>
            <w:tcBorders>
              <w:top w:val="nil"/>
              <w:left w:val="nil"/>
              <w:bottom w:val="single" w:sz="4" w:space="0" w:color="FFFFFF"/>
              <w:right w:val="single" w:sz="4" w:space="0" w:color="FFFFFF"/>
            </w:tcBorders>
            <w:shd w:val="clear" w:color="000000" w:fill="FFFFFF"/>
            <w:noWrap/>
          </w:tcPr>
          <w:p w14:paraId="6DF30F12" w14:textId="267531A2"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7</w:t>
            </w:r>
          </w:p>
        </w:tc>
      </w:tr>
      <w:tr w:rsidR="006968F4" w:rsidRPr="00086AB2" w14:paraId="67231CCF" w14:textId="77777777" w:rsidTr="00C746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3A6C64C5" w14:textId="77777777" w:rsidR="006968F4" w:rsidRPr="00086AB2" w:rsidRDefault="006968F4" w:rsidP="008659BF">
            <w:pPr>
              <w:spacing w:before="0" w:after="0"/>
              <w:rPr>
                <w:color w:val="000000"/>
                <w:szCs w:val="20"/>
              </w:rPr>
            </w:pPr>
            <w:r w:rsidRPr="00086AB2">
              <w:rPr>
                <w:color w:val="000000"/>
                <w:szCs w:val="20"/>
              </w:rPr>
              <w:t>Northern Territory</w:t>
            </w:r>
          </w:p>
        </w:tc>
        <w:tc>
          <w:tcPr>
            <w:tcW w:w="0" w:type="pct"/>
            <w:tcBorders>
              <w:top w:val="nil"/>
              <w:left w:val="single" w:sz="4" w:space="0" w:color="FFFFFF"/>
              <w:bottom w:val="single" w:sz="4" w:space="0" w:color="FFFFFF"/>
              <w:right w:val="single" w:sz="4" w:space="0" w:color="FFFFFF"/>
            </w:tcBorders>
            <w:shd w:val="clear" w:color="000000" w:fill="EFD3D2"/>
            <w:noWrap/>
          </w:tcPr>
          <w:p w14:paraId="6B62AA56" w14:textId="78FDE0CD"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50</w:t>
            </w:r>
          </w:p>
        </w:tc>
        <w:tc>
          <w:tcPr>
            <w:tcW w:w="0" w:type="pct"/>
            <w:tcBorders>
              <w:top w:val="nil"/>
              <w:left w:val="nil"/>
              <w:bottom w:val="single" w:sz="4" w:space="0" w:color="FFFFFF"/>
              <w:right w:val="single" w:sz="4" w:space="0" w:color="FFFFFF"/>
            </w:tcBorders>
            <w:shd w:val="clear" w:color="000000" w:fill="EFD3D2"/>
            <w:noWrap/>
          </w:tcPr>
          <w:p w14:paraId="432D9E1A" w14:textId="3EA60738"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50</w:t>
            </w:r>
          </w:p>
        </w:tc>
        <w:tc>
          <w:tcPr>
            <w:tcW w:w="0" w:type="pct"/>
            <w:tcBorders>
              <w:top w:val="nil"/>
              <w:left w:val="nil"/>
              <w:bottom w:val="single" w:sz="4" w:space="0" w:color="FFFFFF"/>
              <w:right w:val="single" w:sz="4" w:space="0" w:color="FFFFFF"/>
            </w:tcBorders>
            <w:shd w:val="clear" w:color="000000" w:fill="EFD3D2"/>
            <w:noWrap/>
          </w:tcPr>
          <w:p w14:paraId="481724D6" w14:textId="026FB4CE"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33</w:t>
            </w:r>
          </w:p>
        </w:tc>
        <w:tc>
          <w:tcPr>
            <w:tcW w:w="0" w:type="pct"/>
            <w:tcBorders>
              <w:top w:val="nil"/>
              <w:left w:val="nil"/>
              <w:bottom w:val="single" w:sz="4" w:space="0" w:color="FFFFFF"/>
              <w:right w:val="single" w:sz="4" w:space="0" w:color="FFFFFF"/>
            </w:tcBorders>
            <w:shd w:val="clear" w:color="000000" w:fill="EFD3D2"/>
            <w:noWrap/>
          </w:tcPr>
          <w:p w14:paraId="3AECF3F8" w14:textId="127804ED"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16</w:t>
            </w:r>
          </w:p>
        </w:tc>
        <w:tc>
          <w:tcPr>
            <w:tcW w:w="0" w:type="pct"/>
            <w:tcBorders>
              <w:top w:val="nil"/>
              <w:left w:val="nil"/>
              <w:bottom w:val="single" w:sz="4" w:space="0" w:color="FFFFFF"/>
              <w:right w:val="single" w:sz="4" w:space="0" w:color="FFFFFF"/>
            </w:tcBorders>
            <w:shd w:val="clear" w:color="000000" w:fill="EFD3D2"/>
            <w:noWrap/>
          </w:tcPr>
          <w:p w14:paraId="2F583CD9" w14:textId="2161B385"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6</w:t>
            </w:r>
          </w:p>
        </w:tc>
      </w:tr>
      <w:tr w:rsidR="006968F4" w:rsidRPr="00086AB2" w14:paraId="4DACAA9C" w14:textId="77777777" w:rsidTr="00C746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49151215" w14:textId="77777777" w:rsidR="006968F4" w:rsidRPr="00086AB2" w:rsidRDefault="006968F4" w:rsidP="008659BF">
            <w:pPr>
              <w:spacing w:before="0" w:after="0"/>
              <w:rPr>
                <w:color w:val="000000"/>
                <w:szCs w:val="20"/>
              </w:rPr>
            </w:pPr>
            <w:r w:rsidRPr="00086AB2">
              <w:rPr>
                <w:color w:val="000000"/>
                <w:szCs w:val="20"/>
              </w:rPr>
              <w:t>Australian Capital Territory</w:t>
            </w:r>
          </w:p>
        </w:tc>
        <w:tc>
          <w:tcPr>
            <w:tcW w:w="0" w:type="pct"/>
            <w:tcBorders>
              <w:top w:val="nil"/>
              <w:left w:val="single" w:sz="4" w:space="0" w:color="FFFFFF"/>
              <w:bottom w:val="single" w:sz="4" w:space="0" w:color="FFFFFF"/>
              <w:right w:val="single" w:sz="4" w:space="0" w:color="FFFFFF"/>
            </w:tcBorders>
            <w:shd w:val="clear" w:color="000000" w:fill="FFFFFF"/>
            <w:noWrap/>
          </w:tcPr>
          <w:p w14:paraId="48638426" w14:textId="3C30C15F"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45</w:t>
            </w:r>
          </w:p>
        </w:tc>
        <w:tc>
          <w:tcPr>
            <w:tcW w:w="0" w:type="pct"/>
            <w:tcBorders>
              <w:top w:val="nil"/>
              <w:left w:val="nil"/>
              <w:bottom w:val="single" w:sz="4" w:space="0" w:color="FFFFFF"/>
              <w:right w:val="single" w:sz="4" w:space="0" w:color="FFFFFF"/>
            </w:tcBorders>
            <w:shd w:val="clear" w:color="000000" w:fill="FFFFFF"/>
            <w:noWrap/>
          </w:tcPr>
          <w:p w14:paraId="2CD17B73" w14:textId="35771B00"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55</w:t>
            </w:r>
          </w:p>
        </w:tc>
        <w:tc>
          <w:tcPr>
            <w:tcW w:w="0" w:type="pct"/>
            <w:tcBorders>
              <w:top w:val="nil"/>
              <w:left w:val="nil"/>
              <w:bottom w:val="single" w:sz="4" w:space="0" w:color="FFFFFF"/>
              <w:right w:val="single" w:sz="4" w:space="0" w:color="FFFFFF"/>
            </w:tcBorders>
            <w:shd w:val="clear" w:color="000000" w:fill="FFFFFF"/>
            <w:noWrap/>
          </w:tcPr>
          <w:p w14:paraId="7B79B5DA" w14:textId="35539F66"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36</w:t>
            </w:r>
          </w:p>
        </w:tc>
        <w:tc>
          <w:tcPr>
            <w:tcW w:w="0" w:type="pct"/>
            <w:tcBorders>
              <w:top w:val="nil"/>
              <w:left w:val="nil"/>
              <w:bottom w:val="single" w:sz="4" w:space="0" w:color="FFFFFF"/>
              <w:right w:val="single" w:sz="4" w:space="0" w:color="FFFFFF"/>
            </w:tcBorders>
            <w:shd w:val="clear" w:color="000000" w:fill="FFFFFF"/>
            <w:noWrap/>
          </w:tcPr>
          <w:p w14:paraId="07426C8D" w14:textId="6416E212"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20</w:t>
            </w:r>
          </w:p>
        </w:tc>
        <w:tc>
          <w:tcPr>
            <w:tcW w:w="0" w:type="pct"/>
            <w:tcBorders>
              <w:top w:val="nil"/>
              <w:left w:val="nil"/>
              <w:bottom w:val="single" w:sz="4" w:space="0" w:color="FFFFFF"/>
              <w:right w:val="single" w:sz="4" w:space="0" w:color="FFFFFF"/>
            </w:tcBorders>
            <w:shd w:val="clear" w:color="000000" w:fill="FFFFFF"/>
            <w:noWrap/>
          </w:tcPr>
          <w:p w14:paraId="1A4B168C" w14:textId="5CEBBA75"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10</w:t>
            </w:r>
          </w:p>
        </w:tc>
      </w:tr>
      <w:tr w:rsidR="006968F4" w:rsidRPr="00086AB2" w14:paraId="4221FFF8" w14:textId="77777777" w:rsidTr="00C746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741A13E3" w14:textId="77777777" w:rsidR="006968F4" w:rsidRPr="00086AB2" w:rsidRDefault="006968F4" w:rsidP="008659BF">
            <w:pPr>
              <w:spacing w:before="0" w:after="0"/>
              <w:rPr>
                <w:color w:val="000000"/>
                <w:szCs w:val="20"/>
              </w:rPr>
            </w:pPr>
            <w:r w:rsidRPr="00086AB2">
              <w:rPr>
                <w:color w:val="000000"/>
                <w:szCs w:val="20"/>
              </w:rPr>
              <w:t>Australian Government</w:t>
            </w:r>
          </w:p>
        </w:tc>
        <w:tc>
          <w:tcPr>
            <w:tcW w:w="0" w:type="pct"/>
            <w:tcBorders>
              <w:top w:val="nil"/>
              <w:left w:val="single" w:sz="4" w:space="0" w:color="FFFFFF"/>
              <w:bottom w:val="single" w:sz="4" w:space="0" w:color="FFFFFF"/>
              <w:right w:val="single" w:sz="4" w:space="0" w:color="FFFFFF"/>
            </w:tcBorders>
            <w:shd w:val="clear" w:color="000000" w:fill="EFD3D2"/>
            <w:noWrap/>
          </w:tcPr>
          <w:p w14:paraId="2779D6EA" w14:textId="5A5D0640"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44</w:t>
            </w:r>
          </w:p>
        </w:tc>
        <w:tc>
          <w:tcPr>
            <w:tcW w:w="0" w:type="pct"/>
            <w:tcBorders>
              <w:top w:val="nil"/>
              <w:left w:val="nil"/>
              <w:bottom w:val="single" w:sz="4" w:space="0" w:color="FFFFFF"/>
              <w:right w:val="single" w:sz="4" w:space="0" w:color="FFFFFF"/>
            </w:tcBorders>
            <w:shd w:val="clear" w:color="000000" w:fill="EFD3D2"/>
            <w:noWrap/>
          </w:tcPr>
          <w:p w14:paraId="083694C5" w14:textId="3DC5A6BB"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56</w:t>
            </w:r>
          </w:p>
        </w:tc>
        <w:tc>
          <w:tcPr>
            <w:tcW w:w="0" w:type="pct"/>
            <w:tcBorders>
              <w:top w:val="nil"/>
              <w:left w:val="nil"/>
              <w:bottom w:val="single" w:sz="4" w:space="0" w:color="FFFFFF"/>
              <w:right w:val="single" w:sz="4" w:space="0" w:color="FFFFFF"/>
            </w:tcBorders>
            <w:shd w:val="clear" w:color="000000" w:fill="EFD3D2"/>
            <w:noWrap/>
          </w:tcPr>
          <w:p w14:paraId="30F6012A" w14:textId="629A39D6"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38</w:t>
            </w:r>
          </w:p>
        </w:tc>
        <w:tc>
          <w:tcPr>
            <w:tcW w:w="0" w:type="pct"/>
            <w:tcBorders>
              <w:top w:val="nil"/>
              <w:left w:val="nil"/>
              <w:bottom w:val="single" w:sz="4" w:space="0" w:color="FFFFFF"/>
              <w:right w:val="single" w:sz="4" w:space="0" w:color="FFFFFF"/>
            </w:tcBorders>
            <w:shd w:val="clear" w:color="000000" w:fill="EFD3D2"/>
            <w:noWrap/>
          </w:tcPr>
          <w:p w14:paraId="6897798E" w14:textId="51A9A1C8"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21</w:t>
            </w:r>
          </w:p>
        </w:tc>
        <w:tc>
          <w:tcPr>
            <w:tcW w:w="0" w:type="pct"/>
            <w:tcBorders>
              <w:top w:val="nil"/>
              <w:left w:val="nil"/>
              <w:bottom w:val="single" w:sz="4" w:space="0" w:color="FFFFFF"/>
              <w:right w:val="single" w:sz="4" w:space="0" w:color="FFFFFF"/>
            </w:tcBorders>
            <w:shd w:val="clear" w:color="000000" w:fill="EFD3D2"/>
            <w:noWrap/>
          </w:tcPr>
          <w:p w14:paraId="161F1980" w14:textId="73B043BB" w:rsidR="006968F4"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BC0CDC">
              <w:t>10</w:t>
            </w:r>
          </w:p>
        </w:tc>
      </w:tr>
      <w:tr w:rsidR="006968F4" w:rsidRPr="00086AB2" w14:paraId="66900E93" w14:textId="77777777" w:rsidTr="00C746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noWrap/>
            <w:hideMark/>
          </w:tcPr>
          <w:p w14:paraId="2D6596F9" w14:textId="77777777" w:rsidR="006968F4" w:rsidRPr="00086AB2" w:rsidRDefault="006968F4" w:rsidP="008659BF">
            <w:pPr>
              <w:spacing w:before="0" w:after="0"/>
              <w:rPr>
                <w:color w:val="000000"/>
                <w:szCs w:val="20"/>
              </w:rPr>
            </w:pPr>
            <w:proofErr w:type="spellStart"/>
            <w:r w:rsidRPr="00086AB2">
              <w:rPr>
                <w:color w:val="000000"/>
                <w:szCs w:val="20"/>
              </w:rPr>
              <w:t>Seacare</w:t>
            </w:r>
            <w:proofErr w:type="spellEnd"/>
          </w:p>
        </w:tc>
        <w:tc>
          <w:tcPr>
            <w:tcW w:w="0" w:type="pct"/>
            <w:tcBorders>
              <w:top w:val="nil"/>
              <w:left w:val="single" w:sz="4" w:space="0" w:color="FFFFFF"/>
              <w:bottom w:val="single" w:sz="4" w:space="0" w:color="FFFFFF"/>
              <w:right w:val="single" w:sz="4" w:space="0" w:color="FFFFFF"/>
            </w:tcBorders>
            <w:shd w:val="clear" w:color="000000" w:fill="FFFFFF"/>
            <w:noWrap/>
          </w:tcPr>
          <w:p w14:paraId="2D5DAC0B" w14:textId="4C23411D"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22</w:t>
            </w:r>
          </w:p>
        </w:tc>
        <w:tc>
          <w:tcPr>
            <w:tcW w:w="0" w:type="pct"/>
            <w:tcBorders>
              <w:top w:val="nil"/>
              <w:left w:val="nil"/>
              <w:bottom w:val="single" w:sz="4" w:space="0" w:color="FFFFFF"/>
              <w:right w:val="single" w:sz="4" w:space="0" w:color="FFFFFF"/>
            </w:tcBorders>
            <w:shd w:val="clear" w:color="000000" w:fill="FFFFFF"/>
            <w:noWrap/>
          </w:tcPr>
          <w:p w14:paraId="7D9DF6D0" w14:textId="7F85C9D3"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78</w:t>
            </w:r>
          </w:p>
        </w:tc>
        <w:tc>
          <w:tcPr>
            <w:tcW w:w="0" w:type="pct"/>
            <w:tcBorders>
              <w:top w:val="nil"/>
              <w:left w:val="nil"/>
              <w:bottom w:val="single" w:sz="4" w:space="0" w:color="FFFFFF"/>
              <w:right w:val="single" w:sz="4" w:space="0" w:color="FFFFFF"/>
            </w:tcBorders>
            <w:shd w:val="clear" w:color="000000" w:fill="FFFFFF"/>
            <w:noWrap/>
          </w:tcPr>
          <w:p w14:paraId="30127B15" w14:textId="4A9CB11E"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59</w:t>
            </w:r>
          </w:p>
        </w:tc>
        <w:tc>
          <w:tcPr>
            <w:tcW w:w="0" w:type="pct"/>
            <w:tcBorders>
              <w:top w:val="nil"/>
              <w:left w:val="nil"/>
              <w:bottom w:val="single" w:sz="4" w:space="0" w:color="FFFFFF"/>
              <w:right w:val="single" w:sz="4" w:space="0" w:color="FFFFFF"/>
            </w:tcBorders>
            <w:shd w:val="clear" w:color="000000" w:fill="FFFFFF"/>
            <w:noWrap/>
          </w:tcPr>
          <w:p w14:paraId="50088F4C" w14:textId="7843A356"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41</w:t>
            </w:r>
          </w:p>
        </w:tc>
        <w:tc>
          <w:tcPr>
            <w:tcW w:w="0" w:type="pct"/>
            <w:tcBorders>
              <w:top w:val="nil"/>
              <w:left w:val="nil"/>
              <w:bottom w:val="single" w:sz="4" w:space="0" w:color="FFFFFF"/>
              <w:right w:val="single" w:sz="4" w:space="0" w:color="FFFFFF"/>
            </w:tcBorders>
            <w:shd w:val="clear" w:color="000000" w:fill="FFFFFF"/>
            <w:noWrap/>
          </w:tcPr>
          <w:p w14:paraId="736E3910" w14:textId="55DE1978" w:rsidR="006968F4" w:rsidRDefault="006968F4"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BC0CDC">
              <w:t>17</w:t>
            </w:r>
          </w:p>
        </w:tc>
      </w:tr>
      <w:tr w:rsidR="006968F4" w:rsidRPr="00086AB2" w14:paraId="344F8FDB" w14:textId="77777777" w:rsidTr="00C746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shd w:val="clear" w:color="auto" w:fill="808080" w:themeFill="background1" w:themeFillShade="80"/>
            <w:noWrap/>
            <w:hideMark/>
          </w:tcPr>
          <w:p w14:paraId="3F8C0FAB" w14:textId="496C675E" w:rsidR="006968F4" w:rsidRPr="00086AB2" w:rsidRDefault="006968F4" w:rsidP="008659BF">
            <w:pPr>
              <w:spacing w:before="0" w:after="0"/>
              <w:rPr>
                <w:bCs w:val="0"/>
                <w:color w:val="FFFFFF" w:themeColor="background1"/>
                <w:szCs w:val="20"/>
              </w:rPr>
            </w:pPr>
            <w:r w:rsidRPr="00086AB2">
              <w:rPr>
                <w:bCs w:val="0"/>
                <w:color w:val="FFFFFF" w:themeColor="background1"/>
                <w:szCs w:val="20"/>
              </w:rPr>
              <w:t xml:space="preserve">Australian </w:t>
            </w:r>
            <w:r>
              <w:rPr>
                <w:bCs w:val="0"/>
                <w:color w:val="FFFFFF" w:themeColor="background1"/>
                <w:szCs w:val="20"/>
              </w:rPr>
              <w:t>total</w:t>
            </w:r>
          </w:p>
        </w:tc>
        <w:tc>
          <w:tcPr>
            <w:tcW w:w="0" w:type="pct"/>
            <w:tcBorders>
              <w:top w:val="nil"/>
              <w:left w:val="single" w:sz="4" w:space="0" w:color="FFFFFF"/>
              <w:bottom w:val="single" w:sz="4" w:space="0" w:color="FFFFFF"/>
              <w:right w:val="single" w:sz="4" w:space="0" w:color="FFFFFF"/>
            </w:tcBorders>
            <w:shd w:val="clear" w:color="000000" w:fill="808080"/>
            <w:noWrap/>
          </w:tcPr>
          <w:p w14:paraId="7B41ED08" w14:textId="4483FAEB" w:rsidR="006968F4" w:rsidRPr="00191239"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91239">
              <w:rPr>
                <w:color w:val="FFFFFF" w:themeColor="background1"/>
              </w:rPr>
              <w:t>46</w:t>
            </w:r>
          </w:p>
        </w:tc>
        <w:tc>
          <w:tcPr>
            <w:tcW w:w="0" w:type="pct"/>
            <w:tcBorders>
              <w:top w:val="nil"/>
              <w:left w:val="nil"/>
              <w:bottom w:val="single" w:sz="4" w:space="0" w:color="FFFFFF"/>
              <w:right w:val="single" w:sz="4" w:space="0" w:color="FFFFFF"/>
            </w:tcBorders>
            <w:shd w:val="clear" w:color="000000" w:fill="808080"/>
            <w:noWrap/>
          </w:tcPr>
          <w:p w14:paraId="2B2F4AE9" w14:textId="163DD98C" w:rsidR="006968F4" w:rsidRPr="00191239"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91239">
              <w:rPr>
                <w:color w:val="FFFFFF" w:themeColor="background1"/>
              </w:rPr>
              <w:t>54</w:t>
            </w:r>
          </w:p>
        </w:tc>
        <w:tc>
          <w:tcPr>
            <w:tcW w:w="0" w:type="pct"/>
            <w:tcBorders>
              <w:top w:val="nil"/>
              <w:left w:val="nil"/>
              <w:bottom w:val="single" w:sz="4" w:space="0" w:color="FFFFFF"/>
              <w:right w:val="single" w:sz="4" w:space="0" w:color="FFFFFF"/>
            </w:tcBorders>
            <w:shd w:val="clear" w:color="000000" w:fill="808080"/>
            <w:noWrap/>
          </w:tcPr>
          <w:p w14:paraId="5059A1FD" w14:textId="5DCF90F8" w:rsidR="006968F4" w:rsidRPr="00191239"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91239">
              <w:rPr>
                <w:color w:val="FFFFFF" w:themeColor="background1"/>
              </w:rPr>
              <w:t>38</w:t>
            </w:r>
          </w:p>
        </w:tc>
        <w:tc>
          <w:tcPr>
            <w:tcW w:w="0" w:type="pct"/>
            <w:tcBorders>
              <w:top w:val="nil"/>
              <w:left w:val="nil"/>
              <w:bottom w:val="single" w:sz="4" w:space="0" w:color="FFFFFF"/>
              <w:right w:val="single" w:sz="4" w:space="0" w:color="FFFFFF"/>
            </w:tcBorders>
            <w:shd w:val="clear" w:color="000000" w:fill="808080"/>
            <w:noWrap/>
          </w:tcPr>
          <w:p w14:paraId="19A83C7B" w14:textId="7EF97460" w:rsidR="006968F4" w:rsidRPr="00191239"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91239">
              <w:rPr>
                <w:color w:val="FFFFFF" w:themeColor="background1"/>
              </w:rPr>
              <w:t>24</w:t>
            </w:r>
          </w:p>
        </w:tc>
        <w:tc>
          <w:tcPr>
            <w:tcW w:w="0" w:type="pct"/>
            <w:tcBorders>
              <w:top w:val="nil"/>
              <w:left w:val="nil"/>
              <w:bottom w:val="single" w:sz="4" w:space="0" w:color="FFFFFF"/>
              <w:right w:val="single" w:sz="4" w:space="0" w:color="FFFFFF"/>
            </w:tcBorders>
            <w:shd w:val="clear" w:color="000000" w:fill="808080"/>
            <w:noWrap/>
          </w:tcPr>
          <w:p w14:paraId="6624FECB" w14:textId="42F27180" w:rsidR="006968F4" w:rsidRPr="00191239" w:rsidRDefault="006968F4"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191239">
              <w:rPr>
                <w:color w:val="FFFFFF" w:themeColor="background1"/>
              </w:rPr>
              <w:t>14</w:t>
            </w:r>
          </w:p>
        </w:tc>
      </w:tr>
      <w:tr w:rsidR="008E6EF2" w:rsidRPr="00086AB2" w14:paraId="45491A11" w14:textId="77777777" w:rsidTr="008E6EF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shd w:val="clear" w:color="auto" w:fill="EFD3D2"/>
            <w:noWrap/>
            <w:hideMark/>
          </w:tcPr>
          <w:p w14:paraId="6B4EA3CA" w14:textId="77777777" w:rsidR="008E6EF2" w:rsidRPr="00086AB2" w:rsidRDefault="008E6EF2" w:rsidP="008659BF">
            <w:pPr>
              <w:spacing w:before="0" w:after="0"/>
              <w:rPr>
                <w:color w:val="000000"/>
                <w:szCs w:val="20"/>
              </w:rPr>
            </w:pPr>
            <w:r w:rsidRPr="00086AB2">
              <w:rPr>
                <w:color w:val="000000"/>
                <w:szCs w:val="20"/>
              </w:rPr>
              <w:t>New Zealand</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42EE776A" w14:textId="455700B7" w:rsidR="008E6EF2" w:rsidRPr="00C7463D" w:rsidRDefault="003C39DB"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226AD2">
              <w:rPr>
                <w:rFonts w:cs="Arial"/>
                <w:color w:val="000000"/>
                <w:szCs w:val="20"/>
              </w:rPr>
              <w:t>66</w:t>
            </w:r>
          </w:p>
        </w:tc>
        <w:tc>
          <w:tcPr>
            <w:tcW w:w="684" w:type="pct"/>
            <w:tcBorders>
              <w:top w:val="nil"/>
              <w:left w:val="nil"/>
              <w:bottom w:val="single" w:sz="4" w:space="0" w:color="FFFFFF"/>
              <w:right w:val="single" w:sz="4" w:space="0" w:color="FFFFFF"/>
            </w:tcBorders>
            <w:shd w:val="clear" w:color="000000" w:fill="EFD3D2"/>
            <w:noWrap/>
            <w:vAlign w:val="center"/>
          </w:tcPr>
          <w:p w14:paraId="5168013D" w14:textId="35C34A71" w:rsidR="008E6EF2" w:rsidRPr="00C7463D" w:rsidRDefault="003C39DB"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226AD2">
              <w:rPr>
                <w:rFonts w:cs="Arial"/>
                <w:color w:val="000000"/>
                <w:szCs w:val="20"/>
              </w:rPr>
              <w:t>34</w:t>
            </w:r>
          </w:p>
        </w:tc>
        <w:tc>
          <w:tcPr>
            <w:tcW w:w="684" w:type="pct"/>
            <w:tcBorders>
              <w:top w:val="nil"/>
              <w:left w:val="nil"/>
              <w:bottom w:val="single" w:sz="4" w:space="0" w:color="FFFFFF"/>
              <w:right w:val="single" w:sz="4" w:space="0" w:color="FFFFFF"/>
            </w:tcBorders>
            <w:shd w:val="clear" w:color="000000" w:fill="EFD3D2"/>
            <w:noWrap/>
            <w:vAlign w:val="center"/>
          </w:tcPr>
          <w:p w14:paraId="1E0451EF" w14:textId="200BA25A" w:rsidR="008E6EF2" w:rsidRPr="00C7463D" w:rsidRDefault="008E6EF2"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226AD2">
              <w:rPr>
                <w:rFonts w:cs="Arial"/>
                <w:color w:val="000000"/>
                <w:szCs w:val="20"/>
              </w:rPr>
              <w:t>2</w:t>
            </w:r>
            <w:r w:rsidR="003C39DB" w:rsidRPr="00226AD2">
              <w:rPr>
                <w:rFonts w:cs="Arial"/>
                <w:color w:val="000000"/>
                <w:szCs w:val="20"/>
              </w:rPr>
              <w:t>0</w:t>
            </w:r>
          </w:p>
        </w:tc>
        <w:tc>
          <w:tcPr>
            <w:tcW w:w="684" w:type="pct"/>
            <w:tcBorders>
              <w:top w:val="nil"/>
              <w:left w:val="nil"/>
              <w:bottom w:val="single" w:sz="4" w:space="0" w:color="FFFFFF"/>
              <w:right w:val="single" w:sz="4" w:space="0" w:color="FFFFFF"/>
            </w:tcBorders>
            <w:shd w:val="clear" w:color="000000" w:fill="EFD3D2"/>
            <w:noWrap/>
            <w:vAlign w:val="center"/>
          </w:tcPr>
          <w:p w14:paraId="26C81052" w14:textId="79600D3D" w:rsidR="008E6EF2" w:rsidRPr="00C7463D" w:rsidRDefault="003C39DB"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226AD2">
              <w:rPr>
                <w:rFonts w:cs="Arial"/>
                <w:color w:val="000000"/>
                <w:szCs w:val="20"/>
              </w:rPr>
              <w:t>9</w:t>
            </w:r>
          </w:p>
        </w:tc>
        <w:tc>
          <w:tcPr>
            <w:tcW w:w="680" w:type="pct"/>
            <w:tcBorders>
              <w:top w:val="nil"/>
              <w:left w:val="nil"/>
              <w:bottom w:val="single" w:sz="4" w:space="0" w:color="FFFFFF"/>
              <w:right w:val="single" w:sz="4" w:space="0" w:color="FFFFFF"/>
            </w:tcBorders>
            <w:shd w:val="clear" w:color="000000" w:fill="EFD3D2"/>
            <w:noWrap/>
            <w:vAlign w:val="center"/>
          </w:tcPr>
          <w:p w14:paraId="6426F31A" w14:textId="74E8E65A" w:rsidR="008E6EF2" w:rsidRPr="00C7463D" w:rsidRDefault="003C39DB"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226AD2">
              <w:rPr>
                <w:rFonts w:cs="Arial"/>
                <w:color w:val="000000"/>
                <w:szCs w:val="20"/>
              </w:rPr>
              <w:t>3</w:t>
            </w:r>
          </w:p>
        </w:tc>
      </w:tr>
    </w:tbl>
    <w:p w14:paraId="34805C90" w14:textId="77777777" w:rsidR="008659BF" w:rsidRDefault="008659BF" w:rsidP="008659BF">
      <w:pPr>
        <w:pStyle w:val="SWASectionnumberingheading"/>
        <w:numPr>
          <w:ilvl w:val="0"/>
          <w:numId w:val="0"/>
        </w:numPr>
      </w:pPr>
      <w:bookmarkStart w:id="36" w:name="_Toc86602465"/>
      <w:bookmarkStart w:id="37" w:name="_Toc86602469"/>
    </w:p>
    <w:p w14:paraId="3002255B" w14:textId="77777777" w:rsidR="008659BF" w:rsidRDefault="008659BF">
      <w:pPr>
        <w:spacing w:after="200" w:line="276" w:lineRule="auto"/>
        <w:jc w:val="left"/>
        <w:rPr>
          <w:rFonts w:eastAsiaTheme="majorEastAsia" w:cs="Arial"/>
          <w:b/>
          <w:color w:val="AF1E2D"/>
          <w:sz w:val="34"/>
          <w:szCs w:val="22"/>
        </w:rPr>
      </w:pPr>
      <w:r>
        <w:br w:type="page"/>
      </w:r>
    </w:p>
    <w:p w14:paraId="22285377" w14:textId="3B6BC21A" w:rsidR="00537FCF" w:rsidRPr="00086AB2" w:rsidRDefault="00537FCF" w:rsidP="008659BF">
      <w:pPr>
        <w:pStyle w:val="SWASectionnumberingheading"/>
      </w:pPr>
      <w:r w:rsidRPr="00086AB2">
        <w:lastRenderedPageBreak/>
        <w:t>Work-related fatalities</w:t>
      </w:r>
      <w:bookmarkEnd w:id="36"/>
      <w:r>
        <w:t xml:space="preserve"> </w:t>
      </w:r>
    </w:p>
    <w:p w14:paraId="0016B914" w14:textId="77777777" w:rsidR="00537FCF" w:rsidRPr="00086AB2" w:rsidRDefault="00537FCF" w:rsidP="00537FCF">
      <w:pPr>
        <w:pStyle w:val="SWASectionnum2"/>
      </w:pPr>
      <w:r w:rsidRPr="00086AB2">
        <w:t>Work-related traumatic injury fatalities</w:t>
      </w:r>
      <w:r>
        <w:t xml:space="preserve"> </w:t>
      </w:r>
    </w:p>
    <w:p w14:paraId="02C6D444" w14:textId="77777777" w:rsidR="00537FCF" w:rsidRPr="00353513" w:rsidRDefault="00537FCF" w:rsidP="00537FCF">
      <w:pPr>
        <w:keepNext/>
        <w:keepLines/>
        <w:rPr>
          <w:i/>
        </w:rPr>
      </w:pPr>
      <w:r w:rsidRPr="00353513">
        <w:rPr>
          <w:i/>
        </w:rPr>
        <w:t>About Traumatic Injury Fatalities</w:t>
      </w:r>
    </w:p>
    <w:p w14:paraId="20C9D753" w14:textId="1711D3DA" w:rsidR="00537FCF" w:rsidRPr="00353513" w:rsidRDefault="00537FCF" w:rsidP="00537FCF">
      <w:pPr>
        <w:keepNext/>
        <w:keepLines/>
      </w:pPr>
      <w:r w:rsidRPr="00353513">
        <w:t>Data presented in this section are sourced from the Work-related Traumatic Injury Fatality (TIF) data collection. This collection sources information from workers’ compensation data, fatality notifications to the various</w:t>
      </w:r>
      <w:r w:rsidR="00BA0B6C">
        <w:t xml:space="preserve"> WHS</w:t>
      </w:r>
      <w:r w:rsidRPr="00353513">
        <w:t xml:space="preserve"> authorities and information in the National Coronial Information System (NCIS). </w:t>
      </w:r>
    </w:p>
    <w:p w14:paraId="7A564922" w14:textId="77777777" w:rsidR="00537FCF" w:rsidRPr="00353513" w:rsidRDefault="00537FCF" w:rsidP="00537FCF">
      <w:r w:rsidRPr="00353513">
        <w:t xml:space="preserve">Information presented in Indicator 7a and 7b does not include fatal work-related incidents occurring on a public road. The compensated injury fatalities in the TIF collection are based on date of death and not date of lodgement. </w:t>
      </w:r>
    </w:p>
    <w:p w14:paraId="5B409E01" w14:textId="77777777" w:rsidR="00537FCF" w:rsidRPr="00353513" w:rsidRDefault="00537FCF" w:rsidP="00537FCF">
      <w:r w:rsidRPr="00353513">
        <w:t xml:space="preserve">It should be noted that traumatic injury fatality data can be volatile year-on-year. </w:t>
      </w:r>
      <w:proofErr w:type="gramStart"/>
      <w:r w:rsidRPr="00353513">
        <w:t>In particular, a</w:t>
      </w:r>
      <w:proofErr w:type="gramEnd"/>
      <w:r w:rsidRPr="00353513">
        <w:t xml:space="preserve"> single incident resulting in multiple deaths can significantly impact the data in a given year, potentially masking the progress of jurisdictions in reducing or eliminating work</w:t>
      </w:r>
      <w:r w:rsidRPr="00353513">
        <w:noBreakHyphen/>
        <w:t xml:space="preserve">related traumatic injury fatalities in other areas. Further information about the TIF collection and a detailed analysis of the data can be found on the </w:t>
      </w:r>
      <w:hyperlink r:id="rId27" w:history="1">
        <w:r w:rsidRPr="00353513">
          <w:rPr>
            <w:rStyle w:val="SWALinkChar"/>
            <w:color w:val="548DD4" w:themeColor="text2" w:themeTint="99"/>
          </w:rPr>
          <w:t>Safe Work Australia</w:t>
        </w:r>
      </w:hyperlink>
      <w:r w:rsidRPr="00353513">
        <w:t xml:space="preserve"> website.</w:t>
      </w:r>
    </w:p>
    <w:p w14:paraId="58FA618E" w14:textId="77777777" w:rsidR="00537FCF" w:rsidRPr="00353513" w:rsidRDefault="00537FCF" w:rsidP="00537FCF">
      <w:pPr>
        <w:rPr>
          <w:i/>
        </w:rPr>
      </w:pPr>
      <w:r w:rsidRPr="00353513">
        <w:rPr>
          <w:i/>
        </w:rPr>
        <w:t>Worker fatalities and incidence rates</w:t>
      </w:r>
    </w:p>
    <w:p w14:paraId="187D7295" w14:textId="77777777" w:rsidR="00537FCF" w:rsidRDefault="00537FCF" w:rsidP="00537FCF">
      <w:r w:rsidRPr="00353513">
        <w:t xml:space="preserve">There was a </w:t>
      </w:r>
      <w:r>
        <w:rPr>
          <w:b/>
          <w:bCs/>
          <w:color w:val="B94F25"/>
        </w:rPr>
        <w:t>18</w:t>
      </w:r>
      <w:r w:rsidRPr="00620116">
        <w:rPr>
          <w:b/>
          <w:bCs/>
          <w:color w:val="B94F25"/>
        </w:rPr>
        <w:t>% decrease</w:t>
      </w:r>
      <w:r w:rsidRPr="00353513">
        <w:t xml:space="preserve"> in the number of worker fatalities resulting from incidents not on a public road between 201</w:t>
      </w:r>
      <w:r>
        <w:t>6</w:t>
      </w:r>
      <w:r w:rsidRPr="00353513">
        <w:t>–1</w:t>
      </w:r>
      <w:r>
        <w:t>7</w:t>
      </w:r>
      <w:r w:rsidRPr="00353513">
        <w:t xml:space="preserve"> and 20</w:t>
      </w:r>
      <w:r>
        <w:t>20</w:t>
      </w:r>
      <w:r w:rsidRPr="00353513">
        <w:t>–</w:t>
      </w:r>
      <w:r>
        <w:t>21</w:t>
      </w:r>
      <w:r w:rsidRPr="00353513">
        <w:t xml:space="preserve">. </w:t>
      </w:r>
    </w:p>
    <w:p w14:paraId="1FA18A7C" w14:textId="77777777" w:rsidR="00537FCF" w:rsidRDefault="00537FCF" w:rsidP="00537FCF">
      <w:r w:rsidRPr="00353513">
        <w:t>On average over the five years, New South Wales recorded the highest number of fatalities per year (3</w:t>
      </w:r>
      <w:r>
        <w:t>8</w:t>
      </w:r>
      <w:r w:rsidRPr="00353513">
        <w:t xml:space="preserve"> fatalities), followed by Queensland (</w:t>
      </w:r>
      <w:r>
        <w:t>29</w:t>
      </w:r>
      <w:r w:rsidRPr="00353513">
        <w:t xml:space="preserve"> fatalities) and Victoria (2</w:t>
      </w:r>
      <w:r>
        <w:t>5</w:t>
      </w:r>
      <w:r w:rsidRPr="00353513">
        <w:t xml:space="preserve"> fatalities). </w:t>
      </w:r>
    </w:p>
    <w:p w14:paraId="134A6E0C" w14:textId="16AC6AB2" w:rsidR="00537FCF" w:rsidRPr="00086AB2" w:rsidRDefault="00537FCF" w:rsidP="00537FCF">
      <w:pPr>
        <w:pStyle w:val="Heading3"/>
      </w:pPr>
      <w:r w:rsidRPr="00086AB2">
        <w:t xml:space="preserve">Indicator </w:t>
      </w:r>
      <w:fldSimple w:instr=" SEQ Indicator \* ARABIC ">
        <w:r w:rsidR="004132C1">
          <w:rPr>
            <w:noProof/>
          </w:rPr>
          <w:t>7</w:t>
        </w:r>
      </w:fldSimple>
      <w:r w:rsidRPr="00086AB2">
        <w:rPr>
          <w:noProof/>
        </w:rPr>
        <w:t>a</w:t>
      </w:r>
      <w:r w:rsidRPr="00086AB2">
        <w:t xml:space="preserve"> – Traumatic injury worker fatalities: number of incidents not on a public road, by state of death</w:t>
      </w:r>
      <w:r>
        <w:t xml:space="preserve"> </w:t>
      </w:r>
    </w:p>
    <w:tbl>
      <w:tblPr>
        <w:tblStyle w:val="LightShading-Accent2"/>
        <w:tblW w:w="8863" w:type="dxa"/>
        <w:tblLayout w:type="fixed"/>
        <w:tblLook w:val="04A0" w:firstRow="1" w:lastRow="0" w:firstColumn="1" w:lastColumn="0" w:noHBand="0" w:noVBand="1"/>
        <w:tblCaption w:val="Indicator 7a – Traumatic injury worker fatalities: number of incidents not on a public road, by state of death"/>
        <w:tblDescription w:val="This table shows the total number of fatal incidents not occurring on a public road between 2015-16 and 2019-20, and an average based on the past 5 recorded years in each Australian jurisdiction. Refer to body text for more details."/>
      </w:tblPr>
      <w:tblGrid>
        <w:gridCol w:w="2781"/>
        <w:gridCol w:w="1013"/>
        <w:gridCol w:w="1014"/>
        <w:gridCol w:w="1014"/>
        <w:gridCol w:w="1013"/>
        <w:gridCol w:w="1014"/>
        <w:gridCol w:w="1014"/>
      </w:tblGrid>
      <w:tr w:rsidR="00537FCF" w:rsidRPr="00086AB2" w14:paraId="155D0333" w14:textId="77777777" w:rsidTr="00C36C71">
        <w:trPr>
          <w:cnfStyle w:val="100000000000" w:firstRow="1" w:lastRow="0" w:firstColumn="0" w:lastColumn="0" w:oddVBand="0" w:evenVBand="0" w:oddHBand="0" w:evenHBand="0" w:firstRowFirstColumn="0" w:firstRowLastColumn="0" w:lastRowFirstColumn="0" w:lastRowLastColumn="0"/>
          <w:trHeight w:hRule="exact" w:val="601"/>
          <w:tblHeader/>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auto"/>
              <w:bottom w:val="dashSmallGap" w:sz="4" w:space="0" w:color="FFFFFF" w:themeColor="background1"/>
            </w:tcBorders>
            <w:noWrap/>
            <w:vAlign w:val="center"/>
          </w:tcPr>
          <w:p w14:paraId="296C8246" w14:textId="77777777" w:rsidR="00537FCF" w:rsidRPr="00086AB2" w:rsidRDefault="00537FCF" w:rsidP="008659BF">
            <w:pPr>
              <w:spacing w:before="0" w:after="0"/>
              <w:jc w:val="center"/>
              <w:rPr>
                <w:rFonts w:cs="Arial"/>
                <w:szCs w:val="20"/>
              </w:rPr>
            </w:pPr>
            <w:r w:rsidRPr="00813E4D">
              <w:rPr>
                <w:rFonts w:cs="Arial"/>
                <w:color w:val="FFFFFF"/>
                <w:szCs w:val="20"/>
              </w:rPr>
              <w:t> </w:t>
            </w:r>
          </w:p>
        </w:tc>
        <w:tc>
          <w:tcPr>
            <w:tcW w:w="1013"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42CE8EF2" w14:textId="77777777" w:rsidR="00537FCF" w:rsidRPr="00086AB2" w:rsidRDefault="00537FCF"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2016–17</w:t>
            </w:r>
          </w:p>
        </w:tc>
        <w:tc>
          <w:tcPr>
            <w:tcW w:w="1014"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094EB9C0" w14:textId="77777777" w:rsidR="00537FCF" w:rsidRPr="00086AB2" w:rsidRDefault="00537FCF"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2017–18</w:t>
            </w:r>
          </w:p>
        </w:tc>
        <w:tc>
          <w:tcPr>
            <w:tcW w:w="1014"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2C38BA71" w14:textId="77777777" w:rsidR="00537FCF" w:rsidRPr="00086AB2" w:rsidRDefault="00537FCF"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2018–19</w:t>
            </w:r>
          </w:p>
        </w:tc>
        <w:tc>
          <w:tcPr>
            <w:tcW w:w="1013"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175543AA" w14:textId="77777777" w:rsidR="00537FCF" w:rsidRPr="00086AB2" w:rsidRDefault="00537FCF"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2019–20</w:t>
            </w:r>
          </w:p>
        </w:tc>
        <w:tc>
          <w:tcPr>
            <w:tcW w:w="1014"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3D119697" w14:textId="35B1814B" w:rsidR="00537FCF" w:rsidRPr="00086AB2" w:rsidRDefault="00537FCF"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2020–21</w:t>
            </w:r>
          </w:p>
        </w:tc>
        <w:tc>
          <w:tcPr>
            <w:tcW w:w="1014" w:type="dxa"/>
            <w:tcBorders>
              <w:top w:val="single" w:sz="4" w:space="0" w:color="000000"/>
              <w:left w:val="single" w:sz="4" w:space="0" w:color="FFFFFF"/>
              <w:bottom w:val="single" w:sz="4" w:space="0" w:color="FFFFFF"/>
              <w:right w:val="single" w:sz="4" w:space="0" w:color="000000"/>
            </w:tcBorders>
            <w:shd w:val="clear" w:color="000000" w:fill="AF1E2D"/>
            <w:noWrap/>
            <w:vAlign w:val="center"/>
          </w:tcPr>
          <w:p w14:paraId="66CB03C8" w14:textId="77777777" w:rsidR="00537FCF" w:rsidRPr="00086AB2" w:rsidRDefault="00537FCF"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 xml:space="preserve">5 </w:t>
            </w:r>
            <w:proofErr w:type="spellStart"/>
            <w:r>
              <w:rPr>
                <w:rFonts w:cs="Arial"/>
                <w:color w:val="FFFFFF"/>
                <w:szCs w:val="20"/>
              </w:rPr>
              <w:t>yr</w:t>
            </w:r>
            <w:proofErr w:type="spellEnd"/>
            <w:r>
              <w:rPr>
                <w:rFonts w:cs="Arial"/>
                <w:color w:val="FFFFFF"/>
                <w:szCs w:val="20"/>
              </w:rPr>
              <w:t xml:space="preserve"> Average</w:t>
            </w:r>
          </w:p>
        </w:tc>
      </w:tr>
      <w:tr w:rsidR="00537FCF" w:rsidRPr="00086AB2" w14:paraId="751BA9F3" w14:textId="77777777" w:rsidTr="00C36C71">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2C507274" w14:textId="77777777" w:rsidR="00537FCF" w:rsidRPr="00813E4D" w:rsidRDefault="00537FCF" w:rsidP="008659BF">
            <w:pPr>
              <w:spacing w:before="0" w:after="0"/>
              <w:jc w:val="left"/>
              <w:rPr>
                <w:rFonts w:cs="Arial"/>
                <w:color w:val="000000"/>
                <w:szCs w:val="20"/>
              </w:rPr>
            </w:pPr>
            <w:r w:rsidRPr="00813E4D">
              <w:rPr>
                <w:rFonts w:cs="Arial"/>
                <w:color w:val="000000"/>
                <w:szCs w:val="20"/>
              </w:rPr>
              <w:t>New South Wales</w:t>
            </w:r>
          </w:p>
        </w:tc>
        <w:tc>
          <w:tcPr>
            <w:tcW w:w="1013" w:type="dxa"/>
            <w:tcBorders>
              <w:top w:val="single" w:sz="4" w:space="0" w:color="FFFFFF"/>
              <w:left w:val="nil"/>
              <w:bottom w:val="single" w:sz="4" w:space="0" w:color="FFFFFF"/>
              <w:right w:val="single" w:sz="4" w:space="0" w:color="FFFFFF"/>
            </w:tcBorders>
            <w:shd w:val="clear" w:color="000000" w:fill="EFD3D2"/>
            <w:noWrap/>
            <w:vAlign w:val="center"/>
            <w:hideMark/>
          </w:tcPr>
          <w:p w14:paraId="25438517"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42</w:t>
            </w:r>
          </w:p>
        </w:tc>
        <w:tc>
          <w:tcPr>
            <w:tcW w:w="1014" w:type="dxa"/>
            <w:tcBorders>
              <w:top w:val="single" w:sz="4" w:space="0" w:color="FFFFFF"/>
              <w:left w:val="nil"/>
              <w:bottom w:val="single" w:sz="4" w:space="0" w:color="FFFFFF"/>
              <w:right w:val="single" w:sz="4" w:space="0" w:color="FFFFFF"/>
            </w:tcBorders>
            <w:shd w:val="clear" w:color="000000" w:fill="EFD3D2"/>
            <w:noWrap/>
            <w:vAlign w:val="center"/>
          </w:tcPr>
          <w:p w14:paraId="2A5578A2"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39</w:t>
            </w:r>
          </w:p>
        </w:tc>
        <w:tc>
          <w:tcPr>
            <w:tcW w:w="1014" w:type="dxa"/>
            <w:tcBorders>
              <w:top w:val="single" w:sz="4" w:space="0" w:color="FFFFFF"/>
              <w:left w:val="nil"/>
              <w:bottom w:val="single" w:sz="4" w:space="0" w:color="FFFFFF"/>
              <w:right w:val="single" w:sz="4" w:space="0" w:color="FFFFFF"/>
            </w:tcBorders>
            <w:shd w:val="clear" w:color="000000" w:fill="EFD3D2"/>
            <w:noWrap/>
            <w:vAlign w:val="center"/>
          </w:tcPr>
          <w:p w14:paraId="2C0197F3"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31</w:t>
            </w:r>
          </w:p>
        </w:tc>
        <w:tc>
          <w:tcPr>
            <w:tcW w:w="1013" w:type="dxa"/>
            <w:tcBorders>
              <w:top w:val="single" w:sz="4" w:space="0" w:color="FFFFFF"/>
              <w:left w:val="nil"/>
              <w:bottom w:val="single" w:sz="4" w:space="0" w:color="FFFFFF"/>
              <w:right w:val="single" w:sz="4" w:space="0" w:color="FFFFFF"/>
            </w:tcBorders>
            <w:shd w:val="clear" w:color="000000" w:fill="EFD3D2"/>
            <w:noWrap/>
            <w:vAlign w:val="center"/>
          </w:tcPr>
          <w:p w14:paraId="542F087D"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44</w:t>
            </w:r>
          </w:p>
        </w:tc>
        <w:tc>
          <w:tcPr>
            <w:tcW w:w="1014" w:type="dxa"/>
            <w:tcBorders>
              <w:top w:val="single" w:sz="4" w:space="0" w:color="FFFFFF"/>
              <w:left w:val="nil"/>
              <w:bottom w:val="single" w:sz="4" w:space="0" w:color="FFFFFF"/>
              <w:right w:val="single" w:sz="4" w:space="0" w:color="FFFFFF"/>
            </w:tcBorders>
            <w:shd w:val="clear" w:color="000000" w:fill="EFD3D2"/>
            <w:noWrap/>
            <w:vAlign w:val="center"/>
          </w:tcPr>
          <w:p w14:paraId="2B657AA1" w14:textId="77777777" w:rsidR="00537FCF" w:rsidRPr="00C24B25"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33</w:t>
            </w:r>
          </w:p>
        </w:tc>
        <w:tc>
          <w:tcPr>
            <w:tcW w:w="1014" w:type="dxa"/>
            <w:tcBorders>
              <w:top w:val="single" w:sz="4" w:space="0" w:color="FFFFFF"/>
              <w:left w:val="nil"/>
              <w:bottom w:val="single" w:sz="4" w:space="0" w:color="FFFFFF"/>
              <w:right w:val="single" w:sz="4" w:space="0" w:color="FFFFFF"/>
            </w:tcBorders>
            <w:shd w:val="clear" w:color="000000" w:fill="808080"/>
            <w:noWrap/>
            <w:vAlign w:val="center"/>
            <w:hideMark/>
          </w:tcPr>
          <w:p w14:paraId="6F1E3672" w14:textId="77777777" w:rsidR="00537FCF" w:rsidRPr="005D60AB"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38</w:t>
            </w:r>
          </w:p>
        </w:tc>
      </w:tr>
      <w:tr w:rsidR="00537FCF" w:rsidRPr="00086AB2" w14:paraId="525658DF" w14:textId="77777777" w:rsidTr="00C36C71">
        <w:trPr>
          <w:cnfStyle w:val="000000010000" w:firstRow="0" w:lastRow="0" w:firstColumn="0" w:lastColumn="0" w:oddVBand="0" w:evenVBand="0" w:oddHBand="0" w:evenHBand="1"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4153B6E7" w14:textId="77777777" w:rsidR="00537FCF" w:rsidRPr="00813E4D" w:rsidRDefault="00537FCF" w:rsidP="008659BF">
            <w:pPr>
              <w:spacing w:before="0" w:after="0"/>
              <w:jc w:val="left"/>
              <w:rPr>
                <w:rFonts w:cs="Arial"/>
                <w:color w:val="000000"/>
                <w:szCs w:val="20"/>
              </w:rPr>
            </w:pPr>
            <w:r w:rsidRPr="00813E4D">
              <w:rPr>
                <w:rFonts w:cs="Arial"/>
                <w:color w:val="000000"/>
                <w:szCs w:val="20"/>
              </w:rPr>
              <w:t>Queensland</w:t>
            </w:r>
          </w:p>
        </w:tc>
        <w:tc>
          <w:tcPr>
            <w:tcW w:w="1013" w:type="dxa"/>
            <w:tcBorders>
              <w:top w:val="nil"/>
              <w:left w:val="nil"/>
              <w:bottom w:val="single" w:sz="4" w:space="0" w:color="FFFFFF"/>
              <w:right w:val="single" w:sz="4" w:space="0" w:color="FFFFFF"/>
            </w:tcBorders>
            <w:shd w:val="clear" w:color="000000" w:fill="FFFFFF"/>
            <w:noWrap/>
            <w:vAlign w:val="center"/>
            <w:hideMark/>
          </w:tcPr>
          <w:p w14:paraId="439C9DD9"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14" w:type="dxa"/>
            <w:tcBorders>
              <w:top w:val="nil"/>
              <w:left w:val="nil"/>
              <w:bottom w:val="single" w:sz="4" w:space="0" w:color="FFFFFF"/>
              <w:right w:val="single" w:sz="4" w:space="0" w:color="FFFFFF"/>
            </w:tcBorders>
            <w:shd w:val="clear" w:color="000000" w:fill="FFFFFF"/>
            <w:noWrap/>
            <w:vAlign w:val="center"/>
          </w:tcPr>
          <w:p w14:paraId="6A60772E"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14" w:type="dxa"/>
            <w:tcBorders>
              <w:top w:val="nil"/>
              <w:left w:val="nil"/>
              <w:bottom w:val="single" w:sz="4" w:space="0" w:color="FFFFFF"/>
              <w:right w:val="single" w:sz="4" w:space="0" w:color="FFFFFF"/>
            </w:tcBorders>
            <w:shd w:val="clear" w:color="000000" w:fill="FFFFFF"/>
            <w:noWrap/>
            <w:vAlign w:val="center"/>
          </w:tcPr>
          <w:p w14:paraId="11C90864"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38</w:t>
            </w:r>
          </w:p>
        </w:tc>
        <w:tc>
          <w:tcPr>
            <w:tcW w:w="1013" w:type="dxa"/>
            <w:tcBorders>
              <w:top w:val="nil"/>
              <w:left w:val="nil"/>
              <w:bottom w:val="single" w:sz="4" w:space="0" w:color="FFFFFF"/>
              <w:right w:val="single" w:sz="4" w:space="0" w:color="FFFFFF"/>
            </w:tcBorders>
            <w:shd w:val="clear" w:color="000000" w:fill="FFFFFF"/>
            <w:noWrap/>
            <w:vAlign w:val="center"/>
          </w:tcPr>
          <w:p w14:paraId="68538E49"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30</w:t>
            </w:r>
          </w:p>
        </w:tc>
        <w:tc>
          <w:tcPr>
            <w:tcW w:w="1014" w:type="dxa"/>
            <w:tcBorders>
              <w:top w:val="nil"/>
              <w:left w:val="nil"/>
              <w:bottom w:val="single" w:sz="4" w:space="0" w:color="FFFFFF"/>
              <w:right w:val="single" w:sz="4" w:space="0" w:color="FFFFFF"/>
            </w:tcBorders>
            <w:shd w:val="clear" w:color="000000" w:fill="FFFFFF"/>
            <w:noWrap/>
            <w:vAlign w:val="center"/>
          </w:tcPr>
          <w:p w14:paraId="68867BEE" w14:textId="77777777" w:rsidR="00537FCF" w:rsidRPr="00C24B25"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18</w:t>
            </w:r>
          </w:p>
        </w:tc>
        <w:tc>
          <w:tcPr>
            <w:tcW w:w="1014" w:type="dxa"/>
            <w:tcBorders>
              <w:top w:val="nil"/>
              <w:left w:val="nil"/>
              <w:bottom w:val="single" w:sz="4" w:space="0" w:color="FFFFFF"/>
              <w:right w:val="single" w:sz="4" w:space="0" w:color="FFFFFF"/>
            </w:tcBorders>
            <w:shd w:val="clear" w:color="000000" w:fill="808080"/>
            <w:noWrap/>
            <w:vAlign w:val="center"/>
            <w:hideMark/>
          </w:tcPr>
          <w:p w14:paraId="0A4D4B81" w14:textId="77777777" w:rsidR="00537FCF" w:rsidRPr="005D60AB"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szCs w:val="20"/>
              </w:rPr>
              <w:t>29</w:t>
            </w:r>
          </w:p>
        </w:tc>
      </w:tr>
      <w:tr w:rsidR="00537FCF" w:rsidRPr="00086AB2" w14:paraId="1DA816D5" w14:textId="77777777" w:rsidTr="00C36C71">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559C4804" w14:textId="77777777" w:rsidR="00537FCF" w:rsidRPr="00813E4D" w:rsidRDefault="00537FCF" w:rsidP="008659BF">
            <w:pPr>
              <w:spacing w:before="0" w:after="0"/>
              <w:jc w:val="left"/>
              <w:rPr>
                <w:rFonts w:cs="Arial"/>
                <w:color w:val="000000"/>
                <w:szCs w:val="20"/>
              </w:rPr>
            </w:pPr>
            <w:r w:rsidRPr="00813E4D">
              <w:rPr>
                <w:rFonts w:cs="Arial"/>
                <w:color w:val="000000"/>
                <w:szCs w:val="20"/>
              </w:rPr>
              <w:t>Victoria</w:t>
            </w:r>
          </w:p>
        </w:tc>
        <w:tc>
          <w:tcPr>
            <w:tcW w:w="1013" w:type="dxa"/>
            <w:tcBorders>
              <w:top w:val="nil"/>
              <w:left w:val="nil"/>
              <w:bottom w:val="single" w:sz="4" w:space="0" w:color="FFFFFF"/>
              <w:right w:val="single" w:sz="4" w:space="0" w:color="FFFFFF"/>
            </w:tcBorders>
            <w:shd w:val="clear" w:color="000000" w:fill="EFD3D2"/>
            <w:noWrap/>
            <w:vAlign w:val="center"/>
            <w:hideMark/>
          </w:tcPr>
          <w:p w14:paraId="67839598"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c>
          <w:tcPr>
            <w:tcW w:w="1014" w:type="dxa"/>
            <w:tcBorders>
              <w:top w:val="nil"/>
              <w:left w:val="nil"/>
              <w:bottom w:val="single" w:sz="4" w:space="0" w:color="FFFFFF"/>
              <w:right w:val="single" w:sz="4" w:space="0" w:color="FFFFFF"/>
            </w:tcBorders>
            <w:shd w:val="clear" w:color="000000" w:fill="EFD3D2"/>
            <w:noWrap/>
            <w:vAlign w:val="center"/>
          </w:tcPr>
          <w:p w14:paraId="3E0EE7BF"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25</w:t>
            </w:r>
          </w:p>
        </w:tc>
        <w:tc>
          <w:tcPr>
            <w:tcW w:w="1014" w:type="dxa"/>
            <w:tcBorders>
              <w:top w:val="nil"/>
              <w:left w:val="nil"/>
              <w:bottom w:val="single" w:sz="4" w:space="0" w:color="FFFFFF"/>
              <w:right w:val="single" w:sz="4" w:space="0" w:color="FFFFFF"/>
            </w:tcBorders>
            <w:shd w:val="clear" w:color="000000" w:fill="EFD3D2"/>
            <w:noWrap/>
            <w:vAlign w:val="center"/>
          </w:tcPr>
          <w:p w14:paraId="5CDD6A12"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26</w:t>
            </w:r>
          </w:p>
        </w:tc>
        <w:tc>
          <w:tcPr>
            <w:tcW w:w="1013" w:type="dxa"/>
            <w:tcBorders>
              <w:top w:val="nil"/>
              <w:left w:val="nil"/>
              <w:bottom w:val="single" w:sz="4" w:space="0" w:color="FFFFFF"/>
              <w:right w:val="single" w:sz="4" w:space="0" w:color="FFFFFF"/>
            </w:tcBorders>
            <w:shd w:val="clear" w:color="000000" w:fill="EFD3D2"/>
            <w:noWrap/>
            <w:vAlign w:val="center"/>
          </w:tcPr>
          <w:p w14:paraId="353B0CA8"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31</w:t>
            </w:r>
          </w:p>
        </w:tc>
        <w:tc>
          <w:tcPr>
            <w:tcW w:w="1014" w:type="dxa"/>
            <w:tcBorders>
              <w:top w:val="nil"/>
              <w:left w:val="nil"/>
              <w:bottom w:val="single" w:sz="4" w:space="0" w:color="FFFFFF"/>
              <w:right w:val="single" w:sz="4" w:space="0" w:color="FFFFFF"/>
            </w:tcBorders>
            <w:shd w:val="clear" w:color="000000" w:fill="EFD3D2"/>
            <w:noWrap/>
            <w:vAlign w:val="center"/>
          </w:tcPr>
          <w:p w14:paraId="356153E3" w14:textId="77777777" w:rsidR="00537FCF" w:rsidRPr="00C24B25"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20</w:t>
            </w:r>
          </w:p>
        </w:tc>
        <w:tc>
          <w:tcPr>
            <w:tcW w:w="1014" w:type="dxa"/>
            <w:tcBorders>
              <w:top w:val="nil"/>
              <w:left w:val="nil"/>
              <w:bottom w:val="single" w:sz="4" w:space="0" w:color="FFFFFF"/>
              <w:right w:val="single" w:sz="4" w:space="0" w:color="FFFFFF"/>
            </w:tcBorders>
            <w:shd w:val="clear" w:color="000000" w:fill="808080"/>
            <w:noWrap/>
            <w:vAlign w:val="center"/>
            <w:hideMark/>
          </w:tcPr>
          <w:p w14:paraId="71DBF08C" w14:textId="77777777" w:rsidR="00537FCF" w:rsidRPr="005D60AB"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25</w:t>
            </w:r>
          </w:p>
        </w:tc>
      </w:tr>
      <w:tr w:rsidR="00537FCF" w:rsidRPr="00086AB2" w14:paraId="6FA7B34A" w14:textId="77777777" w:rsidTr="00C36C71">
        <w:trPr>
          <w:cnfStyle w:val="000000010000" w:firstRow="0" w:lastRow="0" w:firstColumn="0" w:lastColumn="0" w:oddVBand="0" w:evenVBand="0" w:oddHBand="0" w:evenHBand="1"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5480B97A" w14:textId="77777777" w:rsidR="00537FCF" w:rsidRPr="00813E4D" w:rsidRDefault="00537FCF" w:rsidP="008659BF">
            <w:pPr>
              <w:spacing w:before="0" w:after="0"/>
              <w:jc w:val="left"/>
              <w:rPr>
                <w:rFonts w:cs="Arial"/>
                <w:color w:val="000000"/>
                <w:szCs w:val="20"/>
              </w:rPr>
            </w:pPr>
            <w:r w:rsidRPr="00813E4D">
              <w:rPr>
                <w:rFonts w:cs="Arial"/>
                <w:color w:val="000000"/>
                <w:szCs w:val="20"/>
              </w:rPr>
              <w:t>Western Australia</w:t>
            </w:r>
          </w:p>
        </w:tc>
        <w:tc>
          <w:tcPr>
            <w:tcW w:w="1013" w:type="dxa"/>
            <w:tcBorders>
              <w:top w:val="nil"/>
              <w:left w:val="nil"/>
              <w:bottom w:val="single" w:sz="4" w:space="0" w:color="FFFFFF"/>
              <w:right w:val="single" w:sz="4" w:space="0" w:color="FFFFFF"/>
            </w:tcBorders>
            <w:shd w:val="clear" w:color="000000" w:fill="FFFFFF"/>
            <w:noWrap/>
            <w:vAlign w:val="center"/>
            <w:hideMark/>
          </w:tcPr>
          <w:p w14:paraId="69585DD3"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14" w:type="dxa"/>
            <w:tcBorders>
              <w:top w:val="nil"/>
              <w:left w:val="nil"/>
              <w:bottom w:val="single" w:sz="4" w:space="0" w:color="FFFFFF"/>
              <w:right w:val="single" w:sz="4" w:space="0" w:color="FFFFFF"/>
            </w:tcBorders>
            <w:shd w:val="clear" w:color="000000" w:fill="FFFFFF"/>
            <w:noWrap/>
            <w:vAlign w:val="center"/>
          </w:tcPr>
          <w:p w14:paraId="7E14660E"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w:t>
            </w:r>
          </w:p>
        </w:tc>
        <w:tc>
          <w:tcPr>
            <w:tcW w:w="1014" w:type="dxa"/>
            <w:tcBorders>
              <w:top w:val="nil"/>
              <w:left w:val="nil"/>
              <w:bottom w:val="single" w:sz="4" w:space="0" w:color="FFFFFF"/>
              <w:right w:val="single" w:sz="4" w:space="0" w:color="FFFFFF"/>
            </w:tcBorders>
            <w:shd w:val="clear" w:color="000000" w:fill="FFFFFF"/>
            <w:noWrap/>
            <w:vAlign w:val="center"/>
          </w:tcPr>
          <w:p w14:paraId="6F9C1155"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13" w:type="dxa"/>
            <w:tcBorders>
              <w:top w:val="nil"/>
              <w:left w:val="nil"/>
              <w:bottom w:val="single" w:sz="4" w:space="0" w:color="FFFFFF"/>
              <w:right w:val="single" w:sz="4" w:space="0" w:color="FFFFFF"/>
            </w:tcBorders>
            <w:shd w:val="clear" w:color="000000" w:fill="FFFFFF"/>
            <w:noWrap/>
            <w:vAlign w:val="center"/>
          </w:tcPr>
          <w:p w14:paraId="5151D999"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16</w:t>
            </w:r>
          </w:p>
        </w:tc>
        <w:tc>
          <w:tcPr>
            <w:tcW w:w="1014" w:type="dxa"/>
            <w:tcBorders>
              <w:top w:val="nil"/>
              <w:left w:val="nil"/>
              <w:bottom w:val="single" w:sz="4" w:space="0" w:color="FFFFFF"/>
              <w:right w:val="single" w:sz="4" w:space="0" w:color="FFFFFF"/>
            </w:tcBorders>
            <w:shd w:val="clear" w:color="000000" w:fill="FFFFFF"/>
            <w:noWrap/>
            <w:vAlign w:val="center"/>
          </w:tcPr>
          <w:p w14:paraId="4C1595D4" w14:textId="77777777" w:rsidR="00537FCF" w:rsidRPr="00C24B25"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16</w:t>
            </w:r>
          </w:p>
        </w:tc>
        <w:tc>
          <w:tcPr>
            <w:tcW w:w="1014" w:type="dxa"/>
            <w:tcBorders>
              <w:top w:val="nil"/>
              <w:left w:val="nil"/>
              <w:bottom w:val="single" w:sz="4" w:space="0" w:color="FFFFFF"/>
              <w:right w:val="single" w:sz="4" w:space="0" w:color="FFFFFF"/>
            </w:tcBorders>
            <w:shd w:val="clear" w:color="000000" w:fill="808080"/>
            <w:noWrap/>
            <w:vAlign w:val="center"/>
            <w:hideMark/>
          </w:tcPr>
          <w:p w14:paraId="7321B849" w14:textId="77777777" w:rsidR="00537FCF" w:rsidRPr="005D60AB"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szCs w:val="20"/>
              </w:rPr>
              <w:t>14</w:t>
            </w:r>
          </w:p>
        </w:tc>
      </w:tr>
      <w:tr w:rsidR="00537FCF" w:rsidRPr="00086AB2" w14:paraId="78E52756" w14:textId="77777777" w:rsidTr="00C36C71">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0F9617F2" w14:textId="77777777" w:rsidR="00537FCF" w:rsidRPr="00813E4D" w:rsidRDefault="00537FCF" w:rsidP="008659BF">
            <w:pPr>
              <w:spacing w:before="0" w:after="0"/>
              <w:jc w:val="left"/>
              <w:rPr>
                <w:rFonts w:cs="Arial"/>
                <w:color w:val="000000"/>
                <w:szCs w:val="20"/>
              </w:rPr>
            </w:pPr>
            <w:r w:rsidRPr="00813E4D">
              <w:rPr>
                <w:rFonts w:cs="Arial"/>
                <w:color w:val="000000"/>
                <w:szCs w:val="20"/>
              </w:rPr>
              <w:t>South Australia</w:t>
            </w:r>
          </w:p>
        </w:tc>
        <w:tc>
          <w:tcPr>
            <w:tcW w:w="1013" w:type="dxa"/>
            <w:tcBorders>
              <w:top w:val="nil"/>
              <w:left w:val="nil"/>
              <w:bottom w:val="single" w:sz="4" w:space="0" w:color="FFFFFF"/>
              <w:right w:val="single" w:sz="4" w:space="0" w:color="FFFFFF"/>
            </w:tcBorders>
            <w:shd w:val="clear" w:color="000000" w:fill="EFD3D2"/>
            <w:noWrap/>
            <w:vAlign w:val="center"/>
            <w:hideMark/>
          </w:tcPr>
          <w:p w14:paraId="0C214E59"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c>
          <w:tcPr>
            <w:tcW w:w="1014" w:type="dxa"/>
            <w:tcBorders>
              <w:top w:val="nil"/>
              <w:left w:val="nil"/>
              <w:bottom w:val="single" w:sz="4" w:space="0" w:color="FFFFFF"/>
              <w:right w:val="single" w:sz="4" w:space="0" w:color="FFFFFF"/>
            </w:tcBorders>
            <w:shd w:val="clear" w:color="000000" w:fill="EFD3D2"/>
            <w:noWrap/>
            <w:vAlign w:val="center"/>
          </w:tcPr>
          <w:p w14:paraId="74C75EFB"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014" w:type="dxa"/>
            <w:tcBorders>
              <w:top w:val="nil"/>
              <w:left w:val="nil"/>
              <w:bottom w:val="single" w:sz="4" w:space="0" w:color="FFFFFF"/>
              <w:right w:val="single" w:sz="4" w:space="0" w:color="FFFFFF"/>
            </w:tcBorders>
            <w:shd w:val="clear" w:color="000000" w:fill="EFD3D2"/>
            <w:noWrap/>
            <w:vAlign w:val="center"/>
          </w:tcPr>
          <w:p w14:paraId="1F93BB4C"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013" w:type="dxa"/>
            <w:tcBorders>
              <w:top w:val="nil"/>
              <w:left w:val="nil"/>
              <w:bottom w:val="single" w:sz="4" w:space="0" w:color="FFFFFF"/>
              <w:right w:val="single" w:sz="4" w:space="0" w:color="FFFFFF"/>
            </w:tcBorders>
            <w:shd w:val="clear" w:color="000000" w:fill="EFD3D2"/>
            <w:noWrap/>
            <w:vAlign w:val="center"/>
          </w:tcPr>
          <w:p w14:paraId="01850CAF"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w:t>
            </w:r>
          </w:p>
        </w:tc>
        <w:tc>
          <w:tcPr>
            <w:tcW w:w="1014" w:type="dxa"/>
            <w:tcBorders>
              <w:top w:val="nil"/>
              <w:left w:val="nil"/>
              <w:bottom w:val="single" w:sz="4" w:space="0" w:color="FFFFFF"/>
              <w:right w:val="single" w:sz="4" w:space="0" w:color="FFFFFF"/>
            </w:tcBorders>
            <w:shd w:val="clear" w:color="000000" w:fill="EFD3D2"/>
            <w:noWrap/>
            <w:vAlign w:val="center"/>
          </w:tcPr>
          <w:p w14:paraId="68444048" w14:textId="77777777" w:rsidR="00537FCF" w:rsidRPr="00C24B25"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10</w:t>
            </w:r>
          </w:p>
        </w:tc>
        <w:tc>
          <w:tcPr>
            <w:tcW w:w="1014" w:type="dxa"/>
            <w:tcBorders>
              <w:top w:val="nil"/>
              <w:left w:val="nil"/>
              <w:bottom w:val="single" w:sz="4" w:space="0" w:color="FFFFFF"/>
              <w:right w:val="single" w:sz="4" w:space="0" w:color="FFFFFF"/>
            </w:tcBorders>
            <w:shd w:val="clear" w:color="000000" w:fill="808080"/>
            <w:noWrap/>
            <w:vAlign w:val="center"/>
            <w:hideMark/>
          </w:tcPr>
          <w:p w14:paraId="1D62F887" w14:textId="77777777" w:rsidR="00537FCF" w:rsidRPr="005D60AB"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8</w:t>
            </w:r>
          </w:p>
        </w:tc>
      </w:tr>
      <w:tr w:rsidR="00537FCF" w:rsidRPr="00086AB2" w14:paraId="4F03F041" w14:textId="77777777" w:rsidTr="00C36C71">
        <w:trPr>
          <w:cnfStyle w:val="000000010000" w:firstRow="0" w:lastRow="0" w:firstColumn="0" w:lastColumn="0" w:oddVBand="0" w:evenVBand="0" w:oddHBand="0" w:evenHBand="1"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0A22F559" w14:textId="77777777" w:rsidR="00537FCF" w:rsidRPr="00813E4D" w:rsidRDefault="00537FCF" w:rsidP="008659BF">
            <w:pPr>
              <w:spacing w:before="0" w:after="0"/>
              <w:jc w:val="left"/>
              <w:rPr>
                <w:rFonts w:cs="Arial"/>
                <w:color w:val="000000"/>
                <w:szCs w:val="20"/>
              </w:rPr>
            </w:pPr>
            <w:r w:rsidRPr="00813E4D">
              <w:rPr>
                <w:rFonts w:cs="Arial"/>
                <w:color w:val="000000"/>
                <w:szCs w:val="20"/>
              </w:rPr>
              <w:t>Northern Territory</w:t>
            </w:r>
          </w:p>
        </w:tc>
        <w:tc>
          <w:tcPr>
            <w:tcW w:w="1013" w:type="dxa"/>
            <w:tcBorders>
              <w:top w:val="nil"/>
              <w:left w:val="nil"/>
              <w:bottom w:val="single" w:sz="4" w:space="0" w:color="FFFFFF"/>
              <w:right w:val="single" w:sz="4" w:space="0" w:color="FFFFFF"/>
            </w:tcBorders>
            <w:shd w:val="clear" w:color="000000" w:fill="FFFFFF"/>
            <w:noWrap/>
            <w:vAlign w:val="center"/>
            <w:hideMark/>
          </w:tcPr>
          <w:p w14:paraId="7A2B0868"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w:t>
            </w:r>
          </w:p>
        </w:tc>
        <w:tc>
          <w:tcPr>
            <w:tcW w:w="1014" w:type="dxa"/>
            <w:tcBorders>
              <w:top w:val="nil"/>
              <w:left w:val="nil"/>
              <w:bottom w:val="single" w:sz="4" w:space="0" w:color="FFFFFF"/>
              <w:right w:val="single" w:sz="4" w:space="0" w:color="FFFFFF"/>
            </w:tcBorders>
            <w:shd w:val="clear" w:color="000000" w:fill="FFFFFF"/>
            <w:noWrap/>
            <w:vAlign w:val="center"/>
          </w:tcPr>
          <w:p w14:paraId="5FEE7D02"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1014" w:type="dxa"/>
            <w:tcBorders>
              <w:top w:val="nil"/>
              <w:left w:val="nil"/>
              <w:bottom w:val="single" w:sz="4" w:space="0" w:color="FFFFFF"/>
              <w:right w:val="single" w:sz="4" w:space="0" w:color="FFFFFF"/>
            </w:tcBorders>
            <w:shd w:val="clear" w:color="000000" w:fill="FFFFFF"/>
            <w:noWrap/>
            <w:vAlign w:val="center"/>
          </w:tcPr>
          <w:p w14:paraId="5B3EA00C"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w:t>
            </w:r>
          </w:p>
        </w:tc>
        <w:tc>
          <w:tcPr>
            <w:tcW w:w="1013" w:type="dxa"/>
            <w:tcBorders>
              <w:top w:val="nil"/>
              <w:left w:val="nil"/>
              <w:bottom w:val="single" w:sz="4" w:space="0" w:color="FFFFFF"/>
              <w:right w:val="single" w:sz="4" w:space="0" w:color="FFFFFF"/>
            </w:tcBorders>
            <w:shd w:val="clear" w:color="000000" w:fill="FFFFFF"/>
            <w:noWrap/>
            <w:vAlign w:val="center"/>
          </w:tcPr>
          <w:p w14:paraId="0C8EE2E6"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1014" w:type="dxa"/>
            <w:tcBorders>
              <w:top w:val="nil"/>
              <w:left w:val="nil"/>
              <w:bottom w:val="single" w:sz="4" w:space="0" w:color="FFFFFF"/>
              <w:right w:val="single" w:sz="4" w:space="0" w:color="FFFFFF"/>
            </w:tcBorders>
            <w:shd w:val="clear" w:color="000000" w:fill="FFFFFF"/>
            <w:noWrap/>
            <w:vAlign w:val="center"/>
          </w:tcPr>
          <w:p w14:paraId="60A352AA" w14:textId="77777777" w:rsidR="00537FCF" w:rsidRPr="00C24B25"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4</w:t>
            </w:r>
          </w:p>
        </w:tc>
        <w:tc>
          <w:tcPr>
            <w:tcW w:w="1014" w:type="dxa"/>
            <w:tcBorders>
              <w:top w:val="nil"/>
              <w:left w:val="nil"/>
              <w:bottom w:val="single" w:sz="4" w:space="0" w:color="FFFFFF"/>
              <w:right w:val="single" w:sz="4" w:space="0" w:color="FFFFFF"/>
            </w:tcBorders>
            <w:shd w:val="clear" w:color="000000" w:fill="808080"/>
            <w:noWrap/>
            <w:vAlign w:val="center"/>
            <w:hideMark/>
          </w:tcPr>
          <w:p w14:paraId="74A73E0A" w14:textId="77777777" w:rsidR="00537FCF" w:rsidRPr="005D60AB"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szCs w:val="20"/>
              </w:rPr>
              <w:t>4</w:t>
            </w:r>
          </w:p>
        </w:tc>
      </w:tr>
      <w:tr w:rsidR="00537FCF" w:rsidRPr="00086AB2" w14:paraId="58722728" w14:textId="77777777" w:rsidTr="00C36C71">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6524D9BC" w14:textId="77777777" w:rsidR="00537FCF" w:rsidRPr="00813E4D" w:rsidRDefault="00537FCF" w:rsidP="008659BF">
            <w:pPr>
              <w:spacing w:before="0" w:after="0"/>
              <w:jc w:val="left"/>
              <w:rPr>
                <w:rFonts w:cs="Arial"/>
                <w:color w:val="000000"/>
                <w:szCs w:val="20"/>
              </w:rPr>
            </w:pPr>
            <w:r w:rsidRPr="00813E4D">
              <w:rPr>
                <w:rFonts w:cs="Arial"/>
                <w:color w:val="000000"/>
                <w:szCs w:val="20"/>
              </w:rPr>
              <w:t>Tasmania</w:t>
            </w:r>
          </w:p>
        </w:tc>
        <w:tc>
          <w:tcPr>
            <w:tcW w:w="1013" w:type="dxa"/>
            <w:tcBorders>
              <w:top w:val="nil"/>
              <w:left w:val="nil"/>
              <w:bottom w:val="single" w:sz="4" w:space="0" w:color="FFFFFF"/>
              <w:right w:val="single" w:sz="4" w:space="0" w:color="FFFFFF"/>
            </w:tcBorders>
            <w:shd w:val="clear" w:color="000000" w:fill="EFD3D2"/>
            <w:noWrap/>
            <w:vAlign w:val="center"/>
            <w:hideMark/>
          </w:tcPr>
          <w:p w14:paraId="51C1DF42"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EFD3D2"/>
            <w:noWrap/>
            <w:vAlign w:val="center"/>
          </w:tcPr>
          <w:p w14:paraId="159EB847"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w:t>
            </w:r>
          </w:p>
        </w:tc>
        <w:tc>
          <w:tcPr>
            <w:tcW w:w="1014" w:type="dxa"/>
            <w:tcBorders>
              <w:top w:val="nil"/>
              <w:left w:val="nil"/>
              <w:bottom w:val="single" w:sz="4" w:space="0" w:color="FFFFFF"/>
              <w:right w:val="single" w:sz="4" w:space="0" w:color="FFFFFF"/>
            </w:tcBorders>
            <w:shd w:val="clear" w:color="000000" w:fill="EFD3D2"/>
            <w:noWrap/>
            <w:vAlign w:val="center"/>
          </w:tcPr>
          <w:p w14:paraId="05103258"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13" w:type="dxa"/>
            <w:tcBorders>
              <w:top w:val="nil"/>
              <w:left w:val="nil"/>
              <w:bottom w:val="single" w:sz="4" w:space="0" w:color="FFFFFF"/>
              <w:right w:val="single" w:sz="4" w:space="0" w:color="FFFFFF"/>
            </w:tcBorders>
            <w:shd w:val="clear" w:color="000000" w:fill="EFD3D2"/>
            <w:noWrap/>
            <w:vAlign w:val="center"/>
          </w:tcPr>
          <w:p w14:paraId="5968166F"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w:t>
            </w:r>
          </w:p>
        </w:tc>
        <w:tc>
          <w:tcPr>
            <w:tcW w:w="1014" w:type="dxa"/>
            <w:tcBorders>
              <w:top w:val="nil"/>
              <w:left w:val="nil"/>
              <w:bottom w:val="single" w:sz="4" w:space="0" w:color="FFFFFF"/>
              <w:right w:val="single" w:sz="4" w:space="0" w:color="FFFFFF"/>
            </w:tcBorders>
            <w:shd w:val="clear" w:color="000000" w:fill="EFD3D2"/>
            <w:noWrap/>
            <w:vAlign w:val="center"/>
          </w:tcPr>
          <w:p w14:paraId="09319092" w14:textId="77777777" w:rsidR="00537FCF" w:rsidRPr="008F29A3"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808080"/>
            <w:noWrap/>
            <w:vAlign w:val="center"/>
            <w:hideMark/>
          </w:tcPr>
          <w:p w14:paraId="4D83E843" w14:textId="77777777" w:rsidR="00537FCF" w:rsidRPr="005D60AB"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3</w:t>
            </w:r>
          </w:p>
        </w:tc>
      </w:tr>
      <w:tr w:rsidR="00537FCF" w:rsidRPr="00086AB2" w14:paraId="5F13A2F0" w14:textId="77777777" w:rsidTr="00C36C71">
        <w:trPr>
          <w:cnfStyle w:val="000000010000" w:firstRow="0" w:lastRow="0" w:firstColumn="0" w:lastColumn="0" w:oddVBand="0" w:evenVBand="0" w:oddHBand="0" w:evenHBand="1" w:firstRowFirstColumn="0" w:firstRowLastColumn="0" w:lastRowFirstColumn="0" w:lastRowLastColumn="0"/>
          <w:trHeight w:hRule="exact" w:val="67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2E551B0D" w14:textId="77777777" w:rsidR="00537FCF" w:rsidRPr="00813E4D" w:rsidRDefault="00537FCF" w:rsidP="008659BF">
            <w:pPr>
              <w:spacing w:before="0" w:after="0"/>
              <w:jc w:val="left"/>
              <w:rPr>
                <w:rFonts w:cs="Arial"/>
                <w:color w:val="000000"/>
                <w:szCs w:val="20"/>
              </w:rPr>
            </w:pPr>
            <w:r w:rsidRPr="00813E4D">
              <w:rPr>
                <w:rFonts w:cs="Arial"/>
                <w:color w:val="000000"/>
                <w:szCs w:val="20"/>
              </w:rPr>
              <w:t>Australian Capital Territory</w:t>
            </w:r>
          </w:p>
        </w:tc>
        <w:tc>
          <w:tcPr>
            <w:tcW w:w="1013" w:type="dxa"/>
            <w:tcBorders>
              <w:top w:val="nil"/>
              <w:left w:val="nil"/>
              <w:bottom w:val="single" w:sz="4" w:space="0" w:color="FFFFFF"/>
              <w:right w:val="single" w:sz="4" w:space="0" w:color="FFFFFF"/>
            </w:tcBorders>
            <w:shd w:val="clear" w:color="000000" w:fill="FFFFFF"/>
            <w:noWrap/>
            <w:vAlign w:val="center"/>
            <w:hideMark/>
          </w:tcPr>
          <w:p w14:paraId="11FB7C52"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FFFFFF"/>
            <w:noWrap/>
            <w:vAlign w:val="center"/>
          </w:tcPr>
          <w:p w14:paraId="77DD0AE9"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014" w:type="dxa"/>
            <w:tcBorders>
              <w:top w:val="nil"/>
              <w:left w:val="nil"/>
              <w:bottom w:val="single" w:sz="4" w:space="0" w:color="FFFFFF"/>
              <w:right w:val="single" w:sz="4" w:space="0" w:color="FFFFFF"/>
            </w:tcBorders>
            <w:shd w:val="clear" w:color="000000" w:fill="FFFFFF"/>
            <w:noWrap/>
            <w:vAlign w:val="center"/>
          </w:tcPr>
          <w:p w14:paraId="75F88487"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013" w:type="dxa"/>
            <w:tcBorders>
              <w:top w:val="nil"/>
              <w:left w:val="nil"/>
              <w:bottom w:val="single" w:sz="4" w:space="0" w:color="FFFFFF"/>
              <w:right w:val="single" w:sz="4" w:space="0" w:color="FFFFFF"/>
            </w:tcBorders>
            <w:shd w:val="clear" w:color="000000" w:fill="FFFFFF"/>
            <w:noWrap/>
            <w:vAlign w:val="center"/>
          </w:tcPr>
          <w:p w14:paraId="5A0120DC" w14:textId="77777777" w:rsidR="00537FCF" w:rsidRPr="00086AB2"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FFFFFF"/>
            <w:noWrap/>
            <w:vAlign w:val="center"/>
          </w:tcPr>
          <w:p w14:paraId="78566E76" w14:textId="77777777" w:rsidR="00537FCF" w:rsidRPr="008F29A3"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0</w:t>
            </w:r>
          </w:p>
        </w:tc>
        <w:tc>
          <w:tcPr>
            <w:tcW w:w="1014" w:type="dxa"/>
            <w:tcBorders>
              <w:top w:val="nil"/>
              <w:left w:val="nil"/>
              <w:bottom w:val="single" w:sz="4" w:space="0" w:color="FFFFFF"/>
              <w:right w:val="single" w:sz="4" w:space="0" w:color="FFFFFF"/>
            </w:tcBorders>
            <w:shd w:val="clear" w:color="000000" w:fill="808080"/>
            <w:noWrap/>
            <w:vAlign w:val="center"/>
            <w:hideMark/>
          </w:tcPr>
          <w:p w14:paraId="26D89D34" w14:textId="77777777" w:rsidR="00537FCF" w:rsidRPr="005D60AB" w:rsidRDefault="00537FCF" w:rsidP="008659BF">
            <w:pPr>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b/>
                <w:bCs/>
                <w:color w:val="FFFFFF"/>
                <w:szCs w:val="20"/>
              </w:rPr>
              <w:t>1</w:t>
            </w:r>
          </w:p>
        </w:tc>
      </w:tr>
      <w:tr w:rsidR="00537FCF" w:rsidRPr="00086AB2" w14:paraId="2AC28C25" w14:textId="77777777" w:rsidTr="00C36C71">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shd w:val="clear" w:color="auto" w:fill="808080" w:themeFill="background1" w:themeFillShade="80"/>
            <w:noWrap/>
            <w:vAlign w:val="center"/>
            <w:hideMark/>
          </w:tcPr>
          <w:p w14:paraId="0F5EC33B" w14:textId="77777777" w:rsidR="00537FCF" w:rsidRPr="00813E4D" w:rsidRDefault="00537FCF" w:rsidP="008659BF">
            <w:pPr>
              <w:spacing w:before="0" w:after="0"/>
              <w:jc w:val="left"/>
              <w:rPr>
                <w:rFonts w:cs="Arial"/>
                <w:color w:val="FFFFFF" w:themeColor="background1"/>
                <w:szCs w:val="20"/>
              </w:rPr>
            </w:pPr>
            <w:r w:rsidRPr="00813E4D">
              <w:rPr>
                <w:rFonts w:cs="Arial"/>
                <w:color w:val="FFFFFF" w:themeColor="background1"/>
                <w:szCs w:val="20"/>
              </w:rPr>
              <w:t>Australian total</w:t>
            </w:r>
          </w:p>
        </w:tc>
        <w:tc>
          <w:tcPr>
            <w:tcW w:w="1013" w:type="dxa"/>
            <w:tcBorders>
              <w:top w:val="nil"/>
              <w:left w:val="nil"/>
              <w:bottom w:val="single" w:sz="4" w:space="0" w:color="FFFFFF"/>
              <w:right w:val="single" w:sz="4" w:space="0" w:color="FFFFFF"/>
            </w:tcBorders>
            <w:shd w:val="clear" w:color="000000" w:fill="808080"/>
            <w:noWrap/>
            <w:vAlign w:val="center"/>
            <w:hideMark/>
          </w:tcPr>
          <w:p w14:paraId="41747371"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125</w:t>
            </w:r>
          </w:p>
        </w:tc>
        <w:tc>
          <w:tcPr>
            <w:tcW w:w="1014" w:type="dxa"/>
            <w:tcBorders>
              <w:top w:val="nil"/>
              <w:left w:val="nil"/>
              <w:bottom w:val="single" w:sz="4" w:space="0" w:color="FFFFFF"/>
              <w:right w:val="single" w:sz="4" w:space="0" w:color="FFFFFF"/>
            </w:tcBorders>
            <w:shd w:val="clear" w:color="000000" w:fill="808080"/>
            <w:noWrap/>
            <w:vAlign w:val="center"/>
          </w:tcPr>
          <w:p w14:paraId="2B7D9B0E"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122</w:t>
            </w:r>
          </w:p>
        </w:tc>
        <w:tc>
          <w:tcPr>
            <w:tcW w:w="1014" w:type="dxa"/>
            <w:tcBorders>
              <w:top w:val="nil"/>
              <w:left w:val="nil"/>
              <w:bottom w:val="single" w:sz="4" w:space="0" w:color="FFFFFF"/>
              <w:right w:val="single" w:sz="4" w:space="0" w:color="FFFFFF"/>
            </w:tcBorders>
            <w:shd w:val="clear" w:color="000000" w:fill="808080"/>
            <w:noWrap/>
            <w:vAlign w:val="center"/>
          </w:tcPr>
          <w:p w14:paraId="0CB23C3C"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120</w:t>
            </w:r>
          </w:p>
        </w:tc>
        <w:tc>
          <w:tcPr>
            <w:tcW w:w="1013" w:type="dxa"/>
            <w:tcBorders>
              <w:top w:val="nil"/>
              <w:left w:val="nil"/>
              <w:bottom w:val="single" w:sz="4" w:space="0" w:color="FFFFFF"/>
              <w:right w:val="single" w:sz="4" w:space="0" w:color="FFFFFF"/>
            </w:tcBorders>
            <w:shd w:val="clear" w:color="000000" w:fill="808080"/>
            <w:noWrap/>
            <w:vAlign w:val="center"/>
          </w:tcPr>
          <w:p w14:paraId="2CBD7C9A" w14:textId="77777777" w:rsidR="00537FCF" w:rsidRPr="00086AB2"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140</w:t>
            </w:r>
          </w:p>
        </w:tc>
        <w:tc>
          <w:tcPr>
            <w:tcW w:w="1014" w:type="dxa"/>
            <w:tcBorders>
              <w:top w:val="nil"/>
              <w:left w:val="nil"/>
              <w:bottom w:val="single" w:sz="4" w:space="0" w:color="FFFFFF"/>
              <w:right w:val="single" w:sz="4" w:space="0" w:color="FFFFFF"/>
            </w:tcBorders>
            <w:shd w:val="clear" w:color="000000" w:fill="808080"/>
            <w:noWrap/>
            <w:vAlign w:val="center"/>
          </w:tcPr>
          <w:p w14:paraId="7C61D943" w14:textId="77777777" w:rsidR="00537FCF" w:rsidRPr="00535E4C"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0000"/>
                <w:szCs w:val="20"/>
              </w:rPr>
            </w:pPr>
            <w:r>
              <w:rPr>
                <w:rFonts w:cs="Arial"/>
                <w:b/>
                <w:bCs/>
                <w:color w:val="FFFFFF"/>
                <w:szCs w:val="20"/>
              </w:rPr>
              <w:t>103</w:t>
            </w:r>
          </w:p>
        </w:tc>
        <w:tc>
          <w:tcPr>
            <w:tcW w:w="1014" w:type="dxa"/>
            <w:tcBorders>
              <w:top w:val="nil"/>
              <w:left w:val="nil"/>
              <w:bottom w:val="single" w:sz="4" w:space="0" w:color="FFFFFF"/>
              <w:right w:val="single" w:sz="4" w:space="0" w:color="FFFFFF"/>
            </w:tcBorders>
            <w:shd w:val="clear" w:color="000000" w:fill="808080"/>
            <w:noWrap/>
            <w:vAlign w:val="center"/>
            <w:hideMark/>
          </w:tcPr>
          <w:p w14:paraId="50D8DDD1" w14:textId="77777777" w:rsidR="00537FCF" w:rsidRPr="005D60AB" w:rsidRDefault="00537FCF" w:rsidP="008659BF">
            <w:pPr>
              <w:spacing w:before="0" w:after="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themeColor="background1"/>
                <w:szCs w:val="20"/>
              </w:rPr>
              <w:t>122</w:t>
            </w:r>
          </w:p>
        </w:tc>
      </w:tr>
    </w:tbl>
    <w:p w14:paraId="04872C87" w14:textId="77777777" w:rsidR="00537FCF" w:rsidRDefault="00537FCF" w:rsidP="00537FCF"/>
    <w:p w14:paraId="09C062B2" w14:textId="25D9FB04" w:rsidR="00537FCF" w:rsidRDefault="00537FCF" w:rsidP="00510225">
      <w:r w:rsidRPr="00353513">
        <w:t>However, incidence rates over the five</w:t>
      </w:r>
      <w:r w:rsidR="00724339">
        <w:t>-</w:t>
      </w:r>
      <w:r w:rsidRPr="00353513">
        <w:t>year period show that the Northern Territory (</w:t>
      </w:r>
      <w:r>
        <w:t>3.3 </w:t>
      </w:r>
      <w:r w:rsidRPr="00353513">
        <w:t>fatalities per 100,000 workers) recorded the highest rate and the Australian Capital Territory (0.</w:t>
      </w:r>
      <w:r>
        <w:t>4 </w:t>
      </w:r>
      <w:r w:rsidRPr="00353513">
        <w:t>fatalities per 100,000 workers) recorded the lowest rate (Indicator 7b).</w:t>
      </w:r>
    </w:p>
    <w:p w14:paraId="78C2E5B2" w14:textId="67F2E5F5" w:rsidR="00510225" w:rsidRDefault="00510225" w:rsidP="00510225"/>
    <w:p w14:paraId="25AB323E" w14:textId="77777777" w:rsidR="00510225" w:rsidRPr="00086AB2" w:rsidRDefault="00510225" w:rsidP="00510225">
      <w:pPr>
        <w:pStyle w:val="Heading3"/>
      </w:pPr>
      <w:r w:rsidRPr="00086AB2">
        <w:lastRenderedPageBreak/>
        <w:t>Indicator 7b – Traumatic injury fatalities: incidence rate per 100,000 workers for incidents not on a public road, by state of death</w:t>
      </w:r>
      <w:r>
        <w:t xml:space="preserve"> </w:t>
      </w:r>
    </w:p>
    <w:tbl>
      <w:tblPr>
        <w:tblStyle w:val="LightShading-Accent2"/>
        <w:tblpPr w:leftFromText="180" w:rightFromText="180" w:vertAnchor="text" w:horzAnchor="margin" w:tblpY="38"/>
        <w:tblW w:w="8926" w:type="dxa"/>
        <w:tblLayout w:type="fixed"/>
        <w:tblLook w:val="04A0" w:firstRow="1" w:lastRow="0" w:firstColumn="1" w:lastColumn="0" w:noHBand="0" w:noVBand="1"/>
        <w:tblCaption w:val="Indicator 7b – Traumatic injury fatalities: incidence rate per 100,000 workers for incidents not on a public road, by state of death"/>
        <w:tblDescription w:val="This table shows the incidence rate per 100,000 workers of fatal incidents not occurring on a public road between 2015-16 and 2019-20, and an average based on the past 5 recorded years, in each Australian jurisdiction. Refer to body text for more details."/>
      </w:tblPr>
      <w:tblGrid>
        <w:gridCol w:w="2764"/>
        <w:gridCol w:w="1024"/>
        <w:gridCol w:w="1024"/>
        <w:gridCol w:w="1024"/>
        <w:gridCol w:w="1024"/>
        <w:gridCol w:w="1024"/>
        <w:gridCol w:w="1042"/>
      </w:tblGrid>
      <w:tr w:rsidR="00510225" w:rsidRPr="00086AB2" w14:paraId="3CD502D6" w14:textId="77777777" w:rsidTr="00B0018D">
        <w:trPr>
          <w:cnfStyle w:val="100000000000" w:firstRow="1" w:lastRow="0" w:firstColumn="0" w:lastColumn="0" w:oddVBand="0" w:evenVBand="0" w:oddHBand="0" w:evenHBand="0" w:firstRowFirstColumn="0" w:firstRowLastColumn="0" w:lastRowFirstColumn="0" w:lastRowLastColumn="0"/>
          <w:trHeight w:hRule="exact" w:val="719"/>
          <w:tblHeader/>
        </w:trPr>
        <w:tc>
          <w:tcPr>
            <w:cnfStyle w:val="001000000000" w:firstRow="0" w:lastRow="0" w:firstColumn="1" w:lastColumn="0" w:oddVBand="0" w:evenVBand="0" w:oddHBand="0" w:evenHBand="0" w:firstRowFirstColumn="0" w:firstRowLastColumn="0" w:lastRowFirstColumn="0" w:lastRowLastColumn="0"/>
            <w:tcW w:w="2764" w:type="dxa"/>
            <w:noWrap/>
            <w:vAlign w:val="center"/>
          </w:tcPr>
          <w:p w14:paraId="40FF28C4" w14:textId="77777777" w:rsidR="00510225" w:rsidRPr="00086AB2" w:rsidRDefault="00510225" w:rsidP="008659BF">
            <w:pPr>
              <w:keepNext/>
              <w:keepLines/>
              <w:spacing w:before="0" w:after="0"/>
              <w:jc w:val="center"/>
              <w:rPr>
                <w:rFonts w:cs="Arial"/>
                <w:szCs w:val="20"/>
              </w:rPr>
            </w:pPr>
          </w:p>
        </w:tc>
        <w:tc>
          <w:tcPr>
            <w:tcW w:w="1024" w:type="dxa"/>
            <w:tcBorders>
              <w:top w:val="single" w:sz="4" w:space="0" w:color="FFFFFF"/>
              <w:left w:val="nil"/>
              <w:bottom w:val="single" w:sz="4" w:space="0" w:color="FFFFFF"/>
              <w:right w:val="single" w:sz="4" w:space="0" w:color="FFFFFF"/>
            </w:tcBorders>
            <w:shd w:val="clear" w:color="000000" w:fill="AF1E2D"/>
            <w:noWrap/>
            <w:vAlign w:val="center"/>
          </w:tcPr>
          <w:p w14:paraId="17CBBC66" w14:textId="77777777" w:rsidR="00510225" w:rsidRPr="00086AB2" w:rsidRDefault="00510225"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2016–17</w:t>
            </w:r>
          </w:p>
        </w:tc>
        <w:tc>
          <w:tcPr>
            <w:tcW w:w="1024" w:type="dxa"/>
            <w:tcBorders>
              <w:top w:val="single" w:sz="4" w:space="0" w:color="FFFFFF"/>
              <w:left w:val="nil"/>
              <w:bottom w:val="single" w:sz="4" w:space="0" w:color="FFFFFF"/>
              <w:right w:val="single" w:sz="4" w:space="0" w:color="FFFFFF"/>
            </w:tcBorders>
            <w:shd w:val="clear" w:color="000000" w:fill="AF1E2D"/>
            <w:noWrap/>
            <w:vAlign w:val="center"/>
          </w:tcPr>
          <w:p w14:paraId="7E075CAF" w14:textId="77777777" w:rsidR="00510225" w:rsidRPr="00086AB2" w:rsidRDefault="00510225"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2017–18</w:t>
            </w:r>
          </w:p>
        </w:tc>
        <w:tc>
          <w:tcPr>
            <w:tcW w:w="1024" w:type="dxa"/>
            <w:tcBorders>
              <w:top w:val="single" w:sz="4" w:space="0" w:color="FFFFFF"/>
              <w:left w:val="nil"/>
              <w:bottom w:val="single" w:sz="4" w:space="0" w:color="FFFFFF"/>
              <w:right w:val="single" w:sz="4" w:space="0" w:color="FFFFFF"/>
            </w:tcBorders>
            <w:shd w:val="clear" w:color="000000" w:fill="AF1E2D"/>
            <w:noWrap/>
            <w:vAlign w:val="center"/>
          </w:tcPr>
          <w:p w14:paraId="7B7B9849" w14:textId="77777777" w:rsidR="00510225" w:rsidRPr="00086AB2" w:rsidRDefault="00510225"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2018–19</w:t>
            </w:r>
          </w:p>
        </w:tc>
        <w:tc>
          <w:tcPr>
            <w:tcW w:w="1024" w:type="dxa"/>
            <w:tcBorders>
              <w:top w:val="single" w:sz="4" w:space="0" w:color="FFFFFF"/>
              <w:left w:val="nil"/>
              <w:bottom w:val="single" w:sz="4" w:space="0" w:color="FFFFFF"/>
              <w:right w:val="single" w:sz="4" w:space="0" w:color="FFFFFF"/>
            </w:tcBorders>
            <w:shd w:val="clear" w:color="000000" w:fill="AF1E2D"/>
            <w:noWrap/>
            <w:vAlign w:val="center"/>
          </w:tcPr>
          <w:p w14:paraId="4F8E2C51" w14:textId="77777777" w:rsidR="00510225" w:rsidRPr="00086AB2" w:rsidRDefault="00510225"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2019–20</w:t>
            </w:r>
          </w:p>
        </w:tc>
        <w:tc>
          <w:tcPr>
            <w:tcW w:w="1024" w:type="dxa"/>
            <w:tcBorders>
              <w:top w:val="single" w:sz="4" w:space="0" w:color="FFFFFF"/>
              <w:left w:val="nil"/>
              <w:bottom w:val="single" w:sz="4" w:space="0" w:color="FFFFFF"/>
              <w:right w:val="single" w:sz="4" w:space="0" w:color="FFFFFF"/>
            </w:tcBorders>
            <w:shd w:val="clear" w:color="000000" w:fill="AF1E2D"/>
            <w:noWrap/>
            <w:vAlign w:val="center"/>
          </w:tcPr>
          <w:p w14:paraId="1C470CC0" w14:textId="77777777" w:rsidR="00510225" w:rsidRPr="00086AB2" w:rsidRDefault="00510225"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2020–21</w:t>
            </w:r>
          </w:p>
        </w:tc>
        <w:tc>
          <w:tcPr>
            <w:tcW w:w="1042" w:type="dxa"/>
            <w:tcBorders>
              <w:top w:val="single" w:sz="4" w:space="0" w:color="FFFFFF"/>
              <w:left w:val="nil"/>
              <w:bottom w:val="single" w:sz="4" w:space="0" w:color="FFFFFF"/>
              <w:right w:val="single" w:sz="4" w:space="0" w:color="FFFFFF"/>
            </w:tcBorders>
            <w:shd w:val="clear" w:color="000000" w:fill="AF1E2D"/>
            <w:noWrap/>
            <w:vAlign w:val="center"/>
          </w:tcPr>
          <w:p w14:paraId="6CC0D5BF" w14:textId="637FE3DA" w:rsidR="00510225" w:rsidRPr="00086AB2" w:rsidRDefault="00510225" w:rsidP="008659BF">
            <w:pPr>
              <w:keepNext/>
              <w:keepLines/>
              <w:spacing w:before="0" w:after="0"/>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color w:val="FFFFFF"/>
                <w:szCs w:val="20"/>
              </w:rPr>
              <w:t xml:space="preserve">5 </w:t>
            </w:r>
            <w:proofErr w:type="spellStart"/>
            <w:r>
              <w:rPr>
                <w:rFonts w:cs="Arial"/>
                <w:color w:val="FFFFFF"/>
                <w:szCs w:val="20"/>
              </w:rPr>
              <w:t>yr</w:t>
            </w:r>
            <w:proofErr w:type="spellEnd"/>
            <w:r>
              <w:rPr>
                <w:rFonts w:cs="Arial"/>
                <w:color w:val="FFFFFF"/>
                <w:szCs w:val="20"/>
              </w:rPr>
              <w:t xml:space="preserve"> Average</w:t>
            </w:r>
          </w:p>
        </w:tc>
      </w:tr>
      <w:tr w:rsidR="00510225" w:rsidRPr="00086AB2" w14:paraId="0BF12640" w14:textId="77777777" w:rsidTr="00510225">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52DAAEB9" w14:textId="77777777" w:rsidR="00510225" w:rsidRPr="00C356BA" w:rsidRDefault="00510225" w:rsidP="008659BF">
            <w:pPr>
              <w:keepNext/>
              <w:keepLines/>
              <w:spacing w:before="0" w:after="0"/>
              <w:jc w:val="left"/>
              <w:rPr>
                <w:rFonts w:cs="Arial"/>
                <w:color w:val="000000"/>
                <w:szCs w:val="20"/>
              </w:rPr>
            </w:pPr>
            <w:r w:rsidRPr="00C356BA">
              <w:rPr>
                <w:rFonts w:cs="Arial"/>
                <w:color w:val="000000"/>
                <w:szCs w:val="20"/>
              </w:rPr>
              <w:t>New South Wales</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2A6DC706"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50790686"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4DFC183F"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5B3B135C"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1.1</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04628E89" w14:textId="77777777" w:rsidR="00510225" w:rsidRPr="00535E4C"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0.8</w:t>
            </w:r>
          </w:p>
        </w:tc>
        <w:tc>
          <w:tcPr>
            <w:tcW w:w="1042" w:type="dxa"/>
            <w:tcBorders>
              <w:top w:val="single" w:sz="4" w:space="0" w:color="FFFFFF"/>
              <w:left w:val="nil"/>
              <w:bottom w:val="single" w:sz="4" w:space="0" w:color="FFFFFF"/>
              <w:right w:val="single" w:sz="4" w:space="0" w:color="FFFFFF"/>
            </w:tcBorders>
            <w:shd w:val="clear" w:color="000000" w:fill="808080"/>
            <w:noWrap/>
            <w:vAlign w:val="center"/>
            <w:hideMark/>
          </w:tcPr>
          <w:p w14:paraId="5402D6A4"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0.9</w:t>
            </w:r>
          </w:p>
        </w:tc>
      </w:tr>
      <w:tr w:rsidR="00510225" w:rsidRPr="00086AB2" w14:paraId="69826ABD" w14:textId="77777777" w:rsidTr="00510225">
        <w:trPr>
          <w:cnfStyle w:val="000000010000" w:firstRow="0" w:lastRow="0" w:firstColumn="0" w:lastColumn="0" w:oddVBand="0" w:evenVBand="0" w:oddHBand="0" w:evenHBand="1"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3D552278" w14:textId="77777777" w:rsidR="00510225" w:rsidRPr="00C356BA" w:rsidRDefault="00510225" w:rsidP="008659BF">
            <w:pPr>
              <w:keepNext/>
              <w:keepLines/>
              <w:spacing w:before="0" w:after="0"/>
              <w:jc w:val="left"/>
              <w:rPr>
                <w:rFonts w:cs="Arial"/>
                <w:color w:val="000000"/>
                <w:szCs w:val="20"/>
              </w:rPr>
            </w:pPr>
            <w:r w:rsidRPr="00C356BA">
              <w:rPr>
                <w:rFonts w:cs="Arial"/>
                <w:color w:val="000000"/>
                <w:szCs w:val="20"/>
              </w:rPr>
              <w:t>Queensland</w:t>
            </w:r>
          </w:p>
        </w:tc>
        <w:tc>
          <w:tcPr>
            <w:tcW w:w="1024" w:type="dxa"/>
            <w:tcBorders>
              <w:top w:val="nil"/>
              <w:left w:val="nil"/>
              <w:bottom w:val="single" w:sz="4" w:space="0" w:color="FFFFFF"/>
              <w:right w:val="single" w:sz="4" w:space="0" w:color="FFFFFF"/>
            </w:tcBorders>
            <w:shd w:val="clear" w:color="000000" w:fill="FFFFFF"/>
            <w:noWrap/>
            <w:vAlign w:val="center"/>
            <w:hideMark/>
          </w:tcPr>
          <w:p w14:paraId="0618186F"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24" w:type="dxa"/>
            <w:tcBorders>
              <w:top w:val="nil"/>
              <w:left w:val="nil"/>
              <w:bottom w:val="single" w:sz="4" w:space="0" w:color="FFFFFF"/>
              <w:right w:val="single" w:sz="4" w:space="0" w:color="FFFFFF"/>
            </w:tcBorders>
            <w:shd w:val="clear" w:color="000000" w:fill="FFFFFF"/>
            <w:noWrap/>
            <w:vAlign w:val="center"/>
            <w:hideMark/>
          </w:tcPr>
          <w:p w14:paraId="656E0EB2"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24" w:type="dxa"/>
            <w:tcBorders>
              <w:top w:val="nil"/>
              <w:left w:val="nil"/>
              <w:bottom w:val="single" w:sz="4" w:space="0" w:color="FFFFFF"/>
              <w:right w:val="single" w:sz="4" w:space="0" w:color="FFFFFF"/>
            </w:tcBorders>
            <w:shd w:val="clear" w:color="000000" w:fill="FFFFFF"/>
            <w:noWrap/>
            <w:vAlign w:val="center"/>
            <w:hideMark/>
          </w:tcPr>
          <w:p w14:paraId="4A36C198"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w:t>
            </w:r>
          </w:p>
        </w:tc>
        <w:tc>
          <w:tcPr>
            <w:tcW w:w="1024" w:type="dxa"/>
            <w:tcBorders>
              <w:top w:val="nil"/>
              <w:left w:val="nil"/>
              <w:bottom w:val="single" w:sz="4" w:space="0" w:color="FFFFFF"/>
              <w:right w:val="single" w:sz="4" w:space="0" w:color="FFFFFF"/>
            </w:tcBorders>
            <w:shd w:val="clear" w:color="000000" w:fill="FFFFFF"/>
            <w:noWrap/>
            <w:vAlign w:val="center"/>
            <w:hideMark/>
          </w:tcPr>
          <w:p w14:paraId="31ADB285"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24" w:type="dxa"/>
            <w:tcBorders>
              <w:top w:val="nil"/>
              <w:left w:val="nil"/>
              <w:bottom w:val="single" w:sz="4" w:space="0" w:color="FFFFFF"/>
              <w:right w:val="single" w:sz="4" w:space="0" w:color="FFFFFF"/>
            </w:tcBorders>
            <w:shd w:val="clear" w:color="000000" w:fill="FFFFFF"/>
            <w:noWrap/>
            <w:vAlign w:val="center"/>
            <w:hideMark/>
          </w:tcPr>
          <w:p w14:paraId="6FA66B09" w14:textId="77777777" w:rsidR="00510225" w:rsidRPr="00535E4C"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0.7</w:t>
            </w:r>
          </w:p>
        </w:tc>
        <w:tc>
          <w:tcPr>
            <w:tcW w:w="1042" w:type="dxa"/>
            <w:tcBorders>
              <w:top w:val="nil"/>
              <w:left w:val="nil"/>
              <w:bottom w:val="single" w:sz="4" w:space="0" w:color="FFFFFF"/>
              <w:right w:val="single" w:sz="4" w:space="0" w:color="FFFFFF"/>
            </w:tcBorders>
            <w:shd w:val="clear" w:color="000000" w:fill="808080"/>
            <w:noWrap/>
            <w:vAlign w:val="center"/>
            <w:hideMark/>
          </w:tcPr>
          <w:p w14:paraId="5E65267D" w14:textId="77777777" w:rsidR="00510225" w:rsidRPr="00C356BA"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1.2</w:t>
            </w:r>
          </w:p>
        </w:tc>
      </w:tr>
      <w:tr w:rsidR="00510225" w:rsidRPr="00086AB2" w14:paraId="1252F376" w14:textId="77777777" w:rsidTr="00510225">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4B45D2FD" w14:textId="77777777" w:rsidR="00510225" w:rsidRPr="00C356BA" w:rsidRDefault="00510225" w:rsidP="008659BF">
            <w:pPr>
              <w:keepNext/>
              <w:keepLines/>
              <w:spacing w:before="0" w:after="0"/>
              <w:jc w:val="left"/>
              <w:rPr>
                <w:rFonts w:cs="Arial"/>
                <w:color w:val="000000"/>
                <w:szCs w:val="20"/>
              </w:rPr>
            </w:pPr>
            <w:r w:rsidRPr="00C356BA">
              <w:rPr>
                <w:rFonts w:cs="Arial"/>
                <w:color w:val="000000"/>
                <w:szCs w:val="20"/>
              </w:rPr>
              <w:t>Victoria</w:t>
            </w:r>
          </w:p>
        </w:tc>
        <w:tc>
          <w:tcPr>
            <w:tcW w:w="1024" w:type="dxa"/>
            <w:tcBorders>
              <w:top w:val="nil"/>
              <w:left w:val="nil"/>
              <w:bottom w:val="single" w:sz="4" w:space="0" w:color="FFFFFF"/>
              <w:right w:val="single" w:sz="4" w:space="0" w:color="FFFFFF"/>
            </w:tcBorders>
            <w:shd w:val="clear" w:color="000000" w:fill="EFD3D2"/>
            <w:noWrap/>
            <w:vAlign w:val="center"/>
            <w:hideMark/>
          </w:tcPr>
          <w:p w14:paraId="50BC1730"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0.7</w:t>
            </w:r>
          </w:p>
        </w:tc>
        <w:tc>
          <w:tcPr>
            <w:tcW w:w="1024" w:type="dxa"/>
            <w:tcBorders>
              <w:top w:val="nil"/>
              <w:left w:val="nil"/>
              <w:bottom w:val="single" w:sz="4" w:space="0" w:color="FFFFFF"/>
              <w:right w:val="single" w:sz="4" w:space="0" w:color="FFFFFF"/>
            </w:tcBorders>
            <w:shd w:val="clear" w:color="000000" w:fill="EFD3D2"/>
            <w:noWrap/>
            <w:vAlign w:val="center"/>
            <w:hideMark/>
          </w:tcPr>
          <w:p w14:paraId="5AD28020"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24" w:type="dxa"/>
            <w:tcBorders>
              <w:top w:val="nil"/>
              <w:left w:val="nil"/>
              <w:bottom w:val="single" w:sz="4" w:space="0" w:color="FFFFFF"/>
              <w:right w:val="single" w:sz="4" w:space="0" w:color="FFFFFF"/>
            </w:tcBorders>
            <w:shd w:val="clear" w:color="000000" w:fill="EFD3D2"/>
            <w:noWrap/>
            <w:vAlign w:val="center"/>
            <w:hideMark/>
          </w:tcPr>
          <w:p w14:paraId="588A36D9"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24" w:type="dxa"/>
            <w:tcBorders>
              <w:top w:val="nil"/>
              <w:left w:val="nil"/>
              <w:bottom w:val="single" w:sz="4" w:space="0" w:color="FFFFFF"/>
              <w:right w:val="single" w:sz="4" w:space="0" w:color="FFFFFF"/>
            </w:tcBorders>
            <w:shd w:val="clear" w:color="000000" w:fill="EFD3D2"/>
            <w:noWrap/>
            <w:vAlign w:val="center"/>
            <w:hideMark/>
          </w:tcPr>
          <w:p w14:paraId="4966F9E6"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0.9</w:t>
            </w:r>
          </w:p>
        </w:tc>
        <w:tc>
          <w:tcPr>
            <w:tcW w:w="1024" w:type="dxa"/>
            <w:tcBorders>
              <w:top w:val="nil"/>
              <w:left w:val="nil"/>
              <w:bottom w:val="single" w:sz="4" w:space="0" w:color="FFFFFF"/>
              <w:right w:val="single" w:sz="4" w:space="0" w:color="FFFFFF"/>
            </w:tcBorders>
            <w:shd w:val="clear" w:color="000000" w:fill="EFD3D2"/>
            <w:noWrap/>
            <w:vAlign w:val="center"/>
            <w:hideMark/>
          </w:tcPr>
          <w:p w14:paraId="0E8DC8F2" w14:textId="77777777" w:rsidR="00510225" w:rsidRPr="00535E4C"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0.6</w:t>
            </w:r>
          </w:p>
        </w:tc>
        <w:tc>
          <w:tcPr>
            <w:tcW w:w="1042" w:type="dxa"/>
            <w:tcBorders>
              <w:top w:val="nil"/>
              <w:left w:val="nil"/>
              <w:bottom w:val="single" w:sz="4" w:space="0" w:color="FFFFFF"/>
              <w:right w:val="single" w:sz="4" w:space="0" w:color="FFFFFF"/>
            </w:tcBorders>
            <w:shd w:val="clear" w:color="000000" w:fill="808080"/>
            <w:noWrap/>
            <w:vAlign w:val="center"/>
            <w:hideMark/>
          </w:tcPr>
          <w:p w14:paraId="70629DF7"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0.8</w:t>
            </w:r>
          </w:p>
        </w:tc>
      </w:tr>
      <w:tr w:rsidR="00510225" w:rsidRPr="00086AB2" w14:paraId="66F50878" w14:textId="77777777" w:rsidTr="00510225">
        <w:trPr>
          <w:cnfStyle w:val="000000010000" w:firstRow="0" w:lastRow="0" w:firstColumn="0" w:lastColumn="0" w:oddVBand="0" w:evenVBand="0" w:oddHBand="0" w:evenHBand="1"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1352AA8B" w14:textId="77777777" w:rsidR="00510225" w:rsidRPr="00C356BA" w:rsidRDefault="00510225" w:rsidP="008659BF">
            <w:pPr>
              <w:keepNext/>
              <w:keepLines/>
              <w:spacing w:before="0" w:after="0"/>
              <w:jc w:val="left"/>
              <w:rPr>
                <w:rFonts w:cs="Arial"/>
                <w:color w:val="000000"/>
                <w:szCs w:val="20"/>
              </w:rPr>
            </w:pPr>
            <w:r w:rsidRPr="00C356BA">
              <w:rPr>
                <w:rFonts w:cs="Arial"/>
                <w:color w:val="000000"/>
                <w:szCs w:val="20"/>
              </w:rPr>
              <w:t>Western Australia</w:t>
            </w:r>
          </w:p>
        </w:tc>
        <w:tc>
          <w:tcPr>
            <w:tcW w:w="1024" w:type="dxa"/>
            <w:tcBorders>
              <w:top w:val="nil"/>
              <w:left w:val="nil"/>
              <w:bottom w:val="single" w:sz="4" w:space="0" w:color="FFFFFF"/>
              <w:right w:val="single" w:sz="4" w:space="0" w:color="FFFFFF"/>
            </w:tcBorders>
            <w:shd w:val="clear" w:color="000000" w:fill="FFFFFF"/>
            <w:noWrap/>
            <w:vAlign w:val="center"/>
            <w:hideMark/>
          </w:tcPr>
          <w:p w14:paraId="65656492"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0.8</w:t>
            </w:r>
          </w:p>
        </w:tc>
        <w:tc>
          <w:tcPr>
            <w:tcW w:w="1024" w:type="dxa"/>
            <w:tcBorders>
              <w:top w:val="nil"/>
              <w:left w:val="nil"/>
              <w:bottom w:val="single" w:sz="4" w:space="0" w:color="FFFFFF"/>
              <w:right w:val="single" w:sz="4" w:space="0" w:color="FFFFFF"/>
            </w:tcBorders>
            <w:shd w:val="clear" w:color="000000" w:fill="FFFFFF"/>
            <w:noWrap/>
            <w:vAlign w:val="center"/>
            <w:hideMark/>
          </w:tcPr>
          <w:p w14:paraId="7DD01937"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w:t>
            </w:r>
          </w:p>
        </w:tc>
        <w:tc>
          <w:tcPr>
            <w:tcW w:w="1024" w:type="dxa"/>
            <w:tcBorders>
              <w:top w:val="nil"/>
              <w:left w:val="nil"/>
              <w:bottom w:val="single" w:sz="4" w:space="0" w:color="FFFFFF"/>
              <w:right w:val="single" w:sz="4" w:space="0" w:color="FFFFFF"/>
            </w:tcBorders>
            <w:shd w:val="clear" w:color="000000" w:fill="FFFFFF"/>
            <w:noWrap/>
            <w:vAlign w:val="center"/>
            <w:hideMark/>
          </w:tcPr>
          <w:p w14:paraId="33644D90"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0.9</w:t>
            </w:r>
          </w:p>
        </w:tc>
        <w:tc>
          <w:tcPr>
            <w:tcW w:w="1024" w:type="dxa"/>
            <w:tcBorders>
              <w:top w:val="nil"/>
              <w:left w:val="nil"/>
              <w:bottom w:val="single" w:sz="4" w:space="0" w:color="FFFFFF"/>
              <w:right w:val="single" w:sz="4" w:space="0" w:color="FFFFFF"/>
            </w:tcBorders>
            <w:shd w:val="clear" w:color="000000" w:fill="FFFFFF"/>
            <w:noWrap/>
            <w:vAlign w:val="center"/>
            <w:hideMark/>
          </w:tcPr>
          <w:p w14:paraId="2A006D72"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24" w:type="dxa"/>
            <w:tcBorders>
              <w:top w:val="nil"/>
              <w:left w:val="nil"/>
              <w:bottom w:val="single" w:sz="4" w:space="0" w:color="FFFFFF"/>
              <w:right w:val="single" w:sz="4" w:space="0" w:color="FFFFFF"/>
            </w:tcBorders>
            <w:shd w:val="clear" w:color="000000" w:fill="FFFFFF"/>
            <w:noWrap/>
            <w:vAlign w:val="center"/>
            <w:hideMark/>
          </w:tcPr>
          <w:p w14:paraId="6D7389F9" w14:textId="77777777" w:rsidR="00510225" w:rsidRPr="00535E4C"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1.2</w:t>
            </w:r>
          </w:p>
        </w:tc>
        <w:tc>
          <w:tcPr>
            <w:tcW w:w="1042" w:type="dxa"/>
            <w:tcBorders>
              <w:top w:val="nil"/>
              <w:left w:val="nil"/>
              <w:bottom w:val="single" w:sz="4" w:space="0" w:color="FFFFFF"/>
              <w:right w:val="single" w:sz="4" w:space="0" w:color="FFFFFF"/>
            </w:tcBorders>
            <w:shd w:val="clear" w:color="000000" w:fill="808080"/>
            <w:noWrap/>
            <w:vAlign w:val="center"/>
            <w:hideMark/>
          </w:tcPr>
          <w:p w14:paraId="04811451" w14:textId="77777777" w:rsidR="00510225" w:rsidRPr="00C356BA"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1.0</w:t>
            </w:r>
          </w:p>
        </w:tc>
      </w:tr>
      <w:tr w:rsidR="00510225" w:rsidRPr="00086AB2" w14:paraId="66EDC56F" w14:textId="77777777" w:rsidTr="00510225">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6152C167" w14:textId="77777777" w:rsidR="00510225" w:rsidRPr="00C356BA" w:rsidRDefault="00510225" w:rsidP="008659BF">
            <w:pPr>
              <w:keepNext/>
              <w:keepLines/>
              <w:spacing w:before="0" w:after="0"/>
              <w:jc w:val="left"/>
              <w:rPr>
                <w:rFonts w:cs="Arial"/>
                <w:color w:val="000000"/>
                <w:szCs w:val="20"/>
              </w:rPr>
            </w:pPr>
            <w:r w:rsidRPr="00C356BA">
              <w:rPr>
                <w:rFonts w:cs="Arial"/>
                <w:color w:val="000000"/>
                <w:szCs w:val="20"/>
              </w:rPr>
              <w:t>South Australia</w:t>
            </w:r>
          </w:p>
        </w:tc>
        <w:tc>
          <w:tcPr>
            <w:tcW w:w="1024" w:type="dxa"/>
            <w:tcBorders>
              <w:top w:val="nil"/>
              <w:left w:val="nil"/>
              <w:bottom w:val="single" w:sz="4" w:space="0" w:color="FFFFFF"/>
              <w:right w:val="single" w:sz="4" w:space="0" w:color="FFFFFF"/>
            </w:tcBorders>
            <w:shd w:val="clear" w:color="000000" w:fill="EFD3D2"/>
            <w:noWrap/>
            <w:vAlign w:val="center"/>
            <w:hideMark/>
          </w:tcPr>
          <w:p w14:paraId="3ED27624"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w:t>
            </w:r>
          </w:p>
        </w:tc>
        <w:tc>
          <w:tcPr>
            <w:tcW w:w="1024" w:type="dxa"/>
            <w:tcBorders>
              <w:top w:val="nil"/>
              <w:left w:val="nil"/>
              <w:bottom w:val="single" w:sz="4" w:space="0" w:color="FFFFFF"/>
              <w:right w:val="single" w:sz="4" w:space="0" w:color="FFFFFF"/>
            </w:tcBorders>
            <w:shd w:val="clear" w:color="000000" w:fill="EFD3D2"/>
            <w:noWrap/>
            <w:vAlign w:val="center"/>
            <w:hideMark/>
          </w:tcPr>
          <w:p w14:paraId="2B0B283C"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c>
          <w:tcPr>
            <w:tcW w:w="1024" w:type="dxa"/>
            <w:tcBorders>
              <w:top w:val="nil"/>
              <w:left w:val="nil"/>
              <w:bottom w:val="single" w:sz="4" w:space="0" w:color="FFFFFF"/>
              <w:right w:val="single" w:sz="4" w:space="0" w:color="FFFFFF"/>
            </w:tcBorders>
            <w:shd w:val="clear" w:color="000000" w:fill="EFD3D2"/>
            <w:noWrap/>
            <w:vAlign w:val="center"/>
            <w:hideMark/>
          </w:tcPr>
          <w:p w14:paraId="66134183"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0.7</w:t>
            </w:r>
          </w:p>
        </w:tc>
        <w:tc>
          <w:tcPr>
            <w:tcW w:w="1024" w:type="dxa"/>
            <w:tcBorders>
              <w:top w:val="nil"/>
              <w:left w:val="nil"/>
              <w:bottom w:val="single" w:sz="4" w:space="0" w:color="FFFFFF"/>
              <w:right w:val="single" w:sz="4" w:space="0" w:color="FFFFFF"/>
            </w:tcBorders>
            <w:shd w:val="clear" w:color="000000" w:fill="EFD3D2"/>
            <w:noWrap/>
            <w:vAlign w:val="center"/>
            <w:hideMark/>
          </w:tcPr>
          <w:p w14:paraId="0BC535E1"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0.5</w:t>
            </w:r>
          </w:p>
        </w:tc>
        <w:tc>
          <w:tcPr>
            <w:tcW w:w="1024" w:type="dxa"/>
            <w:tcBorders>
              <w:top w:val="nil"/>
              <w:left w:val="nil"/>
              <w:bottom w:val="single" w:sz="4" w:space="0" w:color="FFFFFF"/>
              <w:right w:val="single" w:sz="4" w:space="0" w:color="FFFFFF"/>
            </w:tcBorders>
            <w:shd w:val="clear" w:color="000000" w:fill="EFD3D2"/>
            <w:noWrap/>
            <w:vAlign w:val="center"/>
            <w:hideMark/>
          </w:tcPr>
          <w:p w14:paraId="27B0B2CF" w14:textId="77777777" w:rsidR="00510225" w:rsidRPr="00535E4C"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1.2</w:t>
            </w:r>
          </w:p>
        </w:tc>
        <w:tc>
          <w:tcPr>
            <w:tcW w:w="1042" w:type="dxa"/>
            <w:tcBorders>
              <w:top w:val="nil"/>
              <w:left w:val="nil"/>
              <w:bottom w:val="single" w:sz="4" w:space="0" w:color="FFFFFF"/>
              <w:right w:val="single" w:sz="4" w:space="0" w:color="FFFFFF"/>
            </w:tcBorders>
            <w:shd w:val="clear" w:color="000000" w:fill="808080"/>
            <w:noWrap/>
            <w:vAlign w:val="center"/>
            <w:hideMark/>
          </w:tcPr>
          <w:p w14:paraId="40C88046"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1.0</w:t>
            </w:r>
          </w:p>
        </w:tc>
      </w:tr>
      <w:tr w:rsidR="00510225" w:rsidRPr="00086AB2" w14:paraId="62E0BAEF" w14:textId="77777777" w:rsidTr="00510225">
        <w:trPr>
          <w:cnfStyle w:val="000000010000" w:firstRow="0" w:lastRow="0" w:firstColumn="0" w:lastColumn="0" w:oddVBand="0" w:evenVBand="0" w:oddHBand="0" w:evenHBand="1"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4ABC2284" w14:textId="77777777" w:rsidR="00510225" w:rsidRPr="00C356BA" w:rsidRDefault="00510225" w:rsidP="008659BF">
            <w:pPr>
              <w:keepNext/>
              <w:keepLines/>
              <w:spacing w:before="0" w:after="0"/>
              <w:jc w:val="left"/>
              <w:rPr>
                <w:rFonts w:cs="Arial"/>
                <w:color w:val="000000"/>
                <w:szCs w:val="20"/>
              </w:rPr>
            </w:pPr>
            <w:r w:rsidRPr="00C356BA">
              <w:rPr>
                <w:rFonts w:cs="Arial"/>
                <w:color w:val="000000"/>
                <w:szCs w:val="20"/>
              </w:rPr>
              <w:t>Northern Territory</w:t>
            </w:r>
          </w:p>
        </w:tc>
        <w:tc>
          <w:tcPr>
            <w:tcW w:w="1024" w:type="dxa"/>
            <w:tcBorders>
              <w:top w:val="nil"/>
              <w:left w:val="nil"/>
              <w:bottom w:val="single" w:sz="4" w:space="0" w:color="FFFFFF"/>
              <w:right w:val="single" w:sz="4" w:space="0" w:color="FFFFFF"/>
            </w:tcBorders>
            <w:shd w:val="clear" w:color="000000" w:fill="FFFFFF"/>
            <w:noWrap/>
            <w:vAlign w:val="center"/>
            <w:hideMark/>
          </w:tcPr>
          <w:p w14:paraId="2E851113"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2.2</w:t>
            </w:r>
          </w:p>
        </w:tc>
        <w:tc>
          <w:tcPr>
            <w:tcW w:w="1024" w:type="dxa"/>
            <w:tcBorders>
              <w:top w:val="nil"/>
              <w:left w:val="nil"/>
              <w:bottom w:val="single" w:sz="4" w:space="0" w:color="FFFFFF"/>
              <w:right w:val="single" w:sz="4" w:space="0" w:color="FFFFFF"/>
            </w:tcBorders>
            <w:shd w:val="clear" w:color="000000" w:fill="FFFFFF"/>
            <w:noWrap/>
            <w:vAlign w:val="center"/>
            <w:hideMark/>
          </w:tcPr>
          <w:p w14:paraId="41ECC7B1"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3.6</w:t>
            </w:r>
          </w:p>
        </w:tc>
        <w:tc>
          <w:tcPr>
            <w:tcW w:w="1024" w:type="dxa"/>
            <w:tcBorders>
              <w:top w:val="nil"/>
              <w:left w:val="nil"/>
              <w:bottom w:val="single" w:sz="4" w:space="0" w:color="FFFFFF"/>
              <w:right w:val="single" w:sz="4" w:space="0" w:color="FFFFFF"/>
            </w:tcBorders>
            <w:shd w:val="clear" w:color="000000" w:fill="FFFFFF"/>
            <w:noWrap/>
            <w:vAlign w:val="center"/>
            <w:hideMark/>
          </w:tcPr>
          <w:p w14:paraId="33B59736"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3.0</w:t>
            </w:r>
          </w:p>
        </w:tc>
        <w:tc>
          <w:tcPr>
            <w:tcW w:w="1024" w:type="dxa"/>
            <w:tcBorders>
              <w:top w:val="nil"/>
              <w:left w:val="nil"/>
              <w:bottom w:val="single" w:sz="4" w:space="0" w:color="FFFFFF"/>
              <w:right w:val="single" w:sz="4" w:space="0" w:color="FFFFFF"/>
            </w:tcBorders>
            <w:shd w:val="clear" w:color="000000" w:fill="FFFFFF"/>
            <w:noWrap/>
            <w:vAlign w:val="center"/>
            <w:hideMark/>
          </w:tcPr>
          <w:p w14:paraId="5876B826"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4.6</w:t>
            </w:r>
          </w:p>
        </w:tc>
        <w:tc>
          <w:tcPr>
            <w:tcW w:w="1024" w:type="dxa"/>
            <w:tcBorders>
              <w:top w:val="nil"/>
              <w:left w:val="nil"/>
              <w:bottom w:val="single" w:sz="4" w:space="0" w:color="FFFFFF"/>
              <w:right w:val="single" w:sz="4" w:space="0" w:color="FFFFFF"/>
            </w:tcBorders>
            <w:shd w:val="clear" w:color="000000" w:fill="FFFFFF"/>
            <w:noWrap/>
            <w:vAlign w:val="center"/>
            <w:hideMark/>
          </w:tcPr>
          <w:p w14:paraId="5D837939" w14:textId="77777777" w:rsidR="00510225" w:rsidRPr="00535E4C"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3.1</w:t>
            </w:r>
          </w:p>
        </w:tc>
        <w:tc>
          <w:tcPr>
            <w:tcW w:w="1042" w:type="dxa"/>
            <w:tcBorders>
              <w:top w:val="nil"/>
              <w:left w:val="nil"/>
              <w:bottom w:val="single" w:sz="4" w:space="0" w:color="FFFFFF"/>
              <w:right w:val="single" w:sz="4" w:space="0" w:color="FFFFFF"/>
            </w:tcBorders>
            <w:shd w:val="clear" w:color="000000" w:fill="808080"/>
            <w:noWrap/>
            <w:vAlign w:val="center"/>
            <w:hideMark/>
          </w:tcPr>
          <w:p w14:paraId="17CE5D5F" w14:textId="77777777" w:rsidR="00510225" w:rsidRPr="00C356BA"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3.3</w:t>
            </w:r>
          </w:p>
        </w:tc>
      </w:tr>
      <w:tr w:rsidR="00510225" w:rsidRPr="00086AB2" w14:paraId="29253A7C" w14:textId="77777777" w:rsidTr="00510225">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62705038" w14:textId="77777777" w:rsidR="00510225" w:rsidRPr="00C356BA" w:rsidRDefault="00510225" w:rsidP="008659BF">
            <w:pPr>
              <w:keepNext/>
              <w:keepLines/>
              <w:spacing w:before="0" w:after="0"/>
              <w:jc w:val="left"/>
              <w:rPr>
                <w:rFonts w:cs="Arial"/>
                <w:color w:val="000000"/>
                <w:szCs w:val="20"/>
              </w:rPr>
            </w:pPr>
            <w:r w:rsidRPr="00C356BA">
              <w:rPr>
                <w:rFonts w:cs="Arial"/>
                <w:color w:val="000000"/>
                <w:szCs w:val="20"/>
              </w:rPr>
              <w:t>Tasmania</w:t>
            </w:r>
          </w:p>
        </w:tc>
        <w:tc>
          <w:tcPr>
            <w:tcW w:w="1024" w:type="dxa"/>
            <w:tcBorders>
              <w:top w:val="nil"/>
              <w:left w:val="nil"/>
              <w:bottom w:val="single" w:sz="4" w:space="0" w:color="FFFFFF"/>
              <w:right w:val="single" w:sz="4" w:space="0" w:color="FFFFFF"/>
            </w:tcBorders>
            <w:shd w:val="clear" w:color="000000" w:fill="EFD3D2"/>
            <w:noWrap/>
            <w:vAlign w:val="center"/>
            <w:hideMark/>
          </w:tcPr>
          <w:p w14:paraId="09C255AE"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24" w:type="dxa"/>
            <w:tcBorders>
              <w:top w:val="nil"/>
              <w:left w:val="nil"/>
              <w:bottom w:val="single" w:sz="4" w:space="0" w:color="FFFFFF"/>
              <w:right w:val="single" w:sz="4" w:space="0" w:color="FFFFFF"/>
            </w:tcBorders>
            <w:shd w:val="clear" w:color="000000" w:fill="EFD3D2"/>
            <w:noWrap/>
            <w:vAlign w:val="center"/>
          </w:tcPr>
          <w:p w14:paraId="7F5DA5CF"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1.2</w:t>
            </w:r>
          </w:p>
        </w:tc>
        <w:tc>
          <w:tcPr>
            <w:tcW w:w="1024" w:type="dxa"/>
            <w:tcBorders>
              <w:top w:val="nil"/>
              <w:left w:val="nil"/>
              <w:bottom w:val="single" w:sz="4" w:space="0" w:color="FFFFFF"/>
              <w:right w:val="single" w:sz="4" w:space="0" w:color="FFFFFF"/>
            </w:tcBorders>
            <w:shd w:val="clear" w:color="000000" w:fill="EFD3D2"/>
            <w:noWrap/>
            <w:vAlign w:val="center"/>
          </w:tcPr>
          <w:p w14:paraId="46AEFFD8" w14:textId="77777777" w:rsidR="00510225" w:rsidRPr="00086AB2"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0.8</w:t>
            </w:r>
          </w:p>
        </w:tc>
        <w:tc>
          <w:tcPr>
            <w:tcW w:w="1024" w:type="dxa"/>
            <w:tcBorders>
              <w:top w:val="nil"/>
              <w:left w:val="nil"/>
              <w:bottom w:val="single" w:sz="4" w:space="0" w:color="FFFFFF"/>
              <w:right w:val="single" w:sz="4" w:space="0" w:color="FFFFFF"/>
            </w:tcBorders>
            <w:shd w:val="clear" w:color="000000" w:fill="EFD3D2"/>
            <w:noWrap/>
            <w:vAlign w:val="center"/>
          </w:tcPr>
          <w:p w14:paraId="4299CEDF" w14:textId="77777777" w:rsidR="00510225" w:rsidRPr="00535E4C"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2.8</w:t>
            </w:r>
          </w:p>
        </w:tc>
        <w:tc>
          <w:tcPr>
            <w:tcW w:w="1024" w:type="dxa"/>
            <w:tcBorders>
              <w:top w:val="nil"/>
              <w:left w:val="nil"/>
              <w:bottom w:val="single" w:sz="4" w:space="0" w:color="FFFFFF"/>
              <w:right w:val="single" w:sz="4" w:space="0" w:color="FFFFFF"/>
            </w:tcBorders>
            <w:shd w:val="clear" w:color="000000" w:fill="EFD3D2"/>
            <w:noWrap/>
            <w:vAlign w:val="center"/>
          </w:tcPr>
          <w:p w14:paraId="21A20CD7" w14:textId="77777777" w:rsidR="00510225" w:rsidRPr="00535E4C"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0.8</w:t>
            </w:r>
          </w:p>
        </w:tc>
        <w:tc>
          <w:tcPr>
            <w:tcW w:w="1042" w:type="dxa"/>
            <w:tcBorders>
              <w:top w:val="nil"/>
              <w:left w:val="nil"/>
              <w:bottom w:val="single" w:sz="4" w:space="0" w:color="FFFFFF"/>
              <w:right w:val="single" w:sz="4" w:space="0" w:color="FFFFFF"/>
            </w:tcBorders>
            <w:shd w:val="clear" w:color="000000" w:fill="808080"/>
            <w:noWrap/>
            <w:vAlign w:val="center"/>
            <w:hideMark/>
          </w:tcPr>
          <w:p w14:paraId="60D3670D"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1.3</w:t>
            </w:r>
          </w:p>
        </w:tc>
      </w:tr>
      <w:tr w:rsidR="00510225" w:rsidRPr="00086AB2" w14:paraId="1AD1A1FF" w14:textId="77777777" w:rsidTr="00510225">
        <w:trPr>
          <w:cnfStyle w:val="000000010000" w:firstRow="0" w:lastRow="0" w:firstColumn="0" w:lastColumn="0" w:oddVBand="0" w:evenVBand="0" w:oddHBand="0" w:evenHBand="1" w:firstRowFirstColumn="0" w:firstRowLastColumn="0" w:lastRowFirstColumn="0" w:lastRowLastColumn="0"/>
          <w:trHeight w:hRule="exact" w:val="759"/>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14417BF2" w14:textId="77777777" w:rsidR="00510225" w:rsidRPr="00C356BA" w:rsidRDefault="00510225" w:rsidP="008659BF">
            <w:pPr>
              <w:keepNext/>
              <w:keepLines/>
              <w:spacing w:before="0" w:after="0"/>
              <w:jc w:val="left"/>
              <w:rPr>
                <w:rFonts w:cs="Arial"/>
                <w:color w:val="FFFFFF" w:themeColor="background1"/>
                <w:szCs w:val="20"/>
              </w:rPr>
            </w:pPr>
            <w:r w:rsidRPr="00C356BA">
              <w:rPr>
                <w:rFonts w:cs="Arial"/>
                <w:color w:val="000000"/>
                <w:szCs w:val="20"/>
              </w:rPr>
              <w:t>Australian Capital Territory</w:t>
            </w:r>
          </w:p>
        </w:tc>
        <w:tc>
          <w:tcPr>
            <w:tcW w:w="1024" w:type="dxa"/>
            <w:tcBorders>
              <w:top w:val="nil"/>
              <w:left w:val="nil"/>
              <w:bottom w:val="single" w:sz="4" w:space="0" w:color="FFFFFF"/>
              <w:right w:val="single" w:sz="4" w:space="0" w:color="FFFFFF"/>
            </w:tcBorders>
            <w:shd w:val="clear" w:color="000000" w:fill="FFFFFF"/>
            <w:noWrap/>
            <w:vAlign w:val="center"/>
            <w:hideMark/>
          </w:tcPr>
          <w:p w14:paraId="2F3C9EAC"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0.9</w:t>
            </w:r>
          </w:p>
        </w:tc>
        <w:tc>
          <w:tcPr>
            <w:tcW w:w="1024" w:type="dxa"/>
            <w:tcBorders>
              <w:top w:val="nil"/>
              <w:left w:val="nil"/>
              <w:bottom w:val="single" w:sz="4" w:space="0" w:color="FFFFFF"/>
              <w:right w:val="single" w:sz="4" w:space="0" w:color="FFFFFF"/>
            </w:tcBorders>
            <w:shd w:val="clear" w:color="000000" w:fill="FFFFFF"/>
            <w:noWrap/>
            <w:vAlign w:val="center"/>
          </w:tcPr>
          <w:p w14:paraId="43A00952"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0.0</w:t>
            </w:r>
          </w:p>
        </w:tc>
        <w:tc>
          <w:tcPr>
            <w:tcW w:w="1024" w:type="dxa"/>
            <w:tcBorders>
              <w:top w:val="nil"/>
              <w:left w:val="nil"/>
              <w:bottom w:val="single" w:sz="4" w:space="0" w:color="FFFFFF"/>
              <w:right w:val="single" w:sz="4" w:space="0" w:color="FFFFFF"/>
            </w:tcBorders>
            <w:shd w:val="clear" w:color="000000" w:fill="FFFFFF"/>
            <w:noWrap/>
            <w:vAlign w:val="center"/>
          </w:tcPr>
          <w:p w14:paraId="6D926AA6" w14:textId="77777777" w:rsidR="00510225" w:rsidRPr="00086AB2"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color w:val="000000"/>
                <w:szCs w:val="20"/>
              </w:rPr>
              <w:t>0.4</w:t>
            </w:r>
          </w:p>
        </w:tc>
        <w:tc>
          <w:tcPr>
            <w:tcW w:w="1024" w:type="dxa"/>
            <w:tcBorders>
              <w:top w:val="nil"/>
              <w:left w:val="nil"/>
              <w:bottom w:val="single" w:sz="4" w:space="0" w:color="FFFFFF"/>
              <w:right w:val="single" w:sz="4" w:space="0" w:color="FFFFFF"/>
            </w:tcBorders>
            <w:shd w:val="clear" w:color="000000" w:fill="FFFFFF"/>
            <w:noWrap/>
            <w:vAlign w:val="center"/>
          </w:tcPr>
          <w:p w14:paraId="251256AC" w14:textId="77777777" w:rsidR="00510225" w:rsidRPr="00535E4C"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0000"/>
                <w:szCs w:val="20"/>
              </w:rPr>
            </w:pPr>
            <w:r>
              <w:rPr>
                <w:rFonts w:cs="Arial"/>
                <w:color w:val="000000"/>
                <w:szCs w:val="20"/>
              </w:rPr>
              <w:t>0.9</w:t>
            </w:r>
          </w:p>
        </w:tc>
        <w:tc>
          <w:tcPr>
            <w:tcW w:w="1024" w:type="dxa"/>
            <w:tcBorders>
              <w:top w:val="nil"/>
              <w:left w:val="nil"/>
              <w:bottom w:val="single" w:sz="4" w:space="0" w:color="FFFFFF"/>
              <w:right w:val="single" w:sz="4" w:space="0" w:color="FFFFFF"/>
            </w:tcBorders>
            <w:shd w:val="clear" w:color="000000" w:fill="FFFFFF"/>
            <w:noWrap/>
            <w:vAlign w:val="center"/>
          </w:tcPr>
          <w:p w14:paraId="4B93BB68" w14:textId="77777777" w:rsidR="00510225" w:rsidRPr="00535E4C"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bCs/>
                <w:color w:val="FF0000"/>
                <w:szCs w:val="20"/>
              </w:rPr>
            </w:pPr>
            <w:r>
              <w:rPr>
                <w:rFonts w:cs="Arial"/>
                <w:color w:val="000000"/>
                <w:szCs w:val="20"/>
              </w:rPr>
              <w:t>0.0</w:t>
            </w:r>
          </w:p>
        </w:tc>
        <w:tc>
          <w:tcPr>
            <w:tcW w:w="1042" w:type="dxa"/>
            <w:tcBorders>
              <w:top w:val="nil"/>
              <w:left w:val="nil"/>
              <w:bottom w:val="single" w:sz="4" w:space="0" w:color="FFFFFF"/>
              <w:right w:val="single" w:sz="4" w:space="0" w:color="FFFFFF"/>
            </w:tcBorders>
            <w:shd w:val="clear" w:color="000000" w:fill="808080"/>
            <w:noWrap/>
            <w:vAlign w:val="center"/>
            <w:hideMark/>
          </w:tcPr>
          <w:p w14:paraId="7D896416" w14:textId="77777777" w:rsidR="00510225" w:rsidRPr="00C356BA" w:rsidRDefault="00510225" w:rsidP="008659BF">
            <w:pPr>
              <w:keepNext/>
              <w:keepLines/>
              <w:spacing w:before="0" w:after="0"/>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Pr>
                <w:rFonts w:cs="Arial"/>
                <w:b/>
                <w:bCs/>
                <w:color w:val="FFFFFF"/>
                <w:szCs w:val="20"/>
              </w:rPr>
              <w:t>0.4</w:t>
            </w:r>
          </w:p>
        </w:tc>
      </w:tr>
      <w:tr w:rsidR="00510225" w:rsidRPr="00086AB2" w14:paraId="159F4920" w14:textId="77777777" w:rsidTr="00510225">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shd w:val="clear" w:color="auto" w:fill="808080" w:themeFill="background1" w:themeFillShade="80"/>
            <w:noWrap/>
            <w:vAlign w:val="center"/>
          </w:tcPr>
          <w:p w14:paraId="77406CCE" w14:textId="77777777" w:rsidR="00510225" w:rsidRPr="009E4B46" w:rsidRDefault="00510225" w:rsidP="008659BF">
            <w:pPr>
              <w:keepNext/>
              <w:keepLines/>
              <w:spacing w:before="0" w:after="0"/>
              <w:jc w:val="left"/>
              <w:rPr>
                <w:rFonts w:cs="Arial"/>
                <w:color w:val="FFFFFF" w:themeColor="background1"/>
                <w:szCs w:val="20"/>
              </w:rPr>
            </w:pPr>
            <w:r w:rsidRPr="009E4B46">
              <w:rPr>
                <w:rFonts w:cs="Arial"/>
                <w:color w:val="FFFFFF" w:themeColor="background1"/>
                <w:szCs w:val="20"/>
              </w:rPr>
              <w:t>Australian total</w:t>
            </w:r>
          </w:p>
        </w:tc>
        <w:tc>
          <w:tcPr>
            <w:tcW w:w="1024" w:type="dxa"/>
            <w:tcBorders>
              <w:top w:val="nil"/>
              <w:left w:val="nil"/>
              <w:bottom w:val="single" w:sz="4" w:space="0" w:color="FFFFFF"/>
              <w:right w:val="single" w:sz="4" w:space="0" w:color="FFFFFF"/>
            </w:tcBorders>
            <w:shd w:val="clear" w:color="000000" w:fill="808080"/>
            <w:noWrap/>
            <w:vAlign w:val="center"/>
          </w:tcPr>
          <w:p w14:paraId="7D9B0B60"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1.0</w:t>
            </w:r>
          </w:p>
        </w:tc>
        <w:tc>
          <w:tcPr>
            <w:tcW w:w="1024" w:type="dxa"/>
            <w:tcBorders>
              <w:top w:val="nil"/>
              <w:left w:val="nil"/>
              <w:bottom w:val="single" w:sz="4" w:space="0" w:color="FFFFFF"/>
              <w:right w:val="single" w:sz="4" w:space="0" w:color="FFFFFF"/>
            </w:tcBorders>
            <w:shd w:val="clear" w:color="000000" w:fill="808080"/>
            <w:noWrap/>
            <w:vAlign w:val="center"/>
          </w:tcPr>
          <w:p w14:paraId="40105B7C"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1.0</w:t>
            </w:r>
          </w:p>
        </w:tc>
        <w:tc>
          <w:tcPr>
            <w:tcW w:w="1024" w:type="dxa"/>
            <w:tcBorders>
              <w:top w:val="nil"/>
              <w:left w:val="nil"/>
              <w:bottom w:val="single" w:sz="4" w:space="0" w:color="FFFFFF"/>
              <w:right w:val="single" w:sz="4" w:space="0" w:color="FFFFFF"/>
            </w:tcBorders>
            <w:shd w:val="clear" w:color="000000" w:fill="808080"/>
            <w:noWrap/>
            <w:vAlign w:val="center"/>
          </w:tcPr>
          <w:p w14:paraId="4E927664"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0.9</w:t>
            </w:r>
          </w:p>
        </w:tc>
        <w:tc>
          <w:tcPr>
            <w:tcW w:w="1024" w:type="dxa"/>
            <w:tcBorders>
              <w:top w:val="nil"/>
              <w:left w:val="nil"/>
              <w:bottom w:val="single" w:sz="4" w:space="0" w:color="FFFFFF"/>
              <w:right w:val="single" w:sz="4" w:space="0" w:color="FFFFFF"/>
            </w:tcBorders>
            <w:shd w:val="clear" w:color="000000" w:fill="808080"/>
            <w:noWrap/>
            <w:vAlign w:val="center"/>
          </w:tcPr>
          <w:p w14:paraId="63D4CC11"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1.1</w:t>
            </w:r>
          </w:p>
        </w:tc>
        <w:tc>
          <w:tcPr>
            <w:tcW w:w="1024" w:type="dxa"/>
            <w:tcBorders>
              <w:top w:val="nil"/>
              <w:left w:val="nil"/>
              <w:bottom w:val="single" w:sz="4" w:space="0" w:color="FFFFFF"/>
              <w:right w:val="single" w:sz="4" w:space="0" w:color="FFFFFF"/>
            </w:tcBorders>
            <w:shd w:val="clear" w:color="000000" w:fill="808080"/>
            <w:noWrap/>
            <w:vAlign w:val="center"/>
          </w:tcPr>
          <w:p w14:paraId="75A59E09"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szCs w:val="20"/>
              </w:rPr>
              <w:t>0.8</w:t>
            </w:r>
          </w:p>
        </w:tc>
        <w:tc>
          <w:tcPr>
            <w:tcW w:w="1042" w:type="dxa"/>
            <w:tcBorders>
              <w:top w:val="nil"/>
              <w:left w:val="nil"/>
              <w:bottom w:val="single" w:sz="4" w:space="0" w:color="FFFFFF"/>
              <w:right w:val="single" w:sz="4" w:space="0" w:color="FFFFFF"/>
            </w:tcBorders>
            <w:shd w:val="clear" w:color="000000" w:fill="808080"/>
            <w:noWrap/>
            <w:vAlign w:val="center"/>
          </w:tcPr>
          <w:p w14:paraId="6DACB4C1" w14:textId="77777777" w:rsidR="00510225" w:rsidRPr="00C356BA" w:rsidRDefault="00510225" w:rsidP="008659BF">
            <w:pPr>
              <w:keepNext/>
              <w:keepLines/>
              <w:spacing w:before="0"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Pr>
                <w:rFonts w:cs="Arial"/>
                <w:b/>
                <w:bCs/>
                <w:color w:val="FFFFFF" w:themeColor="background1"/>
                <w:szCs w:val="20"/>
              </w:rPr>
              <w:t>1.0</w:t>
            </w:r>
          </w:p>
        </w:tc>
      </w:tr>
    </w:tbl>
    <w:p w14:paraId="6C6CD16D" w14:textId="77777777" w:rsidR="00510225" w:rsidRPr="00086AB2" w:rsidRDefault="00510225" w:rsidP="00510225"/>
    <w:p w14:paraId="40D3EE4E" w14:textId="7F163C9C" w:rsidR="008659BF" w:rsidRDefault="008659BF">
      <w:pPr>
        <w:spacing w:after="200" w:line="276" w:lineRule="auto"/>
        <w:jc w:val="left"/>
        <w:rPr>
          <w:rFonts w:eastAsiaTheme="majorEastAsia" w:cstheme="majorBidi"/>
          <w:b/>
          <w:color w:val="AF1E2D"/>
          <w:spacing w:val="-3"/>
          <w:sz w:val="2"/>
          <w:szCs w:val="2"/>
          <w:lang w:eastAsia="en-US"/>
        </w:rPr>
      </w:pPr>
      <w:r>
        <w:rPr>
          <w:sz w:val="2"/>
          <w:szCs w:val="2"/>
        </w:rPr>
        <w:br w:type="page"/>
      </w:r>
    </w:p>
    <w:p w14:paraId="132034BF" w14:textId="77777777" w:rsidR="00537FCF" w:rsidRPr="004F6BA7" w:rsidRDefault="00537FCF" w:rsidP="00537FCF">
      <w:pPr>
        <w:pStyle w:val="SWATableheader"/>
        <w:spacing w:before="120" w:after="120"/>
        <w:rPr>
          <w:sz w:val="2"/>
          <w:szCs w:val="2"/>
        </w:rPr>
      </w:pPr>
    </w:p>
    <w:p w14:paraId="614701F7" w14:textId="77777777" w:rsidR="007F5C9E" w:rsidRPr="00086AB2" w:rsidRDefault="007F5C9E" w:rsidP="00537FCF">
      <w:pPr>
        <w:pStyle w:val="SWASectionnum2"/>
      </w:pPr>
      <w:r w:rsidRPr="00086AB2">
        <w:t>Work-related disease fatalities</w:t>
      </w:r>
      <w:bookmarkEnd w:id="37"/>
      <w:r>
        <w:t xml:space="preserve"> </w:t>
      </w:r>
    </w:p>
    <w:p w14:paraId="7C234FEC" w14:textId="77777777" w:rsidR="007F5C9E" w:rsidRDefault="007F5C9E" w:rsidP="007F5C9E">
      <w:r w:rsidRPr="00086AB2">
        <w:t>Workers’ compensation data contain</w:t>
      </w:r>
      <w:r>
        <w:t>s</w:t>
      </w:r>
      <w:r w:rsidRPr="00086AB2">
        <w:t xml:space="preserve"> some information on disease-related fatalities</w:t>
      </w:r>
      <w:r>
        <w:t xml:space="preserve">, </w:t>
      </w:r>
      <w:r w:rsidRPr="00086AB2">
        <w:t>but</w:t>
      </w:r>
      <w:r>
        <w:t xml:space="preserve"> this data is</w:t>
      </w:r>
      <w:r w:rsidRPr="00086AB2">
        <w:t xml:space="preserve"> known to understate the number of fatalities from work-related </w:t>
      </w:r>
      <w:r>
        <w:t>diseases</w:t>
      </w:r>
      <w:r w:rsidRPr="00086AB2">
        <w:t>. It can be difficult to associate a disease that becomes evident later in life after exposure to a chemical or substance that occurred many years earlier while at work. Some occupational diseases such as asbestosis and mesothelioma are</w:t>
      </w:r>
      <w:r>
        <w:t xml:space="preserve"> also</w:t>
      </w:r>
      <w:r w:rsidRPr="00086AB2">
        <w:t xml:space="preserve"> compensated through separate mechanisms</w:t>
      </w:r>
      <w:r>
        <w:t>,</w:t>
      </w:r>
      <w:r w:rsidRPr="00086AB2">
        <w:t xml:space="preserve"> while many other diseases go unreported and/or uncompensated.</w:t>
      </w:r>
    </w:p>
    <w:p w14:paraId="71BDFFDA" w14:textId="19388928" w:rsidR="007F5C9E" w:rsidRPr="004364C9" w:rsidRDefault="007F5C9E" w:rsidP="007F5C9E">
      <w:pPr>
        <w:rPr>
          <w:i/>
        </w:rPr>
      </w:pPr>
      <w:r>
        <w:rPr>
          <w:i/>
        </w:rPr>
        <w:t xml:space="preserve">Compensation claims for disease </w:t>
      </w:r>
      <w:r w:rsidRPr="00620116">
        <w:rPr>
          <w:i/>
        </w:rPr>
        <w:t>fatalities</w:t>
      </w:r>
    </w:p>
    <w:p w14:paraId="210D366C" w14:textId="5400D9AB" w:rsidR="007F5C9E" w:rsidRDefault="007F5C9E" w:rsidP="007F5C9E">
      <w:r>
        <w:t>Indicator 8 shows that i</w:t>
      </w:r>
      <w:r w:rsidRPr="00086AB2">
        <w:t>n 20</w:t>
      </w:r>
      <w:r w:rsidR="00F379D8">
        <w:t>20</w:t>
      </w:r>
      <w:r w:rsidRPr="00086AB2">
        <w:t>–</w:t>
      </w:r>
      <w:r>
        <w:t>2</w:t>
      </w:r>
      <w:r w:rsidR="00F379D8">
        <w:t>1</w:t>
      </w:r>
      <w:r>
        <w:t>p</w:t>
      </w:r>
      <w:r w:rsidRPr="00086AB2">
        <w:t xml:space="preserve"> there were</w:t>
      </w:r>
      <w:r w:rsidR="00F379D8">
        <w:t xml:space="preserve"> 50</w:t>
      </w:r>
      <w:r w:rsidRPr="00086AB2">
        <w:t xml:space="preserve"> accepted workers’ compensation claims</w:t>
      </w:r>
      <w:r>
        <w:t xml:space="preserve"> for </w:t>
      </w:r>
      <w:r w:rsidRPr="00086AB2">
        <w:t>work</w:t>
      </w:r>
      <w:r w:rsidRPr="00086AB2">
        <w:noBreakHyphen/>
        <w:t>related fatalities involving an occupational disease in Australia. Th</w:t>
      </w:r>
      <w:r>
        <w:t>e above</w:t>
      </w:r>
      <w:r w:rsidRPr="00086AB2">
        <w:t xml:space="preserve"> number is expected to rise as more claims lodged in 20</w:t>
      </w:r>
      <w:r w:rsidR="00F379D8">
        <w:t>20</w:t>
      </w:r>
      <w:r w:rsidRPr="00086AB2">
        <w:t>–</w:t>
      </w:r>
      <w:r>
        <w:t>2</w:t>
      </w:r>
      <w:r w:rsidR="00F379D8">
        <w:t>1</w:t>
      </w:r>
      <w:r w:rsidRPr="00086AB2">
        <w:t xml:space="preserve"> </w:t>
      </w:r>
      <w:proofErr w:type="gramStart"/>
      <w:r w:rsidRPr="00086AB2">
        <w:t>are</w:t>
      </w:r>
      <w:proofErr w:type="gramEnd"/>
      <w:r w:rsidRPr="00086AB2">
        <w:t xml:space="preserve"> accepted.</w:t>
      </w:r>
      <w:r>
        <w:t xml:space="preserve"> </w:t>
      </w:r>
    </w:p>
    <w:p w14:paraId="12ED9A30" w14:textId="4674CAAF" w:rsidR="007F5C9E" w:rsidRDefault="007F5C9E" w:rsidP="007F5C9E">
      <w:r w:rsidRPr="00086AB2">
        <w:t xml:space="preserve">There was a substantial </w:t>
      </w:r>
      <w:r w:rsidRPr="00620116">
        <w:t xml:space="preserve">decrease </w:t>
      </w:r>
      <w:r w:rsidRPr="001636C2">
        <w:t>(</w:t>
      </w:r>
      <w:r>
        <w:rPr>
          <w:rFonts w:ascii="Wingdings 3" w:hAnsi="Wingdings 3"/>
          <w:b/>
          <w:bCs/>
          <w:color w:val="B94F25"/>
        </w:rPr>
        <w:t>i</w:t>
      </w:r>
      <w:r w:rsidRPr="004364C9">
        <w:rPr>
          <w:color w:val="B94F25"/>
        </w:rPr>
        <w:t xml:space="preserve"> </w:t>
      </w:r>
      <w:r w:rsidRPr="004364C9">
        <w:rPr>
          <w:b/>
          <w:bCs/>
          <w:color w:val="B94F25"/>
        </w:rPr>
        <w:t>down 2</w:t>
      </w:r>
      <w:r w:rsidR="00F959A8">
        <w:rPr>
          <w:b/>
          <w:bCs/>
          <w:color w:val="B94F25"/>
        </w:rPr>
        <w:t>4</w:t>
      </w:r>
      <w:r w:rsidRPr="004364C9">
        <w:rPr>
          <w:b/>
          <w:bCs/>
          <w:color w:val="B94F25"/>
        </w:rPr>
        <w:t>%</w:t>
      </w:r>
      <w:r w:rsidRPr="001636C2">
        <w:t>)</w:t>
      </w:r>
      <w:r w:rsidRPr="004364C9">
        <w:rPr>
          <w:color w:val="B94F25"/>
        </w:rPr>
        <w:t xml:space="preserve"> </w:t>
      </w:r>
      <w:r w:rsidRPr="00086AB2">
        <w:t>in the number of compensated fatalities related to occupational diseases in Australia from 201</w:t>
      </w:r>
      <w:r w:rsidR="00F959A8">
        <w:t>5</w:t>
      </w:r>
      <w:r w:rsidRPr="00086AB2">
        <w:t>–1</w:t>
      </w:r>
      <w:r w:rsidR="00F959A8">
        <w:t>6</w:t>
      </w:r>
      <w:r w:rsidRPr="00086AB2">
        <w:t xml:space="preserve"> to 201</w:t>
      </w:r>
      <w:r w:rsidR="00F959A8">
        <w:t>9</w:t>
      </w:r>
      <w:r w:rsidRPr="00086AB2">
        <w:t>–</w:t>
      </w:r>
      <w:r w:rsidR="00F959A8">
        <w:t>20</w:t>
      </w:r>
      <w:r>
        <w:t>.</w:t>
      </w:r>
    </w:p>
    <w:p w14:paraId="4040EBD2" w14:textId="79C47F28" w:rsidR="007F5C9E" w:rsidRDefault="007F5C9E" w:rsidP="007F5C9E">
      <w:r w:rsidRPr="00086AB2">
        <w:t xml:space="preserve">Fatalities recorded in the National Dataset for Compensation-based Statistics </w:t>
      </w:r>
      <w:r>
        <w:t xml:space="preserve">are </w:t>
      </w:r>
      <w:r w:rsidR="00EA1BDB">
        <w:t xml:space="preserve">recorded </w:t>
      </w:r>
      <w:r w:rsidRPr="00086AB2">
        <w:t>against the date of death.</w:t>
      </w:r>
      <w:r>
        <w:t xml:space="preserve"> Data revisions from previous years may occur due to time lags between lodgement of the claim, acceptance and/or the date of death (</w:t>
      </w:r>
      <w:proofErr w:type="gramStart"/>
      <w:r>
        <w:t>e.g.</w:t>
      </w:r>
      <w:proofErr w:type="gramEnd"/>
      <w:r>
        <w:t xml:space="preserve"> when there is time between diagnosis leading to a claim being lodged and the date of death). </w:t>
      </w:r>
    </w:p>
    <w:p w14:paraId="15A39C9A" w14:textId="618E2A5C" w:rsidR="007F5C9E" w:rsidRPr="00086AB2" w:rsidRDefault="007F5C9E" w:rsidP="007F5C9E">
      <w:r w:rsidRPr="00086AB2">
        <w:t xml:space="preserve">The Australian Mesothelioma Registry </w:t>
      </w:r>
      <w:r w:rsidR="003E25A6">
        <w:t xml:space="preserve">separately </w:t>
      </w:r>
      <w:r w:rsidRPr="00086AB2">
        <w:t>reports annually on mesothelioma incidence which is available on its</w:t>
      </w:r>
      <w:r w:rsidRPr="002E5FC6">
        <w:rPr>
          <w:rStyle w:val="SWALinkChar"/>
          <w:u w:val="none"/>
        </w:rPr>
        <w:t xml:space="preserve"> </w:t>
      </w:r>
      <w:hyperlink r:id="rId28" w:history="1">
        <w:r w:rsidRPr="00E5660F">
          <w:rPr>
            <w:rStyle w:val="Hyperlink"/>
            <w:color w:val="auto"/>
          </w:rPr>
          <w:t>reports and publications webpage.</w:t>
        </w:r>
      </w:hyperlink>
    </w:p>
    <w:p w14:paraId="7261A6BD" w14:textId="5F95A9F2" w:rsidR="007F5C9E" w:rsidRPr="00570AF1" w:rsidRDefault="007F5C9E" w:rsidP="0031228B">
      <w:pPr>
        <w:pStyle w:val="Heading3"/>
        <w:rPr>
          <w:color w:val="00B050"/>
        </w:rPr>
      </w:pPr>
      <w:bookmarkStart w:id="38" w:name="_Toc86602470"/>
      <w:r w:rsidRPr="00774ED0">
        <w:t xml:space="preserve">Indicator </w:t>
      </w:r>
      <w:r w:rsidR="00594771">
        <w:fldChar w:fldCharType="begin"/>
      </w:r>
      <w:r w:rsidR="00594771">
        <w:instrText xml:space="preserve"> SEQ Indicator \* ARABIC </w:instrText>
      </w:r>
      <w:r w:rsidR="00594771">
        <w:fldChar w:fldCharType="separate"/>
      </w:r>
      <w:r w:rsidR="004132C1">
        <w:rPr>
          <w:noProof/>
        </w:rPr>
        <w:t>8</w:t>
      </w:r>
      <w:r w:rsidR="00594771">
        <w:rPr>
          <w:noProof/>
        </w:rPr>
        <w:fldChar w:fldCharType="end"/>
      </w:r>
      <w:r w:rsidRPr="00774ED0">
        <w:t xml:space="preserve"> – Compensated fatalities involving occupational diseases by jurisdiction</w:t>
      </w:r>
      <w:bookmarkEnd w:id="38"/>
      <w:r w:rsidRPr="00086AB2">
        <w:t xml:space="preserve"> </w:t>
      </w:r>
    </w:p>
    <w:tbl>
      <w:tblPr>
        <w:tblStyle w:val="LightShading-Accent2"/>
        <w:tblW w:w="9209" w:type="dxa"/>
        <w:tblLayout w:type="fixed"/>
        <w:tblLook w:val="04A0" w:firstRow="1" w:lastRow="0" w:firstColumn="1" w:lastColumn="0" w:noHBand="0" w:noVBand="1"/>
        <w:tblCaption w:val="Indicator 8– Compensated fatalities involving occupational diseases by jurisdiction."/>
        <w:tblDescription w:val="This table shows the total number of compensated fatalities involving occupational diseases between 2014-15 and 2019-20, and a yearly average in each Australian jurisdiction. Refer to body text for more details."/>
      </w:tblPr>
      <w:tblGrid>
        <w:gridCol w:w="2972"/>
        <w:gridCol w:w="850"/>
        <w:gridCol w:w="851"/>
        <w:gridCol w:w="850"/>
        <w:gridCol w:w="851"/>
        <w:gridCol w:w="851"/>
        <w:gridCol w:w="992"/>
        <w:gridCol w:w="992"/>
      </w:tblGrid>
      <w:tr w:rsidR="00905D33" w:rsidRPr="00086AB2" w14:paraId="0E922E11" w14:textId="77777777" w:rsidTr="0000703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B51B574" w14:textId="309908D2" w:rsidR="00905D33" w:rsidRPr="00620116" w:rsidRDefault="00905D33" w:rsidP="008659BF">
            <w:pPr>
              <w:spacing w:before="0" w:after="0"/>
              <w:jc w:val="left"/>
              <w:rPr>
                <w:rFonts w:ascii="Calibri" w:hAnsi="Calibri" w:cs="Calibri"/>
                <w:sz w:val="22"/>
                <w:szCs w:val="22"/>
              </w:rPr>
            </w:pPr>
            <w:r w:rsidRPr="0083045C">
              <w:rPr>
                <w:rFonts w:cs="Arial"/>
                <w:bCs w:val="0"/>
                <w:sz w:val="18"/>
                <w:szCs w:val="18"/>
              </w:rPr>
              <w:t>Jurisdiction</w:t>
            </w:r>
          </w:p>
        </w:tc>
        <w:tc>
          <w:tcPr>
            <w:tcW w:w="850" w:type="dxa"/>
            <w:vAlign w:val="bottom"/>
          </w:tcPr>
          <w:p w14:paraId="28AAE48E" w14:textId="117C2516" w:rsidR="00905D33" w:rsidRPr="00BC6901" w:rsidRDefault="00905D33"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BC6901">
              <w:rPr>
                <w:rFonts w:cs="Arial"/>
                <w:b w:val="0"/>
                <w:bCs w:val="0"/>
                <w:color w:val="FFFFFF"/>
                <w:sz w:val="16"/>
                <w:szCs w:val="16"/>
              </w:rPr>
              <w:t>2015-16</w:t>
            </w:r>
          </w:p>
        </w:tc>
        <w:tc>
          <w:tcPr>
            <w:tcW w:w="851" w:type="dxa"/>
            <w:vAlign w:val="bottom"/>
          </w:tcPr>
          <w:p w14:paraId="3F0EE504" w14:textId="4B2E0D4D" w:rsidR="00905D33" w:rsidRPr="00BC6901" w:rsidRDefault="00905D33"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BC6901">
              <w:rPr>
                <w:rFonts w:cs="Arial"/>
                <w:b w:val="0"/>
                <w:bCs w:val="0"/>
                <w:color w:val="FFFFFF"/>
                <w:sz w:val="16"/>
                <w:szCs w:val="16"/>
              </w:rPr>
              <w:t>2016-17</w:t>
            </w:r>
          </w:p>
        </w:tc>
        <w:tc>
          <w:tcPr>
            <w:tcW w:w="850" w:type="dxa"/>
            <w:vAlign w:val="bottom"/>
          </w:tcPr>
          <w:p w14:paraId="3974A498" w14:textId="4D4154CD" w:rsidR="00905D33" w:rsidRPr="00BC6901" w:rsidRDefault="00905D33"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BC6901">
              <w:rPr>
                <w:rFonts w:cs="Arial"/>
                <w:b w:val="0"/>
                <w:bCs w:val="0"/>
                <w:color w:val="FFFFFF"/>
                <w:sz w:val="16"/>
                <w:szCs w:val="16"/>
              </w:rPr>
              <w:t>2017-18</w:t>
            </w:r>
          </w:p>
        </w:tc>
        <w:tc>
          <w:tcPr>
            <w:tcW w:w="851" w:type="dxa"/>
            <w:vAlign w:val="bottom"/>
          </w:tcPr>
          <w:p w14:paraId="4ADB2266" w14:textId="00FECBB4" w:rsidR="00905D33" w:rsidRPr="00BC6901" w:rsidRDefault="00905D33"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BC6901">
              <w:rPr>
                <w:rFonts w:cs="Arial"/>
                <w:b w:val="0"/>
                <w:bCs w:val="0"/>
                <w:color w:val="FFFFFF"/>
                <w:sz w:val="16"/>
                <w:szCs w:val="16"/>
              </w:rPr>
              <w:t>2018-19</w:t>
            </w:r>
          </w:p>
        </w:tc>
        <w:tc>
          <w:tcPr>
            <w:tcW w:w="851" w:type="dxa"/>
            <w:vAlign w:val="bottom"/>
          </w:tcPr>
          <w:p w14:paraId="53C39253" w14:textId="35C9ACC9" w:rsidR="00905D33" w:rsidRPr="00BC6901" w:rsidRDefault="00905D33"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BC6901">
              <w:rPr>
                <w:rFonts w:cs="Arial"/>
                <w:b w:val="0"/>
                <w:bCs w:val="0"/>
                <w:color w:val="FFFFFF"/>
                <w:sz w:val="16"/>
                <w:szCs w:val="16"/>
              </w:rPr>
              <w:t>2019-20</w:t>
            </w:r>
          </w:p>
        </w:tc>
        <w:tc>
          <w:tcPr>
            <w:tcW w:w="992" w:type="dxa"/>
            <w:vAlign w:val="bottom"/>
          </w:tcPr>
          <w:p w14:paraId="10D149E1" w14:textId="4F104088" w:rsidR="00905D33" w:rsidRPr="00BC6901" w:rsidRDefault="00905D33"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BC6901">
              <w:rPr>
                <w:rFonts w:cs="Arial"/>
                <w:b w:val="0"/>
                <w:bCs w:val="0"/>
                <w:color w:val="FFFFFF"/>
                <w:sz w:val="16"/>
                <w:szCs w:val="16"/>
              </w:rPr>
              <w:t>2020-21p</w:t>
            </w:r>
          </w:p>
        </w:tc>
        <w:tc>
          <w:tcPr>
            <w:tcW w:w="992" w:type="dxa"/>
            <w:vAlign w:val="center"/>
          </w:tcPr>
          <w:p w14:paraId="480BFA67" w14:textId="006B5BC4" w:rsidR="00905D33" w:rsidRPr="002536B5" w:rsidRDefault="00905D33" w:rsidP="008659BF">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536B5">
              <w:rPr>
                <w:rFonts w:cs="Arial"/>
                <w:bCs w:val="0"/>
                <w:sz w:val="16"/>
                <w:szCs w:val="16"/>
              </w:rPr>
              <w:t>5yr Average*</w:t>
            </w:r>
          </w:p>
        </w:tc>
      </w:tr>
      <w:tr w:rsidR="00F379D8" w:rsidRPr="00086AB2" w14:paraId="5AFE91EA" w14:textId="77777777" w:rsidTr="00AF3A8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663884C9" w14:textId="4771D5C7"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Queensland</w:t>
            </w:r>
          </w:p>
        </w:tc>
        <w:tc>
          <w:tcPr>
            <w:tcW w:w="0" w:type="dxa"/>
            <w:vAlign w:val="bottom"/>
          </w:tcPr>
          <w:p w14:paraId="214AF04F" w14:textId="3A4AA3AB"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14</w:t>
            </w:r>
          </w:p>
        </w:tc>
        <w:tc>
          <w:tcPr>
            <w:tcW w:w="0" w:type="dxa"/>
            <w:vAlign w:val="bottom"/>
            <w:hideMark/>
          </w:tcPr>
          <w:p w14:paraId="52F1BFA5" w14:textId="2AB397CC"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15</w:t>
            </w:r>
          </w:p>
        </w:tc>
        <w:tc>
          <w:tcPr>
            <w:tcW w:w="0" w:type="dxa"/>
            <w:vAlign w:val="bottom"/>
          </w:tcPr>
          <w:p w14:paraId="1F51F895" w14:textId="322D6BC3"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18</w:t>
            </w:r>
          </w:p>
        </w:tc>
        <w:tc>
          <w:tcPr>
            <w:tcW w:w="0" w:type="dxa"/>
            <w:vAlign w:val="bottom"/>
          </w:tcPr>
          <w:p w14:paraId="26BA253A" w14:textId="77D81381"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25</w:t>
            </w:r>
          </w:p>
        </w:tc>
        <w:tc>
          <w:tcPr>
            <w:tcW w:w="0" w:type="dxa"/>
            <w:vAlign w:val="bottom"/>
          </w:tcPr>
          <w:p w14:paraId="4E32E548" w14:textId="0DA16F5C"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18</w:t>
            </w:r>
          </w:p>
        </w:tc>
        <w:tc>
          <w:tcPr>
            <w:tcW w:w="0" w:type="dxa"/>
            <w:vAlign w:val="bottom"/>
          </w:tcPr>
          <w:p w14:paraId="1192D260" w14:textId="1414F14F"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8</w:t>
            </w:r>
          </w:p>
        </w:tc>
        <w:tc>
          <w:tcPr>
            <w:tcW w:w="0" w:type="dxa"/>
            <w:shd w:val="clear" w:color="auto" w:fill="808080" w:themeFill="background1" w:themeFillShade="80"/>
            <w:hideMark/>
          </w:tcPr>
          <w:p w14:paraId="489D70D6" w14:textId="47ADA78E"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18</w:t>
            </w:r>
          </w:p>
        </w:tc>
      </w:tr>
      <w:tr w:rsidR="00F379D8" w:rsidRPr="00086AB2" w14:paraId="4017C39B" w14:textId="77777777" w:rsidTr="00AF3A8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39EB8A3D" w14:textId="5F0048E6"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Victoria</w:t>
            </w:r>
          </w:p>
        </w:tc>
        <w:tc>
          <w:tcPr>
            <w:tcW w:w="0" w:type="dxa"/>
            <w:vAlign w:val="bottom"/>
          </w:tcPr>
          <w:p w14:paraId="1C23277F" w14:textId="23B4EA0B"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25</w:t>
            </w:r>
          </w:p>
        </w:tc>
        <w:tc>
          <w:tcPr>
            <w:tcW w:w="0" w:type="dxa"/>
            <w:vAlign w:val="bottom"/>
            <w:hideMark/>
          </w:tcPr>
          <w:p w14:paraId="0BAEE4BE" w14:textId="43C5D230"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16</w:t>
            </w:r>
          </w:p>
        </w:tc>
        <w:tc>
          <w:tcPr>
            <w:tcW w:w="0" w:type="dxa"/>
            <w:vAlign w:val="bottom"/>
          </w:tcPr>
          <w:p w14:paraId="4F8A09F1" w14:textId="5B51D6FB"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13</w:t>
            </w:r>
          </w:p>
        </w:tc>
        <w:tc>
          <w:tcPr>
            <w:tcW w:w="0" w:type="dxa"/>
            <w:vAlign w:val="bottom"/>
          </w:tcPr>
          <w:p w14:paraId="7DAC2FE0" w14:textId="44B31D2D"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9</w:t>
            </w:r>
          </w:p>
        </w:tc>
        <w:tc>
          <w:tcPr>
            <w:tcW w:w="0" w:type="dxa"/>
            <w:vAlign w:val="bottom"/>
          </w:tcPr>
          <w:p w14:paraId="51B58F99" w14:textId="29CD001C"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22</w:t>
            </w:r>
          </w:p>
        </w:tc>
        <w:tc>
          <w:tcPr>
            <w:tcW w:w="0" w:type="dxa"/>
            <w:vAlign w:val="bottom"/>
          </w:tcPr>
          <w:p w14:paraId="3D52B7B9" w14:textId="22EA618A"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12</w:t>
            </w:r>
          </w:p>
        </w:tc>
        <w:tc>
          <w:tcPr>
            <w:tcW w:w="0" w:type="dxa"/>
            <w:shd w:val="clear" w:color="auto" w:fill="808080" w:themeFill="background1" w:themeFillShade="80"/>
            <w:hideMark/>
          </w:tcPr>
          <w:p w14:paraId="295F1790" w14:textId="6C01DB69"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17</w:t>
            </w:r>
          </w:p>
        </w:tc>
      </w:tr>
      <w:tr w:rsidR="00F379D8" w:rsidRPr="00086AB2" w14:paraId="6C8E9989" w14:textId="77777777" w:rsidTr="00AF3A8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6AB7F868" w14:textId="075C563A"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Australian Government</w:t>
            </w:r>
          </w:p>
        </w:tc>
        <w:tc>
          <w:tcPr>
            <w:tcW w:w="0" w:type="dxa"/>
            <w:vAlign w:val="bottom"/>
          </w:tcPr>
          <w:p w14:paraId="2EC1AB96" w14:textId="40F0EE71"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15</w:t>
            </w:r>
          </w:p>
        </w:tc>
        <w:tc>
          <w:tcPr>
            <w:tcW w:w="0" w:type="dxa"/>
            <w:vAlign w:val="bottom"/>
            <w:hideMark/>
          </w:tcPr>
          <w:p w14:paraId="56E0725B" w14:textId="509FB658"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23</w:t>
            </w:r>
          </w:p>
        </w:tc>
        <w:tc>
          <w:tcPr>
            <w:tcW w:w="0" w:type="dxa"/>
            <w:vAlign w:val="bottom"/>
          </w:tcPr>
          <w:p w14:paraId="7B8FF73B" w14:textId="511A091D"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19</w:t>
            </w:r>
          </w:p>
        </w:tc>
        <w:tc>
          <w:tcPr>
            <w:tcW w:w="0" w:type="dxa"/>
            <w:vAlign w:val="bottom"/>
          </w:tcPr>
          <w:p w14:paraId="5D0C7B08" w14:textId="1AE22F4A"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13</w:t>
            </w:r>
          </w:p>
        </w:tc>
        <w:tc>
          <w:tcPr>
            <w:tcW w:w="0" w:type="dxa"/>
            <w:vAlign w:val="bottom"/>
          </w:tcPr>
          <w:p w14:paraId="42D8D1A0" w14:textId="287730E2"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4</w:t>
            </w:r>
          </w:p>
        </w:tc>
        <w:tc>
          <w:tcPr>
            <w:tcW w:w="0" w:type="dxa"/>
            <w:vAlign w:val="bottom"/>
          </w:tcPr>
          <w:p w14:paraId="12EEBA4C" w14:textId="7B333E6E"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19</w:t>
            </w:r>
          </w:p>
        </w:tc>
        <w:tc>
          <w:tcPr>
            <w:tcW w:w="0" w:type="dxa"/>
            <w:shd w:val="clear" w:color="auto" w:fill="808080" w:themeFill="background1" w:themeFillShade="80"/>
            <w:hideMark/>
          </w:tcPr>
          <w:p w14:paraId="6B6DC0E9" w14:textId="1E4B2968"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15</w:t>
            </w:r>
          </w:p>
        </w:tc>
      </w:tr>
      <w:tr w:rsidR="00F379D8" w:rsidRPr="00086AB2" w14:paraId="26A69B42" w14:textId="77777777" w:rsidTr="00AF3A8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35A51661" w14:textId="3C40E095"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New South Wales</w:t>
            </w:r>
          </w:p>
        </w:tc>
        <w:tc>
          <w:tcPr>
            <w:tcW w:w="0" w:type="dxa"/>
            <w:vAlign w:val="bottom"/>
          </w:tcPr>
          <w:p w14:paraId="19585996" w14:textId="279A525A"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15</w:t>
            </w:r>
          </w:p>
        </w:tc>
        <w:tc>
          <w:tcPr>
            <w:tcW w:w="0" w:type="dxa"/>
            <w:vAlign w:val="bottom"/>
            <w:hideMark/>
          </w:tcPr>
          <w:p w14:paraId="6D719ADE" w14:textId="0D2BA77C"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8</w:t>
            </w:r>
          </w:p>
        </w:tc>
        <w:tc>
          <w:tcPr>
            <w:tcW w:w="0" w:type="dxa"/>
            <w:vAlign w:val="bottom"/>
          </w:tcPr>
          <w:p w14:paraId="3A4F2C83" w14:textId="46125E17"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12</w:t>
            </w:r>
          </w:p>
        </w:tc>
        <w:tc>
          <w:tcPr>
            <w:tcW w:w="0" w:type="dxa"/>
            <w:vAlign w:val="bottom"/>
          </w:tcPr>
          <w:p w14:paraId="0A6B6CCB" w14:textId="12E5A526"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19</w:t>
            </w:r>
          </w:p>
        </w:tc>
        <w:tc>
          <w:tcPr>
            <w:tcW w:w="0" w:type="dxa"/>
            <w:vAlign w:val="bottom"/>
          </w:tcPr>
          <w:p w14:paraId="56395AFF" w14:textId="26BEA705"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13</w:t>
            </w:r>
          </w:p>
        </w:tc>
        <w:tc>
          <w:tcPr>
            <w:tcW w:w="0" w:type="dxa"/>
            <w:vAlign w:val="bottom"/>
          </w:tcPr>
          <w:p w14:paraId="7164CBC4" w14:textId="39783653"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6</w:t>
            </w:r>
          </w:p>
        </w:tc>
        <w:tc>
          <w:tcPr>
            <w:tcW w:w="0" w:type="dxa"/>
            <w:shd w:val="clear" w:color="auto" w:fill="808080" w:themeFill="background1" w:themeFillShade="80"/>
            <w:hideMark/>
          </w:tcPr>
          <w:p w14:paraId="42EA03F5" w14:textId="448041BD"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13</w:t>
            </w:r>
          </w:p>
        </w:tc>
      </w:tr>
      <w:tr w:rsidR="00F379D8" w:rsidRPr="00086AB2" w14:paraId="1776C32B" w14:textId="77777777" w:rsidTr="00AF3A8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609EF0DE" w14:textId="043C31AA"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South Australia</w:t>
            </w:r>
          </w:p>
        </w:tc>
        <w:tc>
          <w:tcPr>
            <w:tcW w:w="0" w:type="dxa"/>
            <w:vAlign w:val="bottom"/>
          </w:tcPr>
          <w:p w14:paraId="4C8B4FD6" w14:textId="5D78CCF2"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9</w:t>
            </w:r>
          </w:p>
        </w:tc>
        <w:tc>
          <w:tcPr>
            <w:tcW w:w="0" w:type="dxa"/>
            <w:vAlign w:val="bottom"/>
            <w:hideMark/>
          </w:tcPr>
          <w:p w14:paraId="1782A0C2" w14:textId="0CB23391"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5</w:t>
            </w:r>
          </w:p>
        </w:tc>
        <w:tc>
          <w:tcPr>
            <w:tcW w:w="0" w:type="dxa"/>
            <w:vAlign w:val="bottom"/>
          </w:tcPr>
          <w:p w14:paraId="095DE80E" w14:textId="255D4328"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6</w:t>
            </w:r>
          </w:p>
        </w:tc>
        <w:tc>
          <w:tcPr>
            <w:tcW w:w="0" w:type="dxa"/>
            <w:vAlign w:val="bottom"/>
          </w:tcPr>
          <w:p w14:paraId="729C0FB0" w14:textId="6602973D"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3</w:t>
            </w:r>
          </w:p>
        </w:tc>
        <w:tc>
          <w:tcPr>
            <w:tcW w:w="0" w:type="dxa"/>
            <w:vAlign w:val="bottom"/>
          </w:tcPr>
          <w:p w14:paraId="6812D263" w14:textId="65606BB3"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4</w:t>
            </w:r>
          </w:p>
        </w:tc>
        <w:tc>
          <w:tcPr>
            <w:tcW w:w="0" w:type="dxa"/>
            <w:vAlign w:val="bottom"/>
          </w:tcPr>
          <w:p w14:paraId="351E1F1F" w14:textId="78D8550F"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shd w:val="clear" w:color="auto" w:fill="808080" w:themeFill="background1" w:themeFillShade="80"/>
            <w:hideMark/>
          </w:tcPr>
          <w:p w14:paraId="5F9CA51A" w14:textId="0766CA07"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5</w:t>
            </w:r>
          </w:p>
        </w:tc>
      </w:tr>
      <w:tr w:rsidR="00F379D8" w:rsidRPr="00086AB2" w14:paraId="799EDF7D" w14:textId="77777777" w:rsidTr="00AF3A8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422A119A" w14:textId="776D464F"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Western Australia</w:t>
            </w:r>
          </w:p>
        </w:tc>
        <w:tc>
          <w:tcPr>
            <w:tcW w:w="0" w:type="dxa"/>
            <w:vAlign w:val="bottom"/>
          </w:tcPr>
          <w:p w14:paraId="62F217A3" w14:textId="3558076B"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5</w:t>
            </w:r>
          </w:p>
        </w:tc>
        <w:tc>
          <w:tcPr>
            <w:tcW w:w="0" w:type="dxa"/>
            <w:vAlign w:val="bottom"/>
            <w:hideMark/>
          </w:tcPr>
          <w:p w14:paraId="7C81A81F" w14:textId="545B693B"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3</w:t>
            </w:r>
          </w:p>
        </w:tc>
        <w:tc>
          <w:tcPr>
            <w:tcW w:w="0" w:type="dxa"/>
            <w:vAlign w:val="bottom"/>
          </w:tcPr>
          <w:p w14:paraId="151B9A49" w14:textId="3B3559D5"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4</w:t>
            </w:r>
          </w:p>
        </w:tc>
        <w:tc>
          <w:tcPr>
            <w:tcW w:w="0" w:type="dxa"/>
            <w:vAlign w:val="bottom"/>
          </w:tcPr>
          <w:p w14:paraId="5EFAA115" w14:textId="6614C92D"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5</w:t>
            </w:r>
          </w:p>
        </w:tc>
        <w:tc>
          <w:tcPr>
            <w:tcW w:w="0" w:type="dxa"/>
            <w:vAlign w:val="bottom"/>
          </w:tcPr>
          <w:p w14:paraId="5002962B" w14:textId="54F6ACDE"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3</w:t>
            </w:r>
          </w:p>
        </w:tc>
        <w:tc>
          <w:tcPr>
            <w:tcW w:w="0" w:type="dxa"/>
            <w:vAlign w:val="bottom"/>
          </w:tcPr>
          <w:p w14:paraId="0E47CCE9" w14:textId="7CA100B0"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3</w:t>
            </w:r>
          </w:p>
        </w:tc>
        <w:tc>
          <w:tcPr>
            <w:tcW w:w="0" w:type="dxa"/>
            <w:shd w:val="clear" w:color="auto" w:fill="808080" w:themeFill="background1" w:themeFillShade="80"/>
            <w:hideMark/>
          </w:tcPr>
          <w:p w14:paraId="738CBF96" w14:textId="0D612445"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4</w:t>
            </w:r>
          </w:p>
        </w:tc>
      </w:tr>
      <w:tr w:rsidR="00F379D8" w:rsidRPr="00086AB2" w14:paraId="1285C278" w14:textId="77777777" w:rsidTr="00AF3A8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5EF0C44E" w14:textId="4B2BC96D"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Tasmania</w:t>
            </w:r>
          </w:p>
        </w:tc>
        <w:tc>
          <w:tcPr>
            <w:tcW w:w="0" w:type="dxa"/>
            <w:vAlign w:val="bottom"/>
          </w:tcPr>
          <w:p w14:paraId="55A7D4F4" w14:textId="069087B2"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hideMark/>
          </w:tcPr>
          <w:p w14:paraId="22A16EB5" w14:textId="71B26D76"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0" w:type="dxa"/>
            <w:vAlign w:val="bottom"/>
          </w:tcPr>
          <w:p w14:paraId="2620D5F8" w14:textId="526712D3"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2</w:t>
            </w:r>
          </w:p>
        </w:tc>
        <w:tc>
          <w:tcPr>
            <w:tcW w:w="0" w:type="dxa"/>
            <w:vAlign w:val="bottom"/>
          </w:tcPr>
          <w:p w14:paraId="54BD581E" w14:textId="4E59C16B"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tcPr>
          <w:p w14:paraId="7EEA6C9B" w14:textId="0524DAEC"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tcPr>
          <w:p w14:paraId="0255843A" w14:textId="71EF46E1"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0" w:type="dxa"/>
            <w:shd w:val="clear" w:color="auto" w:fill="808080" w:themeFill="background1" w:themeFillShade="80"/>
            <w:hideMark/>
          </w:tcPr>
          <w:p w14:paraId="25BE59BF" w14:textId="62B9279B"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w:t>
            </w:r>
          </w:p>
        </w:tc>
      </w:tr>
      <w:tr w:rsidR="00F379D8" w:rsidRPr="00086AB2" w14:paraId="577FA44A" w14:textId="77777777" w:rsidTr="00AF3A8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3082240D" w14:textId="1C8DFACC" w:rsidR="00F379D8" w:rsidRPr="00334E48" w:rsidRDefault="00F379D8" w:rsidP="008659BF">
            <w:pPr>
              <w:spacing w:before="0" w:after="0"/>
              <w:jc w:val="left"/>
              <w:rPr>
                <w:rFonts w:ascii="Calibri" w:hAnsi="Calibri" w:cs="Calibri"/>
                <w:sz w:val="22"/>
                <w:szCs w:val="22"/>
              </w:rPr>
            </w:pPr>
            <w:r w:rsidRPr="00334E48">
              <w:rPr>
                <w:rFonts w:ascii="Calibri" w:hAnsi="Calibri" w:cs="Calibri"/>
                <w:color w:val="000000"/>
                <w:sz w:val="22"/>
                <w:szCs w:val="22"/>
              </w:rPr>
              <w:t>Australian Capital Territory</w:t>
            </w:r>
          </w:p>
        </w:tc>
        <w:tc>
          <w:tcPr>
            <w:tcW w:w="0" w:type="dxa"/>
            <w:vAlign w:val="bottom"/>
          </w:tcPr>
          <w:p w14:paraId="0BADD1E1" w14:textId="3E1374FD"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hideMark/>
          </w:tcPr>
          <w:p w14:paraId="26595F56" w14:textId="2D848AC2"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tcPr>
          <w:p w14:paraId="4DAB1B5E" w14:textId="50CBF49D"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0" w:type="dxa"/>
            <w:vAlign w:val="bottom"/>
          </w:tcPr>
          <w:p w14:paraId="3845B6AC" w14:textId="6FB4B6F9"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tcPr>
          <w:p w14:paraId="657DAFEF" w14:textId="02DC55A3"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0" w:type="dxa"/>
            <w:vAlign w:val="bottom"/>
          </w:tcPr>
          <w:p w14:paraId="21D360A8" w14:textId="4FD5ECF5"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shd w:val="clear" w:color="auto" w:fill="808080" w:themeFill="background1" w:themeFillShade="80"/>
            <w:hideMark/>
          </w:tcPr>
          <w:p w14:paraId="452FD809" w14:textId="74315C84"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w:t>
            </w:r>
          </w:p>
        </w:tc>
      </w:tr>
      <w:tr w:rsidR="00F379D8" w:rsidRPr="00086AB2" w14:paraId="611FD215" w14:textId="77777777" w:rsidTr="00AF3A8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56CE8E9C" w14:textId="2BB6E98D" w:rsidR="00F379D8" w:rsidRPr="00334E48" w:rsidRDefault="00F379D8" w:rsidP="008659BF">
            <w:pPr>
              <w:spacing w:before="0" w:after="0"/>
              <w:jc w:val="left"/>
              <w:rPr>
                <w:rFonts w:cs="Arial"/>
                <w:color w:val="000000"/>
                <w:sz w:val="22"/>
                <w:szCs w:val="22"/>
              </w:rPr>
            </w:pPr>
            <w:r w:rsidRPr="00334E48">
              <w:rPr>
                <w:rFonts w:ascii="Calibri" w:hAnsi="Calibri" w:cs="Calibri"/>
                <w:color w:val="000000"/>
                <w:sz w:val="22"/>
                <w:szCs w:val="22"/>
              </w:rPr>
              <w:t>Northern Territory</w:t>
            </w:r>
          </w:p>
        </w:tc>
        <w:tc>
          <w:tcPr>
            <w:tcW w:w="0" w:type="dxa"/>
            <w:vAlign w:val="bottom"/>
          </w:tcPr>
          <w:p w14:paraId="4D41EDCF" w14:textId="5CF04A12"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0" w:type="dxa"/>
            <w:vAlign w:val="bottom"/>
            <w:hideMark/>
          </w:tcPr>
          <w:p w14:paraId="754CF0B1" w14:textId="095670EE"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0" w:type="dxa"/>
            <w:vAlign w:val="bottom"/>
          </w:tcPr>
          <w:p w14:paraId="23BAB5FB" w14:textId="5EE7E451"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tcPr>
          <w:p w14:paraId="4CE42571" w14:textId="7C4A0D6F"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tcPr>
          <w:p w14:paraId="677D2FEC" w14:textId="3FF243A0"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0" w:type="dxa"/>
            <w:vAlign w:val="bottom"/>
          </w:tcPr>
          <w:p w14:paraId="48A462B3" w14:textId="4C193082"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p>
        </w:tc>
        <w:tc>
          <w:tcPr>
            <w:tcW w:w="0" w:type="dxa"/>
            <w:shd w:val="clear" w:color="auto" w:fill="808080" w:themeFill="background1" w:themeFillShade="80"/>
            <w:hideMark/>
          </w:tcPr>
          <w:p w14:paraId="656B516E" w14:textId="24B733C8" w:rsidR="00F379D8" w:rsidRPr="00AB5B6A" w:rsidRDefault="00F379D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w:t>
            </w:r>
          </w:p>
        </w:tc>
      </w:tr>
      <w:tr w:rsidR="00F379D8" w:rsidRPr="00086AB2" w14:paraId="2D98BC2A" w14:textId="77777777" w:rsidTr="00AF3A8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1CCB69C4" w14:textId="31C79FF7" w:rsidR="00F379D8" w:rsidRPr="00334E48" w:rsidRDefault="00F379D8" w:rsidP="008659BF">
            <w:pPr>
              <w:spacing w:before="0" w:after="0"/>
              <w:jc w:val="left"/>
              <w:rPr>
                <w:rFonts w:cs="Arial"/>
                <w:color w:val="000000"/>
                <w:sz w:val="22"/>
                <w:szCs w:val="22"/>
              </w:rPr>
            </w:pPr>
            <w:proofErr w:type="spellStart"/>
            <w:r w:rsidRPr="00334E48">
              <w:rPr>
                <w:rFonts w:ascii="Calibri" w:hAnsi="Calibri" w:cs="Calibri"/>
                <w:color w:val="000000"/>
                <w:sz w:val="22"/>
                <w:szCs w:val="22"/>
              </w:rPr>
              <w:t>Seacare</w:t>
            </w:r>
            <w:proofErr w:type="spellEnd"/>
          </w:p>
        </w:tc>
        <w:tc>
          <w:tcPr>
            <w:tcW w:w="0" w:type="dxa"/>
            <w:vAlign w:val="bottom"/>
          </w:tcPr>
          <w:p w14:paraId="42A53A87" w14:textId="6BF33FB7"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hideMark/>
          </w:tcPr>
          <w:p w14:paraId="57C31AF8" w14:textId="6DE03980"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0" w:type="dxa"/>
            <w:vAlign w:val="bottom"/>
          </w:tcPr>
          <w:p w14:paraId="72EE7255" w14:textId="12F0C097"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w:t>
            </w:r>
          </w:p>
        </w:tc>
        <w:tc>
          <w:tcPr>
            <w:tcW w:w="0" w:type="dxa"/>
            <w:vAlign w:val="bottom"/>
          </w:tcPr>
          <w:p w14:paraId="40A529B4" w14:textId="39190FC3"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0" w:type="dxa"/>
            <w:vAlign w:val="bottom"/>
          </w:tcPr>
          <w:p w14:paraId="1B3DBDED" w14:textId="117E7A71"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0" w:type="dxa"/>
            <w:vAlign w:val="bottom"/>
          </w:tcPr>
          <w:p w14:paraId="2AABF747" w14:textId="3C2C0948"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p>
        </w:tc>
        <w:tc>
          <w:tcPr>
            <w:tcW w:w="0" w:type="dxa"/>
            <w:shd w:val="clear" w:color="auto" w:fill="808080" w:themeFill="background1" w:themeFillShade="80"/>
            <w:hideMark/>
          </w:tcPr>
          <w:p w14:paraId="223A31E4" w14:textId="234A5500"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1</w:t>
            </w:r>
          </w:p>
        </w:tc>
      </w:tr>
      <w:tr w:rsidR="00F959A8" w:rsidRPr="008659BF" w14:paraId="53BB10AC" w14:textId="77777777" w:rsidTr="00AF3A8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shd w:val="clear" w:color="auto" w:fill="808080" w:themeFill="background1" w:themeFillShade="80"/>
            <w:vAlign w:val="bottom"/>
            <w:hideMark/>
          </w:tcPr>
          <w:p w14:paraId="577763E9" w14:textId="77F0CC72" w:rsidR="00F959A8" w:rsidRPr="008659BF" w:rsidRDefault="00F959A8" w:rsidP="008659BF">
            <w:pPr>
              <w:spacing w:before="0" w:after="0"/>
              <w:jc w:val="left"/>
              <w:rPr>
                <w:rFonts w:cs="Arial"/>
                <w:color w:val="FFFFFF" w:themeColor="background1"/>
                <w:sz w:val="22"/>
                <w:szCs w:val="22"/>
              </w:rPr>
            </w:pPr>
            <w:r w:rsidRPr="008659BF">
              <w:rPr>
                <w:rFonts w:ascii="Calibri" w:hAnsi="Calibri" w:cs="Calibri"/>
                <w:color w:val="FFFFFF"/>
                <w:sz w:val="22"/>
                <w:szCs w:val="22"/>
              </w:rPr>
              <w:t>Australian total</w:t>
            </w:r>
          </w:p>
        </w:tc>
        <w:tc>
          <w:tcPr>
            <w:tcW w:w="0" w:type="dxa"/>
            <w:shd w:val="clear" w:color="auto" w:fill="808080" w:themeFill="background1" w:themeFillShade="80"/>
            <w:vAlign w:val="bottom"/>
          </w:tcPr>
          <w:p w14:paraId="1A40B485" w14:textId="75ABB691" w:rsidR="00F959A8" w:rsidRPr="00AB5B6A" w:rsidRDefault="00F959A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AB5B6A">
              <w:rPr>
                <w:rFonts w:asciiTheme="minorHAnsi" w:hAnsiTheme="minorHAnsi" w:cstheme="minorHAnsi"/>
                <w:color w:val="FFFFFF"/>
                <w:szCs w:val="20"/>
              </w:rPr>
              <w:t>86</w:t>
            </w:r>
          </w:p>
        </w:tc>
        <w:tc>
          <w:tcPr>
            <w:tcW w:w="0" w:type="dxa"/>
            <w:shd w:val="clear" w:color="auto" w:fill="808080" w:themeFill="background1" w:themeFillShade="80"/>
            <w:vAlign w:val="bottom"/>
            <w:hideMark/>
          </w:tcPr>
          <w:p w14:paraId="3F5A01BF" w14:textId="5787C326" w:rsidR="00F959A8" w:rsidRPr="00AB5B6A" w:rsidRDefault="00F959A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AB5B6A">
              <w:rPr>
                <w:rFonts w:asciiTheme="minorHAnsi" w:hAnsiTheme="minorHAnsi" w:cstheme="minorHAnsi"/>
                <w:color w:val="FFFFFF"/>
                <w:szCs w:val="20"/>
              </w:rPr>
              <w:t>71</w:t>
            </w:r>
          </w:p>
        </w:tc>
        <w:tc>
          <w:tcPr>
            <w:tcW w:w="0" w:type="dxa"/>
            <w:shd w:val="clear" w:color="auto" w:fill="808080" w:themeFill="background1" w:themeFillShade="80"/>
            <w:vAlign w:val="bottom"/>
            <w:hideMark/>
          </w:tcPr>
          <w:p w14:paraId="7B01D566" w14:textId="0E5666FE" w:rsidR="00F959A8" w:rsidRPr="00AB5B6A" w:rsidRDefault="00F959A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AB5B6A">
              <w:rPr>
                <w:rFonts w:asciiTheme="minorHAnsi" w:hAnsiTheme="minorHAnsi" w:cstheme="minorHAnsi"/>
                <w:color w:val="FFFFFF"/>
                <w:szCs w:val="20"/>
              </w:rPr>
              <w:t>76</w:t>
            </w:r>
          </w:p>
        </w:tc>
        <w:tc>
          <w:tcPr>
            <w:tcW w:w="0" w:type="dxa"/>
            <w:shd w:val="clear" w:color="auto" w:fill="808080" w:themeFill="background1" w:themeFillShade="80"/>
            <w:vAlign w:val="bottom"/>
            <w:hideMark/>
          </w:tcPr>
          <w:p w14:paraId="1064A22B" w14:textId="23B9DE1D" w:rsidR="00F959A8" w:rsidRPr="00AB5B6A" w:rsidRDefault="00F959A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AB5B6A">
              <w:rPr>
                <w:rFonts w:asciiTheme="minorHAnsi" w:hAnsiTheme="minorHAnsi" w:cstheme="minorHAnsi"/>
                <w:color w:val="FFFFFF"/>
                <w:szCs w:val="20"/>
              </w:rPr>
              <w:t>77</w:t>
            </w:r>
          </w:p>
        </w:tc>
        <w:tc>
          <w:tcPr>
            <w:tcW w:w="0" w:type="dxa"/>
            <w:shd w:val="clear" w:color="auto" w:fill="808080" w:themeFill="background1" w:themeFillShade="80"/>
            <w:vAlign w:val="bottom"/>
            <w:hideMark/>
          </w:tcPr>
          <w:p w14:paraId="7FAE05B0" w14:textId="2C8ACF16" w:rsidR="00F959A8" w:rsidRPr="00AB5B6A" w:rsidRDefault="00F959A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AB5B6A">
              <w:rPr>
                <w:rFonts w:asciiTheme="minorHAnsi" w:hAnsiTheme="minorHAnsi" w:cstheme="minorHAnsi"/>
                <w:color w:val="FFFFFF"/>
                <w:szCs w:val="20"/>
              </w:rPr>
              <w:t>65</w:t>
            </w:r>
          </w:p>
        </w:tc>
        <w:tc>
          <w:tcPr>
            <w:tcW w:w="0" w:type="dxa"/>
            <w:shd w:val="clear" w:color="auto" w:fill="808080" w:themeFill="background1" w:themeFillShade="80"/>
            <w:vAlign w:val="bottom"/>
            <w:hideMark/>
          </w:tcPr>
          <w:p w14:paraId="521D285F" w14:textId="64373C95" w:rsidR="00F959A8" w:rsidRPr="00AB5B6A" w:rsidRDefault="00F959A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AB5B6A">
              <w:rPr>
                <w:rFonts w:asciiTheme="minorHAnsi" w:hAnsiTheme="minorHAnsi" w:cstheme="minorHAnsi"/>
                <w:color w:val="FFFFFF"/>
                <w:szCs w:val="20"/>
              </w:rPr>
              <w:t>50</w:t>
            </w:r>
          </w:p>
        </w:tc>
        <w:tc>
          <w:tcPr>
            <w:tcW w:w="0" w:type="dxa"/>
            <w:shd w:val="clear" w:color="auto" w:fill="808080" w:themeFill="background1" w:themeFillShade="80"/>
            <w:vAlign w:val="bottom"/>
            <w:hideMark/>
          </w:tcPr>
          <w:p w14:paraId="43A2B308" w14:textId="361C05CF" w:rsidR="00F959A8" w:rsidRPr="00AB5B6A" w:rsidRDefault="00F959A8" w:rsidP="0019123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AB5B6A">
              <w:rPr>
                <w:rFonts w:asciiTheme="minorHAnsi" w:hAnsiTheme="minorHAnsi" w:cstheme="minorHAnsi"/>
                <w:color w:val="FFFFFF" w:themeColor="background1"/>
                <w:szCs w:val="20"/>
              </w:rPr>
              <w:t>75</w:t>
            </w:r>
          </w:p>
        </w:tc>
      </w:tr>
      <w:tr w:rsidR="00F379D8" w:rsidRPr="00086AB2" w14:paraId="647084C1" w14:textId="77777777" w:rsidTr="00AF3A8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dxa"/>
            <w:vAlign w:val="bottom"/>
            <w:hideMark/>
          </w:tcPr>
          <w:p w14:paraId="4A7B7D5C" w14:textId="0F361641" w:rsidR="00F379D8" w:rsidRPr="00334E48" w:rsidRDefault="00F379D8" w:rsidP="008659BF">
            <w:pPr>
              <w:spacing w:before="0" w:after="0"/>
              <w:jc w:val="left"/>
              <w:rPr>
                <w:rFonts w:cs="Arial"/>
                <w:color w:val="000000"/>
                <w:sz w:val="22"/>
                <w:szCs w:val="22"/>
              </w:rPr>
            </w:pPr>
            <w:r w:rsidRPr="00334E48">
              <w:rPr>
                <w:rFonts w:ascii="Calibri" w:hAnsi="Calibri" w:cs="Calibri"/>
                <w:color w:val="000000"/>
                <w:sz w:val="22"/>
                <w:szCs w:val="22"/>
              </w:rPr>
              <w:t>New Zealand</w:t>
            </w:r>
          </w:p>
        </w:tc>
        <w:tc>
          <w:tcPr>
            <w:tcW w:w="0" w:type="dxa"/>
            <w:vAlign w:val="bottom"/>
          </w:tcPr>
          <w:p w14:paraId="7E851B51" w14:textId="11252F6A"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31</w:t>
            </w:r>
          </w:p>
        </w:tc>
        <w:tc>
          <w:tcPr>
            <w:tcW w:w="0" w:type="dxa"/>
            <w:vAlign w:val="bottom"/>
            <w:hideMark/>
          </w:tcPr>
          <w:p w14:paraId="5375FE04" w14:textId="2D865DFF"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45</w:t>
            </w:r>
          </w:p>
        </w:tc>
        <w:tc>
          <w:tcPr>
            <w:tcW w:w="0" w:type="dxa"/>
            <w:vAlign w:val="bottom"/>
            <w:hideMark/>
          </w:tcPr>
          <w:p w14:paraId="709EC893" w14:textId="6317874E"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41</w:t>
            </w:r>
          </w:p>
        </w:tc>
        <w:tc>
          <w:tcPr>
            <w:tcW w:w="0" w:type="dxa"/>
            <w:vAlign w:val="bottom"/>
            <w:hideMark/>
          </w:tcPr>
          <w:p w14:paraId="1681A98A" w14:textId="7DABE4DC"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40</w:t>
            </w:r>
          </w:p>
        </w:tc>
        <w:tc>
          <w:tcPr>
            <w:tcW w:w="0" w:type="dxa"/>
            <w:vAlign w:val="bottom"/>
            <w:hideMark/>
          </w:tcPr>
          <w:p w14:paraId="0751C99C" w14:textId="7C3DC09C"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33</w:t>
            </w:r>
          </w:p>
        </w:tc>
        <w:tc>
          <w:tcPr>
            <w:tcW w:w="0" w:type="dxa"/>
            <w:vAlign w:val="bottom"/>
            <w:hideMark/>
          </w:tcPr>
          <w:p w14:paraId="67B01B2B" w14:textId="41F216E9"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0"/>
              </w:rPr>
            </w:pPr>
            <w:r w:rsidRPr="00AB5B6A">
              <w:rPr>
                <w:rFonts w:asciiTheme="minorHAnsi" w:hAnsiTheme="minorHAnsi" w:cstheme="minorHAnsi"/>
                <w:color w:val="000000"/>
                <w:szCs w:val="20"/>
              </w:rPr>
              <w:t>15</w:t>
            </w:r>
          </w:p>
        </w:tc>
        <w:tc>
          <w:tcPr>
            <w:tcW w:w="0" w:type="dxa"/>
            <w:shd w:val="clear" w:color="auto" w:fill="808080" w:themeFill="background1" w:themeFillShade="80"/>
            <w:hideMark/>
          </w:tcPr>
          <w:p w14:paraId="6A0F34FC" w14:textId="6C179C54" w:rsidR="00F379D8" w:rsidRPr="00AB5B6A" w:rsidRDefault="00F379D8" w:rsidP="00191239">
            <w:pPr>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FFFFFF" w:themeColor="background1"/>
                <w:szCs w:val="20"/>
              </w:rPr>
            </w:pPr>
            <w:r w:rsidRPr="00AB5B6A">
              <w:rPr>
                <w:rFonts w:asciiTheme="minorHAnsi" w:hAnsiTheme="minorHAnsi" w:cstheme="minorHAnsi"/>
                <w:color w:val="FFFFFF" w:themeColor="background1"/>
                <w:szCs w:val="20"/>
              </w:rPr>
              <w:t>38</w:t>
            </w:r>
          </w:p>
        </w:tc>
      </w:tr>
    </w:tbl>
    <w:p w14:paraId="4BA1DED1" w14:textId="581EB081" w:rsidR="007F5C9E" w:rsidRPr="00206AD9" w:rsidRDefault="007F5C9E" w:rsidP="007F5C9E">
      <w:pPr>
        <w:pStyle w:val="Footnote"/>
      </w:pPr>
      <w:r>
        <w:t xml:space="preserve">* The </w:t>
      </w:r>
      <w:r w:rsidR="00597011">
        <w:t>five</w:t>
      </w:r>
      <w:r w:rsidR="00373D17">
        <w:t>-</w:t>
      </w:r>
      <w:r w:rsidR="00597011">
        <w:t>year</w:t>
      </w:r>
      <w:r w:rsidR="00FD00F6">
        <w:t xml:space="preserve"> total</w:t>
      </w:r>
      <w:r>
        <w:t xml:space="preserve"> includes compensated fatalities between 201</w:t>
      </w:r>
      <w:r w:rsidR="00F959A8">
        <w:t>5</w:t>
      </w:r>
      <w:r w:rsidRPr="00086AB2">
        <w:t>–</w:t>
      </w:r>
      <w:r>
        <w:t>1</w:t>
      </w:r>
      <w:r w:rsidR="00F959A8">
        <w:t>6</w:t>
      </w:r>
      <w:r>
        <w:t xml:space="preserve"> to 201</w:t>
      </w:r>
      <w:r w:rsidR="00F959A8">
        <w:t>9</w:t>
      </w:r>
      <w:r w:rsidR="00E33C86" w:rsidRPr="00E33C86">
        <w:t>–</w:t>
      </w:r>
      <w:r w:rsidR="00F959A8">
        <w:t>20</w:t>
      </w:r>
      <w:r>
        <w:t>.</w:t>
      </w:r>
    </w:p>
    <w:p w14:paraId="1BEDD7B0" w14:textId="000FC782" w:rsidR="008659BF" w:rsidRDefault="007F5C9E" w:rsidP="007F5C9E">
      <w:pPr>
        <w:pStyle w:val="Footnote"/>
      </w:pPr>
      <w:r>
        <w:t>**</w:t>
      </w:r>
      <w:r w:rsidRPr="00086AB2">
        <w:t xml:space="preserve"> </w:t>
      </w:r>
      <w:proofErr w:type="gramStart"/>
      <w:r w:rsidRPr="00086AB2">
        <w:t>The majority of</w:t>
      </w:r>
      <w:proofErr w:type="gramEnd"/>
      <w:r w:rsidRPr="00086AB2">
        <w:t xml:space="preserve"> compensated fatalities for occupational diseases in Queensland and the Australian Government are due to mesothelioma or asbestosis. Queensland compensates more of these fatalities through its scheme than is the case in other jurisdictions where compensation is more often sought through separate mechanisms including common law.</w:t>
      </w:r>
    </w:p>
    <w:p w14:paraId="78657AD3" w14:textId="77777777" w:rsidR="008659BF" w:rsidRDefault="008659BF">
      <w:pPr>
        <w:spacing w:after="200" w:line="276" w:lineRule="auto"/>
        <w:jc w:val="left"/>
        <w:rPr>
          <w:rFonts w:eastAsiaTheme="minorHAnsi" w:cs="Arial"/>
          <w:color w:val="000000"/>
          <w:sz w:val="16"/>
          <w:szCs w:val="16"/>
          <w:lang w:val="en-US" w:eastAsia="en-US"/>
        </w:rPr>
      </w:pPr>
      <w:r>
        <w:br w:type="page"/>
      </w:r>
    </w:p>
    <w:p w14:paraId="133D8067" w14:textId="23C51853" w:rsidR="00C32309" w:rsidRDefault="00C32309" w:rsidP="00C32309">
      <w:pPr>
        <w:pStyle w:val="SWASectionnumberingheading"/>
        <w:tabs>
          <w:tab w:val="num" w:pos="284"/>
        </w:tabs>
      </w:pPr>
      <w:r>
        <w:lastRenderedPageBreak/>
        <w:t xml:space="preserve"> </w:t>
      </w:r>
      <w:bookmarkStart w:id="39" w:name="_Toc86602471"/>
      <w:r w:rsidRPr="00086AB2">
        <w:t>Claims by size of business (in the private sector)</w:t>
      </w:r>
      <w:bookmarkEnd w:id="39"/>
      <w:r>
        <w:t xml:space="preserve"> </w:t>
      </w:r>
    </w:p>
    <w:p w14:paraId="3076183B" w14:textId="6A1FF77D" w:rsidR="008659BF" w:rsidRDefault="001F6C02" w:rsidP="00837C16">
      <w:r w:rsidRPr="00837C16">
        <w:t xml:space="preserve">Indicator 9 compares the incidence of serious workers’ compensation claims by size of business. During the collation and analysis of this </w:t>
      </w:r>
      <w:r w:rsidR="00182CBC" w:rsidRPr="00837C16">
        <w:t>edition of the Comparative Performance Monitoring R</w:t>
      </w:r>
      <w:r w:rsidRPr="00837C16">
        <w:t>eport</w:t>
      </w:r>
      <w:r w:rsidR="000577A0">
        <w:t>,</w:t>
      </w:r>
      <w:r w:rsidR="00E325C7" w:rsidRPr="00837C16">
        <w:t xml:space="preserve"> concerns were identified with the methodology for calculating this indicator, particularly given </w:t>
      </w:r>
      <w:r w:rsidR="00D1792E" w:rsidRPr="00837C16">
        <w:t xml:space="preserve">volatility in the labour force due to the COVID-19 pandemic and significant changes in the structure of </w:t>
      </w:r>
      <w:r w:rsidR="00535940" w:rsidRPr="00837C16">
        <w:t xml:space="preserve">businesses since the methodology for this indicator was last reviewed. </w:t>
      </w:r>
      <w:r w:rsidR="00891D30" w:rsidRPr="00837C16">
        <w:t xml:space="preserve">As a result, </w:t>
      </w:r>
      <w:r w:rsidR="00B866BC" w:rsidRPr="00837C16">
        <w:t>Safe Work Australia</w:t>
      </w:r>
      <w:r w:rsidR="00891D30" w:rsidRPr="00837C16">
        <w:t xml:space="preserve"> has decided to exclude this indicator for the 2</w:t>
      </w:r>
      <w:r w:rsidR="001613C8">
        <w:t>4th</w:t>
      </w:r>
      <w:r w:rsidR="00891D30" w:rsidRPr="00837C16">
        <w:t xml:space="preserve"> edition</w:t>
      </w:r>
      <w:r w:rsidR="00B866BC" w:rsidRPr="00837C16">
        <w:t xml:space="preserve"> </w:t>
      </w:r>
      <w:r w:rsidR="00637B0D">
        <w:t>further review is needed</w:t>
      </w:r>
      <w:r w:rsidR="00891D30" w:rsidRPr="00837C16">
        <w:t xml:space="preserve"> before the release of the next edition of the Comparative Performance Monitoring report.</w:t>
      </w:r>
    </w:p>
    <w:p w14:paraId="6766672D" w14:textId="77777777" w:rsidR="008659BF" w:rsidRDefault="008659BF">
      <w:pPr>
        <w:spacing w:after="200" w:line="276" w:lineRule="auto"/>
        <w:jc w:val="left"/>
      </w:pPr>
      <w:r>
        <w:br w:type="page"/>
      </w:r>
    </w:p>
    <w:p w14:paraId="53EC98C9" w14:textId="77777777" w:rsidR="00485C33" w:rsidRPr="00086AB2" w:rsidRDefault="00485C33" w:rsidP="00485C33">
      <w:pPr>
        <w:pStyle w:val="SWASectionnumberingheading"/>
      </w:pPr>
      <w:bookmarkStart w:id="40" w:name="_Toc55294233"/>
      <w:bookmarkStart w:id="41" w:name="_Toc86602472"/>
      <w:bookmarkEnd w:id="40"/>
      <w:r w:rsidRPr="00086AB2">
        <w:lastRenderedPageBreak/>
        <w:t>Claims by mechanism of incident</w:t>
      </w:r>
      <w:bookmarkEnd w:id="41"/>
      <w:r>
        <w:t xml:space="preserve"> </w:t>
      </w:r>
    </w:p>
    <w:p w14:paraId="7A500EE7" w14:textId="530BDF89" w:rsidR="00150509" w:rsidRDefault="00485C33" w:rsidP="00485C33">
      <w:pPr>
        <w:keepNext/>
        <w:keepLines/>
      </w:pPr>
      <w:r w:rsidRPr="00086AB2">
        <w:t>Claim patterns can be analysed using the Type of Occurrence Classification System (TOOCS), which contains a series of codes providing information on the cause of the incident and the type of injury or disease. Coding for the mechanism of incident is intended to identify the overall action, exposure or event that best describes the circumstances that resulted in the most serious injury or disease. More</w:t>
      </w:r>
      <w:r w:rsidR="00780CE7">
        <w:t> </w:t>
      </w:r>
      <w:r w:rsidRPr="00086AB2">
        <w:t xml:space="preserve">information on TOOCS can be found on the </w:t>
      </w:r>
      <w:hyperlink r:id="rId29" w:history="1">
        <w:r w:rsidRPr="00086AB2">
          <w:rPr>
            <w:rStyle w:val="SWALinkChar"/>
          </w:rPr>
          <w:t>Safe Work Australia</w:t>
        </w:r>
      </w:hyperlink>
      <w:r w:rsidRPr="00086AB2">
        <w:t xml:space="preserve"> website.</w:t>
      </w:r>
    </w:p>
    <w:p w14:paraId="36AE2745" w14:textId="27D6C577" w:rsidR="00485C33" w:rsidRDefault="00150509" w:rsidP="00485C33">
      <w:pPr>
        <w:keepNext/>
        <w:keepLines/>
      </w:pPr>
      <w:r>
        <w:t>The Agency also provides further in</w:t>
      </w:r>
      <w:r w:rsidRPr="002B36CD">
        <w:t xml:space="preserve">formation on the claims by mechanism of incident </w:t>
      </w:r>
      <w:r w:rsidR="00AD7DC6" w:rsidRPr="00086AB2">
        <w:t xml:space="preserve">in the </w:t>
      </w:r>
      <w:r w:rsidR="00AD7DC6" w:rsidRPr="00B62529">
        <w:rPr>
          <w:i/>
          <w:iCs/>
        </w:rPr>
        <w:t>Australian Workers’ Compensation Statistics report</w:t>
      </w:r>
      <w:r w:rsidR="00AD7DC6" w:rsidRPr="00086AB2">
        <w:t xml:space="preserve">, published on the </w:t>
      </w:r>
      <w:hyperlink r:id="rId30" w:history="1">
        <w:r w:rsidR="00AD7DC6" w:rsidRPr="00086AB2">
          <w:rPr>
            <w:rStyle w:val="SWALinkChar"/>
          </w:rPr>
          <w:t>Safe Work Australia</w:t>
        </w:r>
      </w:hyperlink>
      <w:r w:rsidR="00AD7DC6" w:rsidRPr="00086AB2">
        <w:t xml:space="preserve"> website</w:t>
      </w:r>
    </w:p>
    <w:p w14:paraId="52254A26" w14:textId="77777777" w:rsidR="00485C33" w:rsidRPr="00620116" w:rsidRDefault="00485C33" w:rsidP="00485C33">
      <w:pPr>
        <w:keepNext/>
        <w:keepLines/>
        <w:rPr>
          <w:i/>
          <w:iCs/>
        </w:rPr>
      </w:pPr>
      <w:r>
        <w:rPr>
          <w:i/>
          <w:iCs/>
        </w:rPr>
        <w:t>Proportion of serious claims (Australia)</w:t>
      </w:r>
    </w:p>
    <w:p w14:paraId="7B9A639A" w14:textId="58C4FCF8" w:rsidR="00485C33" w:rsidRDefault="00485C33" w:rsidP="00485C33">
      <w:pPr>
        <w:keepNext/>
        <w:keepLines/>
      </w:pPr>
      <w:r w:rsidRPr="00086AB2">
        <w:t xml:space="preserve">Indicator 10 shows the proportion of serious claims by the mechanism of incident over the past </w:t>
      </w:r>
      <w:r w:rsidR="00780CE7">
        <w:t>6</w:t>
      </w:r>
      <w:r w:rsidR="005074CF">
        <w:t> </w:t>
      </w:r>
      <w:r w:rsidR="00780CE7">
        <w:t xml:space="preserve">financial </w:t>
      </w:r>
      <w:r w:rsidRPr="00086AB2">
        <w:t xml:space="preserve">years. </w:t>
      </w:r>
    </w:p>
    <w:p w14:paraId="6CEBF5F1" w14:textId="51B16F0D" w:rsidR="00485C33" w:rsidRDefault="00485C33" w:rsidP="00C03259">
      <w:pPr>
        <w:pStyle w:val="ListParagraph"/>
        <w:keepNext/>
        <w:keepLines/>
        <w:numPr>
          <w:ilvl w:val="0"/>
          <w:numId w:val="11"/>
        </w:numPr>
      </w:pPr>
      <w:r w:rsidRPr="00086AB2">
        <w:t xml:space="preserve">Body stressing accounted for </w:t>
      </w:r>
      <w:r>
        <w:t>3</w:t>
      </w:r>
      <w:r w:rsidR="00F959A8">
        <w:t>7.1</w:t>
      </w:r>
      <w:r>
        <w:t>%</w:t>
      </w:r>
      <w:r w:rsidRPr="00086AB2">
        <w:t xml:space="preserve"> of the </w:t>
      </w:r>
      <w:r w:rsidR="00F959A8">
        <w:t>130,195</w:t>
      </w:r>
      <w:r>
        <w:t xml:space="preserve"> </w:t>
      </w:r>
      <w:r w:rsidRPr="00086AB2">
        <w:t>serious claims in 20</w:t>
      </w:r>
      <w:r w:rsidR="00F959A8">
        <w:t>20</w:t>
      </w:r>
      <w:r w:rsidRPr="00086AB2">
        <w:t>–</w:t>
      </w:r>
      <w:r>
        <w:t>2</w:t>
      </w:r>
      <w:r w:rsidR="00F959A8">
        <w:t>1</w:t>
      </w:r>
      <w:r>
        <w:t>p (4</w:t>
      </w:r>
      <w:r w:rsidR="00F959A8">
        <w:t>8,358</w:t>
      </w:r>
      <w:r w:rsidR="00780CE7">
        <w:t> </w:t>
      </w:r>
      <w:r>
        <w:t>claims)</w:t>
      </w:r>
      <w:r w:rsidRPr="00086AB2">
        <w:t xml:space="preserve">. </w:t>
      </w:r>
    </w:p>
    <w:p w14:paraId="33470714" w14:textId="3B1569B5" w:rsidR="00485C33" w:rsidRDefault="00485C33" w:rsidP="00C03259">
      <w:pPr>
        <w:pStyle w:val="ListParagraph"/>
        <w:keepNext/>
        <w:keepLines/>
        <w:numPr>
          <w:ilvl w:val="0"/>
          <w:numId w:val="11"/>
        </w:numPr>
      </w:pPr>
      <w:r>
        <w:t xml:space="preserve">This was followed by </w:t>
      </w:r>
      <w:r w:rsidRPr="00086AB2">
        <w:t xml:space="preserve">Falls, slips and trips of a person </w:t>
      </w:r>
      <w:r>
        <w:t xml:space="preserve">which </w:t>
      </w:r>
      <w:r w:rsidRPr="00086AB2">
        <w:t xml:space="preserve">accounted for </w:t>
      </w:r>
      <w:r>
        <w:t>23.1% of claims (</w:t>
      </w:r>
      <w:r w:rsidR="00F959A8">
        <w:t>30,039</w:t>
      </w:r>
      <w:r>
        <w:t xml:space="preserve"> claims).</w:t>
      </w:r>
    </w:p>
    <w:p w14:paraId="46E74CBA" w14:textId="3946AB9B" w:rsidR="00485C33" w:rsidRDefault="00485C33" w:rsidP="00C03259">
      <w:pPr>
        <w:pStyle w:val="ListParagraph"/>
        <w:keepNext/>
        <w:keepLines/>
        <w:numPr>
          <w:ilvl w:val="0"/>
          <w:numId w:val="11"/>
        </w:numPr>
      </w:pPr>
      <w:r w:rsidRPr="00086AB2">
        <w:t xml:space="preserve">Mental stress accounted for </w:t>
      </w:r>
      <w:r>
        <w:t>8.</w:t>
      </w:r>
      <w:r w:rsidR="00FA3352">
        <w:t>5</w:t>
      </w:r>
      <w:r>
        <w:t>%</w:t>
      </w:r>
      <w:r w:rsidRPr="00086AB2">
        <w:t xml:space="preserve"> of claims</w:t>
      </w:r>
      <w:r>
        <w:t xml:space="preserve"> </w:t>
      </w:r>
      <w:r w:rsidR="00780CE7" w:rsidRPr="00086AB2">
        <w:t>in 20</w:t>
      </w:r>
      <w:r w:rsidR="00084AEE">
        <w:t>20</w:t>
      </w:r>
      <w:r w:rsidR="00780CE7" w:rsidRPr="00086AB2">
        <w:t>–</w:t>
      </w:r>
      <w:r w:rsidR="00780CE7">
        <w:t>2</w:t>
      </w:r>
      <w:r w:rsidR="00084AEE">
        <w:t>1</w:t>
      </w:r>
      <w:r w:rsidR="00780CE7">
        <w:t xml:space="preserve">p </w:t>
      </w:r>
      <w:r>
        <w:t>(1</w:t>
      </w:r>
      <w:r w:rsidR="00084AEE">
        <w:t>1,109</w:t>
      </w:r>
      <w:r>
        <w:t xml:space="preserve"> claims)</w:t>
      </w:r>
      <w:r w:rsidR="008933CC">
        <w:t>.</w:t>
      </w:r>
      <w:r w:rsidRPr="00086AB2">
        <w:t xml:space="preserve"> </w:t>
      </w:r>
    </w:p>
    <w:p w14:paraId="327759D5" w14:textId="2F0201BE" w:rsidR="00485C33" w:rsidRDefault="00E97C26" w:rsidP="00C03259">
      <w:pPr>
        <w:pStyle w:val="ListParagraph"/>
        <w:keepNext/>
        <w:keepLines/>
        <w:numPr>
          <w:ilvl w:val="0"/>
          <w:numId w:val="11"/>
        </w:numPr>
      </w:pPr>
      <w:r>
        <w:t xml:space="preserve">Other mechanisms of </w:t>
      </w:r>
      <w:r w:rsidR="00084AEE">
        <w:t xml:space="preserve">incident </w:t>
      </w:r>
      <w:r w:rsidR="00485C33" w:rsidRPr="006E2C4F">
        <w:t>(</w:t>
      </w:r>
      <w:r w:rsidR="00485C33" w:rsidRPr="007136A6">
        <w:rPr>
          <w:rFonts w:ascii="Wingdings 3" w:hAnsi="Wingdings 3"/>
          <w:b/>
          <w:bCs/>
          <w:color w:val="B94F25"/>
        </w:rPr>
        <w:t>i</w:t>
      </w:r>
      <w:r w:rsidR="00485C33" w:rsidRPr="007136A6">
        <w:rPr>
          <w:b/>
          <w:bCs/>
          <w:color w:val="B94F25"/>
        </w:rPr>
        <w:t xml:space="preserve"> down </w:t>
      </w:r>
      <w:r>
        <w:rPr>
          <w:b/>
          <w:bCs/>
          <w:color w:val="B94F25"/>
        </w:rPr>
        <w:t>16</w:t>
      </w:r>
      <w:r w:rsidR="00485C33" w:rsidRPr="007136A6">
        <w:rPr>
          <w:b/>
          <w:bCs/>
          <w:color w:val="B94F25"/>
        </w:rPr>
        <w:t>%</w:t>
      </w:r>
      <w:r w:rsidR="00485C33" w:rsidRPr="006E2C4F">
        <w:t>)</w:t>
      </w:r>
      <w:r w:rsidR="00485C33" w:rsidRPr="007136A6">
        <w:rPr>
          <w:color w:val="B94F25"/>
        </w:rPr>
        <w:t xml:space="preserve"> </w:t>
      </w:r>
      <w:r w:rsidR="00485C33" w:rsidRPr="00086AB2">
        <w:t>showed the highest reduction in claims between the period 201</w:t>
      </w:r>
      <w:r w:rsidR="00084AEE">
        <w:t>5</w:t>
      </w:r>
      <w:r w:rsidR="00485C33" w:rsidRPr="00086AB2">
        <w:t>–1</w:t>
      </w:r>
      <w:r w:rsidR="00084AEE">
        <w:t>6</w:t>
      </w:r>
      <w:r w:rsidR="00485C33" w:rsidRPr="00086AB2">
        <w:t xml:space="preserve"> and 201</w:t>
      </w:r>
      <w:r w:rsidR="00084AEE">
        <w:t>9</w:t>
      </w:r>
      <w:r w:rsidR="00485C33" w:rsidRPr="00086AB2">
        <w:t>–</w:t>
      </w:r>
      <w:r w:rsidR="00084AEE">
        <w:t>20</w:t>
      </w:r>
      <w:r w:rsidR="00485C33">
        <w:t xml:space="preserve">. </w:t>
      </w:r>
    </w:p>
    <w:p w14:paraId="27BE0730" w14:textId="7B09AB24" w:rsidR="00485C33" w:rsidRPr="00086AB2" w:rsidRDefault="00485C33" w:rsidP="00C03259">
      <w:pPr>
        <w:pStyle w:val="ListParagraph"/>
        <w:keepNext/>
        <w:keepLines/>
        <w:numPr>
          <w:ilvl w:val="0"/>
          <w:numId w:val="11"/>
        </w:numPr>
      </w:pPr>
      <w:r>
        <w:t xml:space="preserve">However, Mental stress claims </w:t>
      </w:r>
      <w:r w:rsidRPr="007136A6">
        <w:rPr>
          <w:b/>
          <w:bCs/>
          <w:color w:val="00518E"/>
        </w:rPr>
        <w:t xml:space="preserve">increased by </w:t>
      </w:r>
      <w:r w:rsidR="00084AEE">
        <w:rPr>
          <w:b/>
          <w:bCs/>
          <w:color w:val="00518E"/>
        </w:rPr>
        <w:t>63</w:t>
      </w:r>
      <w:r w:rsidRPr="007136A6">
        <w:rPr>
          <w:b/>
          <w:bCs/>
          <w:color w:val="00518E"/>
        </w:rPr>
        <w:t>%</w:t>
      </w:r>
      <w:r>
        <w:t xml:space="preserve"> during the same reference period.</w:t>
      </w:r>
    </w:p>
    <w:p w14:paraId="402688DD" w14:textId="6DF6FBF8" w:rsidR="00485C33" w:rsidRPr="00086AB2" w:rsidRDefault="00485C33" w:rsidP="0031228B">
      <w:pPr>
        <w:pStyle w:val="Heading3"/>
      </w:pPr>
      <w:bookmarkStart w:id="42" w:name="_Toc86602473"/>
      <w:r w:rsidRPr="00086AB2">
        <w:t xml:space="preserve">Indicator </w:t>
      </w:r>
      <w:r w:rsidR="00F72E00">
        <w:t>10</w:t>
      </w:r>
      <w:r w:rsidR="00F72E00" w:rsidRPr="00086AB2">
        <w:t xml:space="preserve"> </w:t>
      </w:r>
      <w:r w:rsidRPr="00086AB2">
        <w:t>– Proportion of serious claims by mechanism of incident</w:t>
      </w:r>
      <w:bookmarkEnd w:id="42"/>
      <w:r>
        <w:t xml:space="preserve"> </w:t>
      </w:r>
    </w:p>
    <w:p w14:paraId="215D6A9E" w14:textId="1FD54B2E" w:rsidR="00485C33" w:rsidRPr="00086AB2" w:rsidRDefault="009200C9" w:rsidP="00485C33">
      <w:pPr>
        <w:jc w:val="center"/>
      </w:pPr>
      <w:r>
        <w:rPr>
          <w:noProof/>
        </w:rPr>
        <w:drawing>
          <wp:inline distT="0" distB="0" distL="0" distR="0" wp14:anchorId="14CE4ABF" wp14:editId="409207AB">
            <wp:extent cx="5859475" cy="3405499"/>
            <wp:effectExtent l="0" t="0" r="8255" b="5080"/>
            <wp:docPr id="25" name="Picture 25" descr="Indicator 10 – Proportion of serious claims by mechanism of incident&#10;This bar chart compares the proportion of serious claims by mechanism of incident between the years 2015-16 and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dicator 10 – Proportion of serious claims by mechanism of incident&#10;This bar chart compares the proportion of serious claims by mechanism of incident between the years 2015-16 and 2020-2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4017" cy="3419763"/>
                    </a:xfrm>
                    <a:prstGeom prst="rect">
                      <a:avLst/>
                    </a:prstGeom>
                    <a:noFill/>
                  </pic:spPr>
                </pic:pic>
              </a:graphicData>
            </a:graphic>
          </wp:inline>
        </w:drawing>
      </w:r>
    </w:p>
    <w:p w14:paraId="1E7E8EB2" w14:textId="7339B6AF" w:rsidR="00485C33" w:rsidRDefault="00485C33" w:rsidP="004E6B4B">
      <w:pPr>
        <w:pStyle w:val="SWACaptionstyle"/>
      </w:pPr>
      <w:r w:rsidRPr="00086AB2">
        <w:t xml:space="preserve">* Other mechanisms of incident include </w:t>
      </w:r>
      <w:r>
        <w:t xml:space="preserve">Chemicals and other substances, </w:t>
      </w:r>
      <w:proofErr w:type="gramStart"/>
      <w:r>
        <w:t>Biological</w:t>
      </w:r>
      <w:proofErr w:type="gramEnd"/>
      <w:r>
        <w:t xml:space="preserve"> factors, </w:t>
      </w:r>
      <w:r w:rsidRPr="00086AB2">
        <w:t>Sound and pressure, Other multiple mechanisms of incident, Roll over, Slide or cave-in and Unspecified mechanisms of incident.</w:t>
      </w:r>
    </w:p>
    <w:p w14:paraId="08223CBB" w14:textId="7E5361AA" w:rsidR="008659BF" w:rsidRDefault="008659BF">
      <w:pPr>
        <w:spacing w:after="200" w:line="276" w:lineRule="auto"/>
        <w:jc w:val="left"/>
        <w:rPr>
          <w:rFonts w:eastAsiaTheme="minorHAnsi"/>
          <w:sz w:val="18"/>
          <w:szCs w:val="18"/>
        </w:rPr>
      </w:pPr>
      <w:r>
        <w:br w:type="page"/>
      </w:r>
    </w:p>
    <w:p w14:paraId="7834F89C" w14:textId="5F78E370" w:rsidR="00485C33" w:rsidRPr="00086AB2" w:rsidRDefault="00485C33" w:rsidP="004E6B4B">
      <w:pPr>
        <w:pStyle w:val="SWASectionnum2"/>
        <w:keepNext w:val="0"/>
        <w:keepLines w:val="0"/>
      </w:pPr>
      <w:bookmarkStart w:id="43" w:name="_Toc86602474"/>
      <w:r w:rsidRPr="00086AB2">
        <w:lastRenderedPageBreak/>
        <w:t>Claims by mechanism of incident and jurisdiction</w:t>
      </w:r>
      <w:bookmarkEnd w:id="43"/>
    </w:p>
    <w:p w14:paraId="2332707C" w14:textId="31605E76" w:rsidR="00485C33" w:rsidRDefault="006B1517" w:rsidP="004E6B4B">
      <w:r>
        <w:t xml:space="preserve">This section presents </w:t>
      </w:r>
      <w:r w:rsidR="00485C33" w:rsidRPr="00086AB2">
        <w:t>a comparison of the proportion of</w:t>
      </w:r>
      <w:r w:rsidR="00485C33">
        <w:t xml:space="preserve"> serious</w:t>
      </w:r>
      <w:r w:rsidR="00485C33" w:rsidRPr="00086AB2">
        <w:t xml:space="preserve"> claims across the Australian</w:t>
      </w:r>
      <w:r w:rsidR="00780CE7">
        <w:t> </w:t>
      </w:r>
      <w:r w:rsidR="00485C33" w:rsidRPr="00086AB2">
        <w:t xml:space="preserve">jurisdictions for </w:t>
      </w:r>
      <w:r>
        <w:t xml:space="preserve">each of </w:t>
      </w:r>
      <w:r w:rsidR="00485C33" w:rsidRPr="00086AB2">
        <w:t xml:space="preserve">the </w:t>
      </w:r>
      <w:r>
        <w:t>8</w:t>
      </w:r>
      <w:r w:rsidR="00485C33" w:rsidRPr="00086AB2">
        <w:t xml:space="preserve"> different mechanism of incident</w:t>
      </w:r>
      <w:r w:rsidR="00485C33">
        <w:t xml:space="preserve"> groups</w:t>
      </w:r>
      <w:r w:rsidR="00485C33" w:rsidRPr="00086AB2">
        <w:t>. Due to the differences in the total number of serious claims across jurisdictions, proportions are a better measure for direct comparison between jurisdictions. The industry and occupation composition of each jurisdiction</w:t>
      </w:r>
      <w:r w:rsidR="00485C33">
        <w:t xml:space="preserve"> </w:t>
      </w:r>
      <w:r w:rsidR="00485C33" w:rsidRPr="00086AB2">
        <w:t>can influence the proportion of claims due to different mechanisms</w:t>
      </w:r>
      <w:r w:rsidR="00485C33">
        <w:t xml:space="preserve">. This may </w:t>
      </w:r>
      <w:r w:rsidR="00485C33" w:rsidRPr="00086AB2">
        <w:t>explain some of the differences between jurisdictions.</w:t>
      </w:r>
    </w:p>
    <w:p w14:paraId="6112099B" w14:textId="77777777" w:rsidR="00485C33" w:rsidRPr="00086AB2" w:rsidRDefault="00485C33" w:rsidP="00485C33">
      <w:pPr>
        <w:pStyle w:val="Heading1"/>
        <w:keepLines/>
      </w:pPr>
      <w:bookmarkStart w:id="44" w:name="_Toc86602475"/>
      <w:r w:rsidRPr="00086AB2">
        <w:t>Body stressing</w:t>
      </w:r>
      <w:bookmarkEnd w:id="44"/>
      <w:r>
        <w:t xml:space="preserve"> </w:t>
      </w:r>
    </w:p>
    <w:p w14:paraId="0C0760DE" w14:textId="35ED47EB" w:rsidR="00485C33" w:rsidRDefault="00485C33" w:rsidP="00485C33">
      <w:pPr>
        <w:keepNext/>
        <w:keepLines/>
      </w:pPr>
      <w:r w:rsidRPr="00086AB2">
        <w:t>Body stressing was the leading mechanism of incident for serious claims between 201</w:t>
      </w:r>
      <w:r w:rsidR="00897E89">
        <w:t>5</w:t>
      </w:r>
      <w:r w:rsidRPr="00086AB2">
        <w:t>–</w:t>
      </w:r>
      <w:r>
        <w:t>1</w:t>
      </w:r>
      <w:r w:rsidR="00897E89">
        <w:t>6</w:t>
      </w:r>
      <w:r w:rsidRPr="00086AB2">
        <w:t xml:space="preserve"> and 20</w:t>
      </w:r>
      <w:r w:rsidR="00897E89">
        <w:t>20</w:t>
      </w:r>
      <w:r w:rsidRPr="00086AB2">
        <w:t>–</w:t>
      </w:r>
      <w:r>
        <w:t>2</w:t>
      </w:r>
      <w:r w:rsidR="00897E89">
        <w:t>1</w:t>
      </w:r>
      <w:r>
        <w:t>p</w:t>
      </w:r>
      <w:r w:rsidRPr="00086AB2">
        <w:t>, accounting for 3</w:t>
      </w:r>
      <w:r w:rsidR="00897E89">
        <w:t>7.1</w:t>
      </w:r>
      <w:r>
        <w:t>%</w:t>
      </w:r>
      <w:r w:rsidRPr="00086AB2">
        <w:t xml:space="preserve"> of the </w:t>
      </w:r>
      <w:r>
        <w:t xml:space="preserve">total </w:t>
      </w:r>
      <w:r w:rsidRPr="00086AB2">
        <w:t xml:space="preserve">serious claims in </w:t>
      </w:r>
      <w:r w:rsidR="00701378">
        <w:t xml:space="preserve">2019–20 and </w:t>
      </w:r>
      <w:r w:rsidRPr="00086AB2">
        <w:t>20</w:t>
      </w:r>
      <w:r w:rsidR="00701378">
        <w:t>20</w:t>
      </w:r>
      <w:r w:rsidRPr="00086AB2">
        <w:t>–</w:t>
      </w:r>
      <w:r>
        <w:t>2</w:t>
      </w:r>
      <w:r w:rsidR="00701378">
        <w:t>1</w:t>
      </w:r>
      <w:r>
        <w:t>p (Indicator 10a)</w:t>
      </w:r>
      <w:r w:rsidRPr="00086AB2">
        <w:t>.</w:t>
      </w:r>
      <w:r>
        <w:t xml:space="preserve"> </w:t>
      </w:r>
    </w:p>
    <w:p w14:paraId="121BEB29" w14:textId="1A76EB0C" w:rsidR="00485C33" w:rsidRPr="00086AB2" w:rsidRDefault="00485C33" w:rsidP="00485C33">
      <w:pPr>
        <w:keepNext/>
        <w:keepLines/>
      </w:pPr>
      <w:r>
        <w:t>I</w:t>
      </w:r>
      <w:r w:rsidRPr="00086AB2">
        <w:t>n 20</w:t>
      </w:r>
      <w:r w:rsidR="00897E89">
        <w:t>20</w:t>
      </w:r>
      <w:r w:rsidRPr="00086AB2">
        <w:t>–</w:t>
      </w:r>
      <w:r>
        <w:t>2</w:t>
      </w:r>
      <w:r w:rsidR="00897E89">
        <w:t>1</w:t>
      </w:r>
      <w:r>
        <w:t>p:</w:t>
      </w:r>
    </w:p>
    <w:p w14:paraId="54193472" w14:textId="35CF547C" w:rsidR="00485C33" w:rsidRDefault="00485C33" w:rsidP="00C03259">
      <w:pPr>
        <w:pStyle w:val="ListParagraph"/>
        <w:keepNext/>
        <w:keepLines/>
        <w:numPr>
          <w:ilvl w:val="0"/>
          <w:numId w:val="12"/>
        </w:numPr>
      </w:pPr>
      <w:proofErr w:type="spellStart"/>
      <w:r>
        <w:t>Seacare</w:t>
      </w:r>
      <w:proofErr w:type="spellEnd"/>
      <w:r>
        <w:t xml:space="preserve"> </w:t>
      </w:r>
      <w:r w:rsidRPr="00086AB2">
        <w:t>had the highest proportion of claims (4</w:t>
      </w:r>
      <w:r w:rsidR="00897E89">
        <w:t>4</w:t>
      </w:r>
      <w:r>
        <w:t>.8%</w:t>
      </w:r>
      <w:r w:rsidRPr="00086AB2">
        <w:t>)</w:t>
      </w:r>
      <w:r w:rsidRPr="00A13BDB">
        <w:t xml:space="preserve"> </w:t>
      </w:r>
      <w:r w:rsidRPr="00086AB2">
        <w:t>due to this mechanism</w:t>
      </w:r>
      <w:r>
        <w:t>,</w:t>
      </w:r>
      <w:r w:rsidRPr="00086AB2">
        <w:t xml:space="preserve"> followed by </w:t>
      </w:r>
      <w:r>
        <w:t>South Australia (4</w:t>
      </w:r>
      <w:r w:rsidR="00897E89">
        <w:t>4</w:t>
      </w:r>
      <w:r>
        <w:t>.</w:t>
      </w:r>
      <w:r w:rsidR="00897E89">
        <w:t>0</w:t>
      </w:r>
      <w:r>
        <w:t xml:space="preserve">%) and </w:t>
      </w:r>
      <w:r w:rsidR="00897E89">
        <w:t xml:space="preserve">Australian Government </w:t>
      </w:r>
      <w:r>
        <w:t>(4</w:t>
      </w:r>
      <w:r w:rsidR="00897E89">
        <w:t>2</w:t>
      </w:r>
      <w:r>
        <w:t>.</w:t>
      </w:r>
      <w:r w:rsidR="00897E89">
        <w:t>1</w:t>
      </w:r>
      <w:r>
        <w:t>%)</w:t>
      </w:r>
      <w:r w:rsidRPr="00086AB2">
        <w:t xml:space="preserve">. </w:t>
      </w:r>
    </w:p>
    <w:p w14:paraId="65FDEE3A" w14:textId="2C6872EE" w:rsidR="00485C33" w:rsidRPr="00086AB2" w:rsidRDefault="00485C33" w:rsidP="004E6B4B">
      <w:pPr>
        <w:pStyle w:val="ListParagraph"/>
        <w:numPr>
          <w:ilvl w:val="0"/>
          <w:numId w:val="12"/>
        </w:numPr>
      </w:pPr>
      <w:r>
        <w:t>The Northern Territory had the lowest proportion</w:t>
      </w:r>
      <w:r w:rsidRPr="00086AB2">
        <w:t xml:space="preserve"> of claims (</w:t>
      </w:r>
      <w:r w:rsidR="00897E89">
        <w:t>27</w:t>
      </w:r>
      <w:r>
        <w:t>.</w:t>
      </w:r>
      <w:r w:rsidR="00897E89">
        <w:t>9</w:t>
      </w:r>
      <w:r>
        <w:t>%</w:t>
      </w:r>
      <w:r w:rsidRPr="00086AB2">
        <w:t>).</w:t>
      </w:r>
      <w:r>
        <w:t xml:space="preserve"> </w:t>
      </w:r>
    </w:p>
    <w:p w14:paraId="59A907BA" w14:textId="31CEF5F9" w:rsidR="00485C33" w:rsidRPr="000B15CF" w:rsidRDefault="00485C33" w:rsidP="004E6B4B">
      <w:pPr>
        <w:pStyle w:val="Heading3"/>
        <w:rPr>
          <w:color w:val="00B050"/>
        </w:rPr>
      </w:pPr>
      <w:bookmarkStart w:id="45" w:name="_Toc86602476"/>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a</w:t>
      </w:r>
      <w:r w:rsidRPr="00086AB2">
        <w:rPr>
          <w:noProof/>
        </w:rPr>
        <w:fldChar w:fldCharType="end"/>
      </w:r>
      <w:r w:rsidRPr="00086AB2">
        <w:t xml:space="preserve"> – Proportion of serious claims involving Body stressing by jurisdiction</w:t>
      </w:r>
      <w:bookmarkEnd w:id="45"/>
      <w:r>
        <w:t xml:space="preserve"> </w:t>
      </w:r>
    </w:p>
    <w:p w14:paraId="449A508C" w14:textId="54B1D9A9" w:rsidR="00485C33" w:rsidRDefault="00775EB2" w:rsidP="00485C33">
      <w:pPr>
        <w:jc w:val="center"/>
      </w:pPr>
      <w:r>
        <w:rPr>
          <w:noProof/>
        </w:rPr>
        <mc:AlternateContent>
          <mc:Choice Requires="wps">
            <w:drawing>
              <wp:anchor distT="0" distB="0" distL="114300" distR="114300" simplePos="0" relativeHeight="251663360" behindDoc="0" locked="0" layoutInCell="1" allowOverlap="1" wp14:anchorId="6C325D57" wp14:editId="4C3A6EDF">
                <wp:simplePos x="0" y="0"/>
                <wp:positionH relativeFrom="column">
                  <wp:posOffset>1078865</wp:posOffset>
                </wp:positionH>
                <wp:positionV relativeFrom="paragraph">
                  <wp:posOffset>3063875</wp:posOffset>
                </wp:positionV>
                <wp:extent cx="4248150" cy="107950"/>
                <wp:effectExtent l="0" t="0" r="0" b="6350"/>
                <wp:wrapNone/>
                <wp:docPr id="38" name="Rectangle 38"/>
                <wp:cNvGraphicFramePr/>
                <a:graphic xmlns:a="http://schemas.openxmlformats.org/drawingml/2006/main">
                  <a:graphicData uri="http://schemas.microsoft.com/office/word/2010/wordprocessingShape">
                    <wps:wsp>
                      <wps:cNvSpPr/>
                      <wps:spPr>
                        <a:xfrm>
                          <a:off x="0" y="0"/>
                          <a:ext cx="4248150" cy="107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CDB35" id="Rectangle 38" o:spid="_x0000_s1026" style="position:absolute;margin-left:84.95pt;margin-top:241.25pt;width:334.5pt;height: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" fillcolor="white [3212]" stroked="f" strokeweight="2pt"/>
            </w:pict>
          </mc:Fallback>
        </mc:AlternateContent>
      </w:r>
      <w:r w:rsidR="009200C9">
        <w:rPr>
          <w:noProof/>
        </w:rPr>
        <w:drawing>
          <wp:inline distT="0" distB="0" distL="0" distR="0" wp14:anchorId="0B4E0B62" wp14:editId="4692A2CE">
            <wp:extent cx="5607536" cy="3233318"/>
            <wp:effectExtent l="0" t="0" r="0" b="5715"/>
            <wp:docPr id="26" name="Picture 26" descr="Indicator 10a – Proportion of serious claims involving Body stressing by jurisdiction&#10;&#10;This chart shows the proportion of serious claims for Body stressing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dicator 10a – Proportion of serious claims involving Body stressing by jurisdiction&#10;&#10;This chart shows the proportion of serious claims for Body stressing between 2015-16 and 2020-21 categorised by Australian jurisdictions. Refer to body text for more detail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8498" cy="3245405"/>
                    </a:xfrm>
                    <a:prstGeom prst="rect">
                      <a:avLst/>
                    </a:prstGeom>
                    <a:noFill/>
                  </pic:spPr>
                </pic:pic>
              </a:graphicData>
            </a:graphic>
          </wp:inline>
        </w:drawing>
      </w:r>
    </w:p>
    <w:p w14:paraId="4CD25F6B" w14:textId="77777777" w:rsidR="00701378" w:rsidRDefault="00701378" w:rsidP="00485C33">
      <w:pPr>
        <w:jc w:val="center"/>
      </w:pPr>
    </w:p>
    <w:p w14:paraId="07AC3989" w14:textId="77777777" w:rsidR="008659BF" w:rsidRDefault="008659BF">
      <w:pPr>
        <w:spacing w:after="200" w:line="276" w:lineRule="auto"/>
        <w:jc w:val="left"/>
        <w:rPr>
          <w:rFonts w:ascii="Arial Bold" w:eastAsiaTheme="majorEastAsia" w:hAnsi="Arial Bold" w:cs="Arial"/>
          <w:b/>
          <w:kern w:val="32"/>
          <w:sz w:val="28"/>
          <w:szCs w:val="22"/>
        </w:rPr>
      </w:pPr>
      <w:bookmarkStart w:id="46" w:name="_Toc86602477"/>
      <w:r>
        <w:br w:type="page"/>
      </w:r>
    </w:p>
    <w:p w14:paraId="775BCA9A" w14:textId="1B50D947" w:rsidR="00485C33" w:rsidRPr="00A55D5B" w:rsidRDefault="00485C33" w:rsidP="00485C33">
      <w:pPr>
        <w:pStyle w:val="Heading1"/>
        <w:spacing w:before="120"/>
        <w:rPr>
          <w:color w:val="00B050"/>
          <w:sz w:val="16"/>
          <w:szCs w:val="16"/>
        </w:rPr>
      </w:pPr>
      <w:r w:rsidRPr="00086AB2">
        <w:lastRenderedPageBreak/>
        <w:t xml:space="preserve">Falls, </w:t>
      </w:r>
      <w:proofErr w:type="gramStart"/>
      <w:r w:rsidRPr="00086AB2">
        <w:t>trips</w:t>
      </w:r>
      <w:proofErr w:type="gramEnd"/>
      <w:r w:rsidRPr="00086AB2">
        <w:t xml:space="preserve"> and slips of a person</w:t>
      </w:r>
      <w:bookmarkEnd w:id="46"/>
      <w:r>
        <w:t xml:space="preserve"> </w:t>
      </w:r>
    </w:p>
    <w:p w14:paraId="17785A94" w14:textId="4D01FFCF" w:rsidR="00485C33" w:rsidRDefault="00485C33" w:rsidP="00780CE7">
      <w:pPr>
        <w:spacing w:after="0"/>
      </w:pPr>
      <w:r w:rsidRPr="00086AB2">
        <w:t xml:space="preserve">Falls, </w:t>
      </w:r>
      <w:proofErr w:type="gramStart"/>
      <w:r w:rsidRPr="00086AB2">
        <w:t>trips</w:t>
      </w:r>
      <w:proofErr w:type="gramEnd"/>
      <w:r w:rsidRPr="00086AB2">
        <w:t xml:space="preserve"> and slips of a person accounted for </w:t>
      </w:r>
      <w:r>
        <w:t>23.1%</w:t>
      </w:r>
      <w:r w:rsidRPr="00086AB2">
        <w:t xml:space="preserve"> of serious claims in Australia in</w:t>
      </w:r>
      <w:r>
        <w:t xml:space="preserve"> </w:t>
      </w:r>
      <w:r w:rsidRPr="00086AB2">
        <w:t>20</w:t>
      </w:r>
      <w:r w:rsidR="00897E89">
        <w:t>20</w:t>
      </w:r>
      <w:r w:rsidRPr="00086AB2">
        <w:t>–</w:t>
      </w:r>
      <w:r>
        <w:t>2</w:t>
      </w:r>
      <w:r w:rsidR="00897E89">
        <w:t>1</w:t>
      </w:r>
      <w:r>
        <w:t xml:space="preserve">p. </w:t>
      </w:r>
      <w:r w:rsidRPr="00086AB2">
        <w:t xml:space="preserve">This mechanism of incident was the second leading cause </w:t>
      </w:r>
      <w:r>
        <w:t xml:space="preserve">of </w:t>
      </w:r>
      <w:r w:rsidRPr="00086AB2">
        <w:t xml:space="preserve">serious claims across jurisdictions. </w:t>
      </w:r>
    </w:p>
    <w:p w14:paraId="7F379124" w14:textId="317C4666" w:rsidR="00485C33" w:rsidRPr="00086AB2" w:rsidRDefault="00485C33" w:rsidP="00670682">
      <w:r>
        <w:t>I</w:t>
      </w:r>
      <w:r w:rsidRPr="00086AB2">
        <w:t>n 20</w:t>
      </w:r>
      <w:r w:rsidR="00897E89">
        <w:t>20</w:t>
      </w:r>
      <w:r w:rsidRPr="00086AB2">
        <w:t>–</w:t>
      </w:r>
      <w:r>
        <w:t>2</w:t>
      </w:r>
      <w:r w:rsidR="00897E89">
        <w:t>1</w:t>
      </w:r>
      <w:r>
        <w:t>p:</w:t>
      </w:r>
    </w:p>
    <w:p w14:paraId="11C806D2" w14:textId="582578FB" w:rsidR="00485C33" w:rsidRDefault="00485C33" w:rsidP="00670682">
      <w:pPr>
        <w:pStyle w:val="ListParagraph"/>
        <w:numPr>
          <w:ilvl w:val="0"/>
          <w:numId w:val="12"/>
        </w:numPr>
      </w:pPr>
      <w:r>
        <w:t xml:space="preserve">Western Australia </w:t>
      </w:r>
      <w:r w:rsidRPr="00086AB2">
        <w:t>recorded the highest proportion of claims (</w:t>
      </w:r>
      <w:r>
        <w:t>26.4%</w:t>
      </w:r>
      <w:r w:rsidRPr="00086AB2">
        <w:t>)</w:t>
      </w:r>
      <w:r w:rsidRPr="00A13BDB">
        <w:t xml:space="preserve"> </w:t>
      </w:r>
      <w:r w:rsidRPr="00086AB2">
        <w:t xml:space="preserve">due to this mechanism, followed by </w:t>
      </w:r>
      <w:r>
        <w:t xml:space="preserve">the </w:t>
      </w:r>
      <w:r w:rsidR="0056729E">
        <w:t xml:space="preserve">Australian Capital </w:t>
      </w:r>
      <w:r>
        <w:t xml:space="preserve">Territory </w:t>
      </w:r>
      <w:r w:rsidRPr="00086AB2">
        <w:t>(</w:t>
      </w:r>
      <w:r>
        <w:t>2</w:t>
      </w:r>
      <w:r w:rsidR="0056729E">
        <w:t>6</w:t>
      </w:r>
      <w:r w:rsidRPr="00086AB2">
        <w:t>.</w:t>
      </w:r>
      <w:r w:rsidR="0056729E">
        <w:t>1</w:t>
      </w:r>
      <w:r>
        <w:t>%</w:t>
      </w:r>
      <w:r w:rsidRPr="00086AB2">
        <w:t xml:space="preserve">). </w:t>
      </w:r>
    </w:p>
    <w:p w14:paraId="41BA59C4" w14:textId="62F8D4DD" w:rsidR="00485C33" w:rsidRDefault="0056729E" w:rsidP="00670682">
      <w:pPr>
        <w:pStyle w:val="ListParagraph"/>
        <w:numPr>
          <w:ilvl w:val="0"/>
          <w:numId w:val="12"/>
        </w:numPr>
      </w:pPr>
      <w:proofErr w:type="spellStart"/>
      <w:r>
        <w:t>Seacare</w:t>
      </w:r>
      <w:proofErr w:type="spellEnd"/>
      <w:r>
        <w:t xml:space="preserve"> </w:t>
      </w:r>
      <w:r w:rsidR="00485C33" w:rsidRPr="00086AB2">
        <w:t>recorded the lowest proportion of claims (</w:t>
      </w:r>
      <w:r w:rsidR="00485C33">
        <w:t>20.</w:t>
      </w:r>
      <w:r>
        <w:t>9</w:t>
      </w:r>
      <w:r w:rsidR="00485C33">
        <w:t>%</w:t>
      </w:r>
      <w:r w:rsidR="00485C33" w:rsidRPr="00086AB2">
        <w:t>)</w:t>
      </w:r>
      <w:r w:rsidR="00485C33">
        <w:t>.</w:t>
      </w:r>
    </w:p>
    <w:p w14:paraId="6AD3D037" w14:textId="527ECC53" w:rsidR="008659BF" w:rsidRDefault="008659BF">
      <w:pPr>
        <w:spacing w:after="200" w:line="276" w:lineRule="auto"/>
        <w:jc w:val="left"/>
      </w:pPr>
    </w:p>
    <w:p w14:paraId="251285E0" w14:textId="6AD9DD0A" w:rsidR="00485C33" w:rsidRPr="000B15CF" w:rsidRDefault="00485C33" w:rsidP="00670682">
      <w:pPr>
        <w:pStyle w:val="Heading3"/>
        <w:keepNext w:val="0"/>
        <w:spacing w:before="120" w:after="120"/>
        <w:rPr>
          <w:color w:val="00B050"/>
        </w:rPr>
      </w:pPr>
      <w:bookmarkStart w:id="47" w:name="_Toc86602478"/>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b</w:t>
      </w:r>
      <w:r w:rsidRPr="00086AB2">
        <w:rPr>
          <w:noProof/>
        </w:rPr>
        <w:fldChar w:fldCharType="end"/>
      </w:r>
      <w:r w:rsidRPr="00086AB2">
        <w:t xml:space="preserve"> – Proportion of serious claims involving Falls, trips and slips of a person by jurisdiction</w:t>
      </w:r>
      <w:bookmarkEnd w:id="47"/>
      <w:r>
        <w:t xml:space="preserve"> </w:t>
      </w:r>
    </w:p>
    <w:p w14:paraId="52A6BBC3" w14:textId="45F7F9D7" w:rsidR="00485C33" w:rsidRDefault="00775EB2" w:rsidP="00670682">
      <w:pPr>
        <w:spacing w:after="0"/>
        <w:jc w:val="center"/>
      </w:pPr>
      <w:r>
        <w:rPr>
          <w:noProof/>
        </w:rPr>
        <mc:AlternateContent>
          <mc:Choice Requires="wps">
            <w:drawing>
              <wp:anchor distT="0" distB="0" distL="114300" distR="114300" simplePos="0" relativeHeight="251664384" behindDoc="0" locked="0" layoutInCell="1" allowOverlap="1" wp14:anchorId="3F8C5AE5" wp14:editId="1C92715E">
                <wp:simplePos x="0" y="0"/>
                <wp:positionH relativeFrom="column">
                  <wp:posOffset>994741</wp:posOffset>
                </wp:positionH>
                <wp:positionV relativeFrom="paragraph">
                  <wp:posOffset>2499167</wp:posOffset>
                </wp:positionV>
                <wp:extent cx="4159250" cy="120650"/>
                <wp:effectExtent l="0" t="0" r="12700" b="12700"/>
                <wp:wrapNone/>
                <wp:docPr id="42" name="Rectangle 42"/>
                <wp:cNvGraphicFramePr/>
                <a:graphic xmlns:a="http://schemas.openxmlformats.org/drawingml/2006/main">
                  <a:graphicData uri="http://schemas.microsoft.com/office/word/2010/wordprocessingShape">
                    <wps:wsp>
                      <wps:cNvSpPr/>
                      <wps:spPr>
                        <a:xfrm>
                          <a:off x="0" y="0"/>
                          <a:ext cx="4159250" cy="12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F0566" id="Rectangle 42" o:spid="_x0000_s1026" style="position:absolute;margin-left:78.35pt;margin-top:196.8pt;width:327.5pt;height: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" fillcolor="white [3212]" strokecolor="white [3212]" strokeweight="2pt"/>
            </w:pict>
          </mc:Fallback>
        </mc:AlternateContent>
      </w:r>
      <w:r w:rsidR="009200C9">
        <w:rPr>
          <w:noProof/>
        </w:rPr>
        <w:drawing>
          <wp:inline distT="0" distB="0" distL="0" distR="0" wp14:anchorId="0FE488FB" wp14:editId="5B3F9B58">
            <wp:extent cx="5407660" cy="2558385"/>
            <wp:effectExtent l="0" t="0" r="2540" b="0"/>
            <wp:docPr id="36" name="Picture 36" descr="Indicator 10b – Proportion of serious claims involving Falls, trips and slips of a person by jurisdiction&#10;&#10;This chart shows the proportion of serious claims for Falls, trips and slips of a person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dicator 10b – Proportion of serious claims involving Falls, trips and slips of a person by jurisdiction&#10;&#10;This chart shows the proportion of serious claims for Falls, trips and slips of a person between 2015-16 and 2020-21 categorised by Australian jurisdictions. Refer to body text for more details.&#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8137" cy="2563342"/>
                    </a:xfrm>
                    <a:prstGeom prst="rect">
                      <a:avLst/>
                    </a:prstGeom>
                    <a:noFill/>
                  </pic:spPr>
                </pic:pic>
              </a:graphicData>
            </a:graphic>
          </wp:inline>
        </w:drawing>
      </w:r>
    </w:p>
    <w:p w14:paraId="617E1C6D" w14:textId="77777777" w:rsidR="00485C33" w:rsidRPr="00086AB2" w:rsidRDefault="00485C33" w:rsidP="000563EE">
      <w:pPr>
        <w:pStyle w:val="Heading1"/>
        <w:spacing w:before="60" w:after="60"/>
      </w:pPr>
      <w:bookmarkStart w:id="48" w:name="_Toc86602479"/>
      <w:r w:rsidRPr="00086AB2">
        <w:lastRenderedPageBreak/>
        <w:t>Being hit by moving objects</w:t>
      </w:r>
      <w:bookmarkEnd w:id="48"/>
      <w:r>
        <w:t xml:space="preserve"> </w:t>
      </w:r>
    </w:p>
    <w:p w14:paraId="3E1573B7" w14:textId="6B7EF320" w:rsidR="00485C33" w:rsidRPr="00086AB2" w:rsidRDefault="00485C33" w:rsidP="00485C33">
      <w:pPr>
        <w:keepNext/>
        <w:keepLines/>
      </w:pPr>
      <w:r>
        <w:t xml:space="preserve">In </w:t>
      </w:r>
      <w:r w:rsidRPr="00086AB2">
        <w:t>20</w:t>
      </w:r>
      <w:r w:rsidR="0056729E">
        <w:t>20</w:t>
      </w:r>
      <w:r w:rsidRPr="00086AB2">
        <w:t>–</w:t>
      </w:r>
      <w:r>
        <w:t>2</w:t>
      </w:r>
      <w:r w:rsidR="0056729E">
        <w:t>1</w:t>
      </w:r>
      <w:r>
        <w:t>p B</w:t>
      </w:r>
      <w:r w:rsidRPr="00086AB2">
        <w:t xml:space="preserve">eing hit by moving objects </w:t>
      </w:r>
      <w:r>
        <w:t>accounted for 1</w:t>
      </w:r>
      <w:r w:rsidR="0056729E">
        <w:t>5.6</w:t>
      </w:r>
      <w:r>
        <w:t>%</w:t>
      </w:r>
      <w:r w:rsidRPr="00086AB2">
        <w:t xml:space="preserve"> </w:t>
      </w:r>
      <w:r>
        <w:t>of serious claims (Indicator 10c)</w:t>
      </w:r>
      <w:r w:rsidRPr="00086AB2">
        <w:t xml:space="preserve">. </w:t>
      </w:r>
      <w:r>
        <w:t>I</w:t>
      </w:r>
      <w:r w:rsidRPr="00086AB2">
        <w:t>n</w:t>
      </w:r>
      <w:r>
        <w:t> </w:t>
      </w:r>
      <w:r w:rsidRPr="00086AB2">
        <w:t>20</w:t>
      </w:r>
      <w:r w:rsidR="0056729E">
        <w:t>20</w:t>
      </w:r>
      <w:r w:rsidRPr="00086AB2">
        <w:t>–</w:t>
      </w:r>
      <w:r>
        <w:t>2</w:t>
      </w:r>
      <w:r w:rsidR="0056729E">
        <w:t>1</w:t>
      </w:r>
      <w:r>
        <w:t>p:</w:t>
      </w:r>
    </w:p>
    <w:p w14:paraId="5804FF75" w14:textId="01B3C286" w:rsidR="00485C33" w:rsidRDefault="00485C33" w:rsidP="00260A3A">
      <w:pPr>
        <w:pStyle w:val="ListParagraph"/>
        <w:keepNext/>
        <w:keepLines/>
        <w:numPr>
          <w:ilvl w:val="0"/>
          <w:numId w:val="12"/>
        </w:numPr>
      </w:pPr>
      <w:r w:rsidRPr="00086AB2">
        <w:t>The Northern Territory had the highest proportion of serious claims (</w:t>
      </w:r>
      <w:r>
        <w:t>2</w:t>
      </w:r>
      <w:r w:rsidR="0056729E">
        <w:t>7.0</w:t>
      </w:r>
      <w:r>
        <w:t>%</w:t>
      </w:r>
      <w:r w:rsidRPr="00086AB2">
        <w:t>)</w:t>
      </w:r>
      <w:r w:rsidRPr="00A13BDB">
        <w:t xml:space="preserve"> </w:t>
      </w:r>
      <w:r w:rsidRPr="00086AB2">
        <w:t>due to this mechanism, followed by Western Australia (</w:t>
      </w:r>
      <w:r>
        <w:t>19.</w:t>
      </w:r>
      <w:r w:rsidR="0056729E">
        <w:t>0</w:t>
      </w:r>
      <w:r>
        <w:t>%</w:t>
      </w:r>
      <w:r w:rsidRPr="00086AB2">
        <w:t xml:space="preserve">). </w:t>
      </w:r>
    </w:p>
    <w:p w14:paraId="52C90C63" w14:textId="1C960943" w:rsidR="00485C33" w:rsidRPr="00086AB2" w:rsidRDefault="0056729E" w:rsidP="00260A3A">
      <w:pPr>
        <w:pStyle w:val="ListParagraph"/>
        <w:keepNext/>
        <w:keepLines/>
        <w:numPr>
          <w:ilvl w:val="0"/>
          <w:numId w:val="12"/>
        </w:numPr>
      </w:pPr>
      <w:proofErr w:type="spellStart"/>
      <w:r>
        <w:t>Seacare</w:t>
      </w:r>
      <w:proofErr w:type="spellEnd"/>
      <w:r w:rsidR="00485C33" w:rsidRPr="00086AB2">
        <w:t xml:space="preserve"> had the lowest proportion (</w:t>
      </w:r>
      <w:r>
        <w:t>7.5</w:t>
      </w:r>
      <w:r w:rsidR="00485C33">
        <w:t>%</w:t>
      </w:r>
      <w:r w:rsidR="00485C33" w:rsidRPr="00086AB2">
        <w:t>)</w:t>
      </w:r>
      <w:r w:rsidR="00485C33">
        <w:t>.</w:t>
      </w:r>
      <w:r w:rsidR="00701378">
        <w:br/>
      </w:r>
    </w:p>
    <w:p w14:paraId="05ED067D" w14:textId="5CD43A9F" w:rsidR="00485C33" w:rsidRPr="00086AB2" w:rsidRDefault="00485C33" w:rsidP="00260A3A">
      <w:pPr>
        <w:pStyle w:val="Heading3"/>
        <w:spacing w:before="120" w:after="120"/>
      </w:pPr>
      <w:bookmarkStart w:id="49" w:name="_Toc86602480"/>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c</w:t>
      </w:r>
      <w:r w:rsidRPr="00086AB2">
        <w:rPr>
          <w:noProof/>
        </w:rPr>
        <w:fldChar w:fldCharType="end"/>
      </w:r>
      <w:r w:rsidRPr="00086AB2">
        <w:t xml:space="preserve"> – Proportion of serious claims involving Being hit by moving objects by jurisdiction</w:t>
      </w:r>
      <w:bookmarkEnd w:id="49"/>
      <w:r>
        <w:t xml:space="preserve"> </w:t>
      </w:r>
    </w:p>
    <w:p w14:paraId="711E98B0" w14:textId="553897F4" w:rsidR="00485C33" w:rsidRDefault="005F3F44" w:rsidP="00485C33">
      <w:pPr>
        <w:spacing w:after="0"/>
        <w:jc w:val="center"/>
        <w:rPr>
          <w:rFonts w:eastAsiaTheme="majorEastAsia"/>
        </w:rPr>
      </w:pPr>
      <w:r>
        <w:rPr>
          <w:rFonts w:eastAsiaTheme="majorEastAsia"/>
          <w:noProof/>
        </w:rPr>
        <mc:AlternateContent>
          <mc:Choice Requires="wps">
            <w:drawing>
              <wp:anchor distT="0" distB="0" distL="114300" distR="114300" simplePos="0" relativeHeight="251665408" behindDoc="0" locked="0" layoutInCell="1" allowOverlap="1" wp14:anchorId="334414A5" wp14:editId="53300ADA">
                <wp:simplePos x="0" y="0"/>
                <wp:positionH relativeFrom="column">
                  <wp:posOffset>1101145</wp:posOffset>
                </wp:positionH>
                <wp:positionV relativeFrom="paragraph">
                  <wp:posOffset>3015505</wp:posOffset>
                </wp:positionV>
                <wp:extent cx="3949700" cy="107950"/>
                <wp:effectExtent l="0" t="0" r="12700" b="25400"/>
                <wp:wrapNone/>
                <wp:docPr id="45" name="Rectangle 45"/>
                <wp:cNvGraphicFramePr/>
                <a:graphic xmlns:a="http://schemas.openxmlformats.org/drawingml/2006/main">
                  <a:graphicData uri="http://schemas.microsoft.com/office/word/2010/wordprocessingShape">
                    <wps:wsp>
                      <wps:cNvSpPr/>
                      <wps:spPr>
                        <a:xfrm>
                          <a:off x="0" y="0"/>
                          <a:ext cx="3949700" cy="107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F48A8" id="Rectangle 45" o:spid="_x0000_s1026" style="position:absolute;margin-left:86.7pt;margin-top:237.45pt;width:311pt;height: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" fillcolor="white [3212]" strokecolor="white [3212]" strokeweight="2pt"/>
            </w:pict>
          </mc:Fallback>
        </mc:AlternateContent>
      </w:r>
      <w:r w:rsidR="0000417E">
        <w:rPr>
          <w:rFonts w:eastAsiaTheme="majorEastAsia"/>
          <w:noProof/>
        </w:rPr>
        <w:drawing>
          <wp:inline distT="0" distB="0" distL="0" distR="0" wp14:anchorId="14E70125" wp14:editId="6A327A3B">
            <wp:extent cx="5515661" cy="3159413"/>
            <wp:effectExtent l="0" t="0" r="8890" b="3175"/>
            <wp:docPr id="39" name="Picture 39" descr="Indicator 10c – Proportion of serious claims involving Being hit by moving objects by jurisdiction&#10;&#10;This chart shows the proportion of serious claims for Being hit by moving objects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ndicator 10c – Proportion of serious claims involving Being hit by moving objects by jurisdiction&#10;&#10;This chart shows the proportion of serious claims for Being hit by moving objects between 2015-16 and 2020-21 categorised by Australian jurisdictions. Refer to body text for more detail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7553" cy="3166225"/>
                    </a:xfrm>
                    <a:prstGeom prst="rect">
                      <a:avLst/>
                    </a:prstGeom>
                    <a:noFill/>
                  </pic:spPr>
                </pic:pic>
              </a:graphicData>
            </a:graphic>
          </wp:inline>
        </w:drawing>
      </w:r>
    </w:p>
    <w:p w14:paraId="3CEE407F" w14:textId="77777777" w:rsidR="00210458" w:rsidRPr="00086AB2" w:rsidRDefault="00210458" w:rsidP="00485C33">
      <w:pPr>
        <w:spacing w:after="0"/>
        <w:jc w:val="center"/>
        <w:rPr>
          <w:rFonts w:eastAsiaTheme="majorEastAsia"/>
        </w:rPr>
      </w:pPr>
    </w:p>
    <w:p w14:paraId="39CA5113" w14:textId="77777777" w:rsidR="008659BF" w:rsidRDefault="008659BF">
      <w:pPr>
        <w:spacing w:after="200" w:line="276" w:lineRule="auto"/>
        <w:jc w:val="left"/>
        <w:rPr>
          <w:rFonts w:ascii="Arial Bold" w:eastAsiaTheme="majorEastAsia" w:hAnsi="Arial Bold" w:cs="Arial"/>
          <w:b/>
          <w:kern w:val="32"/>
          <w:sz w:val="28"/>
          <w:szCs w:val="22"/>
        </w:rPr>
      </w:pPr>
      <w:bookmarkStart w:id="50" w:name="_Toc86602481"/>
      <w:r>
        <w:br w:type="page"/>
      </w:r>
    </w:p>
    <w:p w14:paraId="3DD48961" w14:textId="706A51A0" w:rsidR="00485C33" w:rsidRPr="00086AB2" w:rsidRDefault="00485C33" w:rsidP="00670682">
      <w:pPr>
        <w:pStyle w:val="Heading1"/>
        <w:keepNext w:val="0"/>
        <w:spacing w:before="0" w:after="60"/>
      </w:pPr>
      <w:r w:rsidRPr="00086AB2">
        <w:lastRenderedPageBreak/>
        <w:t>Hitting objects with a part of the body</w:t>
      </w:r>
      <w:bookmarkEnd w:id="50"/>
      <w:r>
        <w:t xml:space="preserve"> </w:t>
      </w:r>
    </w:p>
    <w:p w14:paraId="1DA72861" w14:textId="16C61EDD" w:rsidR="00485C33" w:rsidRDefault="00485C33" w:rsidP="00670682">
      <w:pPr>
        <w:spacing w:before="60" w:after="60"/>
      </w:pPr>
      <w:r w:rsidRPr="00086AB2">
        <w:t xml:space="preserve">The mechanism of Hitting objects with a part of the body includes incidents where the motion of a person results in hitting (including bumping, cutting, striking, grasping etc.) stationary and/or moving objects (including machines, vehicles, equipment, tools etc.). </w:t>
      </w:r>
      <w:r>
        <w:t xml:space="preserve">Nationally, </w:t>
      </w:r>
      <w:r w:rsidR="00775EB2">
        <w:t>7.3</w:t>
      </w:r>
      <w:r>
        <w:t>%</w:t>
      </w:r>
      <w:r w:rsidRPr="00086AB2">
        <w:t xml:space="preserve"> of claims were due to this mechanism</w:t>
      </w:r>
      <w:r>
        <w:t xml:space="preserve"> </w:t>
      </w:r>
      <w:r w:rsidRPr="00086AB2">
        <w:t>20</w:t>
      </w:r>
      <w:r w:rsidR="00775EB2">
        <w:t>20</w:t>
      </w:r>
      <w:r w:rsidRPr="00086AB2">
        <w:t>–</w:t>
      </w:r>
      <w:r>
        <w:t>2</w:t>
      </w:r>
      <w:r w:rsidR="00775EB2">
        <w:t>1</w:t>
      </w:r>
      <w:r>
        <w:t>p.</w:t>
      </w:r>
      <w:r w:rsidR="003A1B9E">
        <w:t xml:space="preserve"> </w:t>
      </w:r>
      <w:r>
        <w:t xml:space="preserve">Indicator 10d shows that in </w:t>
      </w:r>
      <w:r w:rsidRPr="00086AB2">
        <w:t>20</w:t>
      </w:r>
      <w:r w:rsidR="00775EB2">
        <w:t>20</w:t>
      </w:r>
      <w:r w:rsidRPr="00086AB2">
        <w:t>–</w:t>
      </w:r>
      <w:r>
        <w:t>2</w:t>
      </w:r>
      <w:r w:rsidR="00775EB2">
        <w:t>1</w:t>
      </w:r>
      <w:r>
        <w:t>p:</w:t>
      </w:r>
    </w:p>
    <w:p w14:paraId="30C4D86C" w14:textId="4744941B" w:rsidR="00485C33" w:rsidRDefault="00485C33" w:rsidP="00670682">
      <w:pPr>
        <w:pStyle w:val="ListParagraph"/>
        <w:numPr>
          <w:ilvl w:val="0"/>
          <w:numId w:val="12"/>
        </w:numPr>
      </w:pPr>
      <w:r>
        <w:t xml:space="preserve">The </w:t>
      </w:r>
      <w:r w:rsidR="00775EB2">
        <w:t>Northern</w:t>
      </w:r>
      <w:r>
        <w:t xml:space="preserve"> Territory </w:t>
      </w:r>
      <w:r w:rsidRPr="00086AB2">
        <w:t>recorded the highest proportion of serious claims due to this mechanism (</w:t>
      </w:r>
      <w:r>
        <w:t>10.</w:t>
      </w:r>
      <w:r w:rsidR="00775EB2">
        <w:t>9</w:t>
      </w:r>
      <w:r>
        <w:t>%</w:t>
      </w:r>
      <w:r w:rsidRPr="00086AB2">
        <w:t xml:space="preserve">), followed by </w:t>
      </w:r>
      <w:r>
        <w:t xml:space="preserve">New South Wales </w:t>
      </w:r>
      <w:r w:rsidRPr="00086AB2">
        <w:t>(</w:t>
      </w:r>
      <w:r>
        <w:t>9.</w:t>
      </w:r>
      <w:r w:rsidR="00775EB2">
        <w:t>4</w:t>
      </w:r>
      <w:r>
        <w:t>%</w:t>
      </w:r>
      <w:r w:rsidRPr="00086AB2">
        <w:t xml:space="preserve">). </w:t>
      </w:r>
    </w:p>
    <w:p w14:paraId="0AAF7025" w14:textId="2CF2B902" w:rsidR="00485C33" w:rsidRDefault="00485C33" w:rsidP="00670682">
      <w:pPr>
        <w:pStyle w:val="ListParagraph"/>
        <w:numPr>
          <w:ilvl w:val="0"/>
          <w:numId w:val="12"/>
        </w:numPr>
      </w:pPr>
      <w:r w:rsidRPr="00086AB2">
        <w:t>The Australian Government recorded the lowest proportion of claims (3.</w:t>
      </w:r>
      <w:r w:rsidR="00775EB2">
        <w:t>5</w:t>
      </w:r>
      <w:r>
        <w:t>%</w:t>
      </w:r>
      <w:r w:rsidRPr="00086AB2">
        <w:t>)</w:t>
      </w:r>
      <w:r>
        <w:t>.</w:t>
      </w:r>
    </w:p>
    <w:p w14:paraId="076DE4CE" w14:textId="574C9F6F" w:rsidR="00485C33" w:rsidRPr="00086AB2" w:rsidRDefault="00485C33" w:rsidP="00210458">
      <w:pPr>
        <w:pStyle w:val="Heading3"/>
        <w:spacing w:before="0" w:after="0"/>
      </w:pPr>
      <w:bookmarkStart w:id="51" w:name="_Toc86602482"/>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d</w:t>
      </w:r>
      <w:r w:rsidRPr="00086AB2">
        <w:rPr>
          <w:noProof/>
        </w:rPr>
        <w:fldChar w:fldCharType="end"/>
      </w:r>
      <w:r w:rsidRPr="00086AB2">
        <w:t xml:space="preserve"> – Proportion of serious claims involving Hitting objects with a part of the body by jurisdiction</w:t>
      </w:r>
      <w:bookmarkEnd w:id="51"/>
      <w:r>
        <w:t xml:space="preserve"> </w:t>
      </w:r>
    </w:p>
    <w:p w14:paraId="7DF7DC15" w14:textId="772A463A" w:rsidR="002C537A" w:rsidRDefault="00775EB2" w:rsidP="00670682">
      <w:pPr>
        <w:spacing w:after="0"/>
        <w:jc w:val="center"/>
      </w:pPr>
      <w:r>
        <w:rPr>
          <w:noProof/>
        </w:rPr>
        <mc:AlternateContent>
          <mc:Choice Requires="wps">
            <w:drawing>
              <wp:anchor distT="0" distB="0" distL="114300" distR="114300" simplePos="0" relativeHeight="251666432" behindDoc="0" locked="0" layoutInCell="1" allowOverlap="1" wp14:anchorId="060C66B1" wp14:editId="074300B3">
                <wp:simplePos x="0" y="0"/>
                <wp:positionH relativeFrom="column">
                  <wp:posOffset>1130935</wp:posOffset>
                </wp:positionH>
                <wp:positionV relativeFrom="paragraph">
                  <wp:posOffset>3217545</wp:posOffset>
                </wp:positionV>
                <wp:extent cx="3905250" cy="762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39052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F28C3" id="Rectangle 47" o:spid="_x0000_s1026" style="position:absolute;margin-left:89.05pt;margin-top:253.35pt;width:307.5pt;height: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" fillcolor="white [3212]" strokecolor="white [3212]" strokeweight="2pt"/>
            </w:pict>
          </mc:Fallback>
        </mc:AlternateContent>
      </w:r>
      <w:r w:rsidR="0000417E">
        <w:rPr>
          <w:noProof/>
        </w:rPr>
        <w:drawing>
          <wp:inline distT="0" distB="0" distL="0" distR="0" wp14:anchorId="28EFE34B" wp14:editId="50D32B96">
            <wp:extent cx="5182235" cy="1708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2235" cy="170815"/>
                    </a:xfrm>
                    <a:prstGeom prst="rect">
                      <a:avLst/>
                    </a:prstGeom>
                    <a:noFill/>
                  </pic:spPr>
                </pic:pic>
              </a:graphicData>
            </a:graphic>
          </wp:inline>
        </w:drawing>
      </w:r>
      <w:r w:rsidR="0000417E">
        <w:rPr>
          <w:noProof/>
        </w:rPr>
        <w:drawing>
          <wp:inline distT="0" distB="0" distL="0" distR="0" wp14:anchorId="4FBF1907" wp14:editId="4189E187">
            <wp:extent cx="5646750" cy="3213833"/>
            <wp:effectExtent l="0" t="0" r="0" b="5715"/>
            <wp:docPr id="44" name="Picture 44" descr="Indicator 10d – Proportion of serious claims involving Hitting objects with a part of the body by jurisdiction&#10;&#10;This chart shows the proportion of serious claims for Hitting objects with a part of the body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ndicator 10d – Proportion of serious claims involving Hitting objects with a part of the body by jurisdiction&#10;&#10;This chart shows the proportion of serious claims for Hitting objects with a part of the body between 2015-16 and 2020-21 categorised by Australian jurisdictions. Refer to body text for more details.&#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9747" cy="3221230"/>
                    </a:xfrm>
                    <a:prstGeom prst="rect">
                      <a:avLst/>
                    </a:prstGeom>
                    <a:noFill/>
                  </pic:spPr>
                </pic:pic>
              </a:graphicData>
            </a:graphic>
          </wp:inline>
        </w:drawing>
      </w:r>
    </w:p>
    <w:p w14:paraId="201FBF4E" w14:textId="77777777" w:rsidR="00701378" w:rsidRDefault="00701378" w:rsidP="00670682">
      <w:pPr>
        <w:spacing w:after="0"/>
        <w:jc w:val="center"/>
      </w:pPr>
    </w:p>
    <w:p w14:paraId="7009980A" w14:textId="77777777" w:rsidR="008659BF" w:rsidRDefault="008659BF">
      <w:pPr>
        <w:spacing w:after="200" w:line="276" w:lineRule="auto"/>
        <w:jc w:val="left"/>
        <w:rPr>
          <w:rFonts w:ascii="Arial Bold" w:eastAsiaTheme="majorEastAsia" w:hAnsi="Arial Bold" w:cs="Arial"/>
          <w:b/>
          <w:kern w:val="32"/>
          <w:sz w:val="28"/>
          <w:szCs w:val="22"/>
        </w:rPr>
      </w:pPr>
      <w:bookmarkStart w:id="52" w:name="_Toc86602483"/>
      <w:r>
        <w:br w:type="page"/>
      </w:r>
    </w:p>
    <w:p w14:paraId="5A25D038" w14:textId="219519C0" w:rsidR="002C537A" w:rsidRPr="00086AB2" w:rsidRDefault="002C537A" w:rsidP="002C537A">
      <w:pPr>
        <w:pStyle w:val="Heading1"/>
        <w:spacing w:before="60" w:after="60"/>
      </w:pPr>
      <w:r w:rsidRPr="00086AB2">
        <w:lastRenderedPageBreak/>
        <w:t>Mental stress</w:t>
      </w:r>
      <w:bookmarkEnd w:id="52"/>
      <w:r>
        <w:t xml:space="preserve"> </w:t>
      </w:r>
    </w:p>
    <w:p w14:paraId="77B1CD48" w14:textId="19B21031" w:rsidR="002C537A" w:rsidRDefault="002C537A" w:rsidP="00C7463D">
      <w:pPr>
        <w:keepNext/>
        <w:keepLines/>
      </w:pPr>
      <w:r>
        <w:t>Indicator 10e shows th</w:t>
      </w:r>
      <w:r w:rsidRPr="00086AB2">
        <w:t xml:space="preserve">e proportion of serious claims due to Mental stress in Australia increased from </w:t>
      </w:r>
      <w:r w:rsidR="00C57F41">
        <w:t>6.1</w:t>
      </w:r>
      <w:r>
        <w:t>%</w:t>
      </w:r>
      <w:r w:rsidRPr="00086AB2">
        <w:t xml:space="preserve"> in 201</w:t>
      </w:r>
      <w:r w:rsidR="00C57F41">
        <w:t>5</w:t>
      </w:r>
      <w:r w:rsidRPr="00086AB2">
        <w:t>–1</w:t>
      </w:r>
      <w:r w:rsidR="00C57F41">
        <w:t>6</w:t>
      </w:r>
      <w:r w:rsidRPr="00086AB2">
        <w:t xml:space="preserve"> to </w:t>
      </w:r>
      <w:r>
        <w:t>8.6%</w:t>
      </w:r>
      <w:r w:rsidRPr="00086AB2">
        <w:t xml:space="preserve"> in 201</w:t>
      </w:r>
      <w:r w:rsidR="00C57F41">
        <w:t>9</w:t>
      </w:r>
      <w:r w:rsidRPr="00086AB2">
        <w:t>–</w:t>
      </w:r>
      <w:r w:rsidR="00C57F41">
        <w:t>20</w:t>
      </w:r>
      <w:r>
        <w:t>.</w:t>
      </w:r>
      <w:r w:rsidRPr="00A13BDB">
        <w:t xml:space="preserve"> In 20</w:t>
      </w:r>
      <w:r w:rsidR="00C57F41">
        <w:t>20</w:t>
      </w:r>
      <w:r w:rsidRPr="00A13BDB">
        <w:t>–2</w:t>
      </w:r>
      <w:r w:rsidR="00C57F41">
        <w:t>1</w:t>
      </w:r>
      <w:r w:rsidRPr="00A13BDB">
        <w:t>p:</w:t>
      </w:r>
    </w:p>
    <w:p w14:paraId="7B1D344B" w14:textId="5AAA47C2" w:rsidR="002C537A" w:rsidRDefault="002C537A" w:rsidP="002C537A">
      <w:pPr>
        <w:pStyle w:val="ListParagraph"/>
        <w:keepNext/>
        <w:keepLines/>
        <w:numPr>
          <w:ilvl w:val="0"/>
          <w:numId w:val="16"/>
        </w:numPr>
        <w:spacing w:before="40" w:after="40"/>
        <w:ind w:left="777" w:hanging="357"/>
      </w:pPr>
      <w:r>
        <w:t>Victoria</w:t>
      </w:r>
      <w:r w:rsidRPr="00086AB2">
        <w:t xml:space="preserve"> had the highest proportion of Mental stress claims (</w:t>
      </w:r>
      <w:r w:rsidR="00C57F41">
        <w:t>11</w:t>
      </w:r>
      <w:r>
        <w:t>.</w:t>
      </w:r>
      <w:r w:rsidR="00C57F41">
        <w:t>4</w:t>
      </w:r>
      <w:r>
        <w:t>%</w:t>
      </w:r>
      <w:r w:rsidRPr="00086AB2">
        <w:t xml:space="preserve">). </w:t>
      </w:r>
    </w:p>
    <w:p w14:paraId="2A6C2C3D" w14:textId="1F910B57" w:rsidR="002C537A" w:rsidRDefault="00C57F41" w:rsidP="00C7463D">
      <w:pPr>
        <w:pStyle w:val="ListParagraph"/>
        <w:keepNext/>
        <w:keepLines/>
        <w:numPr>
          <w:ilvl w:val="0"/>
          <w:numId w:val="16"/>
        </w:numPr>
        <w:spacing w:before="40"/>
        <w:ind w:left="777" w:hanging="357"/>
      </w:pPr>
      <w:r>
        <w:t xml:space="preserve">Western Australia </w:t>
      </w:r>
      <w:r w:rsidR="002C537A">
        <w:t>recorded the lowest proportion of Mental stress claims in the same year (3.</w:t>
      </w:r>
      <w:r>
        <w:t>4</w:t>
      </w:r>
      <w:r w:rsidR="002C537A">
        <w:t>%)</w:t>
      </w:r>
      <w:r w:rsidR="002C537A" w:rsidRPr="00086AB2">
        <w:t>.</w:t>
      </w:r>
      <w:r w:rsidR="002C537A">
        <w:t xml:space="preserve"> However, this has increased from </w:t>
      </w:r>
      <w:r>
        <w:t>2.9</w:t>
      </w:r>
      <w:r w:rsidR="002C537A">
        <w:t>% in 201</w:t>
      </w:r>
      <w:r>
        <w:t>5</w:t>
      </w:r>
      <w:r w:rsidR="002C537A" w:rsidRPr="00086AB2">
        <w:t>–</w:t>
      </w:r>
      <w:r w:rsidR="002C537A">
        <w:t>1</w:t>
      </w:r>
      <w:r>
        <w:t>6</w:t>
      </w:r>
      <w:r w:rsidR="002C537A">
        <w:t>.</w:t>
      </w:r>
    </w:p>
    <w:p w14:paraId="55DC02EB" w14:textId="4FCFA430" w:rsidR="002C537A" w:rsidRDefault="00C57F41">
      <w:pPr>
        <w:keepNext/>
        <w:keepLines/>
        <w:spacing w:before="60"/>
      </w:pPr>
      <w:r>
        <w:t>South Australia</w:t>
      </w:r>
      <w:r w:rsidR="008A313E">
        <w:t xml:space="preserve"> (</w:t>
      </w:r>
      <w:r w:rsidR="008A313E" w:rsidRPr="00C03259">
        <w:rPr>
          <w:rFonts w:ascii="Wingdings 3" w:hAnsi="Wingdings 3"/>
          <w:b/>
          <w:bCs/>
          <w:color w:val="00518E"/>
        </w:rPr>
        <w:t>h</w:t>
      </w:r>
      <w:r w:rsidR="008A313E">
        <w:rPr>
          <w:b/>
          <w:bCs/>
          <w:color w:val="00518E"/>
        </w:rPr>
        <w:t> </w:t>
      </w:r>
      <w:r w:rsidR="008A313E" w:rsidRPr="00C03259">
        <w:rPr>
          <w:b/>
          <w:bCs/>
          <w:color w:val="00518E"/>
        </w:rPr>
        <w:t xml:space="preserve">up </w:t>
      </w:r>
      <w:r>
        <w:rPr>
          <w:b/>
          <w:bCs/>
          <w:color w:val="00518E"/>
        </w:rPr>
        <w:t>96</w:t>
      </w:r>
      <w:r w:rsidR="008A313E" w:rsidRPr="00C03259">
        <w:rPr>
          <w:b/>
          <w:bCs/>
          <w:color w:val="00518E"/>
        </w:rPr>
        <w:t>%</w:t>
      </w:r>
      <w:r w:rsidR="008A313E">
        <w:t xml:space="preserve">), </w:t>
      </w:r>
      <w:r>
        <w:t>Queensland (</w:t>
      </w:r>
      <w:r w:rsidRPr="00C03259">
        <w:rPr>
          <w:rFonts w:ascii="Wingdings 3" w:hAnsi="Wingdings 3"/>
          <w:b/>
          <w:bCs/>
          <w:color w:val="00518E"/>
        </w:rPr>
        <w:t>h</w:t>
      </w:r>
      <w:r w:rsidRPr="00C03259">
        <w:rPr>
          <w:b/>
          <w:bCs/>
          <w:color w:val="00518E"/>
        </w:rPr>
        <w:t xml:space="preserve"> up </w:t>
      </w:r>
      <w:r>
        <w:rPr>
          <w:b/>
          <w:bCs/>
          <w:color w:val="00518E"/>
        </w:rPr>
        <w:t>48</w:t>
      </w:r>
      <w:r w:rsidRPr="00C03259">
        <w:rPr>
          <w:b/>
          <w:bCs/>
          <w:color w:val="00518E"/>
        </w:rPr>
        <w:t>%</w:t>
      </w:r>
      <w:r>
        <w:t xml:space="preserve">), New South Wales </w:t>
      </w:r>
      <w:r w:rsidR="008A313E">
        <w:t>(</w:t>
      </w:r>
      <w:r w:rsidR="008A313E" w:rsidRPr="00C03259">
        <w:rPr>
          <w:rFonts w:ascii="Wingdings 3" w:hAnsi="Wingdings 3"/>
          <w:b/>
          <w:bCs/>
          <w:color w:val="00518E"/>
        </w:rPr>
        <w:t>h</w:t>
      </w:r>
      <w:r w:rsidR="008A313E" w:rsidRPr="00C03259">
        <w:rPr>
          <w:b/>
          <w:bCs/>
          <w:color w:val="00518E"/>
        </w:rPr>
        <w:t xml:space="preserve"> up </w:t>
      </w:r>
      <w:r>
        <w:rPr>
          <w:b/>
          <w:bCs/>
          <w:color w:val="00518E"/>
        </w:rPr>
        <w:t>43</w:t>
      </w:r>
      <w:r w:rsidR="008A313E" w:rsidRPr="00C03259">
        <w:rPr>
          <w:b/>
          <w:bCs/>
          <w:color w:val="00518E"/>
        </w:rPr>
        <w:t>%</w:t>
      </w:r>
      <w:r w:rsidR="008A313E">
        <w:t xml:space="preserve">), </w:t>
      </w:r>
      <w:r>
        <w:t>Australian Capital Territory (</w:t>
      </w:r>
      <w:r w:rsidRPr="00C03259">
        <w:rPr>
          <w:rFonts w:ascii="Wingdings 3" w:hAnsi="Wingdings 3"/>
          <w:b/>
          <w:bCs/>
          <w:color w:val="00518E"/>
        </w:rPr>
        <w:t>h</w:t>
      </w:r>
      <w:r w:rsidRPr="00C03259">
        <w:rPr>
          <w:b/>
          <w:bCs/>
          <w:color w:val="00518E"/>
        </w:rPr>
        <w:t xml:space="preserve"> up </w:t>
      </w:r>
      <w:r>
        <w:rPr>
          <w:b/>
          <w:bCs/>
          <w:color w:val="00518E"/>
        </w:rPr>
        <w:t>34</w:t>
      </w:r>
      <w:r w:rsidRPr="00C03259">
        <w:rPr>
          <w:b/>
          <w:bCs/>
          <w:color w:val="00518E"/>
        </w:rPr>
        <w:t>%</w:t>
      </w:r>
      <w:r>
        <w:t xml:space="preserve">), </w:t>
      </w:r>
      <w:r w:rsidR="008A313E">
        <w:t>Victoria (</w:t>
      </w:r>
      <w:r w:rsidR="008A313E" w:rsidRPr="00C03259">
        <w:rPr>
          <w:rFonts w:ascii="Wingdings 3" w:hAnsi="Wingdings 3"/>
          <w:b/>
          <w:bCs/>
          <w:color w:val="00518E"/>
        </w:rPr>
        <w:t>h</w:t>
      </w:r>
      <w:r w:rsidR="008A313E" w:rsidRPr="00C03259">
        <w:rPr>
          <w:b/>
          <w:bCs/>
          <w:color w:val="00518E"/>
        </w:rPr>
        <w:t xml:space="preserve"> up 3</w:t>
      </w:r>
      <w:r>
        <w:rPr>
          <w:b/>
          <w:bCs/>
          <w:color w:val="00518E"/>
        </w:rPr>
        <w:t>2</w:t>
      </w:r>
      <w:r w:rsidR="008A313E" w:rsidRPr="00C03259">
        <w:rPr>
          <w:b/>
          <w:bCs/>
          <w:color w:val="00518E"/>
        </w:rPr>
        <w:t>%</w:t>
      </w:r>
      <w:r w:rsidR="008A313E">
        <w:t>)</w:t>
      </w:r>
      <w:r w:rsidR="007D7E8F">
        <w:t>, Western Australia</w:t>
      </w:r>
      <w:r w:rsidR="008A313E">
        <w:t xml:space="preserve"> </w:t>
      </w:r>
      <w:r w:rsidR="007D7E8F">
        <w:t>(</w:t>
      </w:r>
      <w:r w:rsidR="007D7E8F" w:rsidRPr="00C03259">
        <w:rPr>
          <w:rFonts w:ascii="Wingdings 3" w:hAnsi="Wingdings 3"/>
          <w:b/>
          <w:bCs/>
          <w:color w:val="00518E"/>
        </w:rPr>
        <w:t>h</w:t>
      </w:r>
      <w:r w:rsidR="007D7E8F">
        <w:rPr>
          <w:b/>
          <w:bCs/>
          <w:color w:val="00518E"/>
        </w:rPr>
        <w:t> </w:t>
      </w:r>
      <w:r w:rsidR="007D7E8F" w:rsidRPr="00C03259">
        <w:rPr>
          <w:b/>
          <w:bCs/>
          <w:color w:val="00518E"/>
        </w:rPr>
        <w:t>up</w:t>
      </w:r>
      <w:r w:rsidR="007D7E8F">
        <w:rPr>
          <w:b/>
          <w:bCs/>
          <w:color w:val="00518E"/>
        </w:rPr>
        <w:t> </w:t>
      </w:r>
      <w:r>
        <w:rPr>
          <w:b/>
          <w:bCs/>
          <w:color w:val="00518E"/>
        </w:rPr>
        <w:t>22</w:t>
      </w:r>
      <w:r w:rsidR="007D7E8F" w:rsidRPr="00C03259">
        <w:rPr>
          <w:b/>
          <w:bCs/>
          <w:color w:val="00518E"/>
        </w:rPr>
        <w:t>%</w:t>
      </w:r>
      <w:r w:rsidR="007D7E8F">
        <w:t xml:space="preserve">) </w:t>
      </w:r>
      <w:r w:rsidR="008A313E">
        <w:t>and Tasmania (</w:t>
      </w:r>
      <w:r w:rsidR="008A313E" w:rsidRPr="00C03259">
        <w:rPr>
          <w:rFonts w:ascii="Wingdings 3" w:hAnsi="Wingdings 3"/>
          <w:b/>
          <w:bCs/>
          <w:color w:val="00518E"/>
        </w:rPr>
        <w:t>h</w:t>
      </w:r>
      <w:r w:rsidR="0026241A">
        <w:rPr>
          <w:b/>
          <w:bCs/>
          <w:color w:val="00518E"/>
        </w:rPr>
        <w:t> </w:t>
      </w:r>
      <w:r w:rsidR="008A313E" w:rsidRPr="00C03259">
        <w:rPr>
          <w:b/>
          <w:bCs/>
          <w:color w:val="00518E"/>
        </w:rPr>
        <w:t>up</w:t>
      </w:r>
      <w:r w:rsidR="0026241A">
        <w:rPr>
          <w:b/>
          <w:bCs/>
          <w:color w:val="00518E"/>
        </w:rPr>
        <w:t> </w:t>
      </w:r>
      <w:r>
        <w:rPr>
          <w:b/>
          <w:bCs/>
          <w:color w:val="00518E"/>
        </w:rPr>
        <w:t>15</w:t>
      </w:r>
      <w:r w:rsidR="008A313E" w:rsidRPr="00C03259">
        <w:rPr>
          <w:b/>
          <w:bCs/>
          <w:color w:val="00518E"/>
        </w:rPr>
        <w:t>%</w:t>
      </w:r>
      <w:r w:rsidR="008A313E">
        <w:t xml:space="preserve">) all recorded notable increases </w:t>
      </w:r>
      <w:r w:rsidR="002C537A">
        <w:t>in the proportion of Mental</w:t>
      </w:r>
      <w:r w:rsidR="007D7E8F">
        <w:t> </w:t>
      </w:r>
      <w:r w:rsidR="002C537A">
        <w:t>stress claims between</w:t>
      </w:r>
      <w:r w:rsidR="007D7E8F">
        <w:t xml:space="preserve"> </w:t>
      </w:r>
      <w:r w:rsidR="00701378">
        <w:br/>
      </w:r>
      <w:r w:rsidR="002C537A">
        <w:t>201</w:t>
      </w:r>
      <w:r>
        <w:t>5</w:t>
      </w:r>
      <w:r w:rsidR="002C537A" w:rsidRPr="00086AB2">
        <w:t>–</w:t>
      </w:r>
      <w:r w:rsidR="002C537A">
        <w:t>1</w:t>
      </w:r>
      <w:r>
        <w:t>6</w:t>
      </w:r>
      <w:r w:rsidR="002C537A">
        <w:t xml:space="preserve"> and 201</w:t>
      </w:r>
      <w:r>
        <w:t>9</w:t>
      </w:r>
      <w:r w:rsidR="002C537A" w:rsidRPr="00086AB2">
        <w:t>–</w:t>
      </w:r>
      <w:r>
        <w:t>20</w:t>
      </w:r>
      <w:r w:rsidR="002C537A">
        <w:t xml:space="preserve">. </w:t>
      </w:r>
    </w:p>
    <w:p w14:paraId="65EB1B10" w14:textId="4CDF39D3" w:rsidR="00485C33" w:rsidRPr="00086AB2" w:rsidRDefault="00485C33" w:rsidP="00210458">
      <w:pPr>
        <w:pStyle w:val="Heading3"/>
        <w:keepNext w:val="0"/>
        <w:spacing w:before="0" w:after="0"/>
      </w:pPr>
      <w:bookmarkStart w:id="53" w:name="_Toc86602484"/>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e</w:t>
      </w:r>
      <w:r w:rsidRPr="00086AB2">
        <w:rPr>
          <w:noProof/>
        </w:rPr>
        <w:fldChar w:fldCharType="end"/>
      </w:r>
      <w:r w:rsidRPr="00086AB2">
        <w:t xml:space="preserve"> – Proportion of serious claims involving Mental stress by jurisdiction</w:t>
      </w:r>
      <w:bookmarkEnd w:id="53"/>
    </w:p>
    <w:p w14:paraId="76D3EE61" w14:textId="031D38F2" w:rsidR="002C537A" w:rsidRDefault="005F3F44" w:rsidP="00210458">
      <w:pPr>
        <w:spacing w:after="0"/>
        <w:jc w:val="center"/>
      </w:pPr>
      <w:r>
        <w:rPr>
          <w:noProof/>
        </w:rPr>
        <mc:AlternateContent>
          <mc:Choice Requires="wps">
            <w:drawing>
              <wp:anchor distT="0" distB="0" distL="114300" distR="114300" simplePos="0" relativeHeight="251667456" behindDoc="0" locked="0" layoutInCell="1" allowOverlap="1" wp14:anchorId="73DE4106" wp14:editId="37A22220">
                <wp:simplePos x="0" y="0"/>
                <wp:positionH relativeFrom="column">
                  <wp:posOffset>1056640</wp:posOffset>
                </wp:positionH>
                <wp:positionV relativeFrom="paragraph">
                  <wp:posOffset>2965450</wp:posOffset>
                </wp:positionV>
                <wp:extent cx="4038600" cy="88900"/>
                <wp:effectExtent l="0" t="0" r="19050" b="25400"/>
                <wp:wrapNone/>
                <wp:docPr id="50" name="Rectangle 50"/>
                <wp:cNvGraphicFramePr/>
                <a:graphic xmlns:a="http://schemas.openxmlformats.org/drawingml/2006/main">
                  <a:graphicData uri="http://schemas.microsoft.com/office/word/2010/wordprocessingShape">
                    <wps:wsp>
                      <wps:cNvSpPr/>
                      <wps:spPr>
                        <a:xfrm>
                          <a:off x="0" y="0"/>
                          <a:ext cx="4038600" cy="88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8C8F9" id="Rectangle 50" o:spid="_x0000_s1026" style="position:absolute;margin-left:83.2pt;margin-top:233.5pt;width:318pt;height: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" fillcolor="white [3212]" strokecolor="white [3212]" strokeweight="2pt"/>
            </w:pict>
          </mc:Fallback>
        </mc:AlternateContent>
      </w:r>
      <w:r w:rsidR="0000417E">
        <w:rPr>
          <w:noProof/>
        </w:rPr>
        <w:drawing>
          <wp:inline distT="0" distB="0" distL="0" distR="0" wp14:anchorId="62BCA2CF" wp14:editId="3E7FFF30">
            <wp:extent cx="5581498" cy="3118084"/>
            <wp:effectExtent l="0" t="0" r="635" b="6350"/>
            <wp:docPr id="56" name="Picture 56" descr="Indicator 10e – Proportion of serious claims involving Mental stress by jurisdiction&#10;&#10;This chart shows the proportion of serious claims for Mental stress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ndicator 10e – Proportion of serious claims involving Mental stress by jurisdiction&#10;&#10;This chart shows the proportion of serious claims for Mental stress between 2015-16 and 2020-21 categorised by Australian jurisdictions. Refer to body text for more detail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9318" cy="3128039"/>
                    </a:xfrm>
                    <a:prstGeom prst="rect">
                      <a:avLst/>
                    </a:prstGeom>
                    <a:noFill/>
                  </pic:spPr>
                </pic:pic>
              </a:graphicData>
            </a:graphic>
          </wp:inline>
        </w:drawing>
      </w:r>
    </w:p>
    <w:p w14:paraId="7317B13D" w14:textId="202998B4" w:rsidR="00485C33" w:rsidRPr="00086AB2" w:rsidRDefault="00485C33" w:rsidP="002C537A">
      <w:pPr>
        <w:pStyle w:val="Heading1"/>
        <w:spacing w:before="60" w:after="60"/>
      </w:pPr>
      <w:bookmarkStart w:id="54" w:name="_Toc86602485"/>
      <w:r w:rsidRPr="00086AB2">
        <w:lastRenderedPageBreak/>
        <w:t>Other mechanisms</w:t>
      </w:r>
      <w:bookmarkEnd w:id="54"/>
      <w:r>
        <w:t xml:space="preserve"> </w:t>
      </w:r>
    </w:p>
    <w:p w14:paraId="6EF76A64" w14:textId="77777777" w:rsidR="00485C33" w:rsidRPr="00086AB2" w:rsidRDefault="00485C33" w:rsidP="00485C33">
      <w:pPr>
        <w:keepNext/>
        <w:keepLines/>
      </w:pPr>
      <w:r w:rsidRPr="00086AB2">
        <w:t xml:space="preserve">This category includes </w:t>
      </w:r>
      <w:proofErr w:type="gramStart"/>
      <w:r w:rsidRPr="00086AB2">
        <w:t>Biological</w:t>
      </w:r>
      <w:proofErr w:type="gramEnd"/>
      <w:r w:rsidRPr="00086AB2">
        <w:t xml:space="preserve"> factors, Chemicals and other substances, Sound and pressure, </w:t>
      </w:r>
      <w:r w:rsidRPr="00086AB2">
        <w:br/>
        <w:t>Other multiple mechanisms of incidents, Rollover, slide or cave-in and Unspecified mechanisms.</w:t>
      </w:r>
    </w:p>
    <w:p w14:paraId="24B97AA3" w14:textId="515F55D4" w:rsidR="00485C33" w:rsidRDefault="00485C33" w:rsidP="00485C33">
      <w:pPr>
        <w:keepNext/>
        <w:keepLines/>
      </w:pPr>
      <w:r w:rsidRPr="00086AB2">
        <w:t>O</w:t>
      </w:r>
      <w:r w:rsidR="00EC71EB">
        <w:t>verall,</w:t>
      </w:r>
      <w:r w:rsidRPr="00086AB2">
        <w:t xml:space="preserve"> </w:t>
      </w:r>
      <w:r>
        <w:t>4.</w:t>
      </w:r>
      <w:r w:rsidR="00733209">
        <w:t>9</w:t>
      </w:r>
      <w:r>
        <w:t>%</w:t>
      </w:r>
      <w:r w:rsidRPr="00086AB2">
        <w:t xml:space="preserve"> of serious claims across Australia in 20</w:t>
      </w:r>
      <w:r w:rsidR="00733209">
        <w:t>20</w:t>
      </w:r>
      <w:r w:rsidRPr="00086AB2">
        <w:t>–</w:t>
      </w:r>
      <w:r>
        <w:t>2</w:t>
      </w:r>
      <w:r w:rsidR="00733209">
        <w:t>1</w:t>
      </w:r>
      <w:r>
        <w:t>p</w:t>
      </w:r>
      <w:r w:rsidRPr="00086AB2">
        <w:t xml:space="preserve"> were due to th</w:t>
      </w:r>
      <w:r>
        <w:t>ese</w:t>
      </w:r>
      <w:r w:rsidRPr="00086AB2">
        <w:t xml:space="preserve"> mechanism</w:t>
      </w:r>
      <w:r>
        <w:t>s</w:t>
      </w:r>
      <w:r w:rsidRPr="00086AB2">
        <w:t>.</w:t>
      </w:r>
      <w:r w:rsidRPr="00CE312F">
        <w:t xml:space="preserve"> </w:t>
      </w:r>
      <w:r>
        <w:t xml:space="preserve">Indicator 10f shows in </w:t>
      </w:r>
      <w:r w:rsidRPr="00086AB2">
        <w:t>20</w:t>
      </w:r>
      <w:r w:rsidR="00733209">
        <w:t>20</w:t>
      </w:r>
      <w:r w:rsidRPr="00086AB2">
        <w:t>–</w:t>
      </w:r>
      <w:r>
        <w:t>2</w:t>
      </w:r>
      <w:r w:rsidR="00733209">
        <w:t>1</w:t>
      </w:r>
      <w:r>
        <w:t>p:</w:t>
      </w:r>
    </w:p>
    <w:p w14:paraId="7AA27FE0" w14:textId="3EABD569" w:rsidR="00485C33" w:rsidRDefault="00485C33" w:rsidP="00260A3A">
      <w:pPr>
        <w:pStyle w:val="ListParagraph"/>
        <w:keepNext/>
        <w:keepLines/>
        <w:numPr>
          <w:ilvl w:val="0"/>
          <w:numId w:val="17"/>
        </w:numPr>
        <w:spacing w:before="120" w:after="0"/>
        <w:ind w:left="777" w:hanging="357"/>
      </w:pPr>
      <w:proofErr w:type="spellStart"/>
      <w:r>
        <w:t>Seacare</w:t>
      </w:r>
      <w:proofErr w:type="spellEnd"/>
      <w:r>
        <w:t xml:space="preserve"> had the highest proportion of claims (1</w:t>
      </w:r>
      <w:r w:rsidR="00733209">
        <w:t>3.4</w:t>
      </w:r>
      <w:r>
        <w:t>%)</w:t>
      </w:r>
      <w:r w:rsidRPr="00CE312F">
        <w:t xml:space="preserve"> </w:t>
      </w:r>
      <w:r w:rsidRPr="00086AB2">
        <w:t>for th</w:t>
      </w:r>
      <w:r>
        <w:t>ese</w:t>
      </w:r>
      <w:r w:rsidRPr="00086AB2">
        <w:t xml:space="preserve"> mechanism</w:t>
      </w:r>
      <w:r>
        <w:t xml:space="preserve">s, followed by </w:t>
      </w:r>
      <w:r w:rsidR="00733209">
        <w:t xml:space="preserve">the Australian Capital Territory </w:t>
      </w:r>
      <w:r w:rsidRPr="00086AB2">
        <w:t>(</w:t>
      </w:r>
      <w:r w:rsidR="00733209">
        <w:t>6.8</w:t>
      </w:r>
      <w:r>
        <w:t>%</w:t>
      </w:r>
      <w:r w:rsidRPr="00086AB2">
        <w:t>)</w:t>
      </w:r>
      <w:r>
        <w:t xml:space="preserve">. </w:t>
      </w:r>
    </w:p>
    <w:p w14:paraId="4710AB36" w14:textId="49C6F4F3" w:rsidR="00485C33" w:rsidRPr="00086AB2" w:rsidRDefault="00485C33" w:rsidP="00FB60B8">
      <w:pPr>
        <w:pStyle w:val="ListParagraph"/>
        <w:keepNext/>
        <w:keepLines/>
        <w:numPr>
          <w:ilvl w:val="1"/>
          <w:numId w:val="17"/>
        </w:numPr>
        <w:spacing w:before="120" w:after="200"/>
      </w:pPr>
      <w:proofErr w:type="spellStart"/>
      <w:r>
        <w:t>Seacare</w:t>
      </w:r>
      <w:proofErr w:type="spellEnd"/>
      <w:r>
        <w:t xml:space="preserve"> recorded </w:t>
      </w:r>
      <w:r w:rsidRPr="00FC1393">
        <w:t xml:space="preserve">large increases in the proportion </w:t>
      </w:r>
      <w:r>
        <w:t xml:space="preserve">of serious claims due to these mechanisms between </w:t>
      </w:r>
      <w:r w:rsidRPr="00086AB2">
        <w:t>201</w:t>
      </w:r>
      <w:r w:rsidR="00733209">
        <w:t>5</w:t>
      </w:r>
      <w:r w:rsidRPr="00086AB2">
        <w:t>–1</w:t>
      </w:r>
      <w:r w:rsidR="00733209">
        <w:t>6</w:t>
      </w:r>
      <w:r>
        <w:t xml:space="preserve"> and </w:t>
      </w:r>
      <w:r w:rsidRPr="00086AB2">
        <w:t>201</w:t>
      </w:r>
      <w:r w:rsidR="00733209">
        <w:t>9</w:t>
      </w:r>
      <w:r w:rsidRPr="00086AB2">
        <w:t>–</w:t>
      </w:r>
      <w:r w:rsidR="00733209">
        <w:t>20</w:t>
      </w:r>
      <w:r>
        <w:t>. These substantial changes in proportions can be related to the fluctuations in the number of serious claims coded to “Unspecified mechanisms of incident” in these years and may therefore reflect issues with coding rather than significant increases or decreases in serious claims related to the specific issues noted above.</w:t>
      </w:r>
    </w:p>
    <w:p w14:paraId="22BC2C6C" w14:textId="70AFF287" w:rsidR="00F52A39" w:rsidRDefault="00485C33" w:rsidP="00F52A39">
      <w:pPr>
        <w:pStyle w:val="ListParagraph"/>
        <w:keepNext/>
        <w:keepLines/>
        <w:numPr>
          <w:ilvl w:val="0"/>
          <w:numId w:val="17"/>
        </w:numPr>
        <w:spacing w:before="120" w:after="200"/>
        <w:ind w:left="777" w:hanging="357"/>
      </w:pPr>
      <w:r>
        <w:t xml:space="preserve">Western Australia </w:t>
      </w:r>
      <w:r w:rsidRPr="00086AB2">
        <w:t xml:space="preserve">recorded the lowest proportion </w:t>
      </w:r>
      <w:r w:rsidR="00EC71EB">
        <w:t xml:space="preserve">of claims </w:t>
      </w:r>
      <w:r w:rsidRPr="00086AB2">
        <w:t>(</w:t>
      </w:r>
      <w:r w:rsidR="00B3721A">
        <w:t>1.6</w:t>
      </w:r>
      <w:r>
        <w:t>%</w:t>
      </w:r>
      <w:r w:rsidRPr="00086AB2">
        <w:t>)</w:t>
      </w:r>
      <w:r w:rsidR="00EC71EB">
        <w:t xml:space="preserve"> for these mechanisms</w:t>
      </w:r>
      <w:r w:rsidRPr="00086AB2">
        <w:t xml:space="preserve">. </w:t>
      </w:r>
    </w:p>
    <w:p w14:paraId="3D53A47C" w14:textId="7A77E3D1" w:rsidR="00485C33" w:rsidRPr="00086AB2" w:rsidRDefault="00485C33" w:rsidP="009456F4">
      <w:pPr>
        <w:pStyle w:val="Heading3"/>
        <w:spacing w:before="0" w:after="0"/>
      </w:pPr>
      <w:bookmarkStart w:id="55" w:name="_Toc86602486"/>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f</w:t>
      </w:r>
      <w:r w:rsidRPr="00086AB2">
        <w:rPr>
          <w:noProof/>
        </w:rPr>
        <w:fldChar w:fldCharType="end"/>
      </w:r>
      <w:r w:rsidRPr="00086AB2">
        <w:t xml:space="preserve"> – Proportion of serious claims involving </w:t>
      </w:r>
      <w:proofErr w:type="gramStart"/>
      <w:r w:rsidRPr="00086AB2">
        <w:t>Other</w:t>
      </w:r>
      <w:proofErr w:type="gramEnd"/>
      <w:r w:rsidRPr="00086AB2">
        <w:t xml:space="preserve"> mechanisms by jurisdiction</w:t>
      </w:r>
      <w:bookmarkEnd w:id="55"/>
      <w:r>
        <w:t xml:space="preserve"> </w:t>
      </w:r>
    </w:p>
    <w:p w14:paraId="4CDA0CED" w14:textId="131E42CE" w:rsidR="00485C33" w:rsidRDefault="005F3F44" w:rsidP="00485C33">
      <w:pPr>
        <w:spacing w:after="0"/>
        <w:jc w:val="center"/>
      </w:pPr>
      <w:r>
        <w:rPr>
          <w:noProof/>
        </w:rPr>
        <mc:AlternateContent>
          <mc:Choice Requires="wps">
            <w:drawing>
              <wp:anchor distT="0" distB="0" distL="114300" distR="114300" simplePos="0" relativeHeight="251668480" behindDoc="0" locked="0" layoutInCell="1" allowOverlap="1" wp14:anchorId="727A61F6" wp14:editId="5CDADA0D">
                <wp:simplePos x="0" y="0"/>
                <wp:positionH relativeFrom="column">
                  <wp:posOffset>1104265</wp:posOffset>
                </wp:positionH>
                <wp:positionV relativeFrom="paragraph">
                  <wp:posOffset>3054985</wp:posOffset>
                </wp:positionV>
                <wp:extent cx="3956050" cy="107950"/>
                <wp:effectExtent l="0" t="0" r="25400" b="25400"/>
                <wp:wrapNone/>
                <wp:docPr id="51" name="Rectangle 51"/>
                <wp:cNvGraphicFramePr/>
                <a:graphic xmlns:a="http://schemas.openxmlformats.org/drawingml/2006/main">
                  <a:graphicData uri="http://schemas.microsoft.com/office/word/2010/wordprocessingShape">
                    <wps:wsp>
                      <wps:cNvSpPr/>
                      <wps:spPr>
                        <a:xfrm>
                          <a:off x="0" y="0"/>
                          <a:ext cx="3956050" cy="107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73B0" id="Rectangle 51" o:spid="_x0000_s1026" style="position:absolute;margin-left:86.95pt;margin-top:240.55pt;width:311.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" fillcolor="white [3212]" strokecolor="white [3212]" strokeweight="2pt"/>
            </w:pict>
          </mc:Fallback>
        </mc:AlternateContent>
      </w:r>
      <w:r w:rsidR="0000417E">
        <w:rPr>
          <w:noProof/>
        </w:rPr>
        <w:drawing>
          <wp:inline distT="0" distB="0" distL="0" distR="0" wp14:anchorId="38474B8A" wp14:editId="3E73FD50">
            <wp:extent cx="5445455" cy="3165158"/>
            <wp:effectExtent l="0" t="0" r="3175" b="0"/>
            <wp:docPr id="63" name="Picture 63" descr="Indicator 10f – Proportion of serious claims involving Other mechanisms by jurisdiction&#10;&#10;This chart shows the proportion of serious claims for Other mechanisms of incident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ndicator 10f – Proportion of serious claims involving Other mechanisms by jurisdiction&#10;&#10;This chart shows the proportion of serious claims for Other mechanisms of incident between 2015-16 and 2020-21 categorised by Australian jurisdictions. Refer to body text for more details.&#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4848" cy="3170618"/>
                    </a:xfrm>
                    <a:prstGeom prst="rect">
                      <a:avLst/>
                    </a:prstGeom>
                    <a:noFill/>
                  </pic:spPr>
                </pic:pic>
              </a:graphicData>
            </a:graphic>
          </wp:inline>
        </w:drawing>
      </w:r>
    </w:p>
    <w:p w14:paraId="3368D960" w14:textId="77777777" w:rsidR="00F52A39" w:rsidRPr="00086AB2" w:rsidRDefault="00F52A39" w:rsidP="00485C33">
      <w:pPr>
        <w:spacing w:after="0"/>
        <w:jc w:val="center"/>
      </w:pPr>
    </w:p>
    <w:p w14:paraId="08A43A2B" w14:textId="77777777" w:rsidR="008659BF" w:rsidRDefault="008659BF">
      <w:pPr>
        <w:spacing w:after="200" w:line="276" w:lineRule="auto"/>
        <w:jc w:val="left"/>
        <w:rPr>
          <w:rFonts w:ascii="Arial Bold" w:eastAsiaTheme="majorEastAsia" w:hAnsi="Arial Bold" w:cs="Arial"/>
          <w:b/>
          <w:kern w:val="32"/>
          <w:sz w:val="28"/>
          <w:szCs w:val="22"/>
        </w:rPr>
      </w:pPr>
      <w:bookmarkStart w:id="56" w:name="_Toc86602487"/>
      <w:r>
        <w:br w:type="page"/>
      </w:r>
    </w:p>
    <w:p w14:paraId="705AD573" w14:textId="3B1AA7CD" w:rsidR="00485C33" w:rsidRPr="00086AB2" w:rsidRDefault="00485C33" w:rsidP="00485C33">
      <w:pPr>
        <w:pStyle w:val="Heading1"/>
        <w:spacing w:before="0"/>
      </w:pPr>
      <w:r w:rsidRPr="00086AB2">
        <w:lastRenderedPageBreak/>
        <w:t>Vehicle incidents</w:t>
      </w:r>
      <w:bookmarkEnd w:id="56"/>
      <w:r>
        <w:t xml:space="preserve"> </w:t>
      </w:r>
    </w:p>
    <w:p w14:paraId="67BB9D34" w14:textId="13E2850E" w:rsidR="00485C33" w:rsidRDefault="00485C33" w:rsidP="007E20B0">
      <w:pPr>
        <w:spacing w:before="120"/>
      </w:pPr>
      <w:r w:rsidRPr="00086AB2">
        <w:t>In 20</w:t>
      </w:r>
      <w:r w:rsidR="00800AF8">
        <w:t>20</w:t>
      </w:r>
      <w:r w:rsidRPr="00086AB2">
        <w:t>–</w:t>
      </w:r>
      <w:r>
        <w:t>2</w:t>
      </w:r>
      <w:r w:rsidR="00800AF8">
        <w:t>1</w:t>
      </w:r>
      <w:r>
        <w:t>p</w:t>
      </w:r>
      <w:r w:rsidRPr="00086AB2">
        <w:t xml:space="preserve">, </w:t>
      </w:r>
      <w:r w:rsidR="00EC71EB">
        <w:t xml:space="preserve">Indicator 10g shows that </w:t>
      </w:r>
      <w:r w:rsidRPr="00086AB2">
        <w:t>2.</w:t>
      </w:r>
      <w:r w:rsidR="00800AF8">
        <w:t>1</w:t>
      </w:r>
      <w:r>
        <w:t>%</w:t>
      </w:r>
      <w:r w:rsidRPr="00086AB2">
        <w:t xml:space="preserve"> of all serious claims across Australian jurisdictions were due to Vehicle incidents. Serious claims due to vehicle incidents cover all claims lodged and accepted for compensation where a vehicle collision was involved</w:t>
      </w:r>
      <w:r w:rsidR="00872EE6">
        <w:t>,</w:t>
      </w:r>
      <w:r w:rsidRPr="00086AB2">
        <w:t xml:space="preserve"> leading to the injuries.</w:t>
      </w:r>
      <w:r>
        <w:t xml:space="preserve"> </w:t>
      </w:r>
    </w:p>
    <w:p w14:paraId="238ABA9F" w14:textId="45C4E59F" w:rsidR="00485C33" w:rsidRPr="00086AB2" w:rsidRDefault="00485C33" w:rsidP="00485C33">
      <w:r>
        <w:t xml:space="preserve">In </w:t>
      </w:r>
      <w:r w:rsidRPr="00086AB2">
        <w:t>20</w:t>
      </w:r>
      <w:r w:rsidR="00800AF8">
        <w:t>20</w:t>
      </w:r>
      <w:r w:rsidRPr="00086AB2">
        <w:t>–</w:t>
      </w:r>
      <w:r>
        <w:t>2</w:t>
      </w:r>
      <w:r w:rsidR="00800AF8">
        <w:t>1</w:t>
      </w:r>
      <w:r>
        <w:t>p:</w:t>
      </w:r>
    </w:p>
    <w:p w14:paraId="1C261A5D" w14:textId="2DA9E592" w:rsidR="00485C33" w:rsidRDefault="00485C33" w:rsidP="00260A3A">
      <w:pPr>
        <w:pStyle w:val="ListParagraph"/>
        <w:numPr>
          <w:ilvl w:val="0"/>
          <w:numId w:val="18"/>
        </w:numPr>
        <w:spacing w:before="120" w:after="0"/>
        <w:ind w:left="714" w:hanging="357"/>
      </w:pPr>
      <w:r w:rsidRPr="00086AB2">
        <w:t>The Australian Government recorded the highest proportion of serious claims (</w:t>
      </w:r>
      <w:r>
        <w:t>10.</w:t>
      </w:r>
      <w:r w:rsidR="00800AF8">
        <w:t>5</w:t>
      </w:r>
      <w:r>
        <w:t>%</w:t>
      </w:r>
      <w:r w:rsidRPr="00086AB2">
        <w:t xml:space="preserve">) due to this mechanism, which was </w:t>
      </w:r>
      <w:r>
        <w:t>five</w:t>
      </w:r>
      <w:r w:rsidRPr="00086AB2">
        <w:t xml:space="preserve"> times the Australian average. This may, in part, be explained by the composition of this jurisdiction leading to lower proportions of claims for other mechanisms</w:t>
      </w:r>
      <w:r>
        <w:t>.</w:t>
      </w:r>
    </w:p>
    <w:p w14:paraId="7CCE28E4" w14:textId="69D8DF96" w:rsidR="00485C33" w:rsidRDefault="00485C33" w:rsidP="00260A3A">
      <w:pPr>
        <w:pStyle w:val="ListParagraph"/>
        <w:numPr>
          <w:ilvl w:val="0"/>
          <w:numId w:val="18"/>
        </w:numPr>
        <w:spacing w:before="120" w:after="0"/>
        <w:ind w:left="714" w:hanging="357"/>
      </w:pPr>
      <w:r w:rsidRPr="00086AB2">
        <w:t>Tasmania had the lowest proportion of claims (1.</w:t>
      </w:r>
      <w:r w:rsidR="00800AF8">
        <w:t>6</w:t>
      </w:r>
      <w:r>
        <w:t>%</w:t>
      </w:r>
      <w:r w:rsidRPr="00086AB2">
        <w:t xml:space="preserve">). </w:t>
      </w:r>
    </w:p>
    <w:p w14:paraId="016314D6" w14:textId="14F3930D" w:rsidR="00485C33" w:rsidRPr="00086AB2" w:rsidRDefault="00485C33" w:rsidP="0031228B">
      <w:pPr>
        <w:pStyle w:val="Heading3"/>
        <w:spacing w:before="120" w:after="60"/>
      </w:pPr>
      <w:bookmarkStart w:id="57" w:name="_Toc86602488"/>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g</w:t>
      </w:r>
      <w:r w:rsidRPr="00086AB2">
        <w:rPr>
          <w:noProof/>
        </w:rPr>
        <w:fldChar w:fldCharType="end"/>
      </w:r>
      <w:r w:rsidRPr="00086AB2">
        <w:t xml:space="preserve"> – Proportion of serious claims involving Vehicle incidents by jurisdiction</w:t>
      </w:r>
      <w:bookmarkEnd w:id="57"/>
      <w:r>
        <w:t xml:space="preserve"> </w:t>
      </w:r>
    </w:p>
    <w:p w14:paraId="48B96FE8" w14:textId="12895318" w:rsidR="002C537A" w:rsidRDefault="0000417E" w:rsidP="00027F88">
      <w:pPr>
        <w:spacing w:before="120"/>
        <w:jc w:val="center"/>
      </w:pPr>
      <w:r>
        <w:rPr>
          <w:noProof/>
        </w:rPr>
        <w:drawing>
          <wp:inline distT="0" distB="0" distL="0" distR="0" wp14:anchorId="40496BD0" wp14:editId="1AD2D675">
            <wp:extent cx="5632704" cy="3238793"/>
            <wp:effectExtent l="0" t="0" r="6350" b="0"/>
            <wp:docPr id="62" name="Picture 62" descr="Indicator 10g – Proportion of serious claims involving Vehicle incidents by jurisdiction&#10;&#10;This chart shows the proportion of serious claims for Vehicle incidents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ndicator 10g – Proportion of serious claims involving Vehicle incidents by jurisdiction&#10;&#10;This chart shows the proportion of serious claims for Vehicle incidents between 2015-16 and 2020-21 categorised by Australian jurisdictions. Refer to body text for more details.&#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6091" cy="3246491"/>
                    </a:xfrm>
                    <a:prstGeom prst="rect">
                      <a:avLst/>
                    </a:prstGeom>
                    <a:noFill/>
                  </pic:spPr>
                </pic:pic>
              </a:graphicData>
            </a:graphic>
          </wp:inline>
        </w:drawing>
      </w:r>
    </w:p>
    <w:p w14:paraId="415A736F" w14:textId="14562AED" w:rsidR="002C537A" w:rsidRPr="00086AB2" w:rsidRDefault="002C537A" w:rsidP="002C537A">
      <w:pPr>
        <w:pStyle w:val="Heading1"/>
        <w:spacing w:before="0"/>
      </w:pPr>
      <w:bookmarkStart w:id="58" w:name="_Toc86602489"/>
      <w:r w:rsidRPr="00086AB2">
        <w:lastRenderedPageBreak/>
        <w:t xml:space="preserve">Heat, </w:t>
      </w:r>
      <w:proofErr w:type="gramStart"/>
      <w:r w:rsidRPr="00086AB2">
        <w:t>electricity</w:t>
      </w:r>
      <w:proofErr w:type="gramEnd"/>
      <w:r w:rsidRPr="00086AB2">
        <w:t xml:space="preserve"> and other environmental factors</w:t>
      </w:r>
      <w:bookmarkEnd w:id="58"/>
      <w:r>
        <w:t xml:space="preserve"> </w:t>
      </w:r>
    </w:p>
    <w:p w14:paraId="460B3E11" w14:textId="54B31B92" w:rsidR="002C537A" w:rsidRPr="00086AB2" w:rsidRDefault="002C537A" w:rsidP="002C537A">
      <w:pPr>
        <w:keepNext/>
        <w:keepLines/>
      </w:pPr>
      <w:r w:rsidRPr="00086AB2">
        <w:t>Of all the mechanisms of incident, claims associated with Heat, electricity and other environmental factors accounted for the lowest proportion (1.</w:t>
      </w:r>
      <w:r w:rsidR="00AF76E8">
        <w:t>3</w:t>
      </w:r>
      <w:r>
        <w:t>%</w:t>
      </w:r>
      <w:r w:rsidRPr="00086AB2">
        <w:t>) of serious claims in 20</w:t>
      </w:r>
      <w:r w:rsidR="00AF76E8">
        <w:t>20</w:t>
      </w:r>
      <w:r w:rsidRPr="00086AB2">
        <w:t>–</w:t>
      </w:r>
      <w:r>
        <w:t>2</w:t>
      </w:r>
      <w:r w:rsidR="00AF76E8">
        <w:t>1</w:t>
      </w:r>
      <w:r>
        <w:t>p (Indicator 10h)</w:t>
      </w:r>
      <w:r w:rsidRPr="00086AB2">
        <w:t xml:space="preserve">. </w:t>
      </w:r>
      <w:r>
        <w:t>T</w:t>
      </w:r>
      <w:r w:rsidRPr="00086AB2">
        <w:t>he</w:t>
      </w:r>
      <w:r>
        <w:t> </w:t>
      </w:r>
      <w:r w:rsidRPr="00086AB2">
        <w:t xml:space="preserve">proportion of claims has been </w:t>
      </w:r>
      <w:r>
        <w:t xml:space="preserve">relatively </w:t>
      </w:r>
      <w:r w:rsidRPr="00086AB2">
        <w:t>stable since 201</w:t>
      </w:r>
      <w:r w:rsidR="00AF76E8">
        <w:t>5</w:t>
      </w:r>
      <w:r w:rsidRPr="00086AB2">
        <w:t>–1</w:t>
      </w:r>
      <w:r w:rsidR="00AF76E8">
        <w:t>6</w:t>
      </w:r>
      <w:r>
        <w:t xml:space="preserve">. In </w:t>
      </w:r>
      <w:r w:rsidRPr="00496DEA">
        <w:t>20</w:t>
      </w:r>
      <w:r w:rsidR="00AF76E8">
        <w:t>20</w:t>
      </w:r>
      <w:r w:rsidRPr="00496DEA">
        <w:t>–2</w:t>
      </w:r>
      <w:r w:rsidR="00AF76E8">
        <w:t>1</w:t>
      </w:r>
      <w:r w:rsidRPr="00496DEA">
        <w:t>p:</w:t>
      </w:r>
    </w:p>
    <w:p w14:paraId="3858FCB9" w14:textId="33B94ABE" w:rsidR="002C537A" w:rsidRDefault="00AF76E8" w:rsidP="002C537A">
      <w:pPr>
        <w:pStyle w:val="ListParagraph"/>
        <w:keepNext/>
        <w:keepLines/>
        <w:numPr>
          <w:ilvl w:val="0"/>
          <w:numId w:val="19"/>
        </w:numPr>
        <w:spacing w:before="120" w:after="0"/>
        <w:ind w:left="714" w:hanging="357"/>
      </w:pPr>
      <w:r>
        <w:t>New South Wales reported the highest proportion (1.5) of claims, followed by Queensland and Western Australia (1.4 each) due to this mechanism.</w:t>
      </w:r>
    </w:p>
    <w:p w14:paraId="48E42A49" w14:textId="77777777" w:rsidR="002C537A" w:rsidRDefault="002C537A" w:rsidP="002C537A">
      <w:pPr>
        <w:pStyle w:val="ListParagraph"/>
        <w:keepNext/>
        <w:keepLines/>
        <w:numPr>
          <w:ilvl w:val="0"/>
          <w:numId w:val="19"/>
        </w:numPr>
        <w:spacing w:before="120" w:after="0"/>
        <w:ind w:left="714" w:hanging="357"/>
      </w:pPr>
      <w:r>
        <w:t>T</w:t>
      </w:r>
      <w:r w:rsidRPr="00086AB2">
        <w:t>he lowest proportion was reported by the Australian</w:t>
      </w:r>
      <w:r>
        <w:t xml:space="preserve"> </w:t>
      </w:r>
      <w:r w:rsidRPr="00086AB2">
        <w:t>Government (0.</w:t>
      </w:r>
      <w:r>
        <w:t>3%</w:t>
      </w:r>
      <w:r w:rsidRPr="00086AB2">
        <w:t>)</w:t>
      </w:r>
      <w:r>
        <w:t xml:space="preserve">. </w:t>
      </w:r>
    </w:p>
    <w:p w14:paraId="74370DA1" w14:textId="2B5897F9" w:rsidR="002C537A" w:rsidRPr="00086AB2" w:rsidRDefault="002C537A" w:rsidP="00FB60B8">
      <w:pPr>
        <w:keepNext/>
        <w:keepLines/>
        <w:spacing w:before="120" w:after="0"/>
        <w:ind w:left="357"/>
      </w:pPr>
      <w:proofErr w:type="spellStart"/>
      <w:r>
        <w:t>Seacare</w:t>
      </w:r>
      <w:proofErr w:type="spellEnd"/>
      <w:r>
        <w:t xml:space="preserve"> </w:t>
      </w:r>
      <w:r w:rsidR="00B3721A">
        <w:t xml:space="preserve">has been excluded from this analysis because it </w:t>
      </w:r>
      <w:r>
        <w:t>record</w:t>
      </w:r>
      <w:r w:rsidR="00B3721A">
        <w:t>ed fewer than 5</w:t>
      </w:r>
      <w:r>
        <w:t xml:space="preserve"> serious claims associated with this mechanism of incident.</w:t>
      </w:r>
    </w:p>
    <w:p w14:paraId="6B937A67" w14:textId="210D5671" w:rsidR="00485C33" w:rsidRPr="00086AB2" w:rsidRDefault="00485C33" w:rsidP="0031228B">
      <w:pPr>
        <w:pStyle w:val="Heading3"/>
        <w:spacing w:before="120" w:after="60"/>
      </w:pPr>
      <w:bookmarkStart w:id="59" w:name="_Toc86602490"/>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4132C1">
        <w:rPr>
          <w:noProof/>
        </w:rPr>
        <w:t>h</w:t>
      </w:r>
      <w:r w:rsidRPr="00086AB2">
        <w:rPr>
          <w:noProof/>
        </w:rPr>
        <w:fldChar w:fldCharType="end"/>
      </w:r>
      <w:r w:rsidRPr="00086AB2">
        <w:t xml:space="preserve"> – Proportion of serious claims involving Heat, </w:t>
      </w:r>
      <w:proofErr w:type="gramStart"/>
      <w:r w:rsidRPr="00086AB2">
        <w:t>electricity</w:t>
      </w:r>
      <w:proofErr w:type="gramEnd"/>
      <w:r w:rsidRPr="00086AB2">
        <w:t xml:space="preserve"> and other environmental factors by jurisdiction</w:t>
      </w:r>
      <w:bookmarkEnd w:id="59"/>
    </w:p>
    <w:p w14:paraId="13CBB09D" w14:textId="0AA44FC4" w:rsidR="00485C33" w:rsidRPr="00086AB2" w:rsidRDefault="00C72152" w:rsidP="00485C33">
      <w:pPr>
        <w:jc w:val="center"/>
      </w:pPr>
      <w:r>
        <w:rPr>
          <w:noProof/>
        </w:rPr>
        <mc:AlternateContent>
          <mc:Choice Requires="wps">
            <w:drawing>
              <wp:anchor distT="0" distB="0" distL="114300" distR="114300" simplePos="0" relativeHeight="251670528" behindDoc="0" locked="0" layoutInCell="1" allowOverlap="1" wp14:anchorId="1DC517FE" wp14:editId="0EEAC8C4">
                <wp:simplePos x="0" y="0"/>
                <wp:positionH relativeFrom="column">
                  <wp:posOffset>1088390</wp:posOffset>
                </wp:positionH>
                <wp:positionV relativeFrom="paragraph">
                  <wp:posOffset>3008630</wp:posOffset>
                </wp:positionV>
                <wp:extent cx="3943350" cy="127000"/>
                <wp:effectExtent l="0" t="0" r="19050" b="25400"/>
                <wp:wrapNone/>
                <wp:docPr id="53" name="Rectangle 53"/>
                <wp:cNvGraphicFramePr/>
                <a:graphic xmlns:a="http://schemas.openxmlformats.org/drawingml/2006/main">
                  <a:graphicData uri="http://schemas.microsoft.com/office/word/2010/wordprocessingShape">
                    <wps:wsp>
                      <wps:cNvSpPr/>
                      <wps:spPr>
                        <a:xfrm>
                          <a:off x="0" y="0"/>
                          <a:ext cx="3943350" cy="12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8B95D" id="Rectangle 53" o:spid="_x0000_s1026" style="position:absolute;margin-left:85.7pt;margin-top:236.9pt;width:310.5pt;height:1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" fillcolor="white [3212]" strokecolor="white [3212]" strokeweight="2pt"/>
            </w:pict>
          </mc:Fallback>
        </mc:AlternateContent>
      </w:r>
      <w:r w:rsidR="00B732BB">
        <w:rPr>
          <w:noProof/>
        </w:rPr>
        <w:drawing>
          <wp:inline distT="0" distB="0" distL="0" distR="0" wp14:anchorId="5F98ECAD" wp14:editId="211FDFBF">
            <wp:extent cx="5479085" cy="3129688"/>
            <wp:effectExtent l="0" t="0" r="7620" b="0"/>
            <wp:docPr id="66" name="Picture 66" descr="Indicator 10h – Proportion of serious claims involving Heat, electricity and other environmental factors by jurisdiction&#10;&#10;This chart shows the proportion of serious claims for Heat, electricity and other environmental factors between 2015-16 and 2020-21 categorised by Australian jurisdictions. Refer to body text for more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ndicator 10h – Proportion of serious claims involving Heat, electricity and other environmental factors by jurisdiction&#10;&#10;This chart shows the proportion of serious claims for Heat, electricity and other environmental factors between 2015-16 and 2020-21 categorised by Australian jurisdictions. Refer to body text for more details.&#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214" cy="3136616"/>
                    </a:xfrm>
                    <a:prstGeom prst="rect">
                      <a:avLst/>
                    </a:prstGeom>
                    <a:noFill/>
                  </pic:spPr>
                </pic:pic>
              </a:graphicData>
            </a:graphic>
          </wp:inline>
        </w:drawing>
      </w:r>
    </w:p>
    <w:p w14:paraId="0F6DB613" w14:textId="5A205F73" w:rsidR="005F2FC4" w:rsidRPr="00086AB2" w:rsidRDefault="009C1651" w:rsidP="00B51041">
      <w:pPr>
        <w:pStyle w:val="SWASectionnumberingheading"/>
      </w:pPr>
      <w:bookmarkStart w:id="60" w:name="_Toc86602491"/>
      <w:r w:rsidRPr="00086AB2">
        <w:lastRenderedPageBreak/>
        <w:t>Claims by industry</w:t>
      </w:r>
      <w:bookmarkEnd w:id="60"/>
      <w:r w:rsidR="00C355C7">
        <w:t xml:space="preserve"> </w:t>
      </w:r>
    </w:p>
    <w:p w14:paraId="1B2275CB" w14:textId="09F2B617" w:rsidR="00D62774" w:rsidRPr="00D62774" w:rsidRDefault="00D62774" w:rsidP="00066D3B">
      <w:pPr>
        <w:keepNext/>
        <w:keepLines/>
        <w:rPr>
          <w:i/>
          <w:iCs/>
        </w:rPr>
      </w:pPr>
      <w:r w:rsidRPr="00D62774">
        <w:rPr>
          <w:i/>
          <w:iCs/>
        </w:rPr>
        <w:t>Frequency rates use</w:t>
      </w:r>
    </w:p>
    <w:p w14:paraId="4BADCCDC" w14:textId="77777777" w:rsidR="00A76309" w:rsidRDefault="00D62774" w:rsidP="00066D3B">
      <w:pPr>
        <w:keepNext/>
        <w:keepLines/>
      </w:pPr>
      <w:r>
        <w:t xml:space="preserve">Frequency rates have been used in </w:t>
      </w:r>
      <w:r w:rsidR="00A575F7">
        <w:t xml:space="preserve">this section to </w:t>
      </w:r>
      <w:r w:rsidR="00A575F7" w:rsidRPr="00A575F7">
        <w:t>express the number of serious claims per million hours worked</w:t>
      </w:r>
      <w:r w:rsidR="00A575F7">
        <w:t xml:space="preserve"> in each industry.  </w:t>
      </w:r>
    </w:p>
    <w:p w14:paraId="72439CC0" w14:textId="1C985B84" w:rsidR="00A575F7" w:rsidRDefault="007B7B09" w:rsidP="00A575F7">
      <w:pPr>
        <w:keepNext/>
        <w:keepLines/>
      </w:pPr>
      <w:r>
        <w:t xml:space="preserve">This report differs from </w:t>
      </w:r>
      <w:r w:rsidR="00A575F7">
        <w:t xml:space="preserve">editions </w:t>
      </w:r>
      <w:r w:rsidR="00392528">
        <w:t>prior to</w:t>
      </w:r>
      <w:r w:rsidR="001F785E">
        <w:t xml:space="preserve"> </w:t>
      </w:r>
      <w:r w:rsidR="00A575F7">
        <w:t xml:space="preserve">the </w:t>
      </w:r>
      <w:r w:rsidR="001F785E">
        <w:t>23</w:t>
      </w:r>
      <w:r w:rsidR="001F785E" w:rsidRPr="001F785E">
        <w:rPr>
          <w:vertAlign w:val="superscript"/>
        </w:rPr>
        <w:t>rd</w:t>
      </w:r>
      <w:r w:rsidR="001F785E">
        <w:t xml:space="preserve"> </w:t>
      </w:r>
      <w:r w:rsidR="00A575F7">
        <w:t>CPM</w:t>
      </w:r>
      <w:r w:rsidR="00A439E6">
        <w:t xml:space="preserve"> report</w:t>
      </w:r>
      <w:r>
        <w:t xml:space="preserve">, which used </w:t>
      </w:r>
      <w:r w:rsidR="00A575F7">
        <w:t>incidence rates (number of serious claims per 1,000 employees)</w:t>
      </w:r>
      <w:r>
        <w:t xml:space="preserve"> to measure the rates of serious claims by jurisdiction and industry</w:t>
      </w:r>
      <w:r w:rsidR="00A575F7">
        <w:t xml:space="preserve">. This </w:t>
      </w:r>
      <w:r w:rsidR="00A439E6">
        <w:t xml:space="preserve">report </w:t>
      </w:r>
      <w:r w:rsidR="00662794">
        <w:t xml:space="preserve">and last year’s </w:t>
      </w:r>
      <w:r w:rsidR="00A575F7">
        <w:t xml:space="preserve">edition </w:t>
      </w:r>
      <w:proofErr w:type="gramStart"/>
      <w:r w:rsidR="007D16BD">
        <w:t>uses</w:t>
      </w:r>
      <w:proofErr w:type="gramEnd"/>
      <w:r w:rsidR="007D16BD">
        <w:t xml:space="preserve"> </w:t>
      </w:r>
      <w:r w:rsidR="00A575F7">
        <w:t>the frequency rate</w:t>
      </w:r>
      <w:r w:rsidR="007D16BD">
        <w:t xml:space="preserve"> (the number of serious claims per one million hours worked)</w:t>
      </w:r>
      <w:r w:rsidR="00A575F7">
        <w:t xml:space="preserve"> as </w:t>
      </w:r>
      <w:r w:rsidR="007D16BD">
        <w:t xml:space="preserve">it </w:t>
      </w:r>
      <w:r w:rsidR="00A575F7">
        <w:t>is a more accurate measure of</w:t>
      </w:r>
      <w:r w:rsidR="00BA0B6C">
        <w:t xml:space="preserve"> WHS</w:t>
      </w:r>
      <w:r w:rsidR="00A575F7">
        <w:t>. T</w:t>
      </w:r>
      <w:r w:rsidR="00A575F7" w:rsidRPr="00A575F7">
        <w:t>here are significant differences in the number of hours worked by different groups of employees and employees at different points in time</w:t>
      </w:r>
      <w:r w:rsidR="00A575F7">
        <w:t xml:space="preserve">. These </w:t>
      </w:r>
      <w:r w:rsidR="00A575F7" w:rsidRPr="00A575F7">
        <w:t xml:space="preserve">differences in the number of hours worked mean that employees’ exposure to work related risks vary considerably. </w:t>
      </w:r>
      <w:r>
        <w:t>A</w:t>
      </w:r>
      <w:r w:rsidR="00BD4C0A">
        <w:t xml:space="preserve"> </w:t>
      </w:r>
      <w:r w:rsidR="00A575F7" w:rsidRPr="00A575F7">
        <w:t>frequency rate accounts for these differences and allows more accurate comparisons</w:t>
      </w:r>
      <w:r w:rsidR="00BD4C0A">
        <w:t xml:space="preserve"> </w:t>
      </w:r>
      <w:r w:rsidR="007D16BD">
        <w:t>between jurisdictions and industries</w:t>
      </w:r>
      <w:r w:rsidR="00A575F7" w:rsidRPr="00A575F7">
        <w:t>.</w:t>
      </w:r>
    </w:p>
    <w:p w14:paraId="6B4A6008" w14:textId="055087F6" w:rsidR="00A575F7" w:rsidRDefault="00A76309" w:rsidP="00066D3B">
      <w:pPr>
        <w:keepNext/>
        <w:keepLines/>
      </w:pPr>
      <w:r>
        <w:t xml:space="preserve">In addition, in </w:t>
      </w:r>
      <w:r w:rsidR="00487AEC">
        <w:t xml:space="preserve">2019–20 and </w:t>
      </w:r>
      <w:r>
        <w:t>20</w:t>
      </w:r>
      <w:r w:rsidR="00662794">
        <w:t>20</w:t>
      </w:r>
      <w:r>
        <w:t>-2</w:t>
      </w:r>
      <w:r w:rsidR="00662794">
        <w:t>1</w:t>
      </w:r>
      <w:r>
        <w:t>p</w:t>
      </w:r>
      <w:r w:rsidR="00486FC2">
        <w:t>,</w:t>
      </w:r>
      <w:r>
        <w:t xml:space="preserve"> Australia experienced large changes in the economic landscape </w:t>
      </w:r>
      <w:proofErr w:type="gramStart"/>
      <w:r>
        <w:t>due to the effects</w:t>
      </w:r>
      <w:proofErr w:type="gramEnd"/>
      <w:r>
        <w:t xml:space="preserve"> of COVID-19. This affected many aspects of work including attendance </w:t>
      </w:r>
      <w:r w:rsidR="005844A8">
        <w:t xml:space="preserve">at </w:t>
      </w:r>
      <w:r>
        <w:t xml:space="preserve">the </w:t>
      </w:r>
      <w:r w:rsidR="005844A8">
        <w:t xml:space="preserve">usual </w:t>
      </w:r>
      <w:r>
        <w:t>workplace, work hours and employment levels.</w:t>
      </w:r>
      <w:r w:rsidR="00A575F7">
        <w:t xml:space="preserve"> </w:t>
      </w:r>
    </w:p>
    <w:p w14:paraId="41F0A2B6" w14:textId="710CDA1F" w:rsidR="00D62774" w:rsidRPr="00D62774" w:rsidRDefault="00D62774" w:rsidP="00066D3B">
      <w:pPr>
        <w:keepNext/>
        <w:keepLines/>
        <w:rPr>
          <w:i/>
          <w:iCs/>
        </w:rPr>
      </w:pPr>
      <w:r w:rsidRPr="00D62774">
        <w:rPr>
          <w:i/>
          <w:iCs/>
        </w:rPr>
        <w:t>Frequency rates data</w:t>
      </w:r>
    </w:p>
    <w:p w14:paraId="7EEEAA13" w14:textId="714F2F60" w:rsidR="009C1651" w:rsidRPr="00086AB2" w:rsidRDefault="00720C28" w:rsidP="00066D3B">
      <w:pPr>
        <w:keepNext/>
        <w:keepLines/>
      </w:pPr>
      <w:r w:rsidRPr="00086AB2">
        <w:t xml:space="preserve">Preliminary data </w:t>
      </w:r>
      <w:r w:rsidR="007C63BA">
        <w:t>in I</w:t>
      </w:r>
      <w:r w:rsidR="00655324">
        <w:t xml:space="preserve">ndicator 11 </w:t>
      </w:r>
      <w:r w:rsidRPr="00086AB2">
        <w:t>show</w:t>
      </w:r>
      <w:r w:rsidR="003C15FC">
        <w:t>s</w:t>
      </w:r>
      <w:r w:rsidRPr="00086AB2">
        <w:t xml:space="preserve"> that i</w:t>
      </w:r>
      <w:r w:rsidR="005E5F2A" w:rsidRPr="00086AB2">
        <w:t>n 20</w:t>
      </w:r>
      <w:r w:rsidR="00771625">
        <w:t>20</w:t>
      </w:r>
      <w:r w:rsidR="005E5F2A" w:rsidRPr="00086AB2">
        <w:t>–</w:t>
      </w:r>
      <w:r w:rsidR="00771625">
        <w:t>21</w:t>
      </w:r>
      <w:r w:rsidR="00407E72">
        <w:t>p</w:t>
      </w:r>
      <w:r w:rsidR="009C1651" w:rsidRPr="00086AB2">
        <w:t xml:space="preserve">, the </w:t>
      </w:r>
      <w:proofErr w:type="gramStart"/>
      <w:r w:rsidR="009C1651" w:rsidRPr="00086AB2">
        <w:t>Agriculture</w:t>
      </w:r>
      <w:proofErr w:type="gramEnd"/>
      <w:r w:rsidR="009C1651" w:rsidRPr="00086AB2">
        <w:t>, forestry and fishing industry recorded the h</w:t>
      </w:r>
      <w:r w:rsidRPr="00086AB2">
        <w:t xml:space="preserve">ighest </w:t>
      </w:r>
      <w:r w:rsidR="00407E72">
        <w:t xml:space="preserve">frequency </w:t>
      </w:r>
      <w:r w:rsidRPr="00086AB2">
        <w:t xml:space="preserve">rate with </w:t>
      </w:r>
      <w:r w:rsidR="00771625">
        <w:t>1</w:t>
      </w:r>
      <w:r w:rsidR="00487AEC">
        <w:t>1</w:t>
      </w:r>
      <w:r w:rsidR="00771625">
        <w:t>.1</w:t>
      </w:r>
      <w:r w:rsidRPr="00086AB2">
        <w:t> </w:t>
      </w:r>
      <w:r w:rsidR="009C1651" w:rsidRPr="00086AB2">
        <w:t xml:space="preserve">serious claims per </w:t>
      </w:r>
      <w:r w:rsidR="00407E72">
        <w:t>million hours worked</w:t>
      </w:r>
      <w:r w:rsidR="00EF25AD">
        <w:t>.</w:t>
      </w:r>
      <w:r w:rsidR="00BD4C0A">
        <w:t xml:space="preserve"> </w:t>
      </w:r>
      <w:r w:rsidR="00EF25AD">
        <w:t>This was</w:t>
      </w:r>
      <w:r w:rsidR="009C1651" w:rsidRPr="00086AB2">
        <w:t xml:space="preserve"> followe</w:t>
      </w:r>
      <w:r w:rsidRPr="00086AB2">
        <w:t xml:space="preserve">d by the </w:t>
      </w:r>
      <w:proofErr w:type="gramStart"/>
      <w:r w:rsidR="00487AEC">
        <w:t>Health</w:t>
      </w:r>
      <w:proofErr w:type="gramEnd"/>
      <w:r w:rsidR="00487AEC">
        <w:t xml:space="preserve"> care and social assistance (10.2), </w:t>
      </w:r>
      <w:r w:rsidR="002B3EBB">
        <w:t>Manufacturing</w:t>
      </w:r>
      <w:r w:rsidR="003C15FC">
        <w:t> </w:t>
      </w:r>
      <w:r w:rsidRPr="00086AB2">
        <w:t>(</w:t>
      </w:r>
      <w:r w:rsidR="00407E72">
        <w:t>9.</w:t>
      </w:r>
      <w:r w:rsidR="00487AEC">
        <w:t>6</w:t>
      </w:r>
      <w:r w:rsidRPr="00086AB2">
        <w:t>),</w:t>
      </w:r>
      <w:r w:rsidR="009C1651" w:rsidRPr="00086AB2">
        <w:t xml:space="preserve"> </w:t>
      </w:r>
      <w:r w:rsidR="00487AEC">
        <w:t xml:space="preserve">Construction (8.8), and </w:t>
      </w:r>
      <w:r w:rsidR="00407E72" w:rsidRPr="00086AB2">
        <w:t>Transport, postal and warehousing</w:t>
      </w:r>
      <w:r w:rsidR="00407E72">
        <w:t xml:space="preserve"> (8.</w:t>
      </w:r>
      <w:r w:rsidR="00487AEC">
        <w:t>8</w:t>
      </w:r>
      <w:r w:rsidR="00407E72">
        <w:t>) industries</w:t>
      </w:r>
      <w:r w:rsidR="009C1651" w:rsidRPr="00086AB2">
        <w:t xml:space="preserve">. </w:t>
      </w:r>
    </w:p>
    <w:p w14:paraId="24FF9D6E" w14:textId="74082885" w:rsidR="000C5435" w:rsidRDefault="00487AEC" w:rsidP="009C1651">
      <w:r>
        <w:t xml:space="preserve">Most </w:t>
      </w:r>
      <w:r w:rsidR="00EF25AD">
        <w:t xml:space="preserve">industries recorded </w:t>
      </w:r>
      <w:r>
        <w:t>in</w:t>
      </w:r>
      <w:r w:rsidR="009C1651" w:rsidRPr="00086AB2">
        <w:t xml:space="preserve">creases in the </w:t>
      </w:r>
      <w:r w:rsidR="003A1B9E">
        <w:t>frequency</w:t>
      </w:r>
      <w:r w:rsidR="009C1651" w:rsidRPr="00086AB2">
        <w:t xml:space="preserve"> rate of serious claims between </w:t>
      </w:r>
      <w:r w:rsidR="005E5F2A" w:rsidRPr="00086AB2">
        <w:t>201</w:t>
      </w:r>
      <w:r>
        <w:t>5</w:t>
      </w:r>
      <w:r w:rsidR="005E5F2A" w:rsidRPr="00086AB2">
        <w:t>–1</w:t>
      </w:r>
      <w:r>
        <w:t>6</w:t>
      </w:r>
      <w:r w:rsidR="009C1651" w:rsidRPr="00086AB2">
        <w:t xml:space="preserve"> and </w:t>
      </w:r>
      <w:r w:rsidR="005E5F2A" w:rsidRPr="00086AB2">
        <w:t>201</w:t>
      </w:r>
      <w:r>
        <w:t>9</w:t>
      </w:r>
      <w:r w:rsidR="005E5F2A" w:rsidRPr="00086AB2">
        <w:t>–</w:t>
      </w:r>
      <w:r>
        <w:t>20</w:t>
      </w:r>
      <w:r w:rsidR="009C1651" w:rsidRPr="00086AB2">
        <w:t xml:space="preserve"> </w:t>
      </w:r>
      <w:r w:rsidR="005E5F2A" w:rsidRPr="00086AB2">
        <w:t>except</w:t>
      </w:r>
      <w:r w:rsidR="002B3EBB">
        <w:t xml:space="preserve"> </w:t>
      </w:r>
      <w:r w:rsidR="00EF25AD">
        <w:t xml:space="preserve">for </w:t>
      </w:r>
      <w:r w:rsidRPr="00487AEC">
        <w:t xml:space="preserve">Electricity, gas, </w:t>
      </w:r>
      <w:proofErr w:type="gramStart"/>
      <w:r w:rsidRPr="00487AEC">
        <w:t>water</w:t>
      </w:r>
      <w:proofErr w:type="gramEnd"/>
      <w:r w:rsidRPr="00487AEC">
        <w:t xml:space="preserve"> and waste services</w:t>
      </w:r>
      <w:r>
        <w:t xml:space="preserve"> (</w:t>
      </w:r>
      <w:r w:rsidRPr="007136A6">
        <w:rPr>
          <w:rFonts w:ascii="Wingdings 3" w:hAnsi="Wingdings 3"/>
          <w:b/>
          <w:bCs/>
          <w:color w:val="B94F25"/>
        </w:rPr>
        <w:t>i</w:t>
      </w:r>
      <w:r>
        <w:t xml:space="preserve"> </w:t>
      </w:r>
      <w:r w:rsidRPr="00BC33DC">
        <w:rPr>
          <w:b/>
          <w:bCs/>
          <w:color w:val="B94F25"/>
        </w:rPr>
        <w:t xml:space="preserve">down </w:t>
      </w:r>
      <w:r w:rsidR="007F6D50">
        <w:rPr>
          <w:b/>
          <w:bCs/>
          <w:color w:val="B94F25"/>
        </w:rPr>
        <w:t>6</w:t>
      </w:r>
      <w:r w:rsidRPr="00BC33DC">
        <w:rPr>
          <w:b/>
          <w:bCs/>
          <w:color w:val="B94F25"/>
        </w:rPr>
        <w:t>%</w:t>
      </w:r>
      <w:r>
        <w:t xml:space="preserve">), </w:t>
      </w:r>
      <w:r w:rsidRPr="00487AEC">
        <w:t>Information media and telecommunications</w:t>
      </w:r>
      <w:r w:rsidRPr="00487AEC" w:rsidDel="00487AEC">
        <w:t xml:space="preserve"> </w:t>
      </w:r>
      <w:r>
        <w:t>(</w:t>
      </w:r>
      <w:r w:rsidRPr="007136A6">
        <w:rPr>
          <w:rFonts w:ascii="Wingdings 3" w:hAnsi="Wingdings 3"/>
          <w:b/>
          <w:bCs/>
          <w:color w:val="B94F25"/>
        </w:rPr>
        <w:t>i</w:t>
      </w:r>
      <w:r>
        <w:t xml:space="preserve"> </w:t>
      </w:r>
      <w:r w:rsidRPr="00BC33DC">
        <w:rPr>
          <w:b/>
          <w:bCs/>
          <w:color w:val="B94F25"/>
        </w:rPr>
        <w:t xml:space="preserve">down </w:t>
      </w:r>
      <w:r>
        <w:rPr>
          <w:b/>
          <w:bCs/>
          <w:color w:val="B94F25"/>
        </w:rPr>
        <w:t>3</w:t>
      </w:r>
      <w:r w:rsidRPr="00BC33DC">
        <w:rPr>
          <w:b/>
          <w:bCs/>
          <w:color w:val="B94F25"/>
        </w:rPr>
        <w:t>%</w:t>
      </w:r>
      <w:r>
        <w:t xml:space="preserve">), and </w:t>
      </w:r>
      <w:r w:rsidRPr="00487AEC">
        <w:t>Education and training</w:t>
      </w:r>
      <w:r w:rsidRPr="00487AEC" w:rsidDel="00487AEC">
        <w:t xml:space="preserve"> </w:t>
      </w:r>
      <w:r>
        <w:t>(</w:t>
      </w:r>
      <w:r w:rsidRPr="007136A6">
        <w:rPr>
          <w:rFonts w:ascii="Wingdings 3" w:hAnsi="Wingdings 3"/>
          <w:b/>
          <w:bCs/>
          <w:color w:val="B94F25"/>
        </w:rPr>
        <w:t>i</w:t>
      </w:r>
      <w:r>
        <w:t xml:space="preserve"> </w:t>
      </w:r>
      <w:r w:rsidRPr="00BC33DC">
        <w:rPr>
          <w:b/>
          <w:bCs/>
          <w:color w:val="B94F25"/>
        </w:rPr>
        <w:t xml:space="preserve">down </w:t>
      </w:r>
      <w:r>
        <w:rPr>
          <w:b/>
          <w:bCs/>
          <w:color w:val="B94F25"/>
        </w:rPr>
        <w:t>1</w:t>
      </w:r>
      <w:r w:rsidRPr="00BC33DC">
        <w:rPr>
          <w:b/>
          <w:bCs/>
          <w:color w:val="B94F25"/>
        </w:rPr>
        <w:t>%</w:t>
      </w:r>
      <w:r>
        <w:t>).</w:t>
      </w:r>
    </w:p>
    <w:p w14:paraId="7D47489E" w14:textId="0AEB08CC" w:rsidR="000F1560" w:rsidRPr="00086AB2" w:rsidRDefault="000F1560" w:rsidP="00407E72">
      <w:r w:rsidRPr="00086AB2">
        <w:t>T</w:t>
      </w:r>
      <w:r w:rsidR="009C1651" w:rsidRPr="00086AB2">
        <w:t xml:space="preserve">he </w:t>
      </w:r>
      <w:r w:rsidR="000D0F14">
        <w:t>highest</w:t>
      </w:r>
      <w:r w:rsidR="009C1651" w:rsidRPr="00086AB2">
        <w:t xml:space="preserve"> </w:t>
      </w:r>
      <w:r w:rsidR="00DD0DB0">
        <w:t xml:space="preserve">increases in frequency rates were in </w:t>
      </w:r>
      <w:r w:rsidR="00893D6E">
        <w:t xml:space="preserve">the </w:t>
      </w:r>
      <w:r w:rsidR="00DD0DB0">
        <w:t>Rental, hiring and real estate services (</w:t>
      </w:r>
      <w:r w:rsidR="00DD0DB0" w:rsidRPr="00C03259">
        <w:rPr>
          <w:rFonts w:ascii="Wingdings 3" w:hAnsi="Wingdings 3"/>
          <w:b/>
          <w:bCs/>
          <w:color w:val="00518E"/>
        </w:rPr>
        <w:t>h</w:t>
      </w:r>
      <w:r w:rsidR="00DD0DB0" w:rsidRPr="00C03259">
        <w:rPr>
          <w:b/>
          <w:bCs/>
          <w:color w:val="00518E"/>
        </w:rPr>
        <w:t xml:space="preserve"> up </w:t>
      </w:r>
      <w:r w:rsidR="00DD0DB0">
        <w:rPr>
          <w:b/>
          <w:bCs/>
          <w:color w:val="00518E"/>
        </w:rPr>
        <w:t>23</w:t>
      </w:r>
      <w:r w:rsidR="00DD0DB0" w:rsidRPr="00C03259">
        <w:rPr>
          <w:b/>
          <w:bCs/>
          <w:color w:val="00518E"/>
        </w:rPr>
        <w:t>%</w:t>
      </w:r>
      <w:r w:rsidR="00DD0DB0">
        <w:t xml:space="preserve">), </w:t>
      </w:r>
      <w:r w:rsidR="007F6D50">
        <w:t xml:space="preserve">Professional, </w:t>
      </w:r>
      <w:proofErr w:type="gramStart"/>
      <w:r w:rsidR="007F6D50">
        <w:t>scientific</w:t>
      </w:r>
      <w:proofErr w:type="gramEnd"/>
      <w:r w:rsidR="007F6D50">
        <w:t xml:space="preserve"> and technical services (</w:t>
      </w:r>
      <w:r w:rsidR="007F6D50" w:rsidRPr="00C03259">
        <w:rPr>
          <w:rFonts w:ascii="Wingdings 3" w:hAnsi="Wingdings 3"/>
          <w:b/>
          <w:bCs/>
          <w:color w:val="00518E"/>
        </w:rPr>
        <w:t>h</w:t>
      </w:r>
      <w:r w:rsidR="007F6D50" w:rsidRPr="00C03259">
        <w:rPr>
          <w:b/>
          <w:bCs/>
          <w:color w:val="00518E"/>
        </w:rPr>
        <w:t xml:space="preserve"> up </w:t>
      </w:r>
      <w:r w:rsidR="007F6D50">
        <w:rPr>
          <w:b/>
          <w:bCs/>
          <w:color w:val="00518E"/>
        </w:rPr>
        <w:t>20</w:t>
      </w:r>
      <w:r w:rsidR="007F6D50" w:rsidRPr="00C03259">
        <w:rPr>
          <w:b/>
          <w:bCs/>
          <w:color w:val="00518E"/>
        </w:rPr>
        <w:t>%</w:t>
      </w:r>
      <w:r w:rsidR="007F6D50">
        <w:t xml:space="preserve">), </w:t>
      </w:r>
      <w:r w:rsidR="00DD0DB0">
        <w:t xml:space="preserve">Mining </w:t>
      </w:r>
      <w:r w:rsidR="00F3539D">
        <w:t xml:space="preserve">and Other services (both </w:t>
      </w:r>
      <w:r w:rsidR="00F3539D" w:rsidRPr="00C03259">
        <w:rPr>
          <w:rFonts w:ascii="Wingdings 3" w:hAnsi="Wingdings 3"/>
          <w:b/>
          <w:bCs/>
          <w:color w:val="00518E"/>
        </w:rPr>
        <w:t>h</w:t>
      </w:r>
      <w:r w:rsidR="00F3539D" w:rsidRPr="00C03259">
        <w:rPr>
          <w:b/>
          <w:bCs/>
          <w:color w:val="00518E"/>
        </w:rPr>
        <w:t xml:space="preserve"> up </w:t>
      </w:r>
      <w:r w:rsidR="00F3539D">
        <w:rPr>
          <w:b/>
          <w:bCs/>
          <w:color w:val="00518E"/>
        </w:rPr>
        <w:t>19</w:t>
      </w:r>
      <w:r w:rsidR="00F3539D" w:rsidRPr="00C03259">
        <w:rPr>
          <w:b/>
          <w:bCs/>
          <w:color w:val="00518E"/>
        </w:rPr>
        <w:t>%</w:t>
      </w:r>
      <w:r w:rsidR="00F3539D">
        <w:t xml:space="preserve">), </w:t>
      </w:r>
      <w:r w:rsidR="00DD0DB0">
        <w:t xml:space="preserve">Administrative and support services </w:t>
      </w:r>
      <w:r w:rsidR="00F3539D">
        <w:t>(</w:t>
      </w:r>
      <w:r w:rsidR="00DD0DB0" w:rsidRPr="00C03259">
        <w:rPr>
          <w:rFonts w:ascii="Wingdings 3" w:hAnsi="Wingdings 3"/>
          <w:b/>
          <w:bCs/>
          <w:color w:val="00518E"/>
        </w:rPr>
        <w:t>h</w:t>
      </w:r>
      <w:r w:rsidR="00DD0DB0" w:rsidRPr="00C03259">
        <w:rPr>
          <w:b/>
          <w:bCs/>
          <w:color w:val="00518E"/>
        </w:rPr>
        <w:t xml:space="preserve"> up </w:t>
      </w:r>
      <w:r w:rsidR="00DD0DB0">
        <w:rPr>
          <w:b/>
          <w:bCs/>
          <w:color w:val="00518E"/>
        </w:rPr>
        <w:t>17</w:t>
      </w:r>
      <w:r w:rsidR="00DD0DB0" w:rsidRPr="00C03259">
        <w:rPr>
          <w:b/>
          <w:bCs/>
          <w:color w:val="00518E"/>
        </w:rPr>
        <w:t>%</w:t>
      </w:r>
      <w:r w:rsidR="00DD0DB0">
        <w:t>)</w:t>
      </w:r>
      <w:r w:rsidR="003C39DB">
        <w:t xml:space="preserve"> </w:t>
      </w:r>
      <w:r w:rsidR="00F3539D">
        <w:t>and Arts and recreation (</w:t>
      </w:r>
      <w:r w:rsidR="00F3539D" w:rsidRPr="00C03259">
        <w:rPr>
          <w:rFonts w:ascii="Wingdings 3" w:hAnsi="Wingdings 3"/>
          <w:b/>
          <w:bCs/>
          <w:color w:val="00518E"/>
        </w:rPr>
        <w:t>h</w:t>
      </w:r>
      <w:r w:rsidR="00F3539D" w:rsidRPr="00C03259">
        <w:rPr>
          <w:b/>
          <w:bCs/>
          <w:color w:val="00518E"/>
        </w:rPr>
        <w:t xml:space="preserve"> up </w:t>
      </w:r>
      <w:r w:rsidR="00F3539D">
        <w:rPr>
          <w:b/>
          <w:bCs/>
          <w:color w:val="00518E"/>
        </w:rPr>
        <w:t>16</w:t>
      </w:r>
      <w:r w:rsidR="00F3539D" w:rsidRPr="00C03259">
        <w:rPr>
          <w:b/>
          <w:bCs/>
          <w:color w:val="00518E"/>
        </w:rPr>
        <w:t>%</w:t>
      </w:r>
      <w:r w:rsidR="00F3539D">
        <w:t xml:space="preserve">) services </w:t>
      </w:r>
      <w:r w:rsidR="003C39DB">
        <w:t xml:space="preserve">industries. </w:t>
      </w:r>
      <w:r w:rsidR="00DD0DB0">
        <w:t xml:space="preserve"> </w:t>
      </w:r>
    </w:p>
    <w:p w14:paraId="0279F990" w14:textId="022717FD" w:rsidR="009C1651" w:rsidRDefault="009C1651" w:rsidP="00396555">
      <w:r w:rsidRPr="00086AB2">
        <w:t xml:space="preserve">More detailed information on claims by industry can be found in the </w:t>
      </w:r>
      <w:r w:rsidRPr="00B62529">
        <w:rPr>
          <w:i/>
          <w:iCs/>
        </w:rPr>
        <w:t>Australian Workers’</w:t>
      </w:r>
      <w:r w:rsidR="00A97019" w:rsidRPr="00B62529">
        <w:rPr>
          <w:i/>
          <w:iCs/>
        </w:rPr>
        <w:t xml:space="preserve"> </w:t>
      </w:r>
      <w:r w:rsidRPr="00B62529">
        <w:rPr>
          <w:i/>
          <w:iCs/>
        </w:rPr>
        <w:t>Compensation Statistics report</w:t>
      </w:r>
      <w:r w:rsidRPr="00086AB2">
        <w:t xml:space="preserve">, published on the </w:t>
      </w:r>
      <w:hyperlink r:id="rId41" w:history="1">
        <w:r w:rsidRPr="00086AB2">
          <w:rPr>
            <w:rStyle w:val="SWALinkChar"/>
          </w:rPr>
          <w:t>Safe Work Australia</w:t>
        </w:r>
      </w:hyperlink>
      <w:r w:rsidRPr="00086AB2">
        <w:t xml:space="preserve"> website.</w:t>
      </w:r>
    </w:p>
    <w:p w14:paraId="79624153" w14:textId="63EC7CBB" w:rsidR="00D62774" w:rsidRPr="00086AB2" w:rsidRDefault="00D62774" w:rsidP="00396555">
      <w:pPr>
        <w:sectPr w:rsidR="00D62774" w:rsidRPr="00086AB2" w:rsidSect="00EF5DBF">
          <w:headerReference w:type="default" r:id="rId42"/>
          <w:type w:val="continuous"/>
          <w:pgSz w:w="11906" w:h="16838"/>
          <w:pgMar w:top="1440" w:right="1800" w:bottom="1440" w:left="1276" w:header="708" w:footer="708" w:gutter="0"/>
          <w:cols w:space="242"/>
          <w:docGrid w:linePitch="360"/>
        </w:sectPr>
      </w:pPr>
    </w:p>
    <w:p w14:paraId="4970FD9F" w14:textId="75BD2AF6" w:rsidR="009C1651" w:rsidRPr="00086AB2" w:rsidRDefault="009C1651" w:rsidP="0031228B">
      <w:pPr>
        <w:pStyle w:val="Heading3"/>
      </w:pPr>
      <w:bookmarkStart w:id="61" w:name="_Toc56603302"/>
      <w:bookmarkStart w:id="62" w:name="_Toc56772237"/>
      <w:bookmarkStart w:id="63" w:name="_Toc86602492"/>
      <w:r w:rsidRPr="00086AB2">
        <w:lastRenderedPageBreak/>
        <w:t>Indicator</w:t>
      </w:r>
      <w:r w:rsidR="00905D33">
        <w:t xml:space="preserve"> </w:t>
      </w:r>
      <w:r w:rsidR="00466F4D">
        <w:t>11</w:t>
      </w:r>
      <w:r w:rsidRPr="00086AB2">
        <w:t xml:space="preserve"> – </w:t>
      </w:r>
      <w:r w:rsidR="003A1B9E">
        <w:t>Frequency</w:t>
      </w:r>
      <w:r w:rsidR="003A1B9E" w:rsidRPr="00086AB2">
        <w:t xml:space="preserve"> </w:t>
      </w:r>
      <w:r w:rsidRPr="00086AB2">
        <w:t>rates of serious claims by industry</w:t>
      </w:r>
      <w:bookmarkEnd w:id="61"/>
      <w:bookmarkEnd w:id="62"/>
      <w:bookmarkEnd w:id="63"/>
    </w:p>
    <w:p w14:paraId="0EBE88F8" w14:textId="5C94BEC9" w:rsidR="009C1651" w:rsidRPr="00086AB2" w:rsidRDefault="006D2B77" w:rsidP="00F60444">
      <w:pPr>
        <w:jc w:val="center"/>
      </w:pPr>
      <w:r>
        <w:rPr>
          <w:noProof/>
        </w:rPr>
        <mc:AlternateContent>
          <mc:Choice Requires="wps">
            <w:drawing>
              <wp:anchor distT="0" distB="0" distL="114300" distR="114300" simplePos="0" relativeHeight="251691008" behindDoc="0" locked="0" layoutInCell="1" allowOverlap="1" wp14:anchorId="302B9D02" wp14:editId="5CD9640C">
                <wp:simplePos x="0" y="0"/>
                <wp:positionH relativeFrom="margin">
                  <wp:posOffset>1123950</wp:posOffset>
                </wp:positionH>
                <wp:positionV relativeFrom="paragraph">
                  <wp:posOffset>4330065</wp:posOffset>
                </wp:positionV>
                <wp:extent cx="8324850" cy="152400"/>
                <wp:effectExtent l="0" t="0" r="19050" b="19050"/>
                <wp:wrapNone/>
                <wp:docPr id="98" name="TextBox 6"/>
                <wp:cNvGraphicFramePr/>
                <a:graphic xmlns:a="http://schemas.openxmlformats.org/drawingml/2006/main">
                  <a:graphicData uri="http://schemas.microsoft.com/office/word/2010/wordprocessingShape">
                    <wps:wsp>
                      <wps:cNvSpPr txBox="1"/>
                      <wps:spPr>
                        <a:xfrm>
                          <a:off x="0" y="0"/>
                          <a:ext cx="8324850" cy="1524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type w14:anchorId="6343A896" id="_x0000_t202" coordsize="21600,21600" o:spt="202" path="m,l,21600r21600,l21600,xe">
                <v:stroke joinstyle="miter"/>
                <v:path gradientshapeok="t" o:connecttype="rect"/>
              </v:shapetype>
              <v:shape id="TextBox 6" o:spid="_x0000_s1026" type="#_x0000_t202" style="position:absolute;margin-left:88.5pt;margin-top:340.95pt;width:655.5pt;height:1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" fillcolor="white [3201]" strokecolor="white [3212]">
                <w10:wrap anchorx="margin"/>
              </v:shape>
            </w:pict>
          </mc:Fallback>
        </mc:AlternateContent>
      </w:r>
      <w:r w:rsidR="00017CA2">
        <w:rPr>
          <w:noProof/>
        </w:rPr>
        <w:drawing>
          <wp:inline distT="0" distB="0" distL="0" distR="0" wp14:anchorId="7FFE1E4E" wp14:editId="44FD0D96">
            <wp:extent cx="9072748" cy="4485111"/>
            <wp:effectExtent l="0" t="0" r="0" b="0"/>
            <wp:docPr id="97" name="Picture 97" descr="Indicator 11b – Frequency rates of serious claims for Mining by jurisdiction&#10;This chart shows the Frequency rates (claims per 1,000 employees) of serious injury and disease claims for Mining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ndicator 11b – Frequency rates of serious claims for Mining by jurisdiction&#10;This chart shows the Frequency rates (claims per 1,000 employees) of serious injury and disease claims for Mining industry between 2015-16 and 2020-21, by jurisdiction. Please refer to body text for more information.&#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00591" cy="4498875"/>
                    </a:xfrm>
                    <a:prstGeom prst="rect">
                      <a:avLst/>
                    </a:prstGeom>
                    <a:noFill/>
                  </pic:spPr>
                </pic:pic>
              </a:graphicData>
            </a:graphic>
          </wp:inline>
        </w:drawing>
      </w:r>
    </w:p>
    <w:p w14:paraId="177F35B1" w14:textId="77777777" w:rsidR="006C2470" w:rsidRPr="00086AB2" w:rsidRDefault="006C2470" w:rsidP="00396555"/>
    <w:p w14:paraId="063B77B5" w14:textId="4C965761" w:rsidR="006C2470" w:rsidRPr="00086AB2" w:rsidRDefault="006C2470" w:rsidP="00396555">
      <w:pPr>
        <w:sectPr w:rsidR="006C2470" w:rsidRPr="00086AB2" w:rsidSect="009C1651">
          <w:pgSz w:w="16838" w:h="11906" w:orient="landscape"/>
          <w:pgMar w:top="1276" w:right="1440" w:bottom="1800" w:left="1440" w:header="708" w:footer="708" w:gutter="0"/>
          <w:cols w:space="242"/>
          <w:docGrid w:linePitch="360"/>
        </w:sectPr>
      </w:pPr>
    </w:p>
    <w:p w14:paraId="326C1B45" w14:textId="77777777" w:rsidR="003070A9" w:rsidRPr="00086AB2" w:rsidRDefault="003070A9" w:rsidP="00B51041">
      <w:pPr>
        <w:pStyle w:val="SWASectionnum2"/>
      </w:pPr>
      <w:bookmarkStart w:id="64" w:name="_Toc491086616"/>
      <w:bookmarkStart w:id="65" w:name="_Toc86602493"/>
      <w:r w:rsidRPr="00086AB2">
        <w:lastRenderedPageBreak/>
        <w:t>Claims by industry and jurisdiction</w:t>
      </w:r>
      <w:bookmarkEnd w:id="64"/>
      <w:bookmarkEnd w:id="65"/>
    </w:p>
    <w:p w14:paraId="785EE89A" w14:textId="31C414B9" w:rsidR="00720C28" w:rsidRPr="00086AB2" w:rsidRDefault="003070A9" w:rsidP="003070A9">
      <w:r w:rsidRPr="00086AB2">
        <w:t xml:space="preserve">This section contains supplementary information to Indicator 11. </w:t>
      </w:r>
      <w:r w:rsidR="00655324">
        <w:t xml:space="preserve">Indicators 11a to 11s provide </w:t>
      </w:r>
      <w:r w:rsidRPr="00086AB2">
        <w:t xml:space="preserve">a comparison of the </w:t>
      </w:r>
      <w:r w:rsidR="000B49AD">
        <w:t>frequency</w:t>
      </w:r>
      <w:r w:rsidRPr="00086AB2">
        <w:t xml:space="preserve"> rates of serious claims across the Australian j</w:t>
      </w:r>
      <w:r w:rsidR="005C3890">
        <w:t>urisdictions for 19</w:t>
      </w:r>
      <w:r w:rsidR="00655324">
        <w:t> </w:t>
      </w:r>
      <w:r w:rsidR="005C3890">
        <w:t>industries</w:t>
      </w:r>
      <w:r w:rsidRPr="00086AB2">
        <w:t xml:space="preserve">. </w:t>
      </w:r>
    </w:p>
    <w:p w14:paraId="3BCF4D26" w14:textId="323A0B2D" w:rsidR="000B49AD" w:rsidRPr="000B49AD" w:rsidRDefault="000B49AD" w:rsidP="003070A9">
      <w:pPr>
        <w:rPr>
          <w:i/>
          <w:iCs/>
        </w:rPr>
      </w:pPr>
      <w:r>
        <w:rPr>
          <w:i/>
          <w:iCs/>
        </w:rPr>
        <w:t>Caution should be used when interpreting these results</w:t>
      </w:r>
    </w:p>
    <w:p w14:paraId="6C0E412C" w14:textId="1EC72859" w:rsidR="00EF5DBF" w:rsidRDefault="003A1B9E" w:rsidP="003070A9">
      <w:r>
        <w:t>Frequency</w:t>
      </w:r>
      <w:r w:rsidR="00124A12" w:rsidRPr="00086AB2">
        <w:t xml:space="preserve"> rates in some industries at the jurisdictional level can be volatile and s</w:t>
      </w:r>
      <w:r w:rsidR="00500E11" w:rsidRPr="00086AB2">
        <w:t xml:space="preserve">hould be treated with caution. </w:t>
      </w:r>
      <w:r w:rsidR="00124A12" w:rsidRPr="00086AB2">
        <w:t>A</w:t>
      </w:r>
      <w:r w:rsidR="003070A9" w:rsidRPr="00086AB2">
        <w:t xml:space="preserve">s the number of employees used in calculating </w:t>
      </w:r>
      <w:r>
        <w:t>frequency</w:t>
      </w:r>
      <w:r w:rsidR="003070A9" w:rsidRPr="00086AB2">
        <w:t xml:space="preserve"> rates are estimated from survey samples, readers should be aware that</w:t>
      </w:r>
      <w:r w:rsidR="00D20B68" w:rsidRPr="00086AB2">
        <w:t xml:space="preserve"> the relative standard errors for estimating the number of employees will be higher with</w:t>
      </w:r>
      <w:r w:rsidR="003070A9" w:rsidRPr="00086AB2">
        <w:t xml:space="preserve"> smaller sample size</w:t>
      </w:r>
      <w:r w:rsidR="00D20B68" w:rsidRPr="00086AB2">
        <w:t>s</w:t>
      </w:r>
      <w:r w:rsidR="00562A6D">
        <w:t xml:space="preserve"> (</w:t>
      </w:r>
      <w:proofErr w:type="gramStart"/>
      <w:r w:rsidR="00562A6D">
        <w:t>e.g.</w:t>
      </w:r>
      <w:proofErr w:type="gramEnd"/>
      <w:r w:rsidR="00562A6D">
        <w:t xml:space="preserve"> smaller jurisdictions)</w:t>
      </w:r>
      <w:r w:rsidR="003070A9" w:rsidRPr="00086AB2">
        <w:t>.</w:t>
      </w:r>
      <w:r w:rsidR="00431BF2">
        <w:t xml:space="preserve"> Jurisdictions are not included in the respective charts and analysis where the relative standard error is greater than 50</w:t>
      </w:r>
      <w:r w:rsidR="003C4F76">
        <w:t>%</w:t>
      </w:r>
      <w:r w:rsidR="00431BF2">
        <w:t>.</w:t>
      </w:r>
    </w:p>
    <w:p w14:paraId="2BFD31EA" w14:textId="32D40CA1" w:rsidR="002B78F4" w:rsidRPr="00FC4D41" w:rsidRDefault="002B78F4" w:rsidP="002B78F4">
      <w:r w:rsidRPr="00FC4D41">
        <w:t xml:space="preserve">The number of workers employed in each state and territory vary greatly and therefore are liable to </w:t>
      </w:r>
      <w:r w:rsidRPr="00130DEF">
        <w:rPr>
          <w:szCs w:val="20"/>
        </w:rPr>
        <w:t>show volatility in smaller</w:t>
      </w:r>
      <w:r w:rsidRPr="00FC4D41">
        <w:t xml:space="preserve"> jurisdictions such as the Northern Territory which employs fewer workers, even when the variations are small.</w:t>
      </w:r>
      <w:r>
        <w:t xml:space="preserve"> </w:t>
      </w:r>
    </w:p>
    <w:p w14:paraId="327AEC05" w14:textId="41C4634C" w:rsidR="00781310" w:rsidRPr="00086AB2" w:rsidRDefault="00781310" w:rsidP="00B51041">
      <w:pPr>
        <w:pStyle w:val="Heading1"/>
      </w:pPr>
      <w:bookmarkStart w:id="66" w:name="_Toc86602494"/>
      <w:r w:rsidRPr="00086AB2">
        <w:t xml:space="preserve">Agriculture, </w:t>
      </w:r>
      <w:proofErr w:type="gramStart"/>
      <w:r w:rsidRPr="00086AB2">
        <w:t>forestry</w:t>
      </w:r>
      <w:proofErr w:type="gramEnd"/>
      <w:r w:rsidRPr="00086AB2">
        <w:t xml:space="preserve"> and fishing</w:t>
      </w:r>
      <w:bookmarkEnd w:id="66"/>
      <w:r w:rsidR="00F7343A">
        <w:t xml:space="preserve"> </w:t>
      </w:r>
    </w:p>
    <w:p w14:paraId="52EF4C54" w14:textId="32E7E825" w:rsidR="007405FF" w:rsidRDefault="007405FF" w:rsidP="00C03259">
      <w:pPr>
        <w:pStyle w:val="ListParagraph"/>
        <w:numPr>
          <w:ilvl w:val="0"/>
          <w:numId w:val="24"/>
        </w:numPr>
      </w:pPr>
      <w:r>
        <w:t xml:space="preserve">The </w:t>
      </w:r>
      <w:r w:rsidR="00722E7A">
        <w:t xml:space="preserve">Australian </w:t>
      </w:r>
      <w:r>
        <w:t xml:space="preserve">frequency rate </w:t>
      </w:r>
      <w:r w:rsidR="000B49AD">
        <w:t xml:space="preserve">in </w:t>
      </w:r>
      <w:r w:rsidR="00D00A11">
        <w:t>2020</w:t>
      </w:r>
      <w:r w:rsidR="003A1B9E">
        <w:t>–2</w:t>
      </w:r>
      <w:r w:rsidR="00D00A11">
        <w:t>1</w:t>
      </w:r>
      <w:r w:rsidR="003A1B9E">
        <w:t>p</w:t>
      </w:r>
      <w:r w:rsidR="000B49AD">
        <w:t xml:space="preserve"> </w:t>
      </w:r>
      <w:r>
        <w:t xml:space="preserve">for </w:t>
      </w:r>
      <w:r w:rsidR="000B49AD">
        <w:t xml:space="preserve">this </w:t>
      </w:r>
      <w:r w:rsidRPr="007405FF">
        <w:t>industry</w:t>
      </w:r>
      <w:r>
        <w:t xml:space="preserve"> was </w:t>
      </w:r>
      <w:r w:rsidR="00D00A11">
        <w:t>11.1</w:t>
      </w:r>
      <w:r>
        <w:t xml:space="preserve"> claims per million hours worked.</w:t>
      </w:r>
    </w:p>
    <w:p w14:paraId="461464C1" w14:textId="185E7474" w:rsidR="000B49AD" w:rsidRDefault="007405FF" w:rsidP="00C03259">
      <w:pPr>
        <w:pStyle w:val="ListParagraph"/>
        <w:numPr>
          <w:ilvl w:val="0"/>
          <w:numId w:val="24"/>
        </w:numPr>
      </w:pPr>
      <w:r>
        <w:t xml:space="preserve">The Northern Territory recorded the highest </w:t>
      </w:r>
      <w:r w:rsidRPr="00086AB2">
        <w:t xml:space="preserve">rate </w:t>
      </w:r>
      <w:r w:rsidR="000B49AD">
        <w:t>(</w:t>
      </w:r>
      <w:r w:rsidR="00D00A11">
        <w:t>2</w:t>
      </w:r>
      <w:r w:rsidR="00E15949">
        <w:t xml:space="preserve">3.8 </w:t>
      </w:r>
      <w:r w:rsidR="000B49AD">
        <w:t>claims per million hours worked).</w:t>
      </w:r>
      <w:r w:rsidR="003A1B9E">
        <w:t xml:space="preserve"> </w:t>
      </w:r>
    </w:p>
    <w:p w14:paraId="08912834" w14:textId="77777777" w:rsidR="00037DD2" w:rsidRDefault="00817F1D" w:rsidP="00C03259">
      <w:pPr>
        <w:pStyle w:val="ListParagraph"/>
        <w:numPr>
          <w:ilvl w:val="0"/>
          <w:numId w:val="24"/>
        </w:numPr>
      </w:pPr>
      <w:r>
        <w:t>South Australia (5.5 claims per million hours worked) recorded the lowest rate</w:t>
      </w:r>
      <w:r w:rsidR="00037DD2">
        <w:t>.</w:t>
      </w:r>
    </w:p>
    <w:p w14:paraId="358D132F" w14:textId="43C00D8F" w:rsidR="000B49AD" w:rsidRDefault="000B49AD" w:rsidP="00C03259">
      <w:pPr>
        <w:pStyle w:val="ListParagraph"/>
        <w:numPr>
          <w:ilvl w:val="0"/>
          <w:numId w:val="24"/>
        </w:numPr>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 xml:space="preserve">, </w:t>
      </w:r>
      <w:r w:rsidR="003D76FD">
        <w:t>Northern Territory</w:t>
      </w:r>
      <w:r>
        <w:t xml:space="preserve"> recorded the highest decrease in frequency rates (</w:t>
      </w:r>
      <w:r w:rsidR="00407E72" w:rsidRPr="00407E72">
        <w:rPr>
          <w:rFonts w:ascii="Wingdings 3" w:hAnsi="Wingdings 3"/>
          <w:b/>
          <w:bCs/>
          <w:color w:val="B94F25"/>
        </w:rPr>
        <w:t>i</w:t>
      </w:r>
      <w:r w:rsidR="00407E72" w:rsidRPr="007136A6">
        <w:rPr>
          <w:b/>
          <w:bCs/>
          <w:color w:val="B94F25"/>
        </w:rPr>
        <w:t xml:space="preserve"> </w:t>
      </w:r>
      <w:r w:rsidR="00407E72" w:rsidRPr="00407E72">
        <w:rPr>
          <w:b/>
          <w:bCs/>
          <w:color w:val="B94F25"/>
        </w:rPr>
        <w:t>down</w:t>
      </w:r>
      <w:r w:rsidRPr="00407E72">
        <w:rPr>
          <w:b/>
          <w:bCs/>
          <w:color w:val="B94F25"/>
        </w:rPr>
        <w:t xml:space="preserve"> </w:t>
      </w:r>
      <w:r w:rsidR="003D76FD">
        <w:rPr>
          <w:b/>
          <w:bCs/>
          <w:color w:val="B94F25"/>
        </w:rPr>
        <w:t>64</w:t>
      </w:r>
      <w:r w:rsidRPr="00407E72">
        <w:rPr>
          <w:b/>
          <w:bCs/>
          <w:color w:val="B94F25"/>
        </w:rPr>
        <w:t>%</w:t>
      </w:r>
      <w:r>
        <w:t>).</w:t>
      </w:r>
      <w:r w:rsidR="003A1B9E">
        <w:t xml:space="preserve"> </w:t>
      </w:r>
      <w:r>
        <w:t xml:space="preserve">This was followed by </w:t>
      </w:r>
      <w:r w:rsidR="003D76FD">
        <w:t xml:space="preserve">the Australian </w:t>
      </w:r>
      <w:r w:rsidR="006A0002">
        <w:t>C</w:t>
      </w:r>
      <w:r w:rsidR="003D76FD">
        <w:t xml:space="preserve">apital Territory </w:t>
      </w:r>
      <w:r>
        <w:t>(</w:t>
      </w:r>
      <w:r w:rsidR="00407E72" w:rsidRPr="007136A6">
        <w:rPr>
          <w:rFonts w:ascii="Wingdings 3" w:hAnsi="Wingdings 3"/>
          <w:b/>
          <w:bCs/>
          <w:color w:val="B94F25"/>
        </w:rPr>
        <w:t>i</w:t>
      </w:r>
      <w:r w:rsidR="00407E72" w:rsidRPr="007136A6">
        <w:rPr>
          <w:b/>
          <w:bCs/>
          <w:color w:val="B94F25"/>
        </w:rPr>
        <w:t xml:space="preserve"> </w:t>
      </w:r>
      <w:r w:rsidRPr="00407E72">
        <w:rPr>
          <w:b/>
          <w:bCs/>
          <w:color w:val="B94F25"/>
        </w:rPr>
        <w:t xml:space="preserve">down </w:t>
      </w:r>
      <w:r w:rsidR="003D76FD">
        <w:rPr>
          <w:b/>
          <w:bCs/>
          <w:color w:val="B94F25"/>
        </w:rPr>
        <w:t>48</w:t>
      </w:r>
      <w:r w:rsidR="00407E72" w:rsidRPr="00407E72">
        <w:rPr>
          <w:b/>
          <w:bCs/>
          <w:color w:val="B94F25"/>
        </w:rPr>
        <w:t>%</w:t>
      </w:r>
      <w:r w:rsidR="00E15949">
        <w:t>). Victoria (</w:t>
      </w:r>
      <w:r w:rsidR="00E15949" w:rsidRPr="00071286">
        <w:rPr>
          <w:rFonts w:ascii="Wingdings 3" w:hAnsi="Wingdings 3"/>
          <w:b/>
          <w:bCs/>
          <w:color w:val="00518E"/>
        </w:rPr>
        <w:t>h</w:t>
      </w:r>
      <w:r w:rsidR="00E15949">
        <w:t xml:space="preserve"> </w:t>
      </w:r>
      <w:r w:rsidR="00E15949" w:rsidRPr="00071286">
        <w:rPr>
          <w:b/>
          <w:bCs/>
          <w:color w:val="00518E"/>
        </w:rPr>
        <w:t xml:space="preserve">up </w:t>
      </w:r>
      <w:r w:rsidR="00E15949">
        <w:rPr>
          <w:b/>
          <w:bCs/>
          <w:color w:val="00518E"/>
        </w:rPr>
        <w:t>21</w:t>
      </w:r>
      <w:r w:rsidR="00E15949" w:rsidRPr="00071286">
        <w:rPr>
          <w:b/>
          <w:bCs/>
          <w:color w:val="00518E"/>
        </w:rPr>
        <w:t>%</w:t>
      </w:r>
      <w:r w:rsidR="00E15949">
        <w:t>) recorded the largest increase for this period.</w:t>
      </w:r>
    </w:p>
    <w:p w14:paraId="1DF012F5" w14:textId="4B8EB867" w:rsidR="00130DEF" w:rsidRPr="00130DEF" w:rsidRDefault="00130DEF" w:rsidP="004455D1">
      <w:pPr>
        <w:keepNext/>
        <w:keepLines/>
      </w:pPr>
      <w:r w:rsidRPr="00086AB2">
        <w:t xml:space="preserve">The </w:t>
      </w:r>
      <w:r>
        <w:t xml:space="preserve">frequency rates for the </w:t>
      </w:r>
      <w:r w:rsidR="001F6234">
        <w:t>Australian Capital Territory</w:t>
      </w:r>
      <w:r w:rsidRPr="00086AB2">
        <w:t xml:space="preserve"> </w:t>
      </w:r>
      <w:r w:rsidR="00F3539D" w:rsidRPr="00086AB2">
        <w:t xml:space="preserve">were not reported </w:t>
      </w:r>
      <w:r w:rsidR="00F3539D">
        <w:t xml:space="preserve">here </w:t>
      </w:r>
      <w:r w:rsidR="00F3539D" w:rsidRPr="00086AB2">
        <w:t>due to the high relative standard error.</w:t>
      </w:r>
    </w:p>
    <w:p w14:paraId="48FC1AD4" w14:textId="0EC8D041" w:rsidR="00781310" w:rsidRPr="00086AB2" w:rsidRDefault="00781310" w:rsidP="0031228B">
      <w:pPr>
        <w:pStyle w:val="Heading3"/>
      </w:pPr>
      <w:bookmarkStart w:id="67" w:name="_Toc86602495"/>
      <w:bookmarkStart w:id="68" w:name="_Hlk56772836"/>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a</w:t>
      </w:r>
      <w:r w:rsidR="006F0762" w:rsidRPr="00086AB2">
        <w:rPr>
          <w:noProof/>
        </w:rPr>
        <w:fldChar w:fldCharType="end"/>
      </w:r>
      <w:r w:rsidRPr="00086AB2">
        <w:t xml:space="preserve"> </w:t>
      </w:r>
      <w:r w:rsidR="007C1D0C" w:rsidRPr="00086AB2">
        <w:t>–</w:t>
      </w:r>
      <w:r w:rsidRPr="00086AB2">
        <w:t xml:space="preserve"> </w:t>
      </w:r>
      <w:r w:rsidR="003A1B9E">
        <w:t>Frequency</w:t>
      </w:r>
      <w:r w:rsidR="00512BD0" w:rsidRPr="00086AB2">
        <w:t xml:space="preserve"> rates of serious claims for </w:t>
      </w:r>
      <w:r w:rsidR="009D46FF" w:rsidRPr="00086AB2">
        <w:t>A</w:t>
      </w:r>
      <w:r w:rsidRPr="00086AB2">
        <w:t xml:space="preserve">griculture, </w:t>
      </w:r>
      <w:proofErr w:type="gramStart"/>
      <w:r w:rsidRPr="00086AB2">
        <w:t>forestry</w:t>
      </w:r>
      <w:proofErr w:type="gramEnd"/>
      <w:r w:rsidRPr="00086AB2">
        <w:t xml:space="preserve"> and fishing by</w:t>
      </w:r>
      <w:r w:rsidR="00C8587B" w:rsidRPr="00086AB2">
        <w:t> </w:t>
      </w:r>
      <w:r w:rsidRPr="00086AB2">
        <w:t>jurisdiction</w:t>
      </w:r>
      <w:bookmarkEnd w:id="67"/>
    </w:p>
    <w:bookmarkEnd w:id="68"/>
    <w:p w14:paraId="0A9E24A4" w14:textId="516801C8" w:rsidR="00781310" w:rsidRPr="00086AB2" w:rsidRDefault="00CF3C4D" w:rsidP="008A3C40">
      <w:pPr>
        <w:jc w:val="center"/>
      </w:pPr>
      <w:r>
        <w:rPr>
          <w:noProof/>
        </w:rPr>
        <w:drawing>
          <wp:inline distT="0" distB="0" distL="0" distR="0" wp14:anchorId="302741EA" wp14:editId="467B84A5">
            <wp:extent cx="5486400" cy="3059869"/>
            <wp:effectExtent l="0" t="0" r="0" b="7620"/>
            <wp:docPr id="68" name="Picture 68" descr="Indicator 11a – Frequency rates of serious claims for Agriculture, forestry and fishing by jurisdiction&#10;&#10;This chart shows the Frequency rates (claims per million hours worked) of serious injury and disease claims for Agriculture, forestry and fishing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dicator 11a – Frequency rates of serious claims for Agriculture, forestry and fishing by jurisdiction&#10;&#10;This chart shows the Frequency rates (claims per million hours worked) of serious injury and disease claims for Agriculture, forestry and fishing industry between 2015-16 and 2020-21, by jurisdiction. Please refer to body text for more information.&#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5657" cy="3065032"/>
                    </a:xfrm>
                    <a:prstGeom prst="rect">
                      <a:avLst/>
                    </a:prstGeom>
                    <a:noFill/>
                  </pic:spPr>
                </pic:pic>
              </a:graphicData>
            </a:graphic>
          </wp:inline>
        </w:drawing>
      </w:r>
    </w:p>
    <w:p w14:paraId="7163AAF5" w14:textId="1A287A12" w:rsidR="00781310" w:rsidRPr="00086AB2" w:rsidRDefault="00934DED" w:rsidP="004F6BA7">
      <w:pPr>
        <w:pStyle w:val="Heading1"/>
        <w:spacing w:before="120"/>
      </w:pPr>
      <w:bookmarkStart w:id="69" w:name="_Toc86602496"/>
      <w:r w:rsidRPr="00086AB2">
        <w:lastRenderedPageBreak/>
        <w:t>Mining</w:t>
      </w:r>
      <w:bookmarkEnd w:id="69"/>
      <w:r w:rsidR="008E4270">
        <w:t xml:space="preserve"> </w:t>
      </w:r>
    </w:p>
    <w:p w14:paraId="11CF0842" w14:textId="6932CE59" w:rsidR="000B49AD" w:rsidRDefault="000B49AD" w:rsidP="00C03259">
      <w:pPr>
        <w:pStyle w:val="ListParagraph"/>
        <w:numPr>
          <w:ilvl w:val="0"/>
          <w:numId w:val="25"/>
        </w:numPr>
      </w:pPr>
      <w:r>
        <w:t xml:space="preserve">The </w:t>
      </w:r>
      <w:r w:rsidR="00722E7A">
        <w:t xml:space="preserve">Australian </w:t>
      </w:r>
      <w:r>
        <w:t xml:space="preserve">frequency rate in </w:t>
      </w:r>
      <w:r w:rsidR="003A1B9E">
        <w:t>20</w:t>
      </w:r>
      <w:r w:rsidR="00D00A11">
        <w:t>20</w:t>
      </w:r>
      <w:r w:rsidR="003A1B9E">
        <w:t>–2</w:t>
      </w:r>
      <w:r w:rsidR="00250B65">
        <w:t>1</w:t>
      </w:r>
      <w:r w:rsidR="003A1B9E">
        <w:t>p</w:t>
      </w:r>
      <w:r>
        <w:t xml:space="preserve"> for </w:t>
      </w:r>
      <w:r w:rsidR="00722E7A">
        <w:t xml:space="preserve">the Mining </w:t>
      </w:r>
      <w:r w:rsidRPr="007405FF">
        <w:t>industry</w:t>
      </w:r>
      <w:r>
        <w:t xml:space="preserve"> was 5.</w:t>
      </w:r>
      <w:r w:rsidR="00250B65">
        <w:t>2</w:t>
      </w:r>
      <w:r>
        <w:t xml:space="preserve"> claims per million hours worked.</w:t>
      </w:r>
    </w:p>
    <w:p w14:paraId="7B782063" w14:textId="197E8037" w:rsidR="00BC33DC" w:rsidRDefault="00071286" w:rsidP="00071286">
      <w:pPr>
        <w:pStyle w:val="ListParagraph"/>
        <w:keepNext/>
        <w:keepLines/>
        <w:numPr>
          <w:ilvl w:val="0"/>
          <w:numId w:val="25"/>
        </w:numPr>
      </w:pPr>
      <w:r>
        <w:t>New South Wales (</w:t>
      </w:r>
      <w:r w:rsidR="00D00A11">
        <w:t>8</w:t>
      </w:r>
      <w:r>
        <w:t>.</w:t>
      </w:r>
      <w:r w:rsidR="00250B65">
        <w:t>7</w:t>
      </w:r>
      <w:r>
        <w:t xml:space="preserve"> claims per million hours worked) recorded the</w:t>
      </w:r>
      <w:r w:rsidR="00BC33DC">
        <w:t xml:space="preserve"> highest frequency rate </w:t>
      </w:r>
      <w:r>
        <w:t>while Northern Territory (</w:t>
      </w:r>
      <w:r w:rsidR="002C1C94">
        <w:t>2.0</w:t>
      </w:r>
      <w:r>
        <w:t xml:space="preserve"> claims per million hours worked)</w:t>
      </w:r>
      <w:r w:rsidR="00BC33DC">
        <w:t xml:space="preserve"> </w:t>
      </w:r>
      <w:r>
        <w:t xml:space="preserve">recorded the </w:t>
      </w:r>
      <w:r w:rsidR="00BC33DC">
        <w:t>lowest</w:t>
      </w:r>
      <w:r w:rsidR="00CE770C">
        <w:t>.</w:t>
      </w:r>
      <w:r w:rsidR="00BC33DC">
        <w:t xml:space="preserve"> </w:t>
      </w:r>
    </w:p>
    <w:p w14:paraId="5E2B335E" w14:textId="0F38E23B" w:rsidR="00CE770C" w:rsidRDefault="00517775" w:rsidP="00071286">
      <w:pPr>
        <w:pStyle w:val="ListParagraph"/>
        <w:keepNext/>
        <w:keepLines/>
        <w:numPr>
          <w:ilvl w:val="0"/>
          <w:numId w:val="25"/>
        </w:numPr>
      </w:pPr>
      <w:r>
        <w:t>Except for</w:t>
      </w:r>
      <w:r w:rsidR="00BC33DC">
        <w:t xml:space="preserve"> Victoria (</w:t>
      </w:r>
      <w:r w:rsidR="00BC33DC" w:rsidRPr="00071286">
        <w:rPr>
          <w:rFonts w:ascii="Wingdings 3" w:hAnsi="Wingdings 3"/>
          <w:b/>
          <w:bCs/>
          <w:color w:val="B94F25"/>
        </w:rPr>
        <w:t>i</w:t>
      </w:r>
      <w:r w:rsidR="00BC33DC">
        <w:t xml:space="preserve"> </w:t>
      </w:r>
      <w:r w:rsidR="00BC33DC" w:rsidRPr="00071286">
        <w:rPr>
          <w:b/>
          <w:bCs/>
          <w:color w:val="B94F25"/>
        </w:rPr>
        <w:t xml:space="preserve">down </w:t>
      </w:r>
      <w:r w:rsidR="003D76FD">
        <w:rPr>
          <w:b/>
          <w:bCs/>
          <w:color w:val="B94F25"/>
        </w:rPr>
        <w:t>27</w:t>
      </w:r>
      <w:r w:rsidR="00BC33DC" w:rsidRPr="00071286">
        <w:rPr>
          <w:b/>
          <w:bCs/>
          <w:color w:val="B94F25"/>
        </w:rPr>
        <w:t>%</w:t>
      </w:r>
      <w:r w:rsidR="00BC33DC">
        <w:t xml:space="preserve">) </w:t>
      </w:r>
      <w:r w:rsidR="00071286">
        <w:t xml:space="preserve">and </w:t>
      </w:r>
      <w:r w:rsidR="003D76FD">
        <w:t xml:space="preserve">South Australia </w:t>
      </w:r>
      <w:r w:rsidR="00BC33DC">
        <w:t>(</w:t>
      </w:r>
      <w:r w:rsidR="00BC33DC" w:rsidRPr="00071286">
        <w:rPr>
          <w:rFonts w:ascii="Wingdings 3" w:hAnsi="Wingdings 3"/>
          <w:b/>
          <w:bCs/>
          <w:color w:val="B94F25"/>
        </w:rPr>
        <w:t>i</w:t>
      </w:r>
      <w:r w:rsidR="00BC33DC">
        <w:t xml:space="preserve"> </w:t>
      </w:r>
      <w:r w:rsidR="00BC33DC" w:rsidRPr="00071286">
        <w:rPr>
          <w:b/>
          <w:bCs/>
          <w:color w:val="B94F25"/>
        </w:rPr>
        <w:t xml:space="preserve">down </w:t>
      </w:r>
      <w:r w:rsidR="003D76FD">
        <w:rPr>
          <w:b/>
          <w:bCs/>
          <w:color w:val="B94F25"/>
        </w:rPr>
        <w:t>1</w:t>
      </w:r>
      <w:r w:rsidR="00BC33DC" w:rsidRPr="00071286">
        <w:rPr>
          <w:b/>
          <w:bCs/>
          <w:color w:val="B94F25"/>
        </w:rPr>
        <w:t>%</w:t>
      </w:r>
      <w:r w:rsidR="00BC33DC">
        <w:t>)</w:t>
      </w:r>
      <w:r>
        <w:t xml:space="preserve">, </w:t>
      </w:r>
      <w:r w:rsidR="00781310" w:rsidRPr="00086AB2">
        <w:t>all jurisdictions recorded a</w:t>
      </w:r>
      <w:r w:rsidR="00BC33DC">
        <w:t xml:space="preserve">n increase </w:t>
      </w:r>
      <w:r w:rsidR="00781310" w:rsidRPr="00086AB2">
        <w:t xml:space="preserve">in their </w:t>
      </w:r>
      <w:r w:rsidR="00BC33DC">
        <w:t xml:space="preserve">frequency </w:t>
      </w:r>
      <w:r w:rsidR="00781310" w:rsidRPr="00086AB2">
        <w:t xml:space="preserve">rates 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rsidR="00781310" w:rsidRPr="00086AB2">
        <w:t>.</w:t>
      </w:r>
      <w:r w:rsidR="003A1B9E">
        <w:t xml:space="preserve"> </w:t>
      </w:r>
      <w:r w:rsidR="003D76FD">
        <w:t>Tasmania</w:t>
      </w:r>
      <w:r w:rsidR="00071286">
        <w:t xml:space="preserve"> (</w:t>
      </w:r>
      <w:r w:rsidR="00071286" w:rsidRPr="00071286">
        <w:rPr>
          <w:rFonts w:ascii="Wingdings 3" w:hAnsi="Wingdings 3"/>
          <w:b/>
          <w:bCs/>
          <w:color w:val="00518E"/>
        </w:rPr>
        <w:t>h</w:t>
      </w:r>
      <w:r w:rsidR="00071286">
        <w:t xml:space="preserve"> </w:t>
      </w:r>
      <w:r w:rsidR="00071286" w:rsidRPr="00071286">
        <w:rPr>
          <w:b/>
          <w:bCs/>
          <w:color w:val="00518E"/>
        </w:rPr>
        <w:t xml:space="preserve">up </w:t>
      </w:r>
      <w:r w:rsidR="003D76FD">
        <w:rPr>
          <w:b/>
          <w:bCs/>
          <w:color w:val="00518E"/>
        </w:rPr>
        <w:t>88</w:t>
      </w:r>
      <w:r w:rsidR="00071286" w:rsidRPr="00071286">
        <w:rPr>
          <w:b/>
          <w:bCs/>
          <w:color w:val="00518E"/>
        </w:rPr>
        <w:t>%</w:t>
      </w:r>
      <w:r w:rsidR="00071286">
        <w:t>) recorded the</w:t>
      </w:r>
      <w:r w:rsidR="00BC33DC">
        <w:t xml:space="preserve"> largest increase</w:t>
      </w:r>
      <w:r w:rsidR="002C1C94">
        <w:t>, followed by Northern Territor</w:t>
      </w:r>
      <w:r w:rsidR="00E15949">
        <w:t>y (</w:t>
      </w:r>
      <w:r w:rsidR="00E15949" w:rsidRPr="00071286">
        <w:rPr>
          <w:rFonts w:ascii="Wingdings 3" w:hAnsi="Wingdings 3"/>
          <w:b/>
          <w:bCs/>
          <w:color w:val="00518E"/>
        </w:rPr>
        <w:t>h</w:t>
      </w:r>
      <w:r w:rsidR="00E15949">
        <w:t xml:space="preserve"> </w:t>
      </w:r>
      <w:r w:rsidR="00E15949" w:rsidRPr="00071286">
        <w:rPr>
          <w:b/>
          <w:bCs/>
          <w:color w:val="00518E"/>
        </w:rPr>
        <w:t xml:space="preserve">up </w:t>
      </w:r>
      <w:r w:rsidR="00E15949">
        <w:rPr>
          <w:b/>
          <w:bCs/>
          <w:color w:val="00518E"/>
        </w:rPr>
        <w:t>55</w:t>
      </w:r>
      <w:r w:rsidR="00E15949" w:rsidRPr="00071286">
        <w:rPr>
          <w:b/>
          <w:bCs/>
          <w:color w:val="00518E"/>
        </w:rPr>
        <w:t>%</w:t>
      </w:r>
      <w:r w:rsidR="00E15949">
        <w:t>)</w:t>
      </w:r>
      <w:r w:rsidR="00CE770C">
        <w:t>.</w:t>
      </w:r>
      <w:r w:rsidR="00BC33DC">
        <w:t xml:space="preserve"> </w:t>
      </w:r>
    </w:p>
    <w:p w14:paraId="4AE927DA" w14:textId="603C7C5A" w:rsidR="00781310" w:rsidRPr="00086AB2" w:rsidRDefault="00781310" w:rsidP="0031228B">
      <w:pPr>
        <w:pStyle w:val="Heading3"/>
      </w:pPr>
      <w:bookmarkStart w:id="70" w:name="_Toc86602497"/>
      <w:bookmarkStart w:id="71" w:name="_Hlk56772846"/>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b</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M</w:t>
      </w:r>
      <w:r w:rsidRPr="00086AB2">
        <w:t>ining by jurisdiction</w:t>
      </w:r>
      <w:bookmarkEnd w:id="70"/>
    </w:p>
    <w:bookmarkEnd w:id="71"/>
    <w:p w14:paraId="6DAAACCF" w14:textId="524BF057" w:rsidR="00781310" w:rsidRDefault="00CF3C4D" w:rsidP="004F6BA7">
      <w:pPr>
        <w:spacing w:after="0"/>
        <w:jc w:val="center"/>
      </w:pPr>
      <w:r>
        <w:rPr>
          <w:noProof/>
        </w:rPr>
        <w:drawing>
          <wp:inline distT="0" distB="0" distL="0" distR="0" wp14:anchorId="61735A1B" wp14:editId="3E8891E2">
            <wp:extent cx="5560060" cy="3072765"/>
            <wp:effectExtent l="0" t="0" r="2540" b="0"/>
            <wp:docPr id="70" name="Picture 70" descr="Indicator 11b – Frequency rates of serious claims for Mining by jurisdiction&#10;This chart shows the Frequency rates (claims per million hours worked) of serious injury and disease claims for Mining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ndicator 11b – Frequency rates of serious claims for Mining by jurisdiction&#10;This chart shows the Frequency rates (claims per million hours worked) of serious injury and disease claims for Mining industry between 2015-16 and 2020-21, by jurisdiction. Please refer to body text for more information.&#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0060" cy="3072765"/>
                    </a:xfrm>
                    <a:prstGeom prst="rect">
                      <a:avLst/>
                    </a:prstGeom>
                    <a:noFill/>
                  </pic:spPr>
                </pic:pic>
              </a:graphicData>
            </a:graphic>
          </wp:inline>
        </w:drawing>
      </w:r>
    </w:p>
    <w:p w14:paraId="42D570F6" w14:textId="62913A86" w:rsidR="001F785E" w:rsidRPr="00086AB2" w:rsidRDefault="001F785E" w:rsidP="004F6BA7">
      <w:pPr>
        <w:spacing w:after="0"/>
        <w:jc w:val="center"/>
      </w:pPr>
    </w:p>
    <w:p w14:paraId="172F6148" w14:textId="084ED65E" w:rsidR="008659BF" w:rsidRDefault="008659BF">
      <w:pPr>
        <w:spacing w:after="200" w:line="276" w:lineRule="auto"/>
        <w:jc w:val="left"/>
        <w:rPr>
          <w:rFonts w:ascii="Arial Bold" w:eastAsiaTheme="majorEastAsia" w:hAnsi="Arial Bold" w:cs="Arial"/>
          <w:b/>
          <w:kern w:val="32"/>
          <w:sz w:val="28"/>
          <w:szCs w:val="22"/>
        </w:rPr>
      </w:pPr>
      <w:bookmarkStart w:id="72" w:name="_Toc86602498"/>
      <w:r>
        <w:br w:type="page"/>
      </w:r>
    </w:p>
    <w:p w14:paraId="72B29FB7" w14:textId="1F583D2B" w:rsidR="00781310" w:rsidRPr="00086AB2" w:rsidRDefault="00066D3B" w:rsidP="004F6BA7">
      <w:pPr>
        <w:pStyle w:val="Heading1"/>
        <w:spacing w:before="120"/>
      </w:pPr>
      <w:r w:rsidRPr="00086AB2">
        <w:lastRenderedPageBreak/>
        <w:t>Manufacturing</w:t>
      </w:r>
      <w:bookmarkEnd w:id="72"/>
      <w:r w:rsidR="00C9188C">
        <w:t xml:space="preserve"> </w:t>
      </w:r>
    </w:p>
    <w:p w14:paraId="42AF44DF" w14:textId="5415F37B" w:rsidR="002B7674" w:rsidRDefault="002B7674" w:rsidP="00C03259">
      <w:pPr>
        <w:pStyle w:val="ListParagraph"/>
        <w:numPr>
          <w:ilvl w:val="0"/>
          <w:numId w:val="26"/>
        </w:numPr>
      </w:pPr>
      <w:r>
        <w:t xml:space="preserve">The </w:t>
      </w:r>
      <w:r w:rsidR="00722E7A">
        <w:t xml:space="preserve">Australian </w:t>
      </w:r>
      <w:r>
        <w:t xml:space="preserve">frequency rate in </w:t>
      </w:r>
      <w:r w:rsidR="00250B65">
        <w:t>2020</w:t>
      </w:r>
      <w:r w:rsidR="003A1B9E">
        <w:t>–2</w:t>
      </w:r>
      <w:r w:rsidR="00250B65">
        <w:t>1</w:t>
      </w:r>
      <w:r w:rsidR="003A1B9E">
        <w:t>p</w:t>
      </w:r>
      <w:r>
        <w:t xml:space="preserve"> for </w:t>
      </w:r>
      <w:r w:rsidR="00722E7A">
        <w:t>the Manufacturing</w:t>
      </w:r>
      <w:r>
        <w:t xml:space="preserve"> </w:t>
      </w:r>
      <w:r w:rsidRPr="007405FF">
        <w:t>industry</w:t>
      </w:r>
      <w:r>
        <w:t xml:space="preserve"> was 9.</w:t>
      </w:r>
      <w:r w:rsidR="00250B65">
        <w:t>6</w:t>
      </w:r>
      <w:r w:rsidR="008F3580">
        <w:t> </w:t>
      </w:r>
      <w:r>
        <w:t>claims per million hours worked.</w:t>
      </w:r>
    </w:p>
    <w:p w14:paraId="606E6F19" w14:textId="210606EC" w:rsidR="002B7674" w:rsidRDefault="00643D1C" w:rsidP="00643D1C">
      <w:pPr>
        <w:pStyle w:val="ListParagraph"/>
        <w:numPr>
          <w:ilvl w:val="0"/>
          <w:numId w:val="26"/>
        </w:numPr>
      </w:pPr>
      <w:r>
        <w:t>The Australian Capital Territory (</w:t>
      </w:r>
      <w:r w:rsidR="00441C79">
        <w:t>12.6</w:t>
      </w:r>
      <w:r>
        <w:t xml:space="preserve"> claims per million hours worked) recorded the</w:t>
      </w:r>
      <w:r w:rsidR="00CE770C">
        <w:t xml:space="preserve"> </w:t>
      </w:r>
      <w:r w:rsidR="002B7674">
        <w:t xml:space="preserve">highest rate </w:t>
      </w:r>
      <w:r>
        <w:t>while the Australian Government (1.</w:t>
      </w:r>
      <w:r w:rsidR="00441C79">
        <w:t>1</w:t>
      </w:r>
      <w:r w:rsidRPr="007C0401">
        <w:t xml:space="preserve"> </w:t>
      </w:r>
      <w:r>
        <w:t xml:space="preserve">claims per million hours worked) recorded </w:t>
      </w:r>
      <w:r w:rsidR="002B7674">
        <w:t>the lowest</w:t>
      </w:r>
      <w:r>
        <w:t xml:space="preserve">. </w:t>
      </w:r>
    </w:p>
    <w:p w14:paraId="4E91C02C" w14:textId="57B86D4B" w:rsidR="002B7674" w:rsidRDefault="002B7674" w:rsidP="00162C81">
      <w:pPr>
        <w:pStyle w:val="ListParagraph"/>
        <w:numPr>
          <w:ilvl w:val="0"/>
          <w:numId w:val="26"/>
        </w:numPr>
        <w:spacing w:after="0"/>
        <w:ind w:hanging="357"/>
      </w:pPr>
      <w:r>
        <w:t>Overall, the industry recorded a</w:t>
      </w:r>
      <w:r w:rsidR="00560EBC">
        <w:t>n</w:t>
      </w:r>
      <w:r>
        <w:t xml:space="preserve"> </w:t>
      </w:r>
      <w:r w:rsidR="003D76FD">
        <w:t>incre</w:t>
      </w:r>
      <w:r w:rsidR="00907086">
        <w:t>ase</w:t>
      </w:r>
      <w:r w:rsidR="003D76FD">
        <w:t xml:space="preserve"> </w:t>
      </w:r>
      <w:r>
        <w:t xml:space="preserve">in frequency rates </w:t>
      </w:r>
      <w:r w:rsidR="00907086" w:rsidRPr="004F4B59">
        <w:rPr>
          <w:color w:val="365F91" w:themeColor="accent1" w:themeShade="BF"/>
        </w:rPr>
        <w:t>(</w:t>
      </w:r>
      <w:r w:rsidR="00907086" w:rsidRPr="004F4B59">
        <w:rPr>
          <w:rFonts w:ascii="Wingdings 3" w:hAnsi="Wingdings 3"/>
          <w:b/>
          <w:bCs/>
          <w:color w:val="365F91" w:themeColor="accent1" w:themeShade="BF"/>
        </w:rPr>
        <w:t>h</w:t>
      </w:r>
      <w:r w:rsidR="00907086" w:rsidRPr="004F4B59">
        <w:rPr>
          <w:color w:val="365F91" w:themeColor="accent1" w:themeShade="BF"/>
        </w:rPr>
        <w:t xml:space="preserve"> </w:t>
      </w:r>
      <w:r w:rsidR="00907086" w:rsidRPr="004F4B59">
        <w:rPr>
          <w:b/>
          <w:bCs/>
          <w:color w:val="365F91" w:themeColor="accent1" w:themeShade="BF"/>
        </w:rPr>
        <w:t>up 8%</w:t>
      </w:r>
      <w:r>
        <w:t>) b</w:t>
      </w:r>
      <w:r w:rsidRPr="00086AB2">
        <w:t>etween</w:t>
      </w:r>
      <w:r w:rsidR="00C6323F">
        <w:t xml:space="preserve"> </w:t>
      </w:r>
      <w:r w:rsidRPr="00086AB2">
        <w:t>201</w:t>
      </w:r>
      <w:r w:rsidR="00907086">
        <w:t>5</w:t>
      </w:r>
      <w:r w:rsidRPr="00086AB2">
        <w:t>–1</w:t>
      </w:r>
      <w:r w:rsidR="00907086">
        <w:t>6</w:t>
      </w:r>
      <w:r>
        <w:t xml:space="preserve"> and </w:t>
      </w:r>
      <w:r w:rsidRPr="00086AB2">
        <w:t>201</w:t>
      </w:r>
      <w:r w:rsidR="00907086">
        <w:t>9</w:t>
      </w:r>
      <w:r w:rsidRPr="00086AB2">
        <w:t>–</w:t>
      </w:r>
      <w:r w:rsidR="00907086">
        <w:t>20</w:t>
      </w:r>
      <w:r>
        <w:t>.</w:t>
      </w:r>
      <w:r w:rsidR="003A1B9E">
        <w:t xml:space="preserve"> </w:t>
      </w:r>
      <w:r w:rsidR="00907086">
        <w:t xml:space="preserve">Five </w:t>
      </w:r>
      <w:r>
        <w:t xml:space="preserve">out of 9 jurisdictions recorded an increase, with the Australian </w:t>
      </w:r>
      <w:r w:rsidR="00907086">
        <w:t xml:space="preserve">Capital Territory </w:t>
      </w:r>
      <w:r>
        <w:t>recording the largest increase (</w:t>
      </w:r>
      <w:bookmarkStart w:id="73" w:name="_Hlk83369062"/>
      <w:r w:rsidR="007C0401" w:rsidRPr="00CE770C">
        <w:rPr>
          <w:rFonts w:ascii="Wingdings 3" w:hAnsi="Wingdings 3"/>
          <w:b/>
          <w:bCs/>
          <w:color w:val="00518E"/>
        </w:rPr>
        <w:t>h</w:t>
      </w:r>
      <w:bookmarkEnd w:id="73"/>
      <w:r w:rsidR="007C0401" w:rsidRPr="00CE770C">
        <w:rPr>
          <w:color w:val="00518E"/>
        </w:rPr>
        <w:t xml:space="preserve"> </w:t>
      </w:r>
      <w:r w:rsidR="007C0401" w:rsidRPr="00D06582">
        <w:rPr>
          <w:b/>
          <w:bCs/>
          <w:color w:val="00518E"/>
        </w:rPr>
        <w:t xml:space="preserve">up </w:t>
      </w:r>
      <w:r w:rsidR="00907086">
        <w:rPr>
          <w:b/>
          <w:bCs/>
          <w:color w:val="00518E"/>
        </w:rPr>
        <w:t>78</w:t>
      </w:r>
      <w:r w:rsidRPr="00D06582">
        <w:rPr>
          <w:b/>
          <w:bCs/>
          <w:color w:val="00518E"/>
        </w:rPr>
        <w:t>%</w:t>
      </w:r>
      <w:r>
        <w:t>)</w:t>
      </w:r>
      <w:r w:rsidR="00037DD2">
        <w:t xml:space="preserve"> from a low base</w:t>
      </w:r>
      <w:r>
        <w:t>.</w:t>
      </w:r>
      <w:r w:rsidR="003A1B9E">
        <w:t xml:space="preserve"> </w:t>
      </w:r>
      <w:r>
        <w:t xml:space="preserve">The remaining </w:t>
      </w:r>
      <w:r w:rsidR="00907086">
        <w:t xml:space="preserve">4 </w:t>
      </w:r>
      <w:r>
        <w:t>jurisdictions recorded decreases, with the Northern Territory recording the largest decrease (</w:t>
      </w:r>
      <w:r w:rsidR="007C0401" w:rsidRPr="00CE770C">
        <w:rPr>
          <w:rFonts w:ascii="Wingdings 3" w:hAnsi="Wingdings 3"/>
          <w:b/>
          <w:bCs/>
          <w:color w:val="B94F25"/>
        </w:rPr>
        <w:t>i</w:t>
      </w:r>
      <w:r w:rsidR="00A24A0F">
        <w:t> </w:t>
      </w:r>
      <w:r w:rsidRPr="00CE770C">
        <w:rPr>
          <w:b/>
          <w:bCs/>
          <w:color w:val="B94F25"/>
        </w:rPr>
        <w:t>down</w:t>
      </w:r>
      <w:r w:rsidR="00A24A0F" w:rsidRPr="00CE770C">
        <w:rPr>
          <w:b/>
          <w:bCs/>
          <w:color w:val="B94F25"/>
        </w:rPr>
        <w:t> </w:t>
      </w:r>
      <w:r w:rsidR="002C1C94">
        <w:rPr>
          <w:b/>
          <w:bCs/>
          <w:color w:val="B94F25"/>
        </w:rPr>
        <w:t>38</w:t>
      </w:r>
      <w:r w:rsidR="00907086">
        <w:rPr>
          <w:b/>
          <w:bCs/>
          <w:color w:val="B94F25"/>
        </w:rPr>
        <w:t>%)</w:t>
      </w:r>
    </w:p>
    <w:p w14:paraId="0463E239" w14:textId="6BA21750" w:rsidR="00832514" w:rsidRPr="00086AB2" w:rsidRDefault="00832514" w:rsidP="0031228B">
      <w:pPr>
        <w:pStyle w:val="Heading3"/>
        <w:spacing w:after="60"/>
      </w:pPr>
      <w:bookmarkStart w:id="74" w:name="_Toc86602499"/>
      <w:bookmarkStart w:id="75" w:name="_Hlk56772856"/>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c</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M</w:t>
      </w:r>
      <w:r w:rsidRPr="00086AB2">
        <w:t>anufacturing by jurisdiction</w:t>
      </w:r>
      <w:bookmarkEnd w:id="74"/>
    </w:p>
    <w:bookmarkEnd w:id="75"/>
    <w:p w14:paraId="06EA5C4F" w14:textId="46823558" w:rsidR="00781310" w:rsidRPr="00086AB2" w:rsidRDefault="00CF3C4D" w:rsidP="00F63E4D">
      <w:pPr>
        <w:jc w:val="center"/>
      </w:pPr>
      <w:r>
        <w:rPr>
          <w:noProof/>
        </w:rPr>
        <w:drawing>
          <wp:inline distT="0" distB="0" distL="0" distR="0" wp14:anchorId="24412337" wp14:editId="37AD3014">
            <wp:extent cx="5492750" cy="3328670"/>
            <wp:effectExtent l="0" t="0" r="0" b="5080"/>
            <wp:docPr id="71" name="Picture 71" descr="Indicator 11c – Frequency rates of serious claims for Manufacturing by jurisdiction&#10;&#10;This chart shows the Frequency rates (claims per million hours worked) of serious injury and disease claims for Manufacturing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ndicator 11c – Frequency rates of serious claims for Manufacturing by jurisdiction&#10;&#10;This chart shows the Frequency rates (claims per million hours worked) of serious injury and disease claims for Manufacturing industry between 2015-16 and 2020-21, by jurisdiction. Please refer to body text for more information.&#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2750" cy="3328670"/>
                    </a:xfrm>
                    <a:prstGeom prst="rect">
                      <a:avLst/>
                    </a:prstGeom>
                    <a:noFill/>
                  </pic:spPr>
                </pic:pic>
              </a:graphicData>
            </a:graphic>
          </wp:inline>
        </w:drawing>
      </w:r>
    </w:p>
    <w:p w14:paraId="51D3F5EF" w14:textId="77777777" w:rsidR="00522C19" w:rsidRDefault="00522C19" w:rsidP="0031228B">
      <w:pPr>
        <w:pStyle w:val="Heading1"/>
        <w:keepLines/>
        <w:spacing w:before="120"/>
      </w:pPr>
      <w:bookmarkStart w:id="76" w:name="_Toc86602500"/>
    </w:p>
    <w:p w14:paraId="7EB23782" w14:textId="77777777" w:rsidR="008659BF" w:rsidRDefault="008659BF">
      <w:pPr>
        <w:spacing w:after="200" w:line="276" w:lineRule="auto"/>
        <w:jc w:val="left"/>
        <w:rPr>
          <w:rFonts w:ascii="Arial Bold" w:eastAsiaTheme="majorEastAsia" w:hAnsi="Arial Bold" w:cs="Arial"/>
          <w:b/>
          <w:kern w:val="32"/>
          <w:sz w:val="28"/>
          <w:szCs w:val="22"/>
        </w:rPr>
      </w:pPr>
      <w:r>
        <w:br w:type="page"/>
      </w:r>
    </w:p>
    <w:p w14:paraId="67E3EDA2" w14:textId="0FB3C5A6" w:rsidR="00781310" w:rsidRPr="00086AB2" w:rsidRDefault="00781310" w:rsidP="0031228B">
      <w:pPr>
        <w:pStyle w:val="Heading1"/>
        <w:keepLines/>
        <w:spacing w:before="120"/>
      </w:pPr>
      <w:r w:rsidRPr="00086AB2">
        <w:lastRenderedPageBreak/>
        <w:t>Electricity</w:t>
      </w:r>
      <w:r w:rsidR="00905154" w:rsidRPr="00086AB2">
        <w:t xml:space="preserve">, gas, </w:t>
      </w:r>
      <w:proofErr w:type="gramStart"/>
      <w:r w:rsidR="00905154" w:rsidRPr="00086AB2">
        <w:t>water</w:t>
      </w:r>
      <w:proofErr w:type="gramEnd"/>
      <w:r w:rsidR="00905154" w:rsidRPr="00086AB2">
        <w:t xml:space="preserve"> and waste services</w:t>
      </w:r>
      <w:bookmarkEnd w:id="76"/>
      <w:r w:rsidR="00AF184D">
        <w:t xml:space="preserve"> </w:t>
      </w:r>
    </w:p>
    <w:p w14:paraId="2F0CF180" w14:textId="19E144AC" w:rsidR="00192BF8" w:rsidRDefault="00722E7A" w:rsidP="00C03259">
      <w:pPr>
        <w:pStyle w:val="ListParagraph"/>
        <w:numPr>
          <w:ilvl w:val="0"/>
          <w:numId w:val="27"/>
        </w:numPr>
      </w:pPr>
      <w:r>
        <w:t xml:space="preserve">In </w:t>
      </w:r>
      <w:r w:rsidR="00250B65">
        <w:t>2020</w:t>
      </w:r>
      <w:r w:rsidR="003A1B9E">
        <w:t>–2</w:t>
      </w:r>
      <w:r w:rsidR="00250B65">
        <w:t>1</w:t>
      </w:r>
      <w:r w:rsidR="003A1B9E">
        <w:t>p</w:t>
      </w:r>
      <w:r>
        <w:t>, t</w:t>
      </w:r>
      <w:r w:rsidR="00EB5D4F">
        <w:t>h</w:t>
      </w:r>
      <w:r w:rsidR="00BC56BB">
        <w:t>e</w:t>
      </w:r>
      <w:r w:rsidR="00EB5D4F">
        <w:t xml:space="preserve"> </w:t>
      </w:r>
      <w:r w:rsidR="00E96FB2">
        <w:t xml:space="preserve">Australian </w:t>
      </w:r>
      <w:r w:rsidR="007C0401">
        <w:t xml:space="preserve">frequency </w:t>
      </w:r>
      <w:r w:rsidR="00E96FB2">
        <w:t>rate in th</w:t>
      </w:r>
      <w:r w:rsidR="007C0401">
        <w:t xml:space="preserve">is industry was </w:t>
      </w:r>
      <w:r w:rsidR="00250B65">
        <w:t>4.5</w:t>
      </w:r>
      <w:r w:rsidR="007C0401">
        <w:t xml:space="preserve"> claims per million hours worked.</w:t>
      </w:r>
    </w:p>
    <w:p w14:paraId="6C14E396" w14:textId="5C289EE2" w:rsidR="00F27E06" w:rsidRDefault="00F27E06" w:rsidP="00F27E06">
      <w:pPr>
        <w:pStyle w:val="ListParagraph"/>
        <w:numPr>
          <w:ilvl w:val="0"/>
          <w:numId w:val="27"/>
        </w:numPr>
      </w:pPr>
      <w:r>
        <w:t>The Australian Capital Territory (</w:t>
      </w:r>
      <w:r w:rsidR="00441C79">
        <w:t>9.6</w:t>
      </w:r>
      <w:r>
        <w:t xml:space="preserve"> claims per million hours worked) recorded t</w:t>
      </w:r>
      <w:r w:rsidR="007C0401">
        <w:t xml:space="preserve">he highest rate </w:t>
      </w:r>
      <w:r>
        <w:t xml:space="preserve">while </w:t>
      </w:r>
      <w:r w:rsidR="00F3539D">
        <w:t>the</w:t>
      </w:r>
      <w:r w:rsidR="00441C79">
        <w:t xml:space="preserve"> </w:t>
      </w:r>
      <w:r w:rsidR="002C1C94">
        <w:t xml:space="preserve">Northern Territory </w:t>
      </w:r>
      <w:r>
        <w:t>(</w:t>
      </w:r>
      <w:r w:rsidR="00441C79">
        <w:t>3.</w:t>
      </w:r>
      <w:r w:rsidR="002C1C94">
        <w:t>3</w:t>
      </w:r>
      <w:r>
        <w:t xml:space="preserve"> claims per million hours worked) recorded the lowest.</w:t>
      </w:r>
    </w:p>
    <w:p w14:paraId="462C686F" w14:textId="532B889E" w:rsidR="00192BF8" w:rsidRDefault="007C0401" w:rsidP="00C03259">
      <w:pPr>
        <w:pStyle w:val="ListParagraph"/>
        <w:numPr>
          <w:ilvl w:val="0"/>
          <w:numId w:val="27"/>
        </w:numPr>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rsidR="00F27E06">
        <w:t>,</w:t>
      </w:r>
      <w:r>
        <w:t xml:space="preserve"> the </w:t>
      </w:r>
      <w:r w:rsidR="00192BF8">
        <w:t xml:space="preserve">overall </w:t>
      </w:r>
      <w:r>
        <w:t xml:space="preserve">frequency rates of this industry </w:t>
      </w:r>
      <w:r w:rsidRPr="005E49E0">
        <w:rPr>
          <w:b/>
          <w:bCs/>
          <w:color w:val="B94F25"/>
        </w:rPr>
        <w:t>decreased</w:t>
      </w:r>
      <w:r w:rsidR="005F2E36">
        <w:rPr>
          <w:b/>
          <w:bCs/>
          <w:color w:val="B94F25"/>
        </w:rPr>
        <w:t xml:space="preserve"> by 7%</w:t>
      </w:r>
      <w:r>
        <w:t>, with 5 out of 9 jurisdictions recording decreases.</w:t>
      </w:r>
      <w:r w:rsidR="003A1B9E">
        <w:t xml:space="preserve"> </w:t>
      </w:r>
      <w:r>
        <w:t xml:space="preserve">The largest decrease was recorded by </w:t>
      </w:r>
      <w:r w:rsidR="00907086">
        <w:t>Western Australia</w:t>
      </w:r>
      <w:r>
        <w:t xml:space="preserve"> (</w:t>
      </w:r>
      <w:r w:rsidR="00722E7A" w:rsidRPr="00192BF8">
        <w:rPr>
          <w:rFonts w:ascii="Wingdings 3" w:hAnsi="Wingdings 3"/>
          <w:b/>
          <w:bCs/>
          <w:color w:val="B94F25"/>
        </w:rPr>
        <w:t>i</w:t>
      </w:r>
      <w:r w:rsidR="00722E7A" w:rsidRPr="00192BF8">
        <w:rPr>
          <w:b/>
          <w:bCs/>
          <w:color w:val="B94F25"/>
        </w:rPr>
        <w:t xml:space="preserve"> </w:t>
      </w:r>
      <w:r w:rsidRPr="00192BF8">
        <w:rPr>
          <w:b/>
          <w:bCs/>
          <w:color w:val="B94F25"/>
        </w:rPr>
        <w:t>down 4</w:t>
      </w:r>
      <w:r w:rsidR="00907086">
        <w:rPr>
          <w:b/>
          <w:bCs/>
          <w:color w:val="B94F25"/>
        </w:rPr>
        <w:t>1</w:t>
      </w:r>
      <w:r w:rsidRPr="00192BF8">
        <w:rPr>
          <w:b/>
          <w:bCs/>
          <w:color w:val="B94F25"/>
        </w:rPr>
        <w:t>%</w:t>
      </w:r>
      <w:r>
        <w:t xml:space="preserve">), followed by </w:t>
      </w:r>
      <w:r w:rsidR="002C1C94">
        <w:t>Victoria</w:t>
      </w:r>
      <w:r w:rsidR="00907086">
        <w:t xml:space="preserve"> </w:t>
      </w:r>
      <w:r>
        <w:t>(</w:t>
      </w:r>
      <w:r w:rsidR="00722E7A" w:rsidRPr="00192BF8">
        <w:rPr>
          <w:rFonts w:ascii="Wingdings 3" w:hAnsi="Wingdings 3"/>
          <w:b/>
          <w:bCs/>
          <w:color w:val="B94F25"/>
        </w:rPr>
        <w:t>i</w:t>
      </w:r>
      <w:r w:rsidR="00722E7A" w:rsidRPr="00192BF8">
        <w:rPr>
          <w:b/>
          <w:bCs/>
          <w:color w:val="B94F25"/>
        </w:rPr>
        <w:t xml:space="preserve"> </w:t>
      </w:r>
      <w:r w:rsidRPr="00192BF8">
        <w:rPr>
          <w:b/>
          <w:bCs/>
          <w:color w:val="B94F25"/>
        </w:rPr>
        <w:t xml:space="preserve">down </w:t>
      </w:r>
      <w:r w:rsidR="002C1C94">
        <w:rPr>
          <w:b/>
          <w:bCs/>
          <w:color w:val="B94F25"/>
        </w:rPr>
        <w:t>33</w:t>
      </w:r>
      <w:r w:rsidRPr="00192BF8">
        <w:rPr>
          <w:b/>
          <w:bCs/>
          <w:color w:val="B94F25"/>
        </w:rPr>
        <w:t>%</w:t>
      </w:r>
      <w:r w:rsidR="002C1C94">
        <w:t>). New South Wales (</w:t>
      </w:r>
      <w:r w:rsidR="002C1C94" w:rsidRPr="007C0401">
        <w:rPr>
          <w:rFonts w:ascii="Wingdings 3" w:hAnsi="Wingdings 3"/>
          <w:b/>
          <w:bCs/>
          <w:color w:val="00518E"/>
        </w:rPr>
        <w:t>h</w:t>
      </w:r>
      <w:r w:rsidR="002C1C94" w:rsidRPr="002E1FBF">
        <w:rPr>
          <w:b/>
          <w:bCs/>
          <w:color w:val="00518E"/>
        </w:rPr>
        <w:t xml:space="preserve"> up </w:t>
      </w:r>
      <w:r w:rsidR="002C1C94">
        <w:rPr>
          <w:b/>
          <w:bCs/>
          <w:color w:val="00518E"/>
        </w:rPr>
        <w:t>51</w:t>
      </w:r>
      <w:r w:rsidR="002C1C94" w:rsidRPr="002E1FBF">
        <w:rPr>
          <w:b/>
          <w:bCs/>
          <w:color w:val="00518E"/>
        </w:rPr>
        <w:t>%</w:t>
      </w:r>
      <w:r w:rsidR="002C1C94">
        <w:t>) recorded the largest increase.</w:t>
      </w:r>
    </w:p>
    <w:p w14:paraId="2BB1989B" w14:textId="5A17D3F3" w:rsidR="003C4054" w:rsidRDefault="00832514" w:rsidP="0031228B">
      <w:pPr>
        <w:pStyle w:val="Heading3"/>
        <w:spacing w:before="120" w:after="60"/>
      </w:pPr>
      <w:bookmarkStart w:id="77" w:name="_Toc86602501"/>
      <w:bookmarkStart w:id="78" w:name="_Hlk56772864"/>
      <w:r w:rsidRPr="00086AB2">
        <w:t>Indicator 11</w:t>
      </w:r>
      <w:r w:rsidR="00594771">
        <w:fldChar w:fldCharType="begin"/>
      </w:r>
      <w:r w:rsidR="00594771">
        <w:instrText xml:space="preserve"> SEQ Indicator_11 \* alphabetic </w:instrText>
      </w:r>
      <w:r w:rsidR="00594771">
        <w:fldChar w:fldCharType="separate"/>
      </w:r>
      <w:r w:rsidR="004132C1">
        <w:rPr>
          <w:noProof/>
        </w:rPr>
        <w:t>d</w:t>
      </w:r>
      <w:r w:rsidR="00594771">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proofErr w:type="gramStart"/>
      <w:r w:rsidR="009D46FF" w:rsidRPr="00086AB2">
        <w:t>E</w:t>
      </w:r>
      <w:r w:rsidRPr="00086AB2">
        <w:t>lectricity</w:t>
      </w:r>
      <w:proofErr w:type="gramEnd"/>
      <w:r w:rsidRPr="00086AB2">
        <w:t>, gas, water and waste services by jurisdiction</w:t>
      </w:r>
      <w:bookmarkEnd w:id="77"/>
    </w:p>
    <w:bookmarkEnd w:id="78"/>
    <w:p w14:paraId="25C7E7AC" w14:textId="0C454DCF" w:rsidR="00832514" w:rsidRDefault="00CF3C4D" w:rsidP="00DA5307">
      <w:pPr>
        <w:jc w:val="center"/>
      </w:pPr>
      <w:r>
        <w:rPr>
          <w:noProof/>
        </w:rPr>
        <w:drawing>
          <wp:inline distT="0" distB="0" distL="0" distR="0" wp14:anchorId="183470D4" wp14:editId="049BA4EA">
            <wp:extent cx="5487035" cy="3932555"/>
            <wp:effectExtent l="0" t="0" r="0" b="0"/>
            <wp:docPr id="72" name="Picture 72" descr="Indicator 11d – Frequency rates of serious claims for Electricity, gas, water and waste services by jurisdiction&#10;&#10;This chart shows the Frequency rates (claims per million hours worked) of serious injury and disease claims for Electricity, gas, water and waste service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ndicator 11d – Frequency rates of serious claims for Electricity, gas, water and waste services by jurisdiction&#10;&#10;This chart shows the Frequency rates (claims per million hours worked) of serious injury and disease claims for Electricity, gas, water and waste services industry between 2015-16 and 2020-21, by jurisdiction. Please refer to body text for more information.&#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7035" cy="3932555"/>
                    </a:xfrm>
                    <a:prstGeom prst="rect">
                      <a:avLst/>
                    </a:prstGeom>
                    <a:noFill/>
                  </pic:spPr>
                </pic:pic>
              </a:graphicData>
            </a:graphic>
          </wp:inline>
        </w:drawing>
      </w:r>
    </w:p>
    <w:p w14:paraId="5ED67E92" w14:textId="77777777" w:rsidR="008659BF" w:rsidRDefault="008659BF">
      <w:pPr>
        <w:spacing w:after="200" w:line="276" w:lineRule="auto"/>
        <w:jc w:val="left"/>
        <w:rPr>
          <w:rFonts w:ascii="Arial Bold" w:eastAsiaTheme="majorEastAsia" w:hAnsi="Arial Bold" w:cs="Arial"/>
          <w:b/>
          <w:kern w:val="32"/>
          <w:sz w:val="28"/>
          <w:szCs w:val="22"/>
        </w:rPr>
      </w:pPr>
      <w:bookmarkStart w:id="79" w:name="_Toc86602502"/>
      <w:r>
        <w:br w:type="page"/>
      </w:r>
    </w:p>
    <w:p w14:paraId="49FC7C5F" w14:textId="16087E00" w:rsidR="00781310" w:rsidRPr="00086AB2" w:rsidRDefault="00905154" w:rsidP="00B51041">
      <w:pPr>
        <w:pStyle w:val="Heading1"/>
      </w:pPr>
      <w:r w:rsidRPr="00086AB2">
        <w:lastRenderedPageBreak/>
        <w:t>Construction</w:t>
      </w:r>
      <w:bookmarkEnd w:id="79"/>
      <w:r w:rsidR="00D115A2">
        <w:t xml:space="preserve"> </w:t>
      </w:r>
    </w:p>
    <w:p w14:paraId="2CB8D89D" w14:textId="4752C6D0" w:rsidR="00722E7A" w:rsidRDefault="00722E7A" w:rsidP="00C03259">
      <w:pPr>
        <w:pStyle w:val="ListParagraph"/>
        <w:numPr>
          <w:ilvl w:val="0"/>
          <w:numId w:val="28"/>
        </w:numPr>
      </w:pPr>
      <w:r>
        <w:t>I</w:t>
      </w:r>
      <w:r w:rsidRPr="00722E7A">
        <w:t xml:space="preserve">n </w:t>
      </w:r>
      <w:r w:rsidR="000625F3">
        <w:t>2020</w:t>
      </w:r>
      <w:r w:rsidR="003A1B9E">
        <w:t>–</w:t>
      </w:r>
      <w:r w:rsidR="000625F3">
        <w:t>21p</w:t>
      </w:r>
      <w:r>
        <w:t xml:space="preserve">, the </w:t>
      </w:r>
      <w:r w:rsidR="007D598E">
        <w:t xml:space="preserve">Australian </w:t>
      </w:r>
      <w:r>
        <w:t>frequency rate</w:t>
      </w:r>
      <w:r w:rsidR="007D598E">
        <w:t xml:space="preserve"> for the Construction industry</w:t>
      </w:r>
      <w:r>
        <w:t xml:space="preserve"> recorded </w:t>
      </w:r>
      <w:r w:rsidR="006A1F7F">
        <w:t>8.</w:t>
      </w:r>
      <w:r w:rsidR="000625F3">
        <w:t>8</w:t>
      </w:r>
      <w:r>
        <w:t xml:space="preserve"> claims per million hours worked.</w:t>
      </w:r>
    </w:p>
    <w:p w14:paraId="28F69E97" w14:textId="5CEE7D0E" w:rsidR="00192BF8" w:rsidRPr="00722E7A" w:rsidRDefault="00F27E06" w:rsidP="00C03259">
      <w:pPr>
        <w:pStyle w:val="ListParagraph"/>
        <w:numPr>
          <w:ilvl w:val="0"/>
          <w:numId w:val="28"/>
        </w:numPr>
      </w:pPr>
      <w:r>
        <w:t>Tasmania (</w:t>
      </w:r>
      <w:r w:rsidR="00441C79">
        <w:t>13.9</w:t>
      </w:r>
      <w:r>
        <w:t xml:space="preserve"> claims per million hours worked) recorded t</w:t>
      </w:r>
      <w:r w:rsidR="00192BF8">
        <w:t xml:space="preserve">he highest rate </w:t>
      </w:r>
      <w:r>
        <w:t xml:space="preserve">while the </w:t>
      </w:r>
      <w:r w:rsidR="000625F3">
        <w:t>Northern Territory</w:t>
      </w:r>
      <w:r>
        <w:t xml:space="preserve"> (</w:t>
      </w:r>
      <w:r w:rsidR="002C1C94">
        <w:t>4.8</w:t>
      </w:r>
      <w:r>
        <w:t xml:space="preserve"> claims per million hours worked)</w:t>
      </w:r>
      <w:r w:rsidRPr="00192BF8">
        <w:t xml:space="preserve"> </w:t>
      </w:r>
      <w:r w:rsidR="00CE770C">
        <w:t>recorded</w:t>
      </w:r>
      <w:r w:rsidR="00192BF8">
        <w:t xml:space="preserve"> the lowest in </w:t>
      </w:r>
      <w:r w:rsidR="003A1B9E">
        <w:t>20</w:t>
      </w:r>
      <w:r w:rsidR="00441C79">
        <w:t>20</w:t>
      </w:r>
      <w:r w:rsidR="003A1B9E">
        <w:t>–2</w:t>
      </w:r>
      <w:r w:rsidR="00441C79">
        <w:t>1p</w:t>
      </w:r>
      <w:r w:rsidR="000625F3">
        <w:t>.</w:t>
      </w:r>
    </w:p>
    <w:p w14:paraId="264BF61E" w14:textId="23014F42" w:rsidR="007C5139" w:rsidRDefault="00722E7A" w:rsidP="00C36646">
      <w:pPr>
        <w:pStyle w:val="ListParagraph"/>
        <w:numPr>
          <w:ilvl w:val="0"/>
          <w:numId w:val="28"/>
        </w:numPr>
        <w:jc w:val="left"/>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 xml:space="preserve">, </w:t>
      </w:r>
      <w:r w:rsidR="00361D30">
        <w:t xml:space="preserve">4 </w:t>
      </w:r>
      <w:r>
        <w:t xml:space="preserve">out of 9 </w:t>
      </w:r>
      <w:r w:rsidR="002E1FBF">
        <w:t>jurisdictions</w:t>
      </w:r>
      <w:r>
        <w:t xml:space="preserve"> recorded </w:t>
      </w:r>
      <w:r w:rsidR="002E1FBF">
        <w:t>decreases in their frequency rate</w:t>
      </w:r>
      <w:r w:rsidR="00F27E06">
        <w:t>s</w:t>
      </w:r>
      <w:r w:rsidR="002E1FBF">
        <w:t xml:space="preserve">. </w:t>
      </w:r>
      <w:r w:rsidR="00361D30">
        <w:t>Western Australia</w:t>
      </w:r>
      <w:r w:rsidR="00781310" w:rsidRPr="00086AB2">
        <w:t xml:space="preserve"> recorded the largest decrease </w:t>
      </w:r>
      <w:r w:rsidR="00781310" w:rsidRPr="002E1FBF">
        <w:rPr>
          <w:b/>
          <w:bCs/>
          <w:color w:val="B94F25"/>
        </w:rPr>
        <w:t>(</w:t>
      </w:r>
      <w:r w:rsidR="002E1FBF" w:rsidRPr="002E1FBF">
        <w:rPr>
          <w:rFonts w:ascii="Wingdings 3" w:hAnsi="Wingdings 3"/>
          <w:b/>
          <w:bCs/>
          <w:color w:val="B94F25"/>
        </w:rPr>
        <w:t>i</w:t>
      </w:r>
      <w:r w:rsidR="002E1FBF" w:rsidRPr="002E1FBF">
        <w:rPr>
          <w:b/>
          <w:bCs/>
          <w:color w:val="B94F25"/>
        </w:rPr>
        <w:t xml:space="preserve"> </w:t>
      </w:r>
      <w:r w:rsidR="00781310" w:rsidRPr="002E1FBF">
        <w:rPr>
          <w:b/>
          <w:bCs/>
          <w:color w:val="B94F25"/>
        </w:rPr>
        <w:t xml:space="preserve">down </w:t>
      </w:r>
      <w:r w:rsidR="00361D30">
        <w:rPr>
          <w:b/>
          <w:bCs/>
          <w:color w:val="B94F25"/>
        </w:rPr>
        <w:t>29</w:t>
      </w:r>
      <w:r w:rsidR="003C4F76" w:rsidRPr="002E1FBF">
        <w:rPr>
          <w:b/>
          <w:bCs/>
          <w:color w:val="B94F25"/>
        </w:rPr>
        <w:t>%</w:t>
      </w:r>
      <w:r w:rsidR="00781310" w:rsidRPr="00086AB2">
        <w:t xml:space="preserve">), followed by </w:t>
      </w:r>
      <w:r w:rsidR="00361D30">
        <w:t xml:space="preserve">the Australian Capital </w:t>
      </w:r>
      <w:r w:rsidR="00FA3332">
        <w:t>T</w:t>
      </w:r>
      <w:r w:rsidR="00361D30">
        <w:t xml:space="preserve">erritory </w:t>
      </w:r>
      <w:r w:rsidR="00122143">
        <w:t>(</w:t>
      </w:r>
      <w:r w:rsidR="002E1FBF" w:rsidRPr="007C0401">
        <w:rPr>
          <w:rFonts w:ascii="Wingdings 3" w:hAnsi="Wingdings 3"/>
          <w:b/>
          <w:bCs/>
          <w:color w:val="B94F25"/>
        </w:rPr>
        <w:t>i</w:t>
      </w:r>
      <w:r w:rsidR="002E1FBF">
        <w:t xml:space="preserve"> </w:t>
      </w:r>
      <w:r w:rsidR="00122143" w:rsidRPr="002E1FBF">
        <w:rPr>
          <w:b/>
          <w:bCs/>
          <w:color w:val="B94F25"/>
        </w:rPr>
        <w:t xml:space="preserve">down </w:t>
      </w:r>
      <w:r w:rsidR="00361D30">
        <w:rPr>
          <w:b/>
          <w:bCs/>
          <w:color w:val="B94F25"/>
        </w:rPr>
        <w:t>17</w:t>
      </w:r>
      <w:r w:rsidR="003C4F76" w:rsidRPr="002E1FBF">
        <w:rPr>
          <w:b/>
          <w:bCs/>
          <w:color w:val="B94F25"/>
        </w:rPr>
        <w:t>%</w:t>
      </w:r>
      <w:r w:rsidR="00122143">
        <w:t>)</w:t>
      </w:r>
      <w:r>
        <w:t>.</w:t>
      </w:r>
      <w:r w:rsidR="003A1B9E">
        <w:t xml:space="preserve"> </w:t>
      </w:r>
      <w:r w:rsidR="002E1FBF">
        <w:t>Tasmania recorded the largest increase (</w:t>
      </w:r>
      <w:r w:rsidR="002E1FBF" w:rsidRPr="007C0401">
        <w:rPr>
          <w:rFonts w:ascii="Wingdings 3" w:hAnsi="Wingdings 3"/>
          <w:b/>
          <w:bCs/>
          <w:color w:val="00518E"/>
        </w:rPr>
        <w:t>h</w:t>
      </w:r>
      <w:r w:rsidR="002E1FBF" w:rsidRPr="002E1FBF">
        <w:rPr>
          <w:b/>
          <w:bCs/>
          <w:color w:val="00518E"/>
        </w:rPr>
        <w:t xml:space="preserve"> up </w:t>
      </w:r>
      <w:r w:rsidR="00361D30">
        <w:rPr>
          <w:b/>
          <w:bCs/>
          <w:color w:val="00518E"/>
        </w:rPr>
        <w:t>79</w:t>
      </w:r>
      <w:r w:rsidR="002E1FBF" w:rsidRPr="002E1FBF">
        <w:rPr>
          <w:b/>
          <w:bCs/>
          <w:color w:val="00518E"/>
        </w:rPr>
        <w:t>%</w:t>
      </w:r>
      <w:r w:rsidR="002E1FBF">
        <w:t>).</w:t>
      </w:r>
      <w:r w:rsidR="00192BF8" w:rsidRPr="00192BF8">
        <w:t xml:space="preserve"> </w:t>
      </w:r>
    </w:p>
    <w:p w14:paraId="5E6BDA7B" w14:textId="52CAE95B" w:rsidR="002E1FBF" w:rsidRDefault="00192BF8" w:rsidP="00C36646">
      <w:pPr>
        <w:pStyle w:val="ListParagraph"/>
        <w:numPr>
          <w:ilvl w:val="0"/>
          <w:numId w:val="28"/>
        </w:numPr>
        <w:jc w:val="left"/>
      </w:pPr>
      <w:r>
        <w:t>Overall, t</w:t>
      </w:r>
      <w:r w:rsidRPr="00086AB2">
        <w:t xml:space="preserve">he Australian </w:t>
      </w:r>
      <w:r>
        <w:t xml:space="preserve">frequency </w:t>
      </w:r>
      <w:r w:rsidRPr="00086AB2">
        <w:t>rate</w:t>
      </w:r>
      <w:r>
        <w:t xml:space="preserve"> for th</w:t>
      </w:r>
      <w:r w:rsidR="00A24A0F">
        <w:t xml:space="preserve">is </w:t>
      </w:r>
      <w:r>
        <w:t>industry</w:t>
      </w:r>
      <w:r w:rsidRPr="00086AB2">
        <w:t xml:space="preserve"> </w:t>
      </w:r>
      <w:r w:rsidR="00361D30" w:rsidRPr="00FA3332">
        <w:t>increased</w:t>
      </w:r>
      <w:r w:rsidR="00361D30" w:rsidRPr="00FA3332">
        <w:rPr>
          <w:b/>
          <w:bCs/>
          <w:color w:val="365F91" w:themeColor="accent1" w:themeShade="BF"/>
        </w:rPr>
        <w:t xml:space="preserve"> </w:t>
      </w:r>
      <w:r w:rsidR="00941B5B">
        <w:t>(</w:t>
      </w:r>
      <w:r w:rsidR="00941B5B" w:rsidRPr="007C0401">
        <w:rPr>
          <w:rFonts w:ascii="Wingdings 3" w:hAnsi="Wingdings 3"/>
          <w:b/>
          <w:bCs/>
          <w:color w:val="00518E"/>
        </w:rPr>
        <w:t>h</w:t>
      </w:r>
      <w:r w:rsidR="00941B5B" w:rsidRPr="002E1FBF">
        <w:rPr>
          <w:b/>
          <w:bCs/>
          <w:color w:val="00518E"/>
        </w:rPr>
        <w:t xml:space="preserve"> up </w:t>
      </w:r>
      <w:r w:rsidR="00941B5B">
        <w:rPr>
          <w:b/>
          <w:bCs/>
          <w:color w:val="00518E"/>
        </w:rPr>
        <w:t>5</w:t>
      </w:r>
      <w:r w:rsidR="00941B5B" w:rsidRPr="002E1FBF">
        <w:rPr>
          <w:b/>
          <w:bCs/>
          <w:color w:val="00518E"/>
        </w:rPr>
        <w:t>%</w:t>
      </w:r>
      <w:r w:rsidR="00941B5B">
        <w:t>)</w:t>
      </w:r>
      <w:r w:rsidRPr="00FA3332">
        <w:rPr>
          <w:color w:val="365F91" w:themeColor="accent1" w:themeShade="BF"/>
        </w:rPr>
        <w:t>.</w:t>
      </w:r>
      <w:r w:rsidR="003A1B9E" w:rsidRPr="00FA3332">
        <w:rPr>
          <w:color w:val="365F91" w:themeColor="accent1" w:themeShade="BF"/>
        </w:rPr>
        <w:t xml:space="preserve"> </w:t>
      </w:r>
    </w:p>
    <w:p w14:paraId="7B3E1C7E" w14:textId="548E30D0" w:rsidR="00E40D55" w:rsidRPr="00086AB2" w:rsidRDefault="00E40D55" w:rsidP="0031228B">
      <w:pPr>
        <w:pStyle w:val="Heading3"/>
        <w:spacing w:before="120" w:after="60"/>
      </w:pPr>
      <w:bookmarkStart w:id="80" w:name="_Toc86602503"/>
      <w:bookmarkStart w:id="81" w:name="_Hlk56772873"/>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e</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C</w:t>
      </w:r>
      <w:r w:rsidRPr="00086AB2">
        <w:t>onstruction by jurisdiction</w:t>
      </w:r>
      <w:bookmarkEnd w:id="80"/>
    </w:p>
    <w:bookmarkEnd w:id="81"/>
    <w:p w14:paraId="55269354" w14:textId="59C6B3B2" w:rsidR="008F29A3" w:rsidRDefault="00CF3C4D" w:rsidP="008F29A3">
      <w:pPr>
        <w:jc w:val="center"/>
      </w:pPr>
      <w:r>
        <w:rPr>
          <w:noProof/>
        </w:rPr>
        <w:drawing>
          <wp:inline distT="0" distB="0" distL="0" distR="0" wp14:anchorId="014B858C" wp14:editId="341FA88D">
            <wp:extent cx="5607050" cy="3744379"/>
            <wp:effectExtent l="0" t="0" r="0" b="8890"/>
            <wp:docPr id="73" name="Picture 73" descr="Indicator 11e – Frequency rates of serious claims for Construction by jurisdiction&#10;&#10;This chart shows the Frequency rates (claims per million hours worked) of serious injury and disease claims for Construction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ndicator 11e – Frequency rates of serious claims for Construction by jurisdiction&#10;&#10;This chart shows the Frequency rates (claims per million hours worked) of serious injury and disease claims for Construction industry between 2015-16 and 2020-21, by jurisdiction. Please refer to body text for more information.&#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283" cy="3748541"/>
                    </a:xfrm>
                    <a:prstGeom prst="rect">
                      <a:avLst/>
                    </a:prstGeom>
                    <a:noFill/>
                  </pic:spPr>
                </pic:pic>
              </a:graphicData>
            </a:graphic>
          </wp:inline>
        </w:drawing>
      </w:r>
    </w:p>
    <w:p w14:paraId="72A3203A" w14:textId="77777777" w:rsidR="008659BF" w:rsidRDefault="008659BF">
      <w:pPr>
        <w:spacing w:after="200" w:line="276" w:lineRule="auto"/>
        <w:jc w:val="left"/>
        <w:rPr>
          <w:rFonts w:ascii="Arial Bold" w:eastAsiaTheme="majorEastAsia" w:hAnsi="Arial Bold" w:cs="Arial"/>
          <w:b/>
          <w:kern w:val="32"/>
          <w:sz w:val="28"/>
          <w:szCs w:val="22"/>
        </w:rPr>
      </w:pPr>
      <w:bookmarkStart w:id="82" w:name="_Toc86602504"/>
      <w:r>
        <w:br w:type="page"/>
      </w:r>
    </w:p>
    <w:p w14:paraId="0D9095C5" w14:textId="65C28632" w:rsidR="008F29A3" w:rsidRPr="00086AB2" w:rsidRDefault="008F29A3" w:rsidP="007C5139">
      <w:pPr>
        <w:pStyle w:val="Heading1"/>
        <w:keepNext w:val="0"/>
      </w:pPr>
      <w:r w:rsidRPr="00086AB2">
        <w:lastRenderedPageBreak/>
        <w:t>Wholesale trade</w:t>
      </w:r>
      <w:bookmarkEnd w:id="82"/>
      <w:r>
        <w:t xml:space="preserve"> </w:t>
      </w:r>
    </w:p>
    <w:p w14:paraId="7ECE57CA" w14:textId="7D995686" w:rsidR="008F29A3" w:rsidRDefault="002E1FBF" w:rsidP="007C5139">
      <w:pPr>
        <w:pStyle w:val="ListParagraph"/>
        <w:numPr>
          <w:ilvl w:val="0"/>
          <w:numId w:val="27"/>
        </w:numPr>
      </w:pPr>
      <w:r>
        <w:t xml:space="preserve">The </w:t>
      </w:r>
      <w:r w:rsidRPr="00086AB2">
        <w:t xml:space="preserve">Australian </w:t>
      </w:r>
      <w:r>
        <w:t xml:space="preserve">frequency </w:t>
      </w:r>
      <w:r w:rsidRPr="00086AB2">
        <w:t xml:space="preserve">rate for </w:t>
      </w:r>
      <w:r>
        <w:t xml:space="preserve">this </w:t>
      </w:r>
      <w:r w:rsidRPr="00086AB2">
        <w:t>industry</w:t>
      </w:r>
      <w:r>
        <w:t xml:space="preserve"> in </w:t>
      </w:r>
      <w:r w:rsidR="000625F3">
        <w:t>2020</w:t>
      </w:r>
      <w:r w:rsidR="003A1B9E">
        <w:t>–2</w:t>
      </w:r>
      <w:r w:rsidR="000625F3">
        <w:t>1</w:t>
      </w:r>
      <w:r w:rsidR="003A1B9E">
        <w:t>p</w:t>
      </w:r>
      <w:r>
        <w:t xml:space="preserve"> was </w:t>
      </w:r>
      <w:r w:rsidR="000625F3">
        <w:t>8.0</w:t>
      </w:r>
      <w:r>
        <w:t xml:space="preserve"> claims per million hours worked.</w:t>
      </w:r>
      <w:r w:rsidR="003A1B9E">
        <w:t xml:space="preserve"> </w:t>
      </w:r>
      <w:r>
        <w:t>B</w:t>
      </w:r>
      <w:r w:rsidR="008F29A3" w:rsidRPr="00086AB2">
        <w:t xml:space="preserve">etween </w:t>
      </w:r>
      <w:r>
        <w:t>2</w:t>
      </w:r>
      <w:r w:rsidRPr="00086AB2">
        <w:t>01</w:t>
      </w:r>
      <w:r w:rsidR="00DC23A9">
        <w:t>5</w:t>
      </w:r>
      <w:r w:rsidRPr="00086AB2">
        <w:t>–1</w:t>
      </w:r>
      <w:r w:rsidR="00DC23A9">
        <w:t>6</w:t>
      </w:r>
      <w:r>
        <w:t xml:space="preserve"> and </w:t>
      </w:r>
      <w:r w:rsidRPr="00086AB2">
        <w:t>201</w:t>
      </w:r>
      <w:r w:rsidR="00DC23A9">
        <w:t>9</w:t>
      </w:r>
      <w:r w:rsidRPr="00086AB2">
        <w:t>–</w:t>
      </w:r>
      <w:r w:rsidR="00DC23A9">
        <w:t>20</w:t>
      </w:r>
      <w:r w:rsidR="00192BF8">
        <w:t xml:space="preserve"> </w:t>
      </w:r>
      <w:r w:rsidR="008F29A3" w:rsidRPr="00086AB2">
        <w:t xml:space="preserve">the Australian </w:t>
      </w:r>
      <w:r>
        <w:t xml:space="preserve">frequency </w:t>
      </w:r>
      <w:r w:rsidR="008F29A3" w:rsidRPr="00086AB2">
        <w:t xml:space="preserve">rate for </w:t>
      </w:r>
      <w:r>
        <w:t xml:space="preserve">this </w:t>
      </w:r>
      <w:r w:rsidR="008F29A3" w:rsidRPr="00086AB2">
        <w:t xml:space="preserve">industry </w:t>
      </w:r>
      <w:r w:rsidR="00DC23A9" w:rsidRPr="00524364">
        <w:t>increased</w:t>
      </w:r>
      <w:r w:rsidR="00DC23A9" w:rsidRPr="00524364">
        <w:rPr>
          <w:b/>
          <w:bCs/>
          <w:color w:val="365F91" w:themeColor="accent1" w:themeShade="BF"/>
        </w:rPr>
        <w:t xml:space="preserve"> </w:t>
      </w:r>
      <w:r w:rsidR="001769C7">
        <w:t>(</w:t>
      </w:r>
      <w:r w:rsidR="001769C7" w:rsidRPr="007C0401">
        <w:rPr>
          <w:rFonts w:ascii="Wingdings 3" w:hAnsi="Wingdings 3"/>
          <w:b/>
          <w:bCs/>
          <w:color w:val="00518E"/>
        </w:rPr>
        <w:t>h</w:t>
      </w:r>
      <w:r w:rsidR="001769C7">
        <w:t xml:space="preserve"> </w:t>
      </w:r>
      <w:r w:rsidR="001769C7" w:rsidRPr="005D486E">
        <w:rPr>
          <w:b/>
          <w:bCs/>
          <w:color w:val="00518E"/>
        </w:rPr>
        <w:t xml:space="preserve">up </w:t>
      </w:r>
      <w:r w:rsidR="001769C7">
        <w:rPr>
          <w:b/>
          <w:bCs/>
          <w:color w:val="00518E"/>
        </w:rPr>
        <w:t>10</w:t>
      </w:r>
      <w:r w:rsidR="001769C7" w:rsidRPr="005D486E">
        <w:rPr>
          <w:b/>
          <w:bCs/>
          <w:color w:val="00518E"/>
        </w:rPr>
        <w:t>%</w:t>
      </w:r>
      <w:r w:rsidR="001769C7">
        <w:t>).</w:t>
      </w:r>
    </w:p>
    <w:p w14:paraId="7FE92247" w14:textId="5CEA1ED2" w:rsidR="002E1FBF" w:rsidRDefault="00441C79" w:rsidP="007C5139">
      <w:pPr>
        <w:pStyle w:val="ListParagraph"/>
        <w:numPr>
          <w:ilvl w:val="0"/>
          <w:numId w:val="27"/>
        </w:numPr>
      </w:pPr>
      <w:r>
        <w:t>The Australian Capital Territory</w:t>
      </w:r>
      <w:r w:rsidR="000625F3">
        <w:t xml:space="preserve"> </w:t>
      </w:r>
      <w:r w:rsidR="00B25BA6">
        <w:t>(</w:t>
      </w:r>
      <w:r>
        <w:t>11.7</w:t>
      </w:r>
      <w:r w:rsidR="00B25BA6" w:rsidRPr="002E1FBF">
        <w:t xml:space="preserve"> </w:t>
      </w:r>
      <w:r w:rsidR="00B25BA6">
        <w:t>claims per million hours worked) recorded the</w:t>
      </w:r>
      <w:r w:rsidR="002E1FBF">
        <w:t xml:space="preserve"> highest rate </w:t>
      </w:r>
      <w:r w:rsidR="00B25BA6">
        <w:t xml:space="preserve">while </w:t>
      </w:r>
      <w:r w:rsidR="002C1C94">
        <w:t>the Northern Territory</w:t>
      </w:r>
      <w:r w:rsidR="00B25BA6">
        <w:t xml:space="preserve"> (</w:t>
      </w:r>
      <w:r w:rsidR="000625F3">
        <w:t>4.</w:t>
      </w:r>
      <w:r w:rsidR="002C1C94">
        <w:t>3</w:t>
      </w:r>
      <w:r w:rsidR="00B25BA6">
        <w:t xml:space="preserve"> claims per million hours worked)</w:t>
      </w:r>
      <w:r w:rsidR="002E1FBF">
        <w:t xml:space="preserve"> recorded the lowest </w:t>
      </w:r>
      <w:r w:rsidR="00B25BA6">
        <w:t xml:space="preserve">in </w:t>
      </w:r>
      <w:r>
        <w:t>2020</w:t>
      </w:r>
      <w:r w:rsidR="00B25BA6">
        <w:t>–2</w:t>
      </w:r>
      <w:r>
        <w:t>1p</w:t>
      </w:r>
      <w:r w:rsidR="00B25BA6">
        <w:t xml:space="preserve">. </w:t>
      </w:r>
    </w:p>
    <w:p w14:paraId="60995824" w14:textId="768B9AE9" w:rsidR="00192BF8" w:rsidRDefault="002C1C94" w:rsidP="007C5139">
      <w:pPr>
        <w:pStyle w:val="ListParagraph"/>
        <w:numPr>
          <w:ilvl w:val="0"/>
          <w:numId w:val="27"/>
        </w:numPr>
      </w:pPr>
      <w:r>
        <w:t>Four</w:t>
      </w:r>
      <w:r w:rsidR="00DC23A9">
        <w:t xml:space="preserve"> </w:t>
      </w:r>
      <w:r w:rsidR="00192BF8">
        <w:t>out</w:t>
      </w:r>
      <w:r w:rsidR="002E1FBF">
        <w:t xml:space="preserve"> of 8 jurisdictions recorded decreases in their frequency rate</w:t>
      </w:r>
      <w:r w:rsidR="00192BF8">
        <w:t xml:space="preserve"> 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rsidR="00192BF8">
        <w:t xml:space="preserve">. </w:t>
      </w:r>
      <w:r w:rsidR="00DC23A9">
        <w:t>Victoria</w:t>
      </w:r>
      <w:r w:rsidR="005F2E36">
        <w:t xml:space="preserve"> recorded a</w:t>
      </w:r>
      <w:r w:rsidR="002E1FBF">
        <w:t xml:space="preserve"> </w:t>
      </w:r>
      <w:r w:rsidR="005F2E36">
        <w:rPr>
          <w:b/>
          <w:bCs/>
          <w:color w:val="B94F25"/>
        </w:rPr>
        <w:t>16% decrease</w:t>
      </w:r>
      <w:r>
        <w:t xml:space="preserve"> </w:t>
      </w:r>
      <w:r w:rsidR="005F2E36">
        <w:t>and</w:t>
      </w:r>
      <w:r>
        <w:t xml:space="preserve"> </w:t>
      </w:r>
      <w:r w:rsidR="005F2E36">
        <w:t>t</w:t>
      </w:r>
      <w:r>
        <w:t>he Australian Capital Territory</w:t>
      </w:r>
      <w:r w:rsidR="001769C7">
        <w:t xml:space="preserve"> </w:t>
      </w:r>
      <w:r w:rsidR="002E1FBF">
        <w:t xml:space="preserve">recorded </w:t>
      </w:r>
      <w:r w:rsidR="005F2E36">
        <w:t xml:space="preserve">a </w:t>
      </w:r>
      <w:r w:rsidR="005F2E36">
        <w:rPr>
          <w:b/>
          <w:bCs/>
          <w:color w:val="B94F25"/>
        </w:rPr>
        <w:t>12% decrease</w:t>
      </w:r>
      <w:r w:rsidR="00192BF8">
        <w:t>.</w:t>
      </w:r>
      <w:r w:rsidR="003A1B9E">
        <w:t xml:space="preserve"> </w:t>
      </w:r>
      <w:r w:rsidR="00192BF8">
        <w:t>Tasmania recorded the largest increase (</w:t>
      </w:r>
      <w:r w:rsidR="005D486E" w:rsidRPr="007C0401">
        <w:rPr>
          <w:rFonts w:ascii="Wingdings 3" w:hAnsi="Wingdings 3"/>
          <w:b/>
          <w:bCs/>
          <w:color w:val="00518E"/>
        </w:rPr>
        <w:t>h</w:t>
      </w:r>
      <w:r w:rsidR="005D486E">
        <w:t xml:space="preserve"> </w:t>
      </w:r>
      <w:r w:rsidR="00192BF8" w:rsidRPr="005D486E">
        <w:rPr>
          <w:b/>
          <w:bCs/>
          <w:color w:val="00518E"/>
        </w:rPr>
        <w:t xml:space="preserve">up </w:t>
      </w:r>
      <w:r>
        <w:rPr>
          <w:b/>
          <w:bCs/>
          <w:color w:val="00518E"/>
        </w:rPr>
        <w:t>5</w:t>
      </w:r>
      <w:r w:rsidR="00DC23A9">
        <w:rPr>
          <w:b/>
          <w:bCs/>
          <w:color w:val="00518E"/>
        </w:rPr>
        <w:t>0</w:t>
      </w:r>
      <w:r w:rsidR="00192BF8" w:rsidRPr="005D486E">
        <w:rPr>
          <w:b/>
          <w:bCs/>
          <w:color w:val="00518E"/>
        </w:rPr>
        <w:t>%</w:t>
      </w:r>
      <w:r w:rsidR="00192BF8">
        <w:t>)</w:t>
      </w:r>
      <w:r w:rsidR="00CE770C">
        <w:t>.</w:t>
      </w:r>
    </w:p>
    <w:p w14:paraId="365985A6" w14:textId="7CC60F87" w:rsidR="00E40D55" w:rsidRPr="00086AB2" w:rsidRDefault="00E40D55" w:rsidP="0031228B">
      <w:pPr>
        <w:pStyle w:val="Heading3"/>
        <w:spacing w:before="120" w:after="60"/>
      </w:pPr>
      <w:bookmarkStart w:id="83" w:name="_Toc86602505"/>
      <w:bookmarkStart w:id="84" w:name="_Hlk56772883"/>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f</w:t>
      </w:r>
      <w:r w:rsidR="006F0762" w:rsidRPr="00086AB2">
        <w:rPr>
          <w:noProof/>
        </w:rPr>
        <w:fldChar w:fldCharType="end"/>
      </w:r>
      <w:r w:rsidRPr="00086AB2">
        <w:t xml:space="preserve"> – </w:t>
      </w:r>
      <w:r w:rsidR="003A1B9E">
        <w:t>Frequency</w:t>
      </w:r>
      <w:r w:rsidR="003A1B9E" w:rsidRPr="00086AB2">
        <w:t xml:space="preserve"> </w:t>
      </w:r>
      <w:r w:rsidR="00957093" w:rsidRPr="00086AB2">
        <w:t xml:space="preserve">rates of serious claims for </w:t>
      </w:r>
      <w:r w:rsidR="009D46FF" w:rsidRPr="00086AB2">
        <w:t>W</w:t>
      </w:r>
      <w:r w:rsidRPr="00086AB2">
        <w:t>holesale trade by jurisdiction</w:t>
      </w:r>
      <w:bookmarkEnd w:id="83"/>
    </w:p>
    <w:bookmarkEnd w:id="84"/>
    <w:p w14:paraId="236911D0" w14:textId="1089D91B" w:rsidR="00781310" w:rsidRDefault="00017CA2" w:rsidP="0048685D">
      <w:pPr>
        <w:jc w:val="center"/>
      </w:pPr>
      <w:r>
        <w:rPr>
          <w:noProof/>
        </w:rPr>
        <w:drawing>
          <wp:inline distT="0" distB="0" distL="0" distR="0" wp14:anchorId="38390459" wp14:editId="767F5275">
            <wp:extent cx="5438140" cy="3529965"/>
            <wp:effectExtent l="0" t="0" r="0" b="0"/>
            <wp:docPr id="74" name="Picture 74" descr="Indicator 11f – Frequency rates of serious claims for Wholesale trade by jurisdiction&#10;&#10;This chart shows the Frequency rates (claims per million hours worked) of serious injury and disease claims for Wholesale trade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ndicator 11f – Frequency rates of serious claims for Wholesale trade by jurisdiction&#10;&#10;This chart shows the Frequency rates (claims per million hours worked) of serious injury and disease claims for Wholesale trade industry between 2015-16 and 2020-21, by jurisdiction. Please refer to body text for more information.&#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8140" cy="3529965"/>
                    </a:xfrm>
                    <a:prstGeom prst="rect">
                      <a:avLst/>
                    </a:prstGeom>
                    <a:noFill/>
                  </pic:spPr>
                </pic:pic>
              </a:graphicData>
            </a:graphic>
          </wp:inline>
        </w:drawing>
      </w:r>
    </w:p>
    <w:p w14:paraId="0540CB48" w14:textId="6130BECE" w:rsidR="00522C19" w:rsidRDefault="00522C19" w:rsidP="004F6BA7">
      <w:pPr>
        <w:pStyle w:val="Heading1"/>
        <w:keepLines/>
        <w:spacing w:before="0"/>
      </w:pPr>
      <w:bookmarkStart w:id="85" w:name="_Toc86602506"/>
    </w:p>
    <w:p w14:paraId="7746C663" w14:textId="399F182E" w:rsidR="008659BF" w:rsidRDefault="008659BF">
      <w:pPr>
        <w:spacing w:after="200" w:line="276" w:lineRule="auto"/>
        <w:jc w:val="left"/>
        <w:rPr>
          <w:rFonts w:ascii="Arial Bold" w:eastAsiaTheme="majorEastAsia" w:hAnsi="Arial Bold" w:cs="Arial"/>
          <w:b/>
          <w:kern w:val="32"/>
          <w:sz w:val="28"/>
          <w:szCs w:val="22"/>
        </w:rPr>
      </w:pPr>
      <w:r>
        <w:br w:type="page"/>
      </w:r>
    </w:p>
    <w:p w14:paraId="14EC6248" w14:textId="771838C5" w:rsidR="008F29A3" w:rsidRPr="00086AB2" w:rsidRDefault="008F29A3" w:rsidP="004F6BA7">
      <w:pPr>
        <w:pStyle w:val="Heading1"/>
        <w:keepLines/>
        <w:spacing w:before="0"/>
      </w:pPr>
      <w:r w:rsidRPr="00086AB2">
        <w:lastRenderedPageBreak/>
        <w:t>Retail trade</w:t>
      </w:r>
      <w:bookmarkEnd w:id="85"/>
      <w:r>
        <w:t xml:space="preserve"> </w:t>
      </w:r>
    </w:p>
    <w:p w14:paraId="00A095E5" w14:textId="2CB4F13B" w:rsidR="00192BF8" w:rsidRDefault="00192BF8" w:rsidP="00C03259">
      <w:pPr>
        <w:pStyle w:val="ListParagraph"/>
        <w:numPr>
          <w:ilvl w:val="0"/>
          <w:numId w:val="29"/>
        </w:numPr>
      </w:pPr>
      <w:r>
        <w:t>T</w:t>
      </w:r>
      <w:r w:rsidRPr="00086AB2">
        <w:t xml:space="preserve">he </w:t>
      </w:r>
      <w:r w:rsidR="000625F3">
        <w:t>2020</w:t>
      </w:r>
      <w:r w:rsidR="003A1B9E">
        <w:t>–2</w:t>
      </w:r>
      <w:r w:rsidR="000625F3">
        <w:t>1</w:t>
      </w:r>
      <w:r w:rsidR="00441C79">
        <w:t>p</w:t>
      </w:r>
      <w:r>
        <w:t xml:space="preserve"> </w:t>
      </w:r>
      <w:r w:rsidRPr="00086AB2">
        <w:t xml:space="preserve">Australian </w:t>
      </w:r>
      <w:r>
        <w:t>frequency</w:t>
      </w:r>
      <w:r w:rsidRPr="00086AB2">
        <w:t xml:space="preserve"> rate in the Retail trade industry</w:t>
      </w:r>
      <w:r>
        <w:t xml:space="preserve"> was 5.1 claims </w:t>
      </w:r>
      <w:r w:rsidR="005D486E">
        <w:t>per million hours worked.</w:t>
      </w:r>
      <w:r>
        <w:t xml:space="preserve"> </w:t>
      </w:r>
    </w:p>
    <w:p w14:paraId="51D74B07" w14:textId="51D62A62" w:rsidR="005D486E" w:rsidRDefault="00253964" w:rsidP="00C03259">
      <w:pPr>
        <w:pStyle w:val="ListParagraph"/>
        <w:numPr>
          <w:ilvl w:val="0"/>
          <w:numId w:val="29"/>
        </w:numPr>
      </w:pPr>
      <w:r>
        <w:t xml:space="preserve">The Australian Capital Territory </w:t>
      </w:r>
      <w:r w:rsidR="005D486E">
        <w:t xml:space="preserve">recorded the highest frequency rate in this industry in </w:t>
      </w:r>
      <w:r w:rsidR="002C0AE7">
        <w:br/>
      </w:r>
      <w:r w:rsidR="003A1B9E">
        <w:t>2019–20p</w:t>
      </w:r>
      <w:r w:rsidR="005D486E">
        <w:t xml:space="preserve"> (7</w:t>
      </w:r>
      <w:r>
        <w:t>.4</w:t>
      </w:r>
      <w:r w:rsidR="00D33160">
        <w:t xml:space="preserve"> </w:t>
      </w:r>
      <w:r w:rsidR="005D486E">
        <w:t>claims per million hours worked) while the Northern Territory recorded the lowest (</w:t>
      </w:r>
      <w:r>
        <w:t>3.1</w:t>
      </w:r>
      <w:r w:rsidR="005D486E" w:rsidRPr="005D486E">
        <w:t xml:space="preserve"> </w:t>
      </w:r>
      <w:r w:rsidR="005D486E">
        <w:t>claims per million hours worked).</w:t>
      </w:r>
    </w:p>
    <w:p w14:paraId="04F280AB" w14:textId="49C40224" w:rsidR="005D486E" w:rsidRDefault="008F29A3" w:rsidP="00C03259">
      <w:pPr>
        <w:pStyle w:val="ListParagraph"/>
        <w:numPr>
          <w:ilvl w:val="0"/>
          <w:numId w:val="29"/>
        </w:numPr>
      </w:pPr>
      <w:r>
        <w:t>T</w:t>
      </w:r>
      <w:r w:rsidRPr="00086AB2">
        <w:t xml:space="preserve">he Australian </w:t>
      </w:r>
      <w:r w:rsidR="003A1B9E">
        <w:t>frequency</w:t>
      </w:r>
      <w:r w:rsidRPr="00086AB2">
        <w:t xml:space="preserve"> rate of claims in the Retail trade industry </w:t>
      </w:r>
      <w:r w:rsidR="00253964" w:rsidRPr="00C223FD">
        <w:rPr>
          <w:b/>
          <w:bCs/>
          <w:color w:val="00518E"/>
        </w:rPr>
        <w:t>in</w:t>
      </w:r>
      <w:r w:rsidRPr="00C223FD">
        <w:rPr>
          <w:b/>
          <w:bCs/>
          <w:color w:val="00518E"/>
        </w:rPr>
        <w:t xml:space="preserve">creased </w:t>
      </w:r>
      <w:r w:rsidR="005F2E36">
        <w:rPr>
          <w:b/>
          <w:bCs/>
          <w:color w:val="00518E"/>
        </w:rPr>
        <w:t xml:space="preserve">by </w:t>
      </w:r>
      <w:r w:rsidR="00253964">
        <w:rPr>
          <w:b/>
          <w:bCs/>
          <w:color w:val="00518E"/>
        </w:rPr>
        <w:t>6</w:t>
      </w:r>
      <w:r w:rsidR="00253964" w:rsidRPr="005D486E">
        <w:rPr>
          <w:b/>
          <w:bCs/>
          <w:color w:val="00518E"/>
        </w:rPr>
        <w:t>%</w:t>
      </w:r>
      <w:r w:rsidRPr="006E2C4F">
        <w:rPr>
          <w:color w:val="B94F25"/>
        </w:rPr>
        <w:t xml:space="preserve"> </w:t>
      </w:r>
      <w:r w:rsidRPr="00086AB2">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rsidRPr="00086AB2">
        <w:t xml:space="preserve">. </w:t>
      </w:r>
      <w:r w:rsidR="00253964">
        <w:t xml:space="preserve">The Northern Territory </w:t>
      </w:r>
      <w:r w:rsidR="005D486E">
        <w:t>recorded the largest decrease (</w:t>
      </w:r>
      <w:r w:rsidR="005D486E" w:rsidRPr="007C0401">
        <w:rPr>
          <w:rFonts w:ascii="Wingdings 3" w:hAnsi="Wingdings 3"/>
          <w:b/>
          <w:bCs/>
          <w:color w:val="B94F25"/>
        </w:rPr>
        <w:t>i</w:t>
      </w:r>
      <w:r w:rsidR="005D486E" w:rsidRPr="005D486E">
        <w:rPr>
          <w:b/>
          <w:bCs/>
          <w:color w:val="B94F25"/>
        </w:rPr>
        <w:t xml:space="preserve"> </w:t>
      </w:r>
      <w:r w:rsidR="005D486E" w:rsidRPr="006E2C4F">
        <w:rPr>
          <w:b/>
          <w:bCs/>
          <w:color w:val="B94F25"/>
        </w:rPr>
        <w:t>down</w:t>
      </w:r>
      <w:r w:rsidR="005D486E" w:rsidRPr="005D486E">
        <w:rPr>
          <w:b/>
          <w:bCs/>
          <w:color w:val="B94F25"/>
        </w:rPr>
        <w:t xml:space="preserve"> </w:t>
      </w:r>
      <w:r w:rsidR="00253964">
        <w:rPr>
          <w:b/>
          <w:bCs/>
          <w:color w:val="B94F25"/>
        </w:rPr>
        <w:t>37</w:t>
      </w:r>
      <w:r w:rsidR="005D486E" w:rsidRPr="005D486E">
        <w:rPr>
          <w:b/>
          <w:bCs/>
          <w:color w:val="B94F25"/>
        </w:rPr>
        <w:t>%</w:t>
      </w:r>
      <w:r w:rsidR="005D486E">
        <w:t xml:space="preserve">), followed by </w:t>
      </w:r>
      <w:r w:rsidR="00253964">
        <w:t>the Australian Capital Territory</w:t>
      </w:r>
      <w:r w:rsidR="00C223FD">
        <w:t xml:space="preserve"> </w:t>
      </w:r>
      <w:r w:rsidR="005D486E">
        <w:t>(</w:t>
      </w:r>
      <w:r w:rsidR="005D486E" w:rsidRPr="007C0401">
        <w:rPr>
          <w:rFonts w:ascii="Wingdings 3" w:hAnsi="Wingdings 3"/>
          <w:b/>
          <w:bCs/>
          <w:color w:val="B94F25"/>
        </w:rPr>
        <w:t>i</w:t>
      </w:r>
      <w:r w:rsidR="005D486E">
        <w:t xml:space="preserve"> </w:t>
      </w:r>
      <w:r w:rsidR="005D486E" w:rsidRPr="005D486E">
        <w:rPr>
          <w:b/>
          <w:bCs/>
          <w:color w:val="B94F25"/>
        </w:rPr>
        <w:t xml:space="preserve">down </w:t>
      </w:r>
      <w:r w:rsidR="00253964">
        <w:rPr>
          <w:b/>
          <w:bCs/>
          <w:color w:val="B94F25"/>
        </w:rPr>
        <w:t>21</w:t>
      </w:r>
      <w:r w:rsidR="005D486E" w:rsidRPr="005D486E">
        <w:rPr>
          <w:b/>
          <w:bCs/>
          <w:color w:val="B94F25"/>
        </w:rPr>
        <w:t>%</w:t>
      </w:r>
      <w:r w:rsidR="005D486E">
        <w:t>).</w:t>
      </w:r>
      <w:r w:rsidR="003A1B9E">
        <w:t xml:space="preserve"> </w:t>
      </w:r>
    </w:p>
    <w:p w14:paraId="0839C6CB" w14:textId="74668E1B" w:rsidR="005D486E" w:rsidRDefault="005D486E" w:rsidP="00C03259">
      <w:pPr>
        <w:pStyle w:val="ListParagraph"/>
        <w:numPr>
          <w:ilvl w:val="0"/>
          <w:numId w:val="29"/>
        </w:numPr>
      </w:pPr>
      <w:r>
        <w:t>Over the same period, Tasmania reco</w:t>
      </w:r>
      <w:r w:rsidR="004B1A0E">
        <w:t>r</w:t>
      </w:r>
      <w:r>
        <w:t>ded the largest increase (</w:t>
      </w:r>
      <w:r w:rsidRPr="007C0401">
        <w:rPr>
          <w:rFonts w:ascii="Wingdings 3" w:hAnsi="Wingdings 3"/>
          <w:b/>
          <w:bCs/>
          <w:color w:val="00518E"/>
        </w:rPr>
        <w:t>h</w:t>
      </w:r>
      <w:r>
        <w:t xml:space="preserve"> </w:t>
      </w:r>
      <w:r w:rsidRPr="005D486E">
        <w:rPr>
          <w:b/>
          <w:bCs/>
          <w:color w:val="00518E"/>
        </w:rPr>
        <w:t xml:space="preserve">up </w:t>
      </w:r>
      <w:r w:rsidR="00253964">
        <w:rPr>
          <w:b/>
          <w:bCs/>
          <w:color w:val="00518E"/>
        </w:rPr>
        <w:t>32</w:t>
      </w:r>
      <w:r w:rsidRPr="005D486E">
        <w:rPr>
          <w:b/>
          <w:bCs/>
          <w:color w:val="00518E"/>
        </w:rPr>
        <w:t>%</w:t>
      </w:r>
      <w:r>
        <w:t xml:space="preserve">) followed by </w:t>
      </w:r>
      <w:r w:rsidR="00253964">
        <w:t xml:space="preserve">Victoria </w:t>
      </w:r>
      <w:r>
        <w:t>(</w:t>
      </w:r>
      <w:r w:rsidRPr="007C0401">
        <w:rPr>
          <w:rFonts w:ascii="Wingdings 3" w:hAnsi="Wingdings 3"/>
          <w:b/>
          <w:bCs/>
          <w:color w:val="00518E"/>
        </w:rPr>
        <w:t>h</w:t>
      </w:r>
      <w:r>
        <w:t xml:space="preserve"> </w:t>
      </w:r>
      <w:r w:rsidRPr="005D486E">
        <w:rPr>
          <w:b/>
          <w:bCs/>
          <w:color w:val="00518E"/>
        </w:rPr>
        <w:t xml:space="preserve">up </w:t>
      </w:r>
      <w:r w:rsidR="002C1C94">
        <w:rPr>
          <w:b/>
          <w:bCs/>
          <w:color w:val="00518E"/>
        </w:rPr>
        <w:t>18</w:t>
      </w:r>
      <w:r w:rsidRPr="005D486E">
        <w:rPr>
          <w:b/>
          <w:bCs/>
          <w:color w:val="00518E"/>
        </w:rPr>
        <w:t>%</w:t>
      </w:r>
      <w:r>
        <w:t xml:space="preserve">) and </w:t>
      </w:r>
      <w:r w:rsidR="002C1C94">
        <w:t>New South Wales</w:t>
      </w:r>
      <w:r>
        <w:t xml:space="preserve"> (</w:t>
      </w:r>
      <w:r w:rsidRPr="007C0401">
        <w:rPr>
          <w:rFonts w:ascii="Wingdings 3" w:hAnsi="Wingdings 3"/>
          <w:b/>
          <w:bCs/>
          <w:color w:val="00518E"/>
        </w:rPr>
        <w:t>h</w:t>
      </w:r>
      <w:r>
        <w:t> </w:t>
      </w:r>
      <w:r w:rsidRPr="005D486E">
        <w:rPr>
          <w:b/>
          <w:bCs/>
          <w:color w:val="00518E"/>
        </w:rPr>
        <w:t>up</w:t>
      </w:r>
      <w:r>
        <w:rPr>
          <w:b/>
          <w:bCs/>
          <w:color w:val="00518E"/>
        </w:rPr>
        <w:t> </w:t>
      </w:r>
      <w:r w:rsidR="002C1C94">
        <w:rPr>
          <w:b/>
          <w:bCs/>
          <w:color w:val="00518E"/>
        </w:rPr>
        <w:t>11</w:t>
      </w:r>
      <w:r w:rsidRPr="005D486E">
        <w:rPr>
          <w:b/>
          <w:bCs/>
          <w:color w:val="00518E"/>
        </w:rPr>
        <w:t>%</w:t>
      </w:r>
      <w:r>
        <w:t>).</w:t>
      </w:r>
    </w:p>
    <w:p w14:paraId="63AE96FE" w14:textId="6129C243" w:rsidR="008F29A3" w:rsidRPr="00086AB2" w:rsidRDefault="008F29A3" w:rsidP="0031228B">
      <w:pPr>
        <w:pStyle w:val="Heading3"/>
      </w:pPr>
      <w:bookmarkStart w:id="86" w:name="_Toc86602507"/>
      <w:bookmarkStart w:id="87" w:name="_Hlk56772894"/>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4132C1">
        <w:rPr>
          <w:noProof/>
        </w:rPr>
        <w:t>g</w:t>
      </w:r>
      <w:r w:rsidRPr="00086AB2">
        <w:rPr>
          <w:noProof/>
        </w:rPr>
        <w:fldChar w:fldCharType="end"/>
      </w:r>
      <w:r w:rsidRPr="00086AB2">
        <w:t xml:space="preserve"> – </w:t>
      </w:r>
      <w:r w:rsidR="003A1B9E">
        <w:t>Frequency</w:t>
      </w:r>
      <w:r w:rsidR="003A1B9E" w:rsidRPr="00086AB2">
        <w:t xml:space="preserve"> </w:t>
      </w:r>
      <w:r w:rsidRPr="00086AB2">
        <w:t>rates of serious claims for Retail trade by jurisdictio</w:t>
      </w:r>
      <w:r>
        <w:t>n</w:t>
      </w:r>
      <w:bookmarkEnd w:id="86"/>
    </w:p>
    <w:bookmarkEnd w:id="87"/>
    <w:p w14:paraId="1298FADC" w14:textId="7ECEAF36" w:rsidR="005B14A5" w:rsidRDefault="00AB5B6A" w:rsidP="0039462E">
      <w:pPr>
        <w:spacing w:after="0"/>
        <w:jc w:val="center"/>
      </w:pPr>
      <w:r>
        <w:rPr>
          <w:noProof/>
        </w:rPr>
        <mc:AlternateContent>
          <mc:Choice Requires="wps">
            <w:drawing>
              <wp:anchor distT="0" distB="0" distL="114300" distR="114300" simplePos="0" relativeHeight="251698176" behindDoc="0" locked="0" layoutInCell="1" allowOverlap="1" wp14:anchorId="5A24AE0A" wp14:editId="46F669C2">
                <wp:simplePos x="0" y="0"/>
                <wp:positionH relativeFrom="column">
                  <wp:posOffset>1113790</wp:posOffset>
                </wp:positionH>
                <wp:positionV relativeFrom="paragraph">
                  <wp:posOffset>2802890</wp:posOffset>
                </wp:positionV>
                <wp:extent cx="4667638" cy="133153"/>
                <wp:effectExtent l="0" t="0" r="0" b="635"/>
                <wp:wrapNone/>
                <wp:docPr id="18" name="Rectangle 17">
                  <a:extLst xmlns:a="http://schemas.openxmlformats.org/drawingml/2006/main">
                    <a:ext uri="{FF2B5EF4-FFF2-40B4-BE49-F238E27FC236}">
                      <a16:creationId xmlns:a16="http://schemas.microsoft.com/office/drawing/2014/main" id="{9CB2B075-CD72-44B2-8F26-89A72973F97C}"/>
                    </a:ext>
                  </a:extLst>
                </wp:docPr>
                <wp:cNvGraphicFramePr/>
                <a:graphic xmlns:a="http://schemas.openxmlformats.org/drawingml/2006/main">
                  <a:graphicData uri="http://schemas.microsoft.com/office/word/2010/wordprocessingShape">
                    <wps:wsp>
                      <wps:cNvSpPr/>
                      <wps:spPr>
                        <a:xfrm>
                          <a:off x="0" y="0"/>
                          <a:ext cx="4667638" cy="133153"/>
                        </a:xfrm>
                        <a:prstGeom prst="rect">
                          <a:avLst/>
                        </a:prstGeom>
                        <a:solidFill>
                          <a:sysClr val="window" lastClr="FFFFFF"/>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w14:anchorId="12B116B4" id="Rectangle 17" o:spid="_x0000_s1026" style="position:absolute;margin-left:87.7pt;margin-top:220.7pt;width:367.55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" fillcolor="window" stroked="f" strokeweight="2pt"/>
            </w:pict>
          </mc:Fallback>
        </mc:AlternateContent>
      </w:r>
      <w:r>
        <w:rPr>
          <w:noProof/>
        </w:rPr>
        <w:drawing>
          <wp:inline distT="0" distB="0" distL="0" distR="0" wp14:anchorId="27C9522C" wp14:editId="273AC0ED">
            <wp:extent cx="5974080" cy="3048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6158" cy="3054162"/>
                    </a:xfrm>
                    <a:prstGeom prst="rect">
                      <a:avLst/>
                    </a:prstGeom>
                    <a:noFill/>
                  </pic:spPr>
                </pic:pic>
              </a:graphicData>
            </a:graphic>
          </wp:inline>
        </w:drawing>
      </w:r>
    </w:p>
    <w:p w14:paraId="198F4188" w14:textId="77777777" w:rsidR="00D33160" w:rsidRDefault="00D33160" w:rsidP="0039462E">
      <w:pPr>
        <w:spacing w:after="0"/>
        <w:jc w:val="center"/>
      </w:pPr>
    </w:p>
    <w:p w14:paraId="5B7B1331" w14:textId="77777777" w:rsidR="00522C19" w:rsidRDefault="00522C19" w:rsidP="004F6BA7">
      <w:pPr>
        <w:pStyle w:val="Heading1"/>
        <w:keepLines/>
        <w:spacing w:before="0"/>
      </w:pPr>
      <w:bookmarkStart w:id="88" w:name="_Toc86602508"/>
    </w:p>
    <w:p w14:paraId="375FEF9C" w14:textId="77777777" w:rsidR="008659BF" w:rsidRDefault="008659BF">
      <w:pPr>
        <w:spacing w:after="200" w:line="276" w:lineRule="auto"/>
        <w:jc w:val="left"/>
        <w:rPr>
          <w:rFonts w:ascii="Arial Bold" w:eastAsiaTheme="majorEastAsia" w:hAnsi="Arial Bold" w:cs="Arial"/>
          <w:b/>
          <w:kern w:val="32"/>
          <w:sz w:val="28"/>
          <w:szCs w:val="22"/>
        </w:rPr>
      </w:pPr>
      <w:r>
        <w:br w:type="page"/>
      </w:r>
    </w:p>
    <w:p w14:paraId="0A92FC9C" w14:textId="7135C8A9" w:rsidR="00781310" w:rsidRPr="00086AB2" w:rsidRDefault="001978D9" w:rsidP="004F6BA7">
      <w:pPr>
        <w:pStyle w:val="Heading1"/>
        <w:keepLines/>
        <w:spacing w:before="0"/>
      </w:pPr>
      <w:r w:rsidRPr="00086AB2">
        <w:lastRenderedPageBreak/>
        <w:t>Accommodation and food services</w:t>
      </w:r>
      <w:bookmarkEnd w:id="88"/>
      <w:r w:rsidR="00905555">
        <w:t xml:space="preserve"> </w:t>
      </w:r>
    </w:p>
    <w:p w14:paraId="275E75EF" w14:textId="5791CE7B" w:rsidR="005D486E" w:rsidRDefault="00DB55AA" w:rsidP="00C03259">
      <w:pPr>
        <w:pStyle w:val="ListParagraph"/>
        <w:keepNext/>
        <w:keepLines/>
        <w:numPr>
          <w:ilvl w:val="0"/>
          <w:numId w:val="30"/>
        </w:numPr>
      </w:pPr>
      <w:r>
        <w:t>T</w:t>
      </w:r>
      <w:r w:rsidR="00781310" w:rsidRPr="00086AB2">
        <w:t xml:space="preserve">he Australian </w:t>
      </w:r>
      <w:r w:rsidR="005D486E">
        <w:t xml:space="preserve">frequency </w:t>
      </w:r>
      <w:r w:rsidR="00781310" w:rsidRPr="00086AB2">
        <w:t>rate for th</w:t>
      </w:r>
      <w:r w:rsidR="005D486E">
        <w:t xml:space="preserve">is industry </w:t>
      </w:r>
      <w:r w:rsidR="0024396E" w:rsidRPr="00086AB2">
        <w:t xml:space="preserve">was </w:t>
      </w:r>
      <w:r w:rsidR="00441C79">
        <w:t>7.0</w:t>
      </w:r>
      <w:r>
        <w:t> </w:t>
      </w:r>
      <w:r w:rsidR="00781310" w:rsidRPr="00086AB2">
        <w:t xml:space="preserve">claims </w:t>
      </w:r>
      <w:r w:rsidR="000C32BD">
        <w:t xml:space="preserve">per million hours worked </w:t>
      </w:r>
      <w:r w:rsidR="005D486E">
        <w:t xml:space="preserve">in </w:t>
      </w:r>
      <w:r w:rsidR="003A1B9E">
        <w:t>20</w:t>
      </w:r>
      <w:r w:rsidR="00E977CD">
        <w:t>20</w:t>
      </w:r>
      <w:r w:rsidR="003A1B9E">
        <w:t>–2</w:t>
      </w:r>
      <w:r w:rsidR="00E977CD">
        <w:t>1</w:t>
      </w:r>
      <w:r w:rsidR="003A1B9E">
        <w:t>p</w:t>
      </w:r>
      <w:r w:rsidR="005D486E">
        <w:t>.</w:t>
      </w:r>
    </w:p>
    <w:p w14:paraId="58E52C60" w14:textId="24B16D7E" w:rsidR="005D486E" w:rsidRDefault="008E7F97" w:rsidP="008E7F97">
      <w:pPr>
        <w:pStyle w:val="ListParagraph"/>
        <w:keepNext/>
        <w:keepLines/>
        <w:numPr>
          <w:ilvl w:val="0"/>
          <w:numId w:val="30"/>
        </w:numPr>
      </w:pPr>
      <w:r>
        <w:t>New South Wales (</w:t>
      </w:r>
      <w:r w:rsidR="00441C79">
        <w:t>9.2</w:t>
      </w:r>
      <w:r>
        <w:t> claims per million hours worked) recorded</w:t>
      </w:r>
      <w:r w:rsidR="005D486E">
        <w:t xml:space="preserve"> the highest frequency rate</w:t>
      </w:r>
      <w:r w:rsidR="005D486E" w:rsidRPr="005D486E">
        <w:t xml:space="preserve"> </w:t>
      </w:r>
      <w:r w:rsidR="005D486E">
        <w:t xml:space="preserve">in </w:t>
      </w:r>
      <w:r w:rsidR="003A1B9E">
        <w:t>20</w:t>
      </w:r>
      <w:r w:rsidR="00441C79">
        <w:t>20</w:t>
      </w:r>
      <w:r w:rsidR="003A1B9E">
        <w:t>–2</w:t>
      </w:r>
      <w:r w:rsidR="00441C79">
        <w:t>1</w:t>
      </w:r>
      <w:r w:rsidR="001769C7">
        <w:t xml:space="preserve"> and</w:t>
      </w:r>
      <w:r w:rsidR="003A1B9E">
        <w:t xml:space="preserve"> </w:t>
      </w:r>
      <w:r w:rsidR="002C0AE7">
        <w:t>Australian Government</w:t>
      </w:r>
      <w:r>
        <w:t xml:space="preserve"> (</w:t>
      </w:r>
      <w:r w:rsidR="003D7C1F">
        <w:t>0.0</w:t>
      </w:r>
      <w:r>
        <w:t xml:space="preserve"> claims per million hours worked) the</w:t>
      </w:r>
      <w:r w:rsidR="000C32BD">
        <w:t xml:space="preserve"> lowest</w:t>
      </w:r>
      <w:r>
        <w:t>.</w:t>
      </w:r>
      <w:r w:rsidR="000C32BD">
        <w:t xml:space="preserve"> </w:t>
      </w:r>
    </w:p>
    <w:p w14:paraId="460202C9" w14:textId="2BC000E3" w:rsidR="000C32BD" w:rsidRDefault="000C32BD" w:rsidP="00C03259">
      <w:pPr>
        <w:pStyle w:val="ListParagraph"/>
        <w:keepNext/>
        <w:keepLines/>
        <w:numPr>
          <w:ilvl w:val="0"/>
          <w:numId w:val="30"/>
        </w:numPr>
      </w:pPr>
      <w:r>
        <w:t>B</w:t>
      </w:r>
      <w:r w:rsidRPr="00086AB2">
        <w:t xml:space="preserve">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 xml:space="preserve">, </w:t>
      </w:r>
      <w:r w:rsidR="00DC23A9">
        <w:t xml:space="preserve">4 </w:t>
      </w:r>
      <w:r>
        <w:t>jurisdictions recorded decreases in their frequency rates.</w:t>
      </w:r>
      <w:r w:rsidR="003A1B9E">
        <w:t xml:space="preserve"> </w:t>
      </w:r>
      <w:r w:rsidR="00DC23A9">
        <w:t>Queensland</w:t>
      </w:r>
      <w:r w:rsidR="008E7F97">
        <w:t xml:space="preserve"> (</w:t>
      </w:r>
      <w:r w:rsidR="008E7F97" w:rsidRPr="007C0401">
        <w:rPr>
          <w:rFonts w:ascii="Wingdings 3" w:hAnsi="Wingdings 3"/>
          <w:b/>
          <w:bCs/>
          <w:color w:val="B94F25"/>
        </w:rPr>
        <w:t>i</w:t>
      </w:r>
      <w:r w:rsidR="008E7F97">
        <w:t xml:space="preserve"> </w:t>
      </w:r>
      <w:r w:rsidR="008E7F97" w:rsidRPr="008F3580">
        <w:rPr>
          <w:b/>
          <w:bCs/>
          <w:color w:val="B94F25"/>
        </w:rPr>
        <w:t xml:space="preserve">down </w:t>
      </w:r>
      <w:r w:rsidR="00DC23A9">
        <w:rPr>
          <w:b/>
          <w:bCs/>
          <w:color w:val="B94F25"/>
        </w:rPr>
        <w:t>16</w:t>
      </w:r>
      <w:r w:rsidR="008E7F97" w:rsidRPr="008F3580">
        <w:rPr>
          <w:b/>
          <w:bCs/>
          <w:color w:val="B94F25"/>
        </w:rPr>
        <w:t>%</w:t>
      </w:r>
      <w:r w:rsidR="008E7F97">
        <w:t>) recorded the largest decrease</w:t>
      </w:r>
      <w:r w:rsidR="007C0DDF">
        <w:t xml:space="preserve"> followed by South Australia and Western Australia both (</w:t>
      </w:r>
      <w:r w:rsidR="007C0DDF" w:rsidRPr="007C0401">
        <w:rPr>
          <w:rFonts w:ascii="Wingdings 3" w:hAnsi="Wingdings 3"/>
          <w:b/>
          <w:bCs/>
          <w:color w:val="B94F25"/>
        </w:rPr>
        <w:t>i</w:t>
      </w:r>
      <w:r w:rsidR="007C0DDF">
        <w:t xml:space="preserve"> </w:t>
      </w:r>
      <w:r w:rsidR="007C0DDF" w:rsidRPr="008F3580">
        <w:rPr>
          <w:b/>
          <w:bCs/>
          <w:color w:val="B94F25"/>
        </w:rPr>
        <w:t xml:space="preserve">down </w:t>
      </w:r>
      <w:r w:rsidR="007C0DDF">
        <w:rPr>
          <w:b/>
          <w:bCs/>
          <w:color w:val="B94F25"/>
        </w:rPr>
        <w:t>7</w:t>
      </w:r>
      <w:r w:rsidR="007C0DDF" w:rsidRPr="008F3580">
        <w:rPr>
          <w:b/>
          <w:bCs/>
          <w:color w:val="B94F25"/>
        </w:rPr>
        <w:t>%</w:t>
      </w:r>
      <w:r w:rsidR="007C0DDF">
        <w:t>)</w:t>
      </w:r>
      <w:r w:rsidR="001769C7">
        <w:t xml:space="preserve"> and Tasmania (</w:t>
      </w:r>
      <w:r w:rsidR="001769C7" w:rsidRPr="007C0401">
        <w:rPr>
          <w:rFonts w:ascii="Wingdings 3" w:hAnsi="Wingdings 3"/>
          <w:b/>
          <w:bCs/>
          <w:color w:val="B94F25"/>
        </w:rPr>
        <w:t>i</w:t>
      </w:r>
      <w:r w:rsidR="001769C7">
        <w:t xml:space="preserve"> </w:t>
      </w:r>
      <w:r w:rsidR="001769C7" w:rsidRPr="008F3580">
        <w:rPr>
          <w:b/>
          <w:bCs/>
          <w:color w:val="B94F25"/>
        </w:rPr>
        <w:t xml:space="preserve">down </w:t>
      </w:r>
      <w:r w:rsidR="001769C7">
        <w:rPr>
          <w:b/>
          <w:bCs/>
          <w:color w:val="B94F25"/>
        </w:rPr>
        <w:t>3</w:t>
      </w:r>
      <w:r w:rsidR="001769C7" w:rsidRPr="008F3580">
        <w:rPr>
          <w:b/>
          <w:bCs/>
          <w:color w:val="B94F25"/>
        </w:rPr>
        <w:t>%</w:t>
      </w:r>
      <w:r w:rsidR="001769C7">
        <w:t>)</w:t>
      </w:r>
      <w:r w:rsidR="007C0DDF">
        <w:t>.</w:t>
      </w:r>
      <w:r w:rsidR="008E7F97">
        <w:t xml:space="preserve"> </w:t>
      </w:r>
      <w:r w:rsidR="00DC23A9">
        <w:t xml:space="preserve">The Australian Capital </w:t>
      </w:r>
      <w:r w:rsidR="007C0DDF">
        <w:t>Territory (</w:t>
      </w:r>
      <w:r w:rsidR="008F3580" w:rsidRPr="007C0401">
        <w:rPr>
          <w:rFonts w:ascii="Wingdings 3" w:hAnsi="Wingdings 3"/>
          <w:b/>
          <w:bCs/>
          <w:color w:val="00518E"/>
        </w:rPr>
        <w:t>h</w:t>
      </w:r>
      <w:r w:rsidR="00CE770C">
        <w:t> </w:t>
      </w:r>
      <w:r w:rsidRPr="008F3580">
        <w:rPr>
          <w:b/>
          <w:bCs/>
          <w:color w:val="00518E"/>
        </w:rPr>
        <w:t xml:space="preserve">up </w:t>
      </w:r>
      <w:r w:rsidR="00DC23A9">
        <w:rPr>
          <w:b/>
          <w:bCs/>
          <w:color w:val="00518E"/>
        </w:rPr>
        <w:t>40</w:t>
      </w:r>
      <w:r w:rsidRPr="008F3580">
        <w:rPr>
          <w:b/>
          <w:bCs/>
          <w:color w:val="00518E"/>
        </w:rPr>
        <w:t>%</w:t>
      </w:r>
      <w:r>
        <w:t xml:space="preserve">) </w:t>
      </w:r>
      <w:r w:rsidR="00130DEF">
        <w:t xml:space="preserve">and </w:t>
      </w:r>
      <w:r w:rsidR="00DC23A9">
        <w:t>New South Wales</w:t>
      </w:r>
      <w:r>
        <w:t xml:space="preserve"> (</w:t>
      </w:r>
      <w:r w:rsidR="008F3580" w:rsidRPr="008F3580">
        <w:rPr>
          <w:rFonts w:ascii="Wingdings 3" w:hAnsi="Wingdings 3"/>
          <w:b/>
          <w:bCs/>
          <w:color w:val="00518E"/>
        </w:rPr>
        <w:t>h</w:t>
      </w:r>
      <w:r w:rsidR="008F3580" w:rsidRPr="008F3580">
        <w:rPr>
          <w:b/>
          <w:bCs/>
          <w:color w:val="00518E"/>
        </w:rPr>
        <w:t xml:space="preserve"> </w:t>
      </w:r>
      <w:r w:rsidRPr="008F3580">
        <w:rPr>
          <w:b/>
          <w:bCs/>
          <w:color w:val="00518E"/>
        </w:rPr>
        <w:t xml:space="preserve">up </w:t>
      </w:r>
      <w:r w:rsidR="007C0DDF">
        <w:rPr>
          <w:b/>
          <w:bCs/>
          <w:color w:val="00518E"/>
        </w:rPr>
        <w:t>28</w:t>
      </w:r>
      <w:r w:rsidRPr="008F3580">
        <w:rPr>
          <w:b/>
          <w:bCs/>
          <w:color w:val="00518E"/>
        </w:rPr>
        <w:t>%</w:t>
      </w:r>
      <w:r>
        <w:t>)</w:t>
      </w:r>
      <w:r w:rsidR="00130DEF">
        <w:t xml:space="preserve"> recorded the largest increases</w:t>
      </w:r>
      <w:r w:rsidR="007C0DDF">
        <w:t>.</w:t>
      </w:r>
    </w:p>
    <w:p w14:paraId="785840AB" w14:textId="2389252A" w:rsidR="001F785E" w:rsidRDefault="001F785E" w:rsidP="001F785E">
      <w:pPr>
        <w:ind w:left="360"/>
      </w:pPr>
    </w:p>
    <w:p w14:paraId="45B9DAB2" w14:textId="01EA6F01" w:rsidR="00E5660F" w:rsidRDefault="00C92473" w:rsidP="0031228B">
      <w:pPr>
        <w:pStyle w:val="Heading3"/>
      </w:pPr>
      <w:bookmarkStart w:id="89" w:name="_Toc86602509"/>
      <w:bookmarkStart w:id="90" w:name="_Hlk56772908"/>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h</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A</w:t>
      </w:r>
      <w:r w:rsidRPr="00086AB2">
        <w:t>ccommodation and food services by</w:t>
      </w:r>
      <w:r w:rsidR="00E55876" w:rsidRPr="00086AB2">
        <w:t> </w:t>
      </w:r>
      <w:r w:rsidRPr="00086AB2">
        <w:t>jurisdiction</w:t>
      </w:r>
      <w:bookmarkEnd w:id="89"/>
    </w:p>
    <w:bookmarkEnd w:id="90"/>
    <w:p w14:paraId="3058DC35" w14:textId="38815174" w:rsidR="00655324" w:rsidRDefault="00017CA2" w:rsidP="004F6BA7">
      <w:pPr>
        <w:spacing w:after="200" w:line="276" w:lineRule="auto"/>
        <w:jc w:val="center"/>
        <w:rPr>
          <w:rFonts w:ascii="Arial Bold" w:eastAsiaTheme="majorEastAsia" w:hAnsi="Arial Bold" w:cs="Arial"/>
          <w:b/>
          <w:kern w:val="32"/>
          <w:sz w:val="28"/>
          <w:szCs w:val="22"/>
        </w:rPr>
      </w:pPr>
      <w:r>
        <w:rPr>
          <w:rFonts w:ascii="Arial Bold" w:eastAsiaTheme="majorEastAsia" w:hAnsi="Arial Bold" w:cs="Arial"/>
          <w:b/>
          <w:noProof/>
          <w:kern w:val="32"/>
          <w:sz w:val="28"/>
          <w:szCs w:val="22"/>
        </w:rPr>
        <w:drawing>
          <wp:inline distT="0" distB="0" distL="0" distR="0" wp14:anchorId="26756A66" wp14:editId="3178E28E">
            <wp:extent cx="5487035" cy="3328670"/>
            <wp:effectExtent l="0" t="0" r="0" b="5080"/>
            <wp:docPr id="83" name="Picture 83" descr="Indicator 11h – Frequency rates of serious claims for Accommodation and food services by jurisdiction&#10;&#10;This chart shows the Frequency rates (claims per million hours worked) of serious injury and disease claims for Accommodation and food service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ndicator 11h – Frequency rates of serious claims for Accommodation and food services by jurisdiction&#10;&#10;This chart shows the Frequency rates (claims per million hours worked) of serious injury and disease claims for Accommodation and food services industry between 2015-16 and 2020-21, by jurisdiction. Please refer to body text for more information.&#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7035" cy="3328670"/>
                    </a:xfrm>
                    <a:prstGeom prst="rect">
                      <a:avLst/>
                    </a:prstGeom>
                    <a:noFill/>
                  </pic:spPr>
                </pic:pic>
              </a:graphicData>
            </a:graphic>
          </wp:inline>
        </w:drawing>
      </w:r>
    </w:p>
    <w:p w14:paraId="7518BE5D" w14:textId="77777777" w:rsidR="008659BF" w:rsidRDefault="008659BF">
      <w:pPr>
        <w:spacing w:after="200" w:line="276" w:lineRule="auto"/>
        <w:jc w:val="left"/>
        <w:rPr>
          <w:rFonts w:ascii="Arial Bold" w:eastAsiaTheme="majorEastAsia" w:hAnsi="Arial Bold" w:cs="Arial"/>
          <w:b/>
          <w:kern w:val="32"/>
          <w:sz w:val="28"/>
          <w:szCs w:val="22"/>
        </w:rPr>
      </w:pPr>
      <w:bookmarkStart w:id="91" w:name="_Toc86602510"/>
      <w:r>
        <w:br w:type="page"/>
      </w:r>
    </w:p>
    <w:p w14:paraId="3E54A7D6" w14:textId="76780305" w:rsidR="00781310" w:rsidRPr="009E4E76" w:rsidRDefault="00781310" w:rsidP="00B51041">
      <w:pPr>
        <w:pStyle w:val="Heading1"/>
        <w:rPr>
          <w:color w:val="FF0000"/>
          <w:sz w:val="20"/>
          <w:szCs w:val="20"/>
        </w:rPr>
      </w:pPr>
      <w:r w:rsidRPr="00086AB2">
        <w:lastRenderedPageBreak/>
        <w:t>Transport, postal and warehousing</w:t>
      </w:r>
      <w:bookmarkEnd w:id="91"/>
      <w:r w:rsidR="009E4E76">
        <w:t xml:space="preserve"> </w:t>
      </w:r>
    </w:p>
    <w:p w14:paraId="4BB0FADD" w14:textId="2AF3D4AB" w:rsidR="000C32BD" w:rsidRDefault="000C32BD" w:rsidP="00C03259">
      <w:pPr>
        <w:pStyle w:val="ListParagraph"/>
        <w:numPr>
          <w:ilvl w:val="0"/>
          <w:numId w:val="31"/>
        </w:numPr>
      </w:pPr>
      <w:r>
        <w:t>T</w:t>
      </w:r>
      <w:r w:rsidRPr="00086AB2">
        <w:t xml:space="preserve">he Australian </w:t>
      </w:r>
      <w:r w:rsidR="003A1B9E">
        <w:t>frequency</w:t>
      </w:r>
      <w:r w:rsidRPr="00086AB2">
        <w:t xml:space="preserve"> rate for this industry was </w:t>
      </w:r>
      <w:r>
        <w:t>8.</w:t>
      </w:r>
      <w:r w:rsidR="00E977CD">
        <w:t>8</w:t>
      </w:r>
      <w:r w:rsidRPr="00086AB2">
        <w:t xml:space="preserve"> claims </w:t>
      </w:r>
      <w:r>
        <w:t xml:space="preserve">per million hours worked </w:t>
      </w:r>
      <w:r w:rsidRPr="00086AB2">
        <w:t xml:space="preserve">in </w:t>
      </w:r>
      <w:r w:rsidR="00E977CD" w:rsidRPr="00086AB2">
        <w:t>20</w:t>
      </w:r>
      <w:r w:rsidR="00E977CD">
        <w:t>20</w:t>
      </w:r>
      <w:r w:rsidRPr="00086AB2">
        <w:t>–</w:t>
      </w:r>
      <w:r>
        <w:t>2</w:t>
      </w:r>
      <w:r w:rsidR="00E977CD">
        <w:t>1</w:t>
      </w:r>
      <w:r>
        <w:t>p.</w:t>
      </w:r>
    </w:p>
    <w:p w14:paraId="67A8D55E" w14:textId="6C69BCF8" w:rsidR="008F3580" w:rsidRDefault="008F3580" w:rsidP="00C03259">
      <w:pPr>
        <w:pStyle w:val="ListParagraph"/>
        <w:numPr>
          <w:ilvl w:val="0"/>
          <w:numId w:val="31"/>
        </w:numPr>
      </w:pPr>
      <w:r>
        <w:t xml:space="preserve">In </w:t>
      </w:r>
      <w:r w:rsidR="003A1B9E">
        <w:t>2019–20</w:t>
      </w:r>
      <w:r>
        <w:t>, New South Wales recorded the highest frequency rate (</w:t>
      </w:r>
      <w:r w:rsidR="00E977CD">
        <w:t>1</w:t>
      </w:r>
      <w:r w:rsidR="00441C79">
        <w:t xml:space="preserve">1.7 </w:t>
      </w:r>
      <w:r>
        <w:t xml:space="preserve">claims per million hours worked) and the </w:t>
      </w:r>
      <w:r w:rsidR="00441C79">
        <w:t xml:space="preserve">Australian Capital </w:t>
      </w:r>
      <w:r>
        <w:t>Territory recorded the lowest (</w:t>
      </w:r>
      <w:r w:rsidR="00441C79">
        <w:t>3.9</w:t>
      </w:r>
      <w:r>
        <w:t xml:space="preserve"> claims per million hours worked)</w:t>
      </w:r>
    </w:p>
    <w:p w14:paraId="1BC6951B" w14:textId="1AB18E55" w:rsidR="008F3580" w:rsidRDefault="008A2EA5" w:rsidP="00C03259">
      <w:pPr>
        <w:pStyle w:val="ListParagraph"/>
        <w:numPr>
          <w:ilvl w:val="0"/>
          <w:numId w:val="31"/>
        </w:numPr>
      </w:pPr>
      <w:r>
        <w:t>T</w:t>
      </w:r>
      <w:r w:rsidR="00781310" w:rsidRPr="00086AB2">
        <w:t xml:space="preserve">he Australian </w:t>
      </w:r>
      <w:r w:rsidR="003A1B9E">
        <w:t xml:space="preserve">frequency </w:t>
      </w:r>
      <w:r w:rsidR="008E0DDC" w:rsidRPr="00086AB2">
        <w:t xml:space="preserve">rate for this industry </w:t>
      </w:r>
      <w:r w:rsidR="007C0DDF" w:rsidRPr="007260E3">
        <w:rPr>
          <w:b/>
          <w:bCs/>
          <w:color w:val="00518E"/>
        </w:rPr>
        <w:t xml:space="preserve">increased </w:t>
      </w:r>
      <w:r w:rsidR="005F2E36">
        <w:rPr>
          <w:b/>
          <w:bCs/>
          <w:color w:val="00518E"/>
        </w:rPr>
        <w:t>by</w:t>
      </w:r>
      <w:r w:rsidR="00130DEF" w:rsidRPr="008F3580">
        <w:rPr>
          <w:b/>
          <w:bCs/>
          <w:color w:val="00518E"/>
        </w:rPr>
        <w:t xml:space="preserve"> </w:t>
      </w:r>
      <w:r w:rsidR="00130DEF">
        <w:rPr>
          <w:b/>
          <w:bCs/>
          <w:color w:val="00518E"/>
        </w:rPr>
        <w:t>14</w:t>
      </w:r>
      <w:r w:rsidR="00130DEF" w:rsidRPr="008F3580">
        <w:rPr>
          <w:b/>
          <w:bCs/>
          <w:color w:val="00518E"/>
        </w:rPr>
        <w:t>%</w:t>
      </w:r>
      <w:r w:rsidR="008F3580" w:rsidRPr="006E2C4F">
        <w:rPr>
          <w:color w:val="B94F25"/>
        </w:rPr>
        <w:t xml:space="preserve"> </w:t>
      </w:r>
      <w:r w:rsidR="008F3580">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rsidR="008F3580">
        <w:t>.</w:t>
      </w:r>
      <w:r w:rsidR="003A1B9E">
        <w:t xml:space="preserve"> </w:t>
      </w:r>
      <w:r w:rsidR="008F3580">
        <w:t>The largest increase</w:t>
      </w:r>
      <w:r w:rsidR="00130DEF">
        <w:t>s</w:t>
      </w:r>
      <w:r w:rsidR="008F3580">
        <w:t xml:space="preserve"> during this period w</w:t>
      </w:r>
      <w:r w:rsidR="00130DEF">
        <w:t>ere</w:t>
      </w:r>
      <w:r w:rsidR="008F3580">
        <w:t xml:space="preserve"> recorded by </w:t>
      </w:r>
      <w:proofErr w:type="spellStart"/>
      <w:r w:rsidR="007C0DDF">
        <w:t>Seacare</w:t>
      </w:r>
      <w:proofErr w:type="spellEnd"/>
      <w:r w:rsidR="007C0DDF">
        <w:t xml:space="preserve"> </w:t>
      </w:r>
      <w:r w:rsidR="008F3580">
        <w:t>(</w:t>
      </w:r>
      <w:r w:rsidR="008F3580" w:rsidRPr="008F3580">
        <w:rPr>
          <w:rFonts w:ascii="Wingdings 3" w:hAnsi="Wingdings 3"/>
          <w:b/>
          <w:bCs/>
          <w:color w:val="00518E"/>
        </w:rPr>
        <w:t>h</w:t>
      </w:r>
      <w:r w:rsidR="008F3580">
        <w:t xml:space="preserve"> </w:t>
      </w:r>
      <w:r w:rsidR="008F3580" w:rsidRPr="008F3580">
        <w:rPr>
          <w:b/>
          <w:bCs/>
          <w:color w:val="00518E"/>
        </w:rPr>
        <w:t xml:space="preserve">up </w:t>
      </w:r>
      <w:r w:rsidR="007C0DDF">
        <w:rPr>
          <w:b/>
          <w:bCs/>
          <w:color w:val="00518E"/>
        </w:rPr>
        <w:t>97</w:t>
      </w:r>
      <w:r w:rsidR="008F3580" w:rsidRPr="008F3580">
        <w:rPr>
          <w:b/>
          <w:bCs/>
          <w:color w:val="00518E"/>
        </w:rPr>
        <w:t>%</w:t>
      </w:r>
      <w:r w:rsidR="008F3580">
        <w:t>)</w:t>
      </w:r>
      <w:r w:rsidR="00130DEF">
        <w:t xml:space="preserve"> and</w:t>
      </w:r>
      <w:r w:rsidR="008F3580">
        <w:t xml:space="preserve"> </w:t>
      </w:r>
      <w:r w:rsidR="007C0DDF">
        <w:t>Tasmania</w:t>
      </w:r>
      <w:r w:rsidR="008F3580">
        <w:t xml:space="preserve"> (</w:t>
      </w:r>
      <w:r w:rsidR="008F3580" w:rsidRPr="008F3580">
        <w:rPr>
          <w:rFonts w:ascii="Wingdings 3" w:hAnsi="Wingdings 3"/>
          <w:b/>
          <w:bCs/>
          <w:color w:val="00518E"/>
        </w:rPr>
        <w:t>h</w:t>
      </w:r>
      <w:r w:rsidR="008F3580">
        <w:t xml:space="preserve"> </w:t>
      </w:r>
      <w:r w:rsidR="008F3580" w:rsidRPr="008F3580">
        <w:rPr>
          <w:b/>
          <w:bCs/>
          <w:color w:val="00518E"/>
        </w:rPr>
        <w:t xml:space="preserve">up </w:t>
      </w:r>
      <w:r w:rsidR="007C0DDF">
        <w:rPr>
          <w:b/>
          <w:bCs/>
          <w:color w:val="00518E"/>
        </w:rPr>
        <w:t>92</w:t>
      </w:r>
      <w:r w:rsidR="008F3580" w:rsidRPr="008F3580">
        <w:rPr>
          <w:b/>
          <w:bCs/>
          <w:color w:val="00518E"/>
        </w:rPr>
        <w:t>%</w:t>
      </w:r>
      <w:r w:rsidR="008F3580">
        <w:t>).</w:t>
      </w:r>
      <w:r w:rsidR="003A1B9E">
        <w:t xml:space="preserve"> </w:t>
      </w:r>
      <w:r w:rsidR="008F3580">
        <w:t xml:space="preserve">The largest decrease was recorded by </w:t>
      </w:r>
      <w:r w:rsidR="007C0DDF">
        <w:t xml:space="preserve">Victoria </w:t>
      </w:r>
      <w:r w:rsidR="008F3580">
        <w:t>(</w:t>
      </w:r>
      <w:r w:rsidR="008F3580" w:rsidRPr="007C0401">
        <w:rPr>
          <w:rFonts w:ascii="Wingdings 3" w:hAnsi="Wingdings 3"/>
          <w:b/>
          <w:bCs/>
          <w:color w:val="B94F25"/>
        </w:rPr>
        <w:t>i</w:t>
      </w:r>
      <w:r w:rsidR="008F3580">
        <w:t xml:space="preserve"> </w:t>
      </w:r>
      <w:r w:rsidR="008F3580" w:rsidRPr="008F3580">
        <w:rPr>
          <w:b/>
          <w:bCs/>
          <w:color w:val="B94F25"/>
        </w:rPr>
        <w:t xml:space="preserve">down </w:t>
      </w:r>
      <w:r w:rsidR="007C0DDF">
        <w:rPr>
          <w:b/>
          <w:bCs/>
          <w:color w:val="B94F25"/>
        </w:rPr>
        <w:t>15</w:t>
      </w:r>
      <w:r w:rsidR="008F3580" w:rsidRPr="008F3580">
        <w:rPr>
          <w:b/>
          <w:bCs/>
          <w:color w:val="B94F25"/>
        </w:rPr>
        <w:t>%</w:t>
      </w:r>
      <w:r w:rsidR="008F3580">
        <w:t>).</w:t>
      </w:r>
      <w:r w:rsidR="00781310" w:rsidRPr="00086AB2">
        <w:t xml:space="preserve"> </w:t>
      </w:r>
    </w:p>
    <w:p w14:paraId="2CCE12AD" w14:textId="2E5EB75D" w:rsidR="00C92473" w:rsidRPr="00086AB2" w:rsidRDefault="00C92473" w:rsidP="0031228B">
      <w:pPr>
        <w:pStyle w:val="Heading3"/>
      </w:pPr>
      <w:bookmarkStart w:id="92" w:name="_Toc86602511"/>
      <w:bookmarkStart w:id="93" w:name="_Hlk56772915"/>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i</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T</w:t>
      </w:r>
      <w:r w:rsidRPr="00086AB2">
        <w:t>ransport, postal and warehousing by</w:t>
      </w:r>
      <w:r w:rsidR="00E55876" w:rsidRPr="00086AB2">
        <w:t> </w:t>
      </w:r>
      <w:r w:rsidRPr="00086AB2">
        <w:t>jurisdiction</w:t>
      </w:r>
      <w:bookmarkEnd w:id="92"/>
    </w:p>
    <w:bookmarkEnd w:id="93"/>
    <w:p w14:paraId="5ACB177D" w14:textId="541EAEE6" w:rsidR="00130DEF" w:rsidRDefault="00D33160" w:rsidP="008E0DDC">
      <w:pPr>
        <w:jc w:val="center"/>
      </w:pPr>
      <w:r>
        <w:rPr>
          <w:noProof/>
        </w:rPr>
        <mc:AlternateContent>
          <mc:Choice Requires="wps">
            <w:drawing>
              <wp:anchor distT="0" distB="0" distL="114300" distR="114300" simplePos="0" relativeHeight="251693056" behindDoc="0" locked="0" layoutInCell="1" allowOverlap="1" wp14:anchorId="7393EF83" wp14:editId="3DB5D1D0">
                <wp:simplePos x="0" y="0"/>
                <wp:positionH relativeFrom="column">
                  <wp:posOffset>1123950</wp:posOffset>
                </wp:positionH>
                <wp:positionV relativeFrom="paragraph">
                  <wp:posOffset>3279140</wp:posOffset>
                </wp:positionV>
                <wp:extent cx="4070919" cy="161367"/>
                <wp:effectExtent l="0" t="0" r="6350" b="0"/>
                <wp:wrapNone/>
                <wp:docPr id="112" name="Rectangle 3"/>
                <wp:cNvGraphicFramePr/>
                <a:graphic xmlns:a="http://schemas.openxmlformats.org/drawingml/2006/main">
                  <a:graphicData uri="http://schemas.microsoft.com/office/word/2010/wordprocessingShape">
                    <wps:wsp>
                      <wps:cNvSpPr/>
                      <wps:spPr>
                        <a:xfrm>
                          <a:off x="0" y="0"/>
                          <a:ext cx="4070919" cy="161367"/>
                        </a:xfrm>
                        <a:prstGeom prst="rect">
                          <a:avLst/>
                        </a:prstGeom>
                        <a:solidFill>
                          <a:sysClr val="window" lastClr="FFFFFF"/>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w14:anchorId="38849EB7" id="Rectangle 3" o:spid="_x0000_s1026" style="position:absolute;margin-left:88.5pt;margin-top:258.2pt;width:320.55pt;height:12.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" fillcolor="window" stroked="f" strokeweight="2pt"/>
            </w:pict>
          </mc:Fallback>
        </mc:AlternateContent>
      </w:r>
      <w:r w:rsidR="00017CA2">
        <w:rPr>
          <w:noProof/>
        </w:rPr>
        <w:drawing>
          <wp:inline distT="0" distB="0" distL="0" distR="0" wp14:anchorId="625635FF" wp14:editId="33225036">
            <wp:extent cx="5625389" cy="3467447"/>
            <wp:effectExtent l="0" t="0" r="0" b="0"/>
            <wp:docPr id="84" name="Picture 84" descr="Indicator 11i – Frequency rates of serious claims for Transport, postal and warehousing by jurisdiction&#10;&#10;This chart shows the Frequency rates (claims per million hours worked) of serious injury and disease claims for Transport, postal and warehousing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ndicator 11i – Frequency rates of serious claims for Transport, postal and warehousing by jurisdiction&#10;&#10;This chart shows the Frequency rates (claims per million hours worked) of serious injury and disease claims for Transport, postal and warehousing industry between 2015-16 and 2020-21, by jurisdiction. Please refer to body text for more information.&#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1624" cy="3471290"/>
                    </a:xfrm>
                    <a:prstGeom prst="rect">
                      <a:avLst/>
                    </a:prstGeom>
                    <a:noFill/>
                  </pic:spPr>
                </pic:pic>
              </a:graphicData>
            </a:graphic>
          </wp:inline>
        </w:drawing>
      </w:r>
    </w:p>
    <w:p w14:paraId="78AF376F" w14:textId="6E29D565" w:rsidR="00781310" w:rsidRDefault="004B732D" w:rsidP="008E0DDC">
      <w:pPr>
        <w:jc w:val="center"/>
      </w:pPr>
      <w:r>
        <w:rPr>
          <w:noProof/>
        </w:rPr>
        <mc:AlternateContent>
          <mc:Choice Requires="wps">
            <w:drawing>
              <wp:anchor distT="0" distB="0" distL="114300" distR="114300" simplePos="0" relativeHeight="251676672" behindDoc="0" locked="0" layoutInCell="1" allowOverlap="1" wp14:anchorId="018FF366" wp14:editId="1E85F81B">
                <wp:simplePos x="0" y="0"/>
                <wp:positionH relativeFrom="column">
                  <wp:posOffset>1151890</wp:posOffset>
                </wp:positionH>
                <wp:positionV relativeFrom="paragraph">
                  <wp:posOffset>3213100</wp:posOffset>
                </wp:positionV>
                <wp:extent cx="3771900" cy="1143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37719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88A0A" id="Rectangle 60" o:spid="_x0000_s1026" style="position:absolute;margin-left:90.7pt;margin-top:253pt;width:297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" fillcolor="white [3212]" strokecolor="white [3212]" strokeweight="2pt"/>
            </w:pict>
          </mc:Fallback>
        </mc:AlternateContent>
      </w:r>
    </w:p>
    <w:p w14:paraId="6A56BA96" w14:textId="77777777" w:rsidR="008659BF" w:rsidRDefault="008659BF">
      <w:pPr>
        <w:spacing w:after="200" w:line="276" w:lineRule="auto"/>
        <w:jc w:val="left"/>
        <w:rPr>
          <w:rFonts w:ascii="Arial Bold" w:eastAsiaTheme="majorEastAsia" w:hAnsi="Arial Bold" w:cs="Arial"/>
          <w:b/>
          <w:kern w:val="32"/>
          <w:sz w:val="28"/>
          <w:szCs w:val="22"/>
        </w:rPr>
      </w:pPr>
      <w:bookmarkStart w:id="94" w:name="_Toc86602512"/>
      <w:r>
        <w:br w:type="page"/>
      </w:r>
    </w:p>
    <w:p w14:paraId="276827DB" w14:textId="514BF730" w:rsidR="008F29A3" w:rsidRPr="00086AB2" w:rsidRDefault="008F29A3" w:rsidP="004F6BA7">
      <w:pPr>
        <w:pStyle w:val="Heading1"/>
        <w:keepLines/>
        <w:spacing w:before="120"/>
      </w:pPr>
      <w:r w:rsidRPr="00086AB2">
        <w:lastRenderedPageBreak/>
        <w:t>Information media and telecommunications</w:t>
      </w:r>
      <w:bookmarkEnd w:id="94"/>
      <w:r>
        <w:t xml:space="preserve"> </w:t>
      </w:r>
    </w:p>
    <w:p w14:paraId="7BB3B652" w14:textId="1C49BF23" w:rsidR="008F3580" w:rsidRDefault="008F3580" w:rsidP="00C03259">
      <w:pPr>
        <w:pStyle w:val="ListParagraph"/>
        <w:numPr>
          <w:ilvl w:val="0"/>
          <w:numId w:val="32"/>
        </w:numPr>
      </w:pPr>
      <w:r>
        <w:t>T</w:t>
      </w:r>
      <w:r w:rsidRPr="00086AB2">
        <w:t xml:space="preserve">he Australian </w:t>
      </w:r>
      <w:r>
        <w:t xml:space="preserve">frequency </w:t>
      </w:r>
      <w:r w:rsidRPr="00086AB2">
        <w:t xml:space="preserve">rates of claims for </w:t>
      </w:r>
      <w:r>
        <w:t xml:space="preserve">this industry in </w:t>
      </w:r>
      <w:r w:rsidR="00E977CD">
        <w:t>2020</w:t>
      </w:r>
      <w:r w:rsidR="003A1B9E">
        <w:t>–2</w:t>
      </w:r>
      <w:r w:rsidR="00E977CD">
        <w:t>1</w:t>
      </w:r>
      <w:r w:rsidR="003A1B9E">
        <w:t>p</w:t>
      </w:r>
      <w:r>
        <w:t xml:space="preserve"> was 1.</w:t>
      </w:r>
      <w:r w:rsidR="00457FCE">
        <w:t>8</w:t>
      </w:r>
      <w:r>
        <w:t xml:space="preserve"> claims per million hours worked.</w:t>
      </w:r>
    </w:p>
    <w:p w14:paraId="03011A38" w14:textId="02AE3A38" w:rsidR="008F3580" w:rsidRDefault="008E7F97" w:rsidP="00C03259">
      <w:pPr>
        <w:pStyle w:val="ListParagraph"/>
        <w:numPr>
          <w:ilvl w:val="0"/>
          <w:numId w:val="32"/>
        </w:numPr>
      </w:pPr>
      <w:r>
        <w:t>New South Wales (</w:t>
      </w:r>
      <w:r w:rsidR="00441C79">
        <w:t>3.7</w:t>
      </w:r>
      <w:r>
        <w:t xml:space="preserve"> claims per million hours worked) recorded the </w:t>
      </w:r>
      <w:r w:rsidR="008F3580">
        <w:t xml:space="preserve">highest rate </w:t>
      </w:r>
      <w:r>
        <w:t xml:space="preserve">and </w:t>
      </w:r>
      <w:r w:rsidR="0084510E">
        <w:t xml:space="preserve">the </w:t>
      </w:r>
      <w:r w:rsidR="003D7C1F">
        <w:t>Northern Territory</w:t>
      </w:r>
      <w:r w:rsidR="0084510E">
        <w:t xml:space="preserve"> (0.</w:t>
      </w:r>
      <w:r w:rsidR="003D7C1F">
        <w:t>0</w:t>
      </w:r>
      <w:r w:rsidR="0084510E">
        <w:t xml:space="preserve"> claims per million hours worked)</w:t>
      </w:r>
      <w:r>
        <w:t xml:space="preserve"> the lowest in </w:t>
      </w:r>
      <w:r w:rsidR="00441C79">
        <w:t>2020</w:t>
      </w:r>
      <w:r w:rsidR="00606EBA">
        <w:t>–</w:t>
      </w:r>
      <w:r>
        <w:t>2</w:t>
      </w:r>
      <w:r w:rsidR="00441C79">
        <w:t>1p</w:t>
      </w:r>
      <w:r w:rsidR="0084510E">
        <w:t>.</w:t>
      </w:r>
      <w:r w:rsidR="003A1B9E">
        <w:t xml:space="preserve"> </w:t>
      </w:r>
    </w:p>
    <w:p w14:paraId="013C948C" w14:textId="3EE8D3DF" w:rsidR="0084510E" w:rsidRDefault="0084510E" w:rsidP="00C03259">
      <w:pPr>
        <w:pStyle w:val="ListParagraph"/>
        <w:numPr>
          <w:ilvl w:val="0"/>
          <w:numId w:val="32"/>
        </w:numPr>
      </w:pPr>
      <w:r>
        <w:t xml:space="preserve">The overall frequency rate for this industry </w:t>
      </w:r>
      <w:r w:rsidRPr="005E49E0">
        <w:rPr>
          <w:b/>
          <w:bCs/>
          <w:color w:val="B94F25"/>
        </w:rPr>
        <w:t>decreased</w:t>
      </w:r>
      <w:r w:rsidRPr="006E2C4F">
        <w:rPr>
          <w:b/>
          <w:bCs/>
          <w:color w:val="B94F25"/>
        </w:rPr>
        <w:t xml:space="preserve"> </w:t>
      </w:r>
      <w:r w:rsidR="005F2E36">
        <w:rPr>
          <w:b/>
          <w:bCs/>
          <w:color w:val="B94F25"/>
        </w:rPr>
        <w:t>by</w:t>
      </w:r>
      <w:r w:rsidR="00941B5B" w:rsidRPr="0084510E">
        <w:rPr>
          <w:b/>
          <w:bCs/>
          <w:color w:val="B94F25"/>
        </w:rPr>
        <w:t xml:space="preserve"> </w:t>
      </w:r>
      <w:r w:rsidR="00941B5B">
        <w:rPr>
          <w:b/>
          <w:bCs/>
          <w:color w:val="B94F25"/>
        </w:rPr>
        <w:t>3</w:t>
      </w:r>
      <w:r w:rsidR="00941B5B" w:rsidRPr="0084510E">
        <w:rPr>
          <w:b/>
          <w:bCs/>
          <w:color w:val="B94F25"/>
        </w:rPr>
        <w:t>%</w:t>
      </w:r>
      <w:r>
        <w:t xml:space="preserve"> between </w:t>
      </w:r>
      <w:r w:rsidR="00907086" w:rsidRPr="00086AB2">
        <w:t>201</w:t>
      </w:r>
      <w:r w:rsidR="00907086">
        <w:t>5</w:t>
      </w:r>
      <w:r w:rsidR="00907086" w:rsidRPr="00086AB2">
        <w:t>–1</w:t>
      </w:r>
      <w:r w:rsidR="00907086">
        <w:t xml:space="preserve">6 and </w:t>
      </w:r>
      <w:r w:rsidR="005D7178">
        <w:br/>
      </w:r>
      <w:r w:rsidR="00907086" w:rsidRPr="00086AB2">
        <w:t>201</w:t>
      </w:r>
      <w:r w:rsidR="00907086">
        <w:t>9</w:t>
      </w:r>
      <w:r w:rsidR="00907086" w:rsidRPr="00086AB2">
        <w:t>–</w:t>
      </w:r>
      <w:r w:rsidR="00907086">
        <w:t>20</w:t>
      </w:r>
      <w:r>
        <w:t xml:space="preserve">, with </w:t>
      </w:r>
      <w:r w:rsidR="00D0120C">
        <w:t xml:space="preserve">6 </w:t>
      </w:r>
      <w:r>
        <w:t>out of 9 jurisdictions recording decreases.</w:t>
      </w:r>
      <w:r w:rsidR="00D0120C">
        <w:t xml:space="preserve"> </w:t>
      </w:r>
      <w:r w:rsidR="005D7178">
        <w:t>The Northern Territory (</w:t>
      </w:r>
      <w:r w:rsidR="005D7178" w:rsidRPr="007C0401">
        <w:rPr>
          <w:rFonts w:ascii="Wingdings 3" w:hAnsi="Wingdings 3"/>
          <w:b/>
          <w:bCs/>
          <w:color w:val="B94F25"/>
        </w:rPr>
        <w:t>i</w:t>
      </w:r>
      <w:r w:rsidR="005D7178">
        <w:t xml:space="preserve"> </w:t>
      </w:r>
      <w:r w:rsidR="005D7178" w:rsidRPr="0084510E">
        <w:rPr>
          <w:b/>
          <w:bCs/>
          <w:color w:val="B94F25"/>
        </w:rPr>
        <w:t xml:space="preserve">down </w:t>
      </w:r>
      <w:r w:rsidR="005D7178">
        <w:rPr>
          <w:b/>
          <w:bCs/>
          <w:color w:val="B94F25"/>
        </w:rPr>
        <w:t>100</w:t>
      </w:r>
      <w:r w:rsidR="005D7178" w:rsidRPr="0084510E">
        <w:rPr>
          <w:b/>
          <w:bCs/>
          <w:color w:val="B94F25"/>
        </w:rPr>
        <w:t>%</w:t>
      </w:r>
      <w:r w:rsidR="005D7178">
        <w:t xml:space="preserve">) recorded the largest decrease followed by </w:t>
      </w:r>
      <w:r w:rsidR="00D0120C">
        <w:t>Tasmania (</w:t>
      </w:r>
      <w:r w:rsidR="008E7F97" w:rsidRPr="007C0401">
        <w:rPr>
          <w:rFonts w:ascii="Wingdings 3" w:hAnsi="Wingdings 3"/>
          <w:b/>
          <w:bCs/>
          <w:color w:val="B94F25"/>
        </w:rPr>
        <w:t>i</w:t>
      </w:r>
      <w:r w:rsidR="008E7F97">
        <w:t xml:space="preserve"> </w:t>
      </w:r>
      <w:r w:rsidR="008E7F97" w:rsidRPr="0084510E">
        <w:rPr>
          <w:b/>
          <w:bCs/>
          <w:color w:val="B94F25"/>
        </w:rPr>
        <w:t xml:space="preserve">down </w:t>
      </w:r>
      <w:r w:rsidR="00D0120C">
        <w:rPr>
          <w:b/>
          <w:bCs/>
          <w:color w:val="B94F25"/>
        </w:rPr>
        <w:t>73</w:t>
      </w:r>
      <w:r w:rsidR="008E7F97" w:rsidRPr="0084510E">
        <w:rPr>
          <w:b/>
          <w:bCs/>
          <w:color w:val="B94F25"/>
        </w:rPr>
        <w:t>%</w:t>
      </w:r>
      <w:r w:rsidR="008E7F97">
        <w:t>)</w:t>
      </w:r>
      <w:r>
        <w:t>.</w:t>
      </w:r>
      <w:r w:rsidR="00D0120C">
        <w:t xml:space="preserve"> New South Wales </w:t>
      </w:r>
      <w:r>
        <w:t>(</w:t>
      </w:r>
      <w:r w:rsidRPr="008F3580">
        <w:rPr>
          <w:rFonts w:ascii="Wingdings 3" w:hAnsi="Wingdings 3"/>
          <w:b/>
          <w:bCs/>
          <w:color w:val="00518E"/>
        </w:rPr>
        <w:t>h</w:t>
      </w:r>
      <w:r>
        <w:t xml:space="preserve"> </w:t>
      </w:r>
      <w:r w:rsidRPr="0084510E">
        <w:rPr>
          <w:b/>
          <w:bCs/>
          <w:color w:val="00518E"/>
        </w:rPr>
        <w:t xml:space="preserve">up </w:t>
      </w:r>
      <w:r w:rsidR="00D0120C">
        <w:rPr>
          <w:b/>
          <w:bCs/>
          <w:color w:val="00518E"/>
        </w:rPr>
        <w:t>35</w:t>
      </w:r>
      <w:r w:rsidRPr="0084510E">
        <w:rPr>
          <w:b/>
          <w:bCs/>
          <w:color w:val="00518E"/>
        </w:rPr>
        <w:t>%</w:t>
      </w:r>
      <w:r>
        <w:t xml:space="preserve">) </w:t>
      </w:r>
      <w:r w:rsidR="00941B5B">
        <w:t>and South Australia (</w:t>
      </w:r>
      <w:r w:rsidR="00941B5B" w:rsidRPr="008F3580">
        <w:rPr>
          <w:rFonts w:ascii="Wingdings 3" w:hAnsi="Wingdings 3"/>
          <w:b/>
          <w:bCs/>
          <w:color w:val="00518E"/>
        </w:rPr>
        <w:t>h</w:t>
      </w:r>
      <w:r w:rsidR="00941B5B">
        <w:t> </w:t>
      </w:r>
      <w:r w:rsidR="00941B5B" w:rsidRPr="0084510E">
        <w:rPr>
          <w:b/>
          <w:bCs/>
          <w:color w:val="00518E"/>
        </w:rPr>
        <w:t xml:space="preserve">up </w:t>
      </w:r>
      <w:r w:rsidR="00941B5B">
        <w:rPr>
          <w:b/>
          <w:bCs/>
          <w:color w:val="00518E"/>
        </w:rPr>
        <w:t>22</w:t>
      </w:r>
      <w:r w:rsidR="00941B5B" w:rsidRPr="0084510E">
        <w:rPr>
          <w:b/>
          <w:bCs/>
          <w:color w:val="00518E"/>
        </w:rPr>
        <w:t>%</w:t>
      </w:r>
      <w:r w:rsidR="00941B5B">
        <w:t xml:space="preserve">) </w:t>
      </w:r>
      <w:r w:rsidR="00D0120C">
        <w:t>recorded the largest increase</w:t>
      </w:r>
      <w:r w:rsidR="00941B5B">
        <w:t>s.</w:t>
      </w:r>
      <w:r w:rsidR="00D0120C">
        <w:t xml:space="preserve"> </w:t>
      </w:r>
    </w:p>
    <w:p w14:paraId="516B1AA5" w14:textId="77777777" w:rsidR="00941B5B" w:rsidRDefault="00941B5B" w:rsidP="007260E3">
      <w:pPr>
        <w:ind w:left="360"/>
      </w:pPr>
    </w:p>
    <w:p w14:paraId="12409AA7" w14:textId="7CED9C96" w:rsidR="00C92473" w:rsidRPr="00086AB2" w:rsidRDefault="00C92473" w:rsidP="007C5139">
      <w:pPr>
        <w:pStyle w:val="Heading3"/>
        <w:spacing w:before="120"/>
      </w:pPr>
      <w:bookmarkStart w:id="95" w:name="_Toc86602513"/>
      <w:bookmarkStart w:id="96" w:name="_Hlk56772937"/>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j</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I</w:t>
      </w:r>
      <w:r w:rsidRPr="00086AB2">
        <w:t>nformation media and telecommunications by jurisdiction</w:t>
      </w:r>
      <w:bookmarkEnd w:id="95"/>
    </w:p>
    <w:bookmarkEnd w:id="96"/>
    <w:p w14:paraId="688E4E0D" w14:textId="38288CA4" w:rsidR="00941B5B" w:rsidRDefault="00017CA2" w:rsidP="004F6BA7">
      <w:pPr>
        <w:spacing w:after="0"/>
        <w:jc w:val="center"/>
      </w:pPr>
      <w:r>
        <w:rPr>
          <w:noProof/>
        </w:rPr>
        <w:drawing>
          <wp:inline distT="0" distB="0" distL="0" distR="0" wp14:anchorId="7D17AB3E" wp14:editId="21BBDF00">
            <wp:extent cx="5492750" cy="3377565"/>
            <wp:effectExtent l="0" t="0" r="0" b="0"/>
            <wp:docPr id="85" name="Picture 85" descr="Indicator 11j – Frequency rates of serious claims for Information, media and telecommunications by jurisdiction&#10;&#10;This chart shows the Frequency rates (claims per million hours worked) of serious injury and disease claims for Information media and telecommunication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ndicator 11j – Frequency rates of serious claims for Information, media and telecommunications by jurisdiction&#10;&#10;This chart shows the Frequency rates (claims per million hours worked) of serious injury and disease claims for Information media and telecommunications industry between 2015-16 and 2020-21, by jurisdiction. Please refer to body text for more information.&#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2750" cy="3377565"/>
                    </a:xfrm>
                    <a:prstGeom prst="rect">
                      <a:avLst/>
                    </a:prstGeom>
                    <a:noFill/>
                  </pic:spPr>
                </pic:pic>
              </a:graphicData>
            </a:graphic>
          </wp:inline>
        </w:drawing>
      </w:r>
    </w:p>
    <w:p w14:paraId="146FF3E1" w14:textId="77777777" w:rsidR="003D7C1F" w:rsidRPr="00086AB2" w:rsidRDefault="003D7C1F" w:rsidP="004F6BA7">
      <w:pPr>
        <w:spacing w:after="0"/>
        <w:jc w:val="center"/>
      </w:pPr>
    </w:p>
    <w:p w14:paraId="3848A6D2" w14:textId="77777777" w:rsidR="003E25A6" w:rsidRDefault="003E25A6">
      <w:pPr>
        <w:spacing w:after="200" w:line="276" w:lineRule="auto"/>
        <w:jc w:val="left"/>
        <w:rPr>
          <w:rFonts w:ascii="Arial Bold" w:eastAsiaTheme="majorEastAsia" w:hAnsi="Arial Bold" w:cs="Arial"/>
          <w:b/>
          <w:kern w:val="32"/>
          <w:sz w:val="28"/>
          <w:szCs w:val="22"/>
        </w:rPr>
      </w:pPr>
      <w:bookmarkStart w:id="97" w:name="_Toc86602514"/>
      <w:r>
        <w:br w:type="page"/>
      </w:r>
    </w:p>
    <w:p w14:paraId="01826E71" w14:textId="0D77641F" w:rsidR="00F22966" w:rsidRPr="00086AB2" w:rsidRDefault="00781310" w:rsidP="00C03259">
      <w:pPr>
        <w:pStyle w:val="Heading1"/>
        <w:spacing w:before="120"/>
      </w:pPr>
      <w:r w:rsidRPr="00086AB2">
        <w:lastRenderedPageBreak/>
        <w:t>F</w:t>
      </w:r>
      <w:r w:rsidR="001978D9" w:rsidRPr="00086AB2">
        <w:t>inancial and insurance services</w:t>
      </w:r>
      <w:bookmarkEnd w:id="97"/>
      <w:r w:rsidR="00A96678">
        <w:t xml:space="preserve"> </w:t>
      </w:r>
    </w:p>
    <w:p w14:paraId="436E905E" w14:textId="2840A414" w:rsidR="0084510E" w:rsidRDefault="0084510E" w:rsidP="00C03259">
      <w:pPr>
        <w:pStyle w:val="ListParagraph"/>
        <w:numPr>
          <w:ilvl w:val="0"/>
          <w:numId w:val="33"/>
        </w:numPr>
      </w:pPr>
      <w:r>
        <w:t>T</w:t>
      </w:r>
      <w:r w:rsidR="00781310" w:rsidRPr="00086AB2">
        <w:t xml:space="preserve">he Australian </w:t>
      </w:r>
      <w:r>
        <w:t xml:space="preserve">frequency </w:t>
      </w:r>
      <w:r w:rsidR="00781310" w:rsidRPr="00086AB2">
        <w:t xml:space="preserve">rate for </w:t>
      </w:r>
      <w:r>
        <w:t xml:space="preserve">this </w:t>
      </w:r>
      <w:r w:rsidR="00DB77DF" w:rsidRPr="00086AB2">
        <w:t xml:space="preserve">industry in </w:t>
      </w:r>
      <w:r w:rsidR="00457FCE" w:rsidRPr="00086AB2">
        <w:t>20</w:t>
      </w:r>
      <w:r w:rsidR="00457FCE">
        <w:t>20</w:t>
      </w:r>
      <w:r w:rsidR="00DB77DF" w:rsidRPr="00086AB2">
        <w:t>–</w:t>
      </w:r>
      <w:r>
        <w:t>2</w:t>
      </w:r>
      <w:r w:rsidR="00457FCE">
        <w:t>1</w:t>
      </w:r>
      <w:r>
        <w:t>p</w:t>
      </w:r>
      <w:r w:rsidR="00DB77DF" w:rsidRPr="00086AB2">
        <w:t xml:space="preserve"> was </w:t>
      </w:r>
      <w:r>
        <w:t>0.</w:t>
      </w:r>
      <w:r w:rsidR="00457FCE">
        <w:t>7</w:t>
      </w:r>
      <w:r w:rsidR="00781310" w:rsidRPr="00086AB2">
        <w:t xml:space="preserve"> claims per </w:t>
      </w:r>
      <w:r>
        <w:t xml:space="preserve">million hours worked, </w:t>
      </w:r>
      <w:r w:rsidR="00781310" w:rsidRPr="00086AB2">
        <w:t xml:space="preserve">the lowest </w:t>
      </w:r>
      <w:r>
        <w:t xml:space="preserve">frequency </w:t>
      </w:r>
      <w:r w:rsidR="00781310" w:rsidRPr="00086AB2">
        <w:t xml:space="preserve">rate among all industries. </w:t>
      </w:r>
    </w:p>
    <w:p w14:paraId="72AEFFF2" w14:textId="79469505" w:rsidR="0084510E" w:rsidRDefault="000D7B60" w:rsidP="00C03259">
      <w:pPr>
        <w:pStyle w:val="ListParagraph"/>
        <w:numPr>
          <w:ilvl w:val="0"/>
          <w:numId w:val="33"/>
        </w:numPr>
      </w:pPr>
      <w:r>
        <w:t>I</w:t>
      </w:r>
      <w:r w:rsidRPr="00086AB2">
        <w:t xml:space="preserve">n </w:t>
      </w:r>
      <w:r w:rsidR="00441C79" w:rsidRPr="00086AB2">
        <w:t>20</w:t>
      </w:r>
      <w:r w:rsidR="00441C79">
        <w:t>20</w:t>
      </w:r>
      <w:r w:rsidRPr="00086AB2">
        <w:t>–</w:t>
      </w:r>
      <w:r>
        <w:t>2</w:t>
      </w:r>
      <w:r w:rsidR="00441C79">
        <w:t>1p South Australia and</w:t>
      </w:r>
      <w:r>
        <w:t xml:space="preserve"> the </w:t>
      </w:r>
      <w:r w:rsidR="00441C79">
        <w:t>Northern</w:t>
      </w:r>
      <w:r>
        <w:t xml:space="preserve"> Territory</w:t>
      </w:r>
      <w:r w:rsidR="0084510E">
        <w:t xml:space="preserve"> recorded the highest frequency rate (</w:t>
      </w:r>
      <w:r>
        <w:t>1</w:t>
      </w:r>
      <w:r w:rsidR="0084510E">
        <w:t>.</w:t>
      </w:r>
      <w:r w:rsidR="00441C79">
        <w:t>2</w:t>
      </w:r>
      <w:r w:rsidR="0084510E">
        <w:t xml:space="preserve"> claims per million hours worked) and</w:t>
      </w:r>
      <w:r w:rsidR="00457FCE">
        <w:t xml:space="preserve"> </w:t>
      </w:r>
      <w:r w:rsidR="005035E8">
        <w:t xml:space="preserve">the Australian Government </w:t>
      </w:r>
      <w:r>
        <w:t>recorded the lowest (0.</w:t>
      </w:r>
      <w:r w:rsidR="005035E8">
        <w:t>4</w:t>
      </w:r>
      <w:r>
        <w:t xml:space="preserve"> claims</w:t>
      </w:r>
      <w:r w:rsidRPr="000D7B60">
        <w:t xml:space="preserve"> </w:t>
      </w:r>
      <w:r>
        <w:t>per million hours worked).</w:t>
      </w:r>
    </w:p>
    <w:p w14:paraId="30A9400A" w14:textId="5945B5A1" w:rsidR="000D7B60" w:rsidRDefault="000D7B60" w:rsidP="00C03259">
      <w:pPr>
        <w:pStyle w:val="ListParagraph"/>
        <w:numPr>
          <w:ilvl w:val="0"/>
          <w:numId w:val="33"/>
        </w:numPr>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 xml:space="preserve">, the frequency rate for this industry </w:t>
      </w:r>
      <w:r w:rsidR="00D0120C" w:rsidRPr="007260E3">
        <w:rPr>
          <w:b/>
          <w:bCs/>
          <w:color w:val="00518E"/>
        </w:rPr>
        <w:t xml:space="preserve">increased </w:t>
      </w:r>
      <w:r w:rsidR="005F2E36">
        <w:rPr>
          <w:b/>
          <w:bCs/>
          <w:color w:val="00518E"/>
        </w:rPr>
        <w:t>by</w:t>
      </w:r>
      <w:r w:rsidR="00941B5B">
        <w:rPr>
          <w:b/>
          <w:bCs/>
          <w:color w:val="00518E"/>
        </w:rPr>
        <w:t> </w:t>
      </w:r>
      <w:r w:rsidR="00941B5B">
        <w:rPr>
          <w:b/>
          <w:bCs/>
          <w:color w:val="365F91" w:themeColor="accent1" w:themeShade="BF"/>
        </w:rPr>
        <w:t>7%</w:t>
      </w:r>
      <w:r w:rsidRPr="007260E3">
        <w:rPr>
          <w:color w:val="365F91" w:themeColor="accent1" w:themeShade="BF"/>
        </w:rPr>
        <w:t>.</w:t>
      </w:r>
      <w:r w:rsidR="003A1B9E" w:rsidRPr="007260E3">
        <w:rPr>
          <w:color w:val="365F91" w:themeColor="accent1" w:themeShade="BF"/>
        </w:rPr>
        <w:t xml:space="preserve"> </w:t>
      </w:r>
      <w:r w:rsidR="00D0120C">
        <w:t>Five </w:t>
      </w:r>
      <w:r>
        <w:t>jurisdictions recorded decrease</w:t>
      </w:r>
      <w:r w:rsidR="00941B5B">
        <w:t>s</w:t>
      </w:r>
      <w:r>
        <w:t xml:space="preserve">, with the largest being recorded by </w:t>
      </w:r>
      <w:r w:rsidR="00064875">
        <w:t>Western Australia</w:t>
      </w:r>
      <w:r>
        <w:t xml:space="preserve"> (</w:t>
      </w:r>
      <w:r w:rsidRPr="007C0401">
        <w:rPr>
          <w:rFonts w:ascii="Wingdings 3" w:hAnsi="Wingdings 3"/>
          <w:b/>
          <w:bCs/>
          <w:color w:val="B94F25"/>
        </w:rPr>
        <w:t>i</w:t>
      </w:r>
      <w:r w:rsidR="00440C37">
        <w:t> </w:t>
      </w:r>
      <w:r w:rsidRPr="000D7B60">
        <w:rPr>
          <w:b/>
          <w:bCs/>
          <w:color w:val="B94F25"/>
        </w:rPr>
        <w:t xml:space="preserve">down </w:t>
      </w:r>
      <w:r w:rsidR="00064875">
        <w:rPr>
          <w:b/>
          <w:bCs/>
          <w:color w:val="B94F25"/>
        </w:rPr>
        <w:t>47</w:t>
      </w:r>
      <w:r w:rsidRPr="000D7B60">
        <w:rPr>
          <w:b/>
          <w:bCs/>
          <w:color w:val="B94F25"/>
        </w:rPr>
        <w:t>%</w:t>
      </w:r>
      <w:r>
        <w:t xml:space="preserve">). </w:t>
      </w:r>
    </w:p>
    <w:p w14:paraId="64E8E33C" w14:textId="6C9A3B30" w:rsidR="007938AC" w:rsidRPr="00086AB2" w:rsidRDefault="007938AC" w:rsidP="0031228B">
      <w:pPr>
        <w:pStyle w:val="Heading3"/>
      </w:pPr>
      <w:bookmarkStart w:id="98" w:name="_Toc86602515"/>
      <w:bookmarkStart w:id="99" w:name="_Hlk56772945"/>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k</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F</w:t>
      </w:r>
      <w:r w:rsidRPr="00086AB2">
        <w:t>inancial and insurance services by</w:t>
      </w:r>
      <w:r w:rsidR="00E55876" w:rsidRPr="00086AB2">
        <w:t> </w:t>
      </w:r>
      <w:r w:rsidRPr="00086AB2">
        <w:t>jurisdiction</w:t>
      </w:r>
      <w:bookmarkEnd w:id="98"/>
    </w:p>
    <w:bookmarkEnd w:id="99"/>
    <w:p w14:paraId="1629D099" w14:textId="06A83650" w:rsidR="00781310" w:rsidRPr="00086AB2" w:rsidRDefault="0051247F" w:rsidP="004F6BA7">
      <w:pPr>
        <w:spacing w:after="0"/>
        <w:jc w:val="center"/>
      </w:pPr>
      <w:r w:rsidRPr="0051247F">
        <w:t xml:space="preserve"> </w:t>
      </w:r>
      <w:r w:rsidR="00017CA2">
        <w:rPr>
          <w:noProof/>
        </w:rPr>
        <w:drawing>
          <wp:inline distT="0" distB="0" distL="0" distR="0" wp14:anchorId="769487DF" wp14:editId="21E97323">
            <wp:extent cx="5492750" cy="3335020"/>
            <wp:effectExtent l="0" t="0" r="0" b="0"/>
            <wp:docPr id="86" name="Picture 86" descr="Indicator 11k – Frequency rates of serious claims for Financial and insurance services by jurisdiction&#10;&#10;This chart shows the Frequency rates (claims per million hours worked) of serious injury and disease claims for Financial and insurance service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ndicator 11k – Frequency rates of serious claims for Financial and insurance services by jurisdiction&#10;&#10;This chart shows the Frequency rates (claims per million hours worked) of serious injury and disease claims for Financial and insurance services industry between 2015-16 and 2020-21, by jurisdiction. Please refer to body text for more information.&#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2750" cy="3335020"/>
                    </a:xfrm>
                    <a:prstGeom prst="rect">
                      <a:avLst/>
                    </a:prstGeom>
                    <a:noFill/>
                  </pic:spPr>
                </pic:pic>
              </a:graphicData>
            </a:graphic>
          </wp:inline>
        </w:drawing>
      </w:r>
    </w:p>
    <w:p w14:paraId="38B408E8" w14:textId="77777777" w:rsidR="003E25A6" w:rsidRDefault="003E25A6">
      <w:pPr>
        <w:spacing w:after="200" w:line="276" w:lineRule="auto"/>
        <w:jc w:val="left"/>
        <w:rPr>
          <w:rFonts w:ascii="Arial Bold" w:eastAsiaTheme="majorEastAsia" w:hAnsi="Arial Bold" w:cs="Arial"/>
          <w:b/>
          <w:kern w:val="32"/>
          <w:sz w:val="28"/>
          <w:szCs w:val="22"/>
        </w:rPr>
      </w:pPr>
      <w:bookmarkStart w:id="100" w:name="_Toc86602516"/>
      <w:r>
        <w:br w:type="page"/>
      </w:r>
    </w:p>
    <w:p w14:paraId="3B1CCC91" w14:textId="56348A8C" w:rsidR="00781310" w:rsidRPr="00086AB2" w:rsidRDefault="00781310" w:rsidP="00B51041">
      <w:pPr>
        <w:pStyle w:val="Heading1"/>
      </w:pPr>
      <w:r w:rsidRPr="00086AB2">
        <w:lastRenderedPageBreak/>
        <w:t xml:space="preserve">Rental, </w:t>
      </w:r>
      <w:r w:rsidR="001978D9" w:rsidRPr="00086AB2">
        <w:t>hiring and real estate services</w:t>
      </w:r>
      <w:bookmarkEnd w:id="100"/>
      <w:r w:rsidR="00A579E3">
        <w:t xml:space="preserve"> </w:t>
      </w:r>
    </w:p>
    <w:p w14:paraId="7E93B57A" w14:textId="2B3B5046" w:rsidR="000D7B60" w:rsidRDefault="00AC09E8" w:rsidP="00C03259">
      <w:pPr>
        <w:pStyle w:val="ListParagraph"/>
        <w:numPr>
          <w:ilvl w:val="0"/>
          <w:numId w:val="34"/>
        </w:numPr>
        <w:jc w:val="left"/>
      </w:pPr>
      <w:r>
        <w:t>T</w:t>
      </w:r>
      <w:r w:rsidR="00781310" w:rsidRPr="00086AB2">
        <w:t xml:space="preserve">he Australian </w:t>
      </w:r>
      <w:r w:rsidR="003A1B9E">
        <w:t>frequency</w:t>
      </w:r>
      <w:r w:rsidR="00781310" w:rsidRPr="00086AB2">
        <w:t xml:space="preserve"> rate for </w:t>
      </w:r>
      <w:r w:rsidR="000D7B60">
        <w:t>this industry was 3.</w:t>
      </w:r>
      <w:r w:rsidR="005035E8">
        <w:t>2</w:t>
      </w:r>
      <w:r w:rsidR="000D7B60">
        <w:t xml:space="preserve"> claims per million hours worked in </w:t>
      </w:r>
      <w:r w:rsidR="00457FCE">
        <w:t>2020</w:t>
      </w:r>
      <w:r w:rsidR="003A1B9E">
        <w:t>–2</w:t>
      </w:r>
      <w:r w:rsidR="00457FCE">
        <w:t>1</w:t>
      </w:r>
      <w:r w:rsidR="003A1B9E">
        <w:t>p</w:t>
      </w:r>
      <w:r w:rsidR="000D7B60">
        <w:t>.</w:t>
      </w:r>
    </w:p>
    <w:p w14:paraId="01BEAC56" w14:textId="50C397B3" w:rsidR="00420AC9" w:rsidRDefault="00420AC9" w:rsidP="00420AC9">
      <w:pPr>
        <w:pStyle w:val="ListParagraph"/>
        <w:numPr>
          <w:ilvl w:val="0"/>
          <w:numId w:val="34"/>
        </w:numPr>
        <w:jc w:val="left"/>
      </w:pPr>
      <w:r>
        <w:t>New South Wales (4.</w:t>
      </w:r>
      <w:r w:rsidR="005035E8">
        <w:t>0</w:t>
      </w:r>
      <w:r w:rsidRPr="000D7B60">
        <w:t xml:space="preserve"> </w:t>
      </w:r>
      <w:r>
        <w:t xml:space="preserve">claims per million hours worked) recorded the highest frequency rate and </w:t>
      </w:r>
      <w:r w:rsidR="009B65D8">
        <w:t xml:space="preserve">the </w:t>
      </w:r>
      <w:r w:rsidR="005D7178">
        <w:t>Australian Government</w:t>
      </w:r>
      <w:r w:rsidR="00C753A1">
        <w:t xml:space="preserve"> </w:t>
      </w:r>
      <w:r>
        <w:t>(1.</w:t>
      </w:r>
      <w:r w:rsidR="005D7178">
        <w:t>0</w:t>
      </w:r>
      <w:r>
        <w:t xml:space="preserve"> claims per million hours worked)</w:t>
      </w:r>
      <w:r w:rsidR="00C753A1">
        <w:t xml:space="preserve"> the lowest in </w:t>
      </w:r>
      <w:r w:rsidR="005035E8">
        <w:t>2020</w:t>
      </w:r>
      <w:r w:rsidR="00CE770C" w:rsidRPr="00086AB2">
        <w:t>–</w:t>
      </w:r>
      <w:r w:rsidR="00C753A1">
        <w:t>2</w:t>
      </w:r>
      <w:r w:rsidR="005035E8">
        <w:t>1</w:t>
      </w:r>
      <w:r>
        <w:t xml:space="preserve">. </w:t>
      </w:r>
    </w:p>
    <w:p w14:paraId="0D3F65CC" w14:textId="26A12DA4" w:rsidR="00F4551F" w:rsidRDefault="00F4551F" w:rsidP="00C03259">
      <w:pPr>
        <w:pStyle w:val="ListParagraph"/>
        <w:numPr>
          <w:ilvl w:val="0"/>
          <w:numId w:val="34"/>
        </w:numPr>
        <w:jc w:val="left"/>
      </w:pPr>
      <w:r>
        <w:t xml:space="preserve">Overall, the frequency rate </w:t>
      </w:r>
      <w:r w:rsidR="00E33D45">
        <w:t xml:space="preserve">for this industry </w:t>
      </w:r>
      <w:r w:rsidRPr="005E49E0">
        <w:rPr>
          <w:b/>
          <w:bCs/>
          <w:color w:val="00518E"/>
        </w:rPr>
        <w:t>increased</w:t>
      </w:r>
      <w:r w:rsidRPr="006E2C4F">
        <w:rPr>
          <w:b/>
          <w:bCs/>
          <w:color w:val="00518E"/>
        </w:rPr>
        <w:t xml:space="preserve"> </w:t>
      </w:r>
      <w:r w:rsidR="005F2E36">
        <w:rPr>
          <w:b/>
          <w:bCs/>
          <w:color w:val="00518E"/>
        </w:rPr>
        <w:t>by</w:t>
      </w:r>
      <w:r w:rsidR="0051247F" w:rsidRPr="00F4551F">
        <w:rPr>
          <w:b/>
          <w:bCs/>
          <w:color w:val="00518E"/>
        </w:rPr>
        <w:t xml:space="preserve"> </w:t>
      </w:r>
      <w:r w:rsidR="0051247F">
        <w:rPr>
          <w:b/>
          <w:bCs/>
          <w:color w:val="00518E"/>
        </w:rPr>
        <w:t>23</w:t>
      </w:r>
      <w:r w:rsidR="0051247F" w:rsidRPr="00F4551F">
        <w:rPr>
          <w:b/>
          <w:bCs/>
          <w:color w:val="00518E"/>
        </w:rPr>
        <w:t>%</w:t>
      </w:r>
      <w:r w:rsidRPr="006E2C4F">
        <w:rPr>
          <w:color w:val="00518E"/>
        </w:rPr>
        <w:t xml:space="preserve"> </w:t>
      </w: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w:t>
      </w:r>
      <w:r w:rsidR="003A1B9E">
        <w:t xml:space="preserve"> </w:t>
      </w:r>
      <w:r w:rsidR="009A79D8">
        <w:t xml:space="preserve">The </w:t>
      </w:r>
      <w:r w:rsidR="00E33D45">
        <w:t>Australia</w:t>
      </w:r>
      <w:r w:rsidR="009A79D8">
        <w:t>n Capital Territory</w:t>
      </w:r>
      <w:r w:rsidR="00E33D45">
        <w:t xml:space="preserve"> (</w:t>
      </w:r>
      <w:r w:rsidR="00E33D45" w:rsidRPr="008F3580">
        <w:rPr>
          <w:rFonts w:ascii="Wingdings 3" w:hAnsi="Wingdings 3"/>
          <w:b/>
          <w:bCs/>
          <w:color w:val="00518E"/>
        </w:rPr>
        <w:t>h</w:t>
      </w:r>
      <w:r w:rsidR="00E33D45">
        <w:t xml:space="preserve"> </w:t>
      </w:r>
      <w:r w:rsidR="00E33D45" w:rsidRPr="00F4551F">
        <w:rPr>
          <w:b/>
          <w:bCs/>
          <w:color w:val="00518E"/>
        </w:rPr>
        <w:t xml:space="preserve">up </w:t>
      </w:r>
      <w:r w:rsidR="009A79D8">
        <w:rPr>
          <w:b/>
          <w:bCs/>
          <w:color w:val="00518E"/>
        </w:rPr>
        <w:t>83</w:t>
      </w:r>
      <w:r w:rsidR="00E33D45" w:rsidRPr="00F4551F">
        <w:rPr>
          <w:b/>
          <w:bCs/>
          <w:color w:val="00518E"/>
        </w:rPr>
        <w:t>%</w:t>
      </w:r>
      <w:r w:rsidR="00E33D45">
        <w:t>) reported the</w:t>
      </w:r>
      <w:r>
        <w:t xml:space="preserve"> largest increase</w:t>
      </w:r>
      <w:r w:rsidR="009A79D8">
        <w:t xml:space="preserve"> </w:t>
      </w:r>
      <w:r w:rsidR="00AC0D60">
        <w:t>followed by New South Wales (</w:t>
      </w:r>
      <w:r w:rsidR="00AC0D60" w:rsidRPr="008F3580">
        <w:rPr>
          <w:rFonts w:ascii="Wingdings 3" w:hAnsi="Wingdings 3"/>
          <w:b/>
          <w:bCs/>
          <w:color w:val="00518E"/>
        </w:rPr>
        <w:t>h</w:t>
      </w:r>
      <w:r w:rsidR="00AC0D60">
        <w:t xml:space="preserve"> </w:t>
      </w:r>
      <w:r w:rsidR="00AC0D60" w:rsidRPr="00F4551F">
        <w:rPr>
          <w:b/>
          <w:bCs/>
          <w:color w:val="00518E"/>
        </w:rPr>
        <w:t xml:space="preserve">up </w:t>
      </w:r>
      <w:r w:rsidR="00AC0D60">
        <w:rPr>
          <w:b/>
          <w:bCs/>
          <w:color w:val="00518E"/>
        </w:rPr>
        <w:t>76</w:t>
      </w:r>
      <w:r w:rsidR="00AC0D60" w:rsidRPr="00F4551F">
        <w:rPr>
          <w:b/>
          <w:bCs/>
          <w:color w:val="00518E"/>
        </w:rPr>
        <w:t>%</w:t>
      </w:r>
      <w:r w:rsidR="00AC0D60">
        <w:t>).</w:t>
      </w:r>
      <w:r>
        <w:t xml:space="preserve"> </w:t>
      </w:r>
      <w:r w:rsidR="00230454">
        <w:t xml:space="preserve">The Australian Government reported the largest </w:t>
      </w:r>
      <w:proofErr w:type="gramStart"/>
      <w:r w:rsidR="00230454">
        <w:t>decrease(</w:t>
      </w:r>
      <w:proofErr w:type="gramEnd"/>
      <w:r w:rsidR="00230454" w:rsidRPr="007C0401">
        <w:rPr>
          <w:rFonts w:ascii="Wingdings 3" w:hAnsi="Wingdings 3"/>
          <w:b/>
          <w:bCs/>
          <w:color w:val="B94F25"/>
        </w:rPr>
        <w:t>i</w:t>
      </w:r>
      <w:r w:rsidR="00230454">
        <w:rPr>
          <w:b/>
          <w:bCs/>
          <w:color w:val="B94F25"/>
        </w:rPr>
        <w:t> </w:t>
      </w:r>
      <w:r w:rsidR="00230454" w:rsidRPr="00F4551F">
        <w:rPr>
          <w:b/>
          <w:bCs/>
          <w:color w:val="B94F25"/>
        </w:rPr>
        <w:t xml:space="preserve">down </w:t>
      </w:r>
      <w:r w:rsidR="00230454">
        <w:rPr>
          <w:b/>
          <w:bCs/>
          <w:color w:val="B94F25"/>
        </w:rPr>
        <w:t>100</w:t>
      </w:r>
      <w:r w:rsidR="00230454" w:rsidRPr="00F4551F">
        <w:rPr>
          <w:b/>
          <w:bCs/>
          <w:color w:val="B94F25"/>
        </w:rPr>
        <w:t>%</w:t>
      </w:r>
      <w:r w:rsidR="00230454">
        <w:t xml:space="preserve">) followed by </w:t>
      </w:r>
      <w:r w:rsidR="0051247F">
        <w:t xml:space="preserve">Victoria </w:t>
      </w:r>
      <w:r w:rsidR="00E33D45">
        <w:t>(</w:t>
      </w:r>
      <w:r w:rsidR="00E33D45" w:rsidRPr="007C0401">
        <w:rPr>
          <w:rFonts w:ascii="Wingdings 3" w:hAnsi="Wingdings 3"/>
          <w:b/>
          <w:bCs/>
          <w:color w:val="B94F25"/>
        </w:rPr>
        <w:t>i</w:t>
      </w:r>
      <w:r w:rsidR="00CE770C">
        <w:rPr>
          <w:b/>
          <w:bCs/>
          <w:color w:val="B94F25"/>
        </w:rPr>
        <w:t> </w:t>
      </w:r>
      <w:r w:rsidR="00E33D45" w:rsidRPr="00F4551F">
        <w:rPr>
          <w:b/>
          <w:bCs/>
          <w:color w:val="B94F25"/>
        </w:rPr>
        <w:t xml:space="preserve">down </w:t>
      </w:r>
      <w:r w:rsidR="00AC0D60">
        <w:rPr>
          <w:b/>
          <w:bCs/>
          <w:color w:val="B94F25"/>
        </w:rPr>
        <w:t>1</w:t>
      </w:r>
      <w:r w:rsidR="0051247F">
        <w:rPr>
          <w:b/>
          <w:bCs/>
          <w:color w:val="B94F25"/>
        </w:rPr>
        <w:t>0</w:t>
      </w:r>
      <w:r w:rsidR="00E33D45" w:rsidRPr="00F4551F">
        <w:rPr>
          <w:b/>
          <w:bCs/>
          <w:color w:val="B94F25"/>
        </w:rPr>
        <w:t>%</w:t>
      </w:r>
      <w:r w:rsidR="00E33D45">
        <w:t xml:space="preserve">) </w:t>
      </w:r>
      <w:r w:rsidR="00230454">
        <w:t>and</w:t>
      </w:r>
      <w:r w:rsidR="00E33D45">
        <w:t xml:space="preserve"> </w:t>
      </w:r>
      <w:r w:rsidR="0051247F">
        <w:t>Western Australia</w:t>
      </w:r>
      <w:r w:rsidR="00AC0D60">
        <w:t xml:space="preserve"> </w:t>
      </w:r>
      <w:r w:rsidR="00E33D45">
        <w:t>(</w:t>
      </w:r>
      <w:r w:rsidR="00E33D45" w:rsidRPr="007C0401">
        <w:rPr>
          <w:rFonts w:ascii="Wingdings 3" w:hAnsi="Wingdings 3"/>
          <w:b/>
          <w:bCs/>
          <w:color w:val="B94F25"/>
        </w:rPr>
        <w:t>i</w:t>
      </w:r>
      <w:r w:rsidR="00CE770C">
        <w:t> </w:t>
      </w:r>
      <w:r w:rsidR="00E33D45" w:rsidRPr="00F4551F">
        <w:rPr>
          <w:b/>
          <w:bCs/>
          <w:color w:val="B94F25"/>
        </w:rPr>
        <w:t xml:space="preserve">down </w:t>
      </w:r>
      <w:r w:rsidR="0051247F">
        <w:rPr>
          <w:b/>
          <w:bCs/>
          <w:color w:val="B94F25"/>
        </w:rPr>
        <w:t>8</w:t>
      </w:r>
      <w:r w:rsidR="00E33D45" w:rsidRPr="00F4551F">
        <w:rPr>
          <w:b/>
          <w:bCs/>
          <w:color w:val="B94F25"/>
        </w:rPr>
        <w:t>%</w:t>
      </w:r>
      <w:r w:rsidR="00E33D45">
        <w:t>)</w:t>
      </w:r>
      <w:r w:rsidR="00064875" w:rsidRPr="00064875">
        <w:t xml:space="preserve"> </w:t>
      </w:r>
      <w:r w:rsidR="00064875">
        <w:t>for this industry</w:t>
      </w:r>
      <w:r w:rsidR="00E33D45">
        <w:t xml:space="preserve"> </w:t>
      </w:r>
      <w:r>
        <w:t>during this period</w:t>
      </w:r>
      <w:r w:rsidR="001C275F">
        <w:t xml:space="preserve">. </w:t>
      </w:r>
    </w:p>
    <w:p w14:paraId="6C472257" w14:textId="77777777" w:rsidR="0051247F" w:rsidRDefault="0051247F" w:rsidP="007260E3">
      <w:pPr>
        <w:ind w:left="360"/>
        <w:jc w:val="left"/>
      </w:pPr>
    </w:p>
    <w:p w14:paraId="7542F344" w14:textId="7E501654" w:rsidR="00F17473" w:rsidRPr="00086AB2" w:rsidRDefault="00F17473" w:rsidP="007C5139">
      <w:pPr>
        <w:pStyle w:val="Heading3"/>
        <w:spacing w:before="120" w:after="60"/>
      </w:pPr>
      <w:bookmarkStart w:id="101" w:name="_Toc86602517"/>
      <w:bookmarkStart w:id="102" w:name="_Hlk56772954"/>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l</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R</w:t>
      </w:r>
      <w:r w:rsidRPr="00086AB2">
        <w:t>ental, hiring and real estate services by</w:t>
      </w:r>
      <w:r w:rsidR="00E55876" w:rsidRPr="00086AB2">
        <w:t> </w:t>
      </w:r>
      <w:r w:rsidRPr="00086AB2">
        <w:t>jurisdiction</w:t>
      </w:r>
      <w:bookmarkEnd w:id="101"/>
    </w:p>
    <w:bookmarkEnd w:id="102"/>
    <w:p w14:paraId="247B67B9" w14:textId="7E386084" w:rsidR="00781310" w:rsidRDefault="0051247F" w:rsidP="00F60444">
      <w:pPr>
        <w:spacing w:after="0"/>
        <w:jc w:val="center"/>
      </w:pPr>
      <w:r w:rsidRPr="0051247F">
        <w:t xml:space="preserve"> </w:t>
      </w:r>
      <w:r w:rsidR="00017CA2">
        <w:rPr>
          <w:noProof/>
        </w:rPr>
        <w:drawing>
          <wp:inline distT="0" distB="0" distL="0" distR="0" wp14:anchorId="3C44D1BE" wp14:editId="37DD78C0">
            <wp:extent cx="5401310" cy="3377565"/>
            <wp:effectExtent l="0" t="0" r="8890" b="0"/>
            <wp:docPr id="87" name="Picture 87" descr="Indicator 11l – Frequency rates of serious claims for Rental, hiring and real estate services by jurisdiction&#10;&#10;This chart shows the Frequency rates (claims per million hours worked) of serious injury and disease claims for Rental, hiring and real estate service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ndicator 11l – Frequency rates of serious claims for Rental, hiring and real estate services by jurisdiction&#10;&#10;This chart shows the Frequency rates (claims per million hours worked) of serious injury and disease claims for Rental, hiring and real estate services industry between 2015-16 and 2020-21, by jurisdiction. Please refer to body text for more information.&#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3377565"/>
                    </a:xfrm>
                    <a:prstGeom prst="rect">
                      <a:avLst/>
                    </a:prstGeom>
                    <a:noFill/>
                  </pic:spPr>
                </pic:pic>
              </a:graphicData>
            </a:graphic>
          </wp:inline>
        </w:drawing>
      </w:r>
    </w:p>
    <w:p w14:paraId="66939AB5" w14:textId="77777777" w:rsidR="0051247F" w:rsidRPr="00086AB2" w:rsidRDefault="0051247F" w:rsidP="00F60444">
      <w:pPr>
        <w:spacing w:after="0"/>
        <w:jc w:val="center"/>
      </w:pPr>
    </w:p>
    <w:p w14:paraId="73A6E9D8" w14:textId="77777777" w:rsidR="003E25A6" w:rsidRDefault="003E25A6">
      <w:pPr>
        <w:spacing w:after="200" w:line="276" w:lineRule="auto"/>
        <w:jc w:val="left"/>
        <w:rPr>
          <w:rFonts w:ascii="Arial Bold" w:eastAsiaTheme="majorEastAsia" w:hAnsi="Arial Bold" w:cs="Arial"/>
          <w:b/>
          <w:kern w:val="32"/>
          <w:sz w:val="28"/>
          <w:szCs w:val="22"/>
        </w:rPr>
      </w:pPr>
      <w:bookmarkStart w:id="103" w:name="_Toc86602518"/>
      <w:r>
        <w:br w:type="page"/>
      </w:r>
    </w:p>
    <w:p w14:paraId="2D46ECF7" w14:textId="6DC68345" w:rsidR="00781310" w:rsidRPr="00086AB2" w:rsidRDefault="00781310" w:rsidP="007C5139">
      <w:pPr>
        <w:pStyle w:val="Heading1"/>
        <w:spacing w:before="120"/>
      </w:pPr>
      <w:r w:rsidRPr="00086AB2">
        <w:lastRenderedPageBreak/>
        <w:t xml:space="preserve">Professional, </w:t>
      </w:r>
      <w:proofErr w:type="gramStart"/>
      <w:r w:rsidRPr="00086AB2">
        <w:t>sc</w:t>
      </w:r>
      <w:r w:rsidR="001978D9" w:rsidRPr="00086AB2">
        <w:t>ientific</w:t>
      </w:r>
      <w:proofErr w:type="gramEnd"/>
      <w:r w:rsidR="001978D9" w:rsidRPr="00086AB2">
        <w:t xml:space="preserve"> and technical services</w:t>
      </w:r>
      <w:bookmarkEnd w:id="103"/>
      <w:r w:rsidR="0033569C">
        <w:t xml:space="preserve"> </w:t>
      </w:r>
    </w:p>
    <w:p w14:paraId="4A2CAD80" w14:textId="6AC6EFAD" w:rsidR="00F4551F" w:rsidRDefault="00E33D45" w:rsidP="00E33D45">
      <w:pPr>
        <w:pStyle w:val="ListParagraph"/>
        <w:numPr>
          <w:ilvl w:val="0"/>
          <w:numId w:val="35"/>
        </w:numPr>
        <w:jc w:val="left"/>
      </w:pPr>
      <w:r>
        <w:t>C</w:t>
      </w:r>
      <w:r w:rsidRPr="00086AB2">
        <w:t>ompared to all other industries</w:t>
      </w:r>
      <w:r>
        <w:t>, t</w:t>
      </w:r>
      <w:r w:rsidR="00F4551F">
        <w:t xml:space="preserve">his </w:t>
      </w:r>
      <w:r w:rsidR="00F06EB7" w:rsidRPr="00086AB2">
        <w:t xml:space="preserve">industry had the second lowest </w:t>
      </w:r>
      <w:r w:rsidR="00BC0206">
        <w:t xml:space="preserve">Australian </w:t>
      </w:r>
      <w:r w:rsidR="00F4551F">
        <w:t>frequency</w:t>
      </w:r>
      <w:r w:rsidR="00F06EB7" w:rsidRPr="00086AB2">
        <w:t xml:space="preserve"> rate </w:t>
      </w:r>
      <w:r>
        <w:t>at 1.2</w:t>
      </w:r>
      <w:r w:rsidRPr="00086AB2">
        <w:t xml:space="preserve"> claims per </w:t>
      </w:r>
      <w:r>
        <w:t xml:space="preserve">million hours worked </w:t>
      </w:r>
      <w:r w:rsidR="00F06EB7" w:rsidRPr="00086AB2">
        <w:t xml:space="preserve">in </w:t>
      </w:r>
      <w:r w:rsidR="00A314C5" w:rsidRPr="00086AB2">
        <w:t>20</w:t>
      </w:r>
      <w:r w:rsidR="00A314C5">
        <w:t>20</w:t>
      </w:r>
      <w:r w:rsidR="00F06EB7" w:rsidRPr="00086AB2">
        <w:t>–</w:t>
      </w:r>
      <w:r w:rsidR="00F4551F">
        <w:t>2</w:t>
      </w:r>
      <w:r w:rsidR="00A314C5">
        <w:t>1</w:t>
      </w:r>
      <w:r w:rsidR="00F4551F">
        <w:t>p</w:t>
      </w:r>
      <w:r>
        <w:t>.</w:t>
      </w:r>
      <w:r w:rsidR="00F4551F">
        <w:t xml:space="preserve"> </w:t>
      </w:r>
    </w:p>
    <w:p w14:paraId="3D6873A8" w14:textId="1BC66E72" w:rsidR="0006248B" w:rsidRDefault="0006248B" w:rsidP="00C03259">
      <w:pPr>
        <w:pStyle w:val="ListParagraph"/>
        <w:numPr>
          <w:ilvl w:val="0"/>
          <w:numId w:val="35"/>
        </w:numPr>
        <w:jc w:val="left"/>
      </w:pPr>
      <w:r>
        <w:t xml:space="preserve">In </w:t>
      </w:r>
      <w:r w:rsidR="005035E8">
        <w:t>2020</w:t>
      </w:r>
      <w:r w:rsidR="003A1B9E">
        <w:t>–2</w:t>
      </w:r>
      <w:r w:rsidR="005035E8">
        <w:t>1p</w:t>
      </w:r>
      <w:r>
        <w:t xml:space="preserve">, </w:t>
      </w:r>
      <w:r w:rsidR="005035E8">
        <w:t>Tasmania</w:t>
      </w:r>
      <w:r w:rsidR="00A314C5">
        <w:t xml:space="preserve"> </w:t>
      </w:r>
      <w:r w:rsidR="00F4551F">
        <w:t>recorded the highest frequency rate</w:t>
      </w:r>
      <w:r w:rsidR="00F06EB7" w:rsidRPr="00086AB2">
        <w:t xml:space="preserve"> </w:t>
      </w:r>
      <w:r w:rsidR="00BC0206">
        <w:t>(</w:t>
      </w:r>
      <w:r w:rsidR="005035E8">
        <w:t>1.9</w:t>
      </w:r>
      <w:r w:rsidR="00A24A0F">
        <w:t> </w:t>
      </w:r>
      <w:r w:rsidR="00BC0206">
        <w:t xml:space="preserve">claims per million hours worked) whereas </w:t>
      </w:r>
      <w:r w:rsidR="005035E8">
        <w:t>South Australia</w:t>
      </w:r>
      <w:r w:rsidR="00BC0206">
        <w:t xml:space="preserve"> </w:t>
      </w:r>
      <w:r>
        <w:t>recorded the lowest frequency rate (0.7</w:t>
      </w:r>
      <w:r w:rsidR="0052664F">
        <w:t> </w:t>
      </w:r>
      <w:r>
        <w:t>million hours worked)</w:t>
      </w:r>
    </w:p>
    <w:p w14:paraId="517EB440" w14:textId="73B2FB4E" w:rsidR="009343CD" w:rsidRDefault="009343CD" w:rsidP="009343CD">
      <w:pPr>
        <w:pStyle w:val="ListParagraph"/>
        <w:numPr>
          <w:ilvl w:val="0"/>
          <w:numId w:val="35"/>
        </w:numPr>
        <w:jc w:val="left"/>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 xml:space="preserve">, the frequency rate for this industry </w:t>
      </w:r>
      <w:r w:rsidRPr="00072B22">
        <w:t>increased</w:t>
      </w:r>
      <w:r w:rsidRPr="00756C8A">
        <w:rPr>
          <w:b/>
          <w:bCs/>
          <w:color w:val="00518E"/>
        </w:rPr>
        <w:t xml:space="preserve"> </w:t>
      </w:r>
      <w:r w:rsidR="009F04B0">
        <w:t>(</w:t>
      </w:r>
      <w:r w:rsidR="009F04B0" w:rsidRPr="008F3580">
        <w:rPr>
          <w:rFonts w:ascii="Wingdings 3" w:hAnsi="Wingdings 3"/>
          <w:b/>
          <w:bCs/>
          <w:color w:val="00518E"/>
        </w:rPr>
        <w:t>h</w:t>
      </w:r>
      <w:r w:rsidR="009F04B0">
        <w:t xml:space="preserve"> </w:t>
      </w:r>
      <w:r w:rsidR="009F04B0" w:rsidRPr="0006248B">
        <w:rPr>
          <w:b/>
          <w:bCs/>
          <w:color w:val="00518E"/>
        </w:rPr>
        <w:t>up</w:t>
      </w:r>
      <w:r w:rsidR="009F04B0">
        <w:rPr>
          <w:b/>
          <w:bCs/>
          <w:color w:val="00518E"/>
        </w:rPr>
        <w:t> </w:t>
      </w:r>
      <w:r w:rsidR="006D1888">
        <w:rPr>
          <w:b/>
          <w:bCs/>
          <w:color w:val="00518E"/>
        </w:rPr>
        <w:t>2</w:t>
      </w:r>
      <w:r w:rsidR="00064875">
        <w:rPr>
          <w:b/>
          <w:bCs/>
          <w:color w:val="00518E"/>
        </w:rPr>
        <w:t>0</w:t>
      </w:r>
      <w:r w:rsidR="009F04B0" w:rsidRPr="0006248B">
        <w:rPr>
          <w:b/>
          <w:bCs/>
          <w:color w:val="00518E"/>
        </w:rPr>
        <w:t>%</w:t>
      </w:r>
      <w:r w:rsidR="009F04B0">
        <w:t>)</w:t>
      </w:r>
      <w:r>
        <w:t>. The Australian Government (</w:t>
      </w:r>
      <w:r w:rsidRPr="00E33D45">
        <w:rPr>
          <w:rFonts w:ascii="Wingdings 3" w:hAnsi="Wingdings 3"/>
          <w:b/>
          <w:bCs/>
          <w:color w:val="B94F25"/>
        </w:rPr>
        <w:t>i</w:t>
      </w:r>
      <w:r>
        <w:t xml:space="preserve"> </w:t>
      </w:r>
      <w:r w:rsidRPr="00E33D45">
        <w:rPr>
          <w:b/>
          <w:bCs/>
          <w:color w:val="B94F25"/>
        </w:rPr>
        <w:t xml:space="preserve">down </w:t>
      </w:r>
      <w:r w:rsidR="00AC0D60">
        <w:rPr>
          <w:b/>
          <w:bCs/>
          <w:color w:val="B94F25"/>
        </w:rPr>
        <w:t>48</w:t>
      </w:r>
      <w:r w:rsidRPr="00095772">
        <w:rPr>
          <w:b/>
          <w:bCs/>
          <w:color w:val="B94F25"/>
        </w:rPr>
        <w:t>%</w:t>
      </w:r>
      <w:r>
        <w:t xml:space="preserve">) recorded the largest decrease </w:t>
      </w:r>
      <w:r w:rsidR="002B0620">
        <w:t xml:space="preserve">while </w:t>
      </w:r>
      <w:r w:rsidR="00AC0D60">
        <w:t>New South Wales</w:t>
      </w:r>
      <w:r w:rsidR="002B0620">
        <w:t xml:space="preserve"> (</w:t>
      </w:r>
      <w:r w:rsidR="002B0620" w:rsidRPr="008F3580">
        <w:rPr>
          <w:rFonts w:ascii="Wingdings 3" w:hAnsi="Wingdings 3"/>
          <w:b/>
          <w:bCs/>
          <w:color w:val="00518E"/>
        </w:rPr>
        <w:t>h</w:t>
      </w:r>
      <w:r w:rsidR="002B0620">
        <w:t xml:space="preserve"> </w:t>
      </w:r>
      <w:r w:rsidR="002B0620" w:rsidRPr="0006248B">
        <w:rPr>
          <w:b/>
          <w:bCs/>
          <w:color w:val="00518E"/>
        </w:rPr>
        <w:t>up</w:t>
      </w:r>
      <w:r w:rsidR="002B0620">
        <w:rPr>
          <w:b/>
          <w:bCs/>
          <w:color w:val="00518E"/>
        </w:rPr>
        <w:t> </w:t>
      </w:r>
      <w:r w:rsidR="00AC0D60">
        <w:rPr>
          <w:b/>
          <w:bCs/>
          <w:color w:val="00518E"/>
        </w:rPr>
        <w:t>55</w:t>
      </w:r>
      <w:r w:rsidR="002B0620" w:rsidRPr="0006248B">
        <w:rPr>
          <w:b/>
          <w:bCs/>
          <w:color w:val="00518E"/>
        </w:rPr>
        <w:t>%</w:t>
      </w:r>
      <w:r w:rsidR="002B0620">
        <w:t>) recorded the highest increase.</w:t>
      </w:r>
    </w:p>
    <w:p w14:paraId="2B947C1E" w14:textId="43DB9533" w:rsidR="00C03259" w:rsidRDefault="00F17473" w:rsidP="002B0620">
      <w:pPr>
        <w:pStyle w:val="Heading3"/>
        <w:spacing w:before="120" w:after="60"/>
      </w:pPr>
      <w:bookmarkStart w:id="104" w:name="_Toc86602519"/>
      <w:bookmarkStart w:id="105" w:name="_Hlk56772962"/>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m</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P</w:t>
      </w:r>
      <w:r w:rsidRPr="00086AB2">
        <w:t xml:space="preserve">rofessional, </w:t>
      </w:r>
      <w:proofErr w:type="gramStart"/>
      <w:r w:rsidRPr="00086AB2">
        <w:t>scientific</w:t>
      </w:r>
      <w:proofErr w:type="gramEnd"/>
      <w:r w:rsidRPr="00086AB2">
        <w:t xml:space="preserve"> and technical services by jurisdiction</w:t>
      </w:r>
      <w:bookmarkEnd w:id="104"/>
    </w:p>
    <w:p w14:paraId="32F6239B" w14:textId="0422F6A3" w:rsidR="00F17473" w:rsidRPr="00086AB2" w:rsidRDefault="00B8577F" w:rsidP="007C5139">
      <w:pPr>
        <w:pStyle w:val="SWATableheader"/>
        <w:keepNext w:val="0"/>
        <w:spacing w:before="0" w:after="120"/>
        <w:jc w:val="center"/>
      </w:pPr>
      <w:r>
        <w:rPr>
          <w:noProof/>
        </w:rPr>
        <mc:AlternateContent>
          <mc:Choice Requires="wps">
            <w:drawing>
              <wp:anchor distT="0" distB="0" distL="114300" distR="114300" simplePos="0" relativeHeight="251677696" behindDoc="0" locked="0" layoutInCell="1" allowOverlap="1" wp14:anchorId="240253B3" wp14:editId="3E9E0C8D">
                <wp:simplePos x="0" y="0"/>
                <wp:positionH relativeFrom="column">
                  <wp:posOffset>7381240</wp:posOffset>
                </wp:positionH>
                <wp:positionV relativeFrom="paragraph">
                  <wp:posOffset>3400425</wp:posOffset>
                </wp:positionV>
                <wp:extent cx="292100" cy="254000"/>
                <wp:effectExtent l="0" t="0" r="12700" b="12700"/>
                <wp:wrapNone/>
                <wp:docPr id="61" name="Rectangle 61"/>
                <wp:cNvGraphicFramePr/>
                <a:graphic xmlns:a="http://schemas.openxmlformats.org/drawingml/2006/main">
                  <a:graphicData uri="http://schemas.microsoft.com/office/word/2010/wordprocessingShape">
                    <wps:wsp>
                      <wps:cNvSpPr/>
                      <wps:spPr>
                        <a:xfrm>
                          <a:off x="0" y="0"/>
                          <a:ext cx="29210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90D99" id="Rectangle 61" o:spid="_x0000_s1026" style="position:absolute;margin-left:581.2pt;margin-top:267.75pt;width:23pt;height:2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" fillcolor="white [3212]" strokecolor="white [3212]" strokeweight="2pt"/>
            </w:pict>
          </mc:Fallback>
        </mc:AlternateContent>
      </w:r>
      <w:r w:rsidR="00017CA2">
        <w:rPr>
          <w:noProof/>
        </w:rPr>
        <w:drawing>
          <wp:inline distT="0" distB="0" distL="0" distR="0" wp14:anchorId="0A50A19F" wp14:editId="2341EAC9">
            <wp:extent cx="5365115" cy="3328670"/>
            <wp:effectExtent l="0" t="0" r="6985" b="5080"/>
            <wp:docPr id="88" name="Picture 88" descr="Indicator 11m – Frequency rates of serious claims for Professional, scientific and technical services by jurisdiction&#10;&#10;This chart shows the Frequency rates (claims per million hours worked) of serious injury and disease claims for Professional, scientific and technical service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ndicator 11m – Frequency rates of serious claims for Professional, scientific and technical services by jurisdiction&#10;&#10;This chart shows the Frequency rates (claims per million hours worked) of serious injury and disease claims for Professional, scientific and technical services industry between 2015-16 and 2020-21, by jurisdiction. Please refer to body text for more information.&#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5115" cy="3328670"/>
                    </a:xfrm>
                    <a:prstGeom prst="rect">
                      <a:avLst/>
                    </a:prstGeom>
                    <a:noFill/>
                  </pic:spPr>
                </pic:pic>
              </a:graphicData>
            </a:graphic>
          </wp:inline>
        </w:drawing>
      </w:r>
    </w:p>
    <w:p w14:paraId="160F2A94" w14:textId="10E5BB76" w:rsidR="003E25A6" w:rsidRDefault="003E25A6">
      <w:pPr>
        <w:spacing w:after="200" w:line="276" w:lineRule="auto"/>
        <w:jc w:val="left"/>
        <w:rPr>
          <w:rFonts w:ascii="Arial Bold" w:eastAsiaTheme="majorEastAsia" w:hAnsi="Arial Bold" w:cs="Arial"/>
          <w:b/>
          <w:kern w:val="32"/>
          <w:sz w:val="28"/>
          <w:szCs w:val="22"/>
        </w:rPr>
      </w:pPr>
      <w:bookmarkStart w:id="106" w:name="_Toc86602520"/>
      <w:bookmarkEnd w:id="105"/>
      <w:r>
        <w:br w:type="page"/>
      </w:r>
    </w:p>
    <w:p w14:paraId="27BA5F73" w14:textId="6566065E" w:rsidR="00781310" w:rsidRPr="00086AB2" w:rsidRDefault="00781310" w:rsidP="007C5139">
      <w:pPr>
        <w:pStyle w:val="Heading1"/>
        <w:keepLines/>
        <w:spacing w:before="240"/>
      </w:pPr>
      <w:r w:rsidRPr="00086AB2">
        <w:lastRenderedPageBreak/>
        <w:t xml:space="preserve">Administrative and support </w:t>
      </w:r>
      <w:r w:rsidR="00381AA1" w:rsidRPr="00086AB2">
        <w:t>services</w:t>
      </w:r>
      <w:bookmarkEnd w:id="106"/>
      <w:r w:rsidR="006749AF">
        <w:t xml:space="preserve"> </w:t>
      </w:r>
    </w:p>
    <w:p w14:paraId="7CDCEA77" w14:textId="29680496" w:rsidR="0006248B" w:rsidRDefault="00E4067A" w:rsidP="007C5139">
      <w:pPr>
        <w:pStyle w:val="ListParagraph"/>
        <w:keepNext/>
        <w:keepLines/>
        <w:numPr>
          <w:ilvl w:val="0"/>
          <w:numId w:val="36"/>
        </w:numPr>
      </w:pPr>
      <w:r>
        <w:t>T</w:t>
      </w:r>
      <w:r w:rsidR="00381AA1" w:rsidRPr="00086AB2">
        <w:t xml:space="preserve">he Australian </w:t>
      </w:r>
      <w:r w:rsidR="0006248B">
        <w:t xml:space="preserve">frequency </w:t>
      </w:r>
      <w:r w:rsidR="00381AA1" w:rsidRPr="00086AB2">
        <w:t xml:space="preserve">rate in </w:t>
      </w:r>
      <w:r w:rsidR="0006248B">
        <w:t xml:space="preserve">this </w:t>
      </w:r>
      <w:r w:rsidR="006D6DFB" w:rsidRPr="00086AB2">
        <w:t xml:space="preserve">industry was </w:t>
      </w:r>
      <w:r w:rsidR="00D64D80">
        <w:t xml:space="preserve">7.9 </w:t>
      </w:r>
      <w:r w:rsidR="00381AA1" w:rsidRPr="00086AB2">
        <w:t xml:space="preserve">claims per </w:t>
      </w:r>
      <w:r w:rsidR="0006248B">
        <w:t xml:space="preserve">million hours worked in </w:t>
      </w:r>
      <w:r w:rsidR="00D64D80" w:rsidRPr="00086AB2">
        <w:t>20</w:t>
      </w:r>
      <w:r w:rsidR="00D64D80">
        <w:t>20</w:t>
      </w:r>
      <w:r w:rsidR="006D6DFB" w:rsidRPr="00086AB2">
        <w:t>–</w:t>
      </w:r>
      <w:r w:rsidR="0006248B">
        <w:t>2</w:t>
      </w:r>
      <w:r w:rsidR="00D64D80">
        <w:t>1</w:t>
      </w:r>
      <w:r w:rsidR="0006248B">
        <w:t>p</w:t>
      </w:r>
      <w:r w:rsidR="00381AA1" w:rsidRPr="00086AB2">
        <w:t xml:space="preserve">. </w:t>
      </w:r>
    </w:p>
    <w:p w14:paraId="64D3F519" w14:textId="33C4F889" w:rsidR="0006248B" w:rsidRDefault="0006248B" w:rsidP="007C5139">
      <w:pPr>
        <w:pStyle w:val="ListParagraph"/>
        <w:keepNext/>
        <w:keepLines/>
        <w:numPr>
          <w:ilvl w:val="0"/>
          <w:numId w:val="36"/>
        </w:numPr>
      </w:pPr>
      <w:r>
        <w:t xml:space="preserve">Queensland had the highest frequency </w:t>
      </w:r>
      <w:r w:rsidR="00E517F6" w:rsidRPr="00086AB2">
        <w:t xml:space="preserve">rate in </w:t>
      </w:r>
      <w:r w:rsidR="005035E8" w:rsidRPr="00086AB2">
        <w:t>20</w:t>
      </w:r>
      <w:r w:rsidR="005035E8">
        <w:t>20</w:t>
      </w:r>
      <w:r w:rsidR="00E517F6" w:rsidRPr="00086AB2">
        <w:t>–</w:t>
      </w:r>
      <w:r>
        <w:t>2</w:t>
      </w:r>
      <w:r w:rsidR="005035E8">
        <w:t>1</w:t>
      </w:r>
      <w:r w:rsidR="00E517F6" w:rsidRPr="00086AB2">
        <w:t xml:space="preserve"> </w:t>
      </w:r>
      <w:r w:rsidR="00381AA1" w:rsidRPr="00086AB2">
        <w:t>(</w:t>
      </w:r>
      <w:r w:rsidR="005035E8">
        <w:t>20.0</w:t>
      </w:r>
      <w:r w:rsidR="00D64D80">
        <w:t> </w:t>
      </w:r>
      <w:r w:rsidR="00381AA1" w:rsidRPr="00086AB2">
        <w:t>claims per</w:t>
      </w:r>
      <w:r w:rsidR="00E517F6">
        <w:t xml:space="preserve"> </w:t>
      </w:r>
      <w:r>
        <w:t>million hours worked) and</w:t>
      </w:r>
      <w:r w:rsidR="009779A4">
        <w:t xml:space="preserve"> </w:t>
      </w:r>
      <w:r w:rsidR="00E517F6">
        <w:t>South</w:t>
      </w:r>
      <w:r w:rsidR="009779A4">
        <w:t xml:space="preserve"> Australia </w:t>
      </w:r>
      <w:r>
        <w:t>had the lowest (</w:t>
      </w:r>
      <w:r w:rsidR="00D64D80">
        <w:t>3.</w:t>
      </w:r>
      <w:r w:rsidR="005035E8">
        <w:t>2</w:t>
      </w:r>
      <w:r w:rsidRPr="0006248B">
        <w:t xml:space="preserve"> </w:t>
      </w:r>
      <w:r w:rsidRPr="00086AB2">
        <w:t>claims per</w:t>
      </w:r>
      <w:r>
        <w:t xml:space="preserve"> million hours worked</w:t>
      </w:r>
      <w:r w:rsidR="009779A4">
        <w:t>)</w:t>
      </w:r>
      <w:r w:rsidR="00381AA1" w:rsidRPr="00086AB2">
        <w:t xml:space="preserve">. </w:t>
      </w:r>
    </w:p>
    <w:p w14:paraId="7682E800" w14:textId="636D28D8" w:rsidR="00DA5307" w:rsidRDefault="0006248B" w:rsidP="007C5139">
      <w:pPr>
        <w:pStyle w:val="ListParagraph"/>
        <w:keepNext/>
        <w:keepLines/>
        <w:numPr>
          <w:ilvl w:val="0"/>
          <w:numId w:val="36"/>
        </w:numPr>
      </w:pPr>
      <w:r>
        <w:t>Overall</w:t>
      </w:r>
      <w:r w:rsidR="007D598E">
        <w:t>,</w:t>
      </w:r>
      <w:r>
        <w:t xml:space="preserve"> the frequency rate</w:t>
      </w:r>
      <w:r w:rsidR="00095772">
        <w:t xml:space="preserve"> for this industry</w:t>
      </w:r>
      <w:r>
        <w:t xml:space="preserve"> </w:t>
      </w:r>
      <w:r w:rsidRPr="005E49E0">
        <w:rPr>
          <w:b/>
          <w:bCs/>
          <w:color w:val="00518E"/>
        </w:rPr>
        <w:t>increased</w:t>
      </w:r>
      <w:r w:rsidRPr="0006248B">
        <w:rPr>
          <w:b/>
          <w:bCs/>
          <w:color w:val="00518E"/>
        </w:rPr>
        <w:t xml:space="preserve"> </w:t>
      </w:r>
      <w:r w:rsidR="007F6D50">
        <w:rPr>
          <w:b/>
          <w:bCs/>
          <w:color w:val="00518E"/>
        </w:rPr>
        <w:t>by</w:t>
      </w:r>
      <w:r w:rsidR="009F04B0" w:rsidRPr="0006248B">
        <w:rPr>
          <w:b/>
          <w:bCs/>
          <w:color w:val="00518E"/>
        </w:rPr>
        <w:t> </w:t>
      </w:r>
      <w:r w:rsidR="009F04B0">
        <w:rPr>
          <w:b/>
          <w:bCs/>
          <w:color w:val="00518E"/>
        </w:rPr>
        <w:t>17</w:t>
      </w:r>
      <w:r w:rsidR="009F04B0" w:rsidRPr="0006248B">
        <w:rPr>
          <w:b/>
          <w:bCs/>
          <w:color w:val="00518E"/>
        </w:rPr>
        <w:t>%</w:t>
      </w:r>
      <w:r w:rsidRPr="0006248B">
        <w:rPr>
          <w:color w:val="00518E"/>
        </w:rPr>
        <w:t xml:space="preserve"> </w:t>
      </w:r>
      <w:r>
        <w:t xml:space="preserve">between </w:t>
      </w:r>
      <w:r w:rsidR="00907086" w:rsidRPr="00086AB2">
        <w:t>201</w:t>
      </w:r>
      <w:r w:rsidR="00907086">
        <w:t>5</w:t>
      </w:r>
      <w:r w:rsidR="00907086" w:rsidRPr="00086AB2">
        <w:t>–1</w:t>
      </w:r>
      <w:r w:rsidR="00907086">
        <w:t xml:space="preserve">6 and </w:t>
      </w:r>
      <w:r w:rsidR="00064875">
        <w:br/>
      </w:r>
      <w:r w:rsidR="00907086" w:rsidRPr="00086AB2">
        <w:t>201</w:t>
      </w:r>
      <w:r w:rsidR="00907086">
        <w:t>9</w:t>
      </w:r>
      <w:r w:rsidR="00907086" w:rsidRPr="00086AB2">
        <w:t>–</w:t>
      </w:r>
      <w:r w:rsidR="00907086">
        <w:t>20</w:t>
      </w:r>
      <w:r>
        <w:t>, with 6</w:t>
      </w:r>
      <w:r w:rsidR="00A24A0F">
        <w:t> </w:t>
      </w:r>
      <w:r>
        <w:t>out of 8 jurisdictions recording increases.</w:t>
      </w:r>
      <w:r w:rsidR="003A1B9E">
        <w:t xml:space="preserve"> </w:t>
      </w:r>
      <w:r w:rsidR="009F04B0">
        <w:t>T</w:t>
      </w:r>
      <w:r w:rsidR="00EB5B6B">
        <w:t xml:space="preserve">he Australian Capital Territory </w:t>
      </w:r>
      <w:r>
        <w:t>recorded the highest increase (</w:t>
      </w:r>
      <w:r w:rsidRPr="008F3580">
        <w:rPr>
          <w:rFonts w:ascii="Wingdings 3" w:hAnsi="Wingdings 3"/>
          <w:b/>
          <w:bCs/>
          <w:color w:val="00518E"/>
        </w:rPr>
        <w:t>h</w:t>
      </w:r>
      <w:r>
        <w:t> </w:t>
      </w:r>
      <w:r w:rsidRPr="0006248B">
        <w:rPr>
          <w:b/>
          <w:bCs/>
          <w:color w:val="00518E"/>
        </w:rPr>
        <w:t>up </w:t>
      </w:r>
      <w:r w:rsidR="00EB5B6B">
        <w:rPr>
          <w:b/>
          <w:bCs/>
          <w:color w:val="00518E"/>
        </w:rPr>
        <w:t>30</w:t>
      </w:r>
      <w:r w:rsidRPr="0006248B">
        <w:rPr>
          <w:b/>
          <w:bCs/>
          <w:color w:val="00518E"/>
        </w:rPr>
        <w:t>%</w:t>
      </w:r>
      <w:r>
        <w:t>)</w:t>
      </w:r>
      <w:r w:rsidR="00EB5B6B">
        <w:t>, followed by New South Wales (</w:t>
      </w:r>
      <w:r w:rsidR="00EB5B6B" w:rsidRPr="008F3580">
        <w:rPr>
          <w:rFonts w:ascii="Wingdings 3" w:hAnsi="Wingdings 3"/>
          <w:b/>
          <w:bCs/>
          <w:color w:val="00518E"/>
        </w:rPr>
        <w:t>h</w:t>
      </w:r>
      <w:r w:rsidR="00EB5B6B">
        <w:t> </w:t>
      </w:r>
      <w:r w:rsidR="00EB5B6B" w:rsidRPr="0006248B">
        <w:rPr>
          <w:b/>
          <w:bCs/>
          <w:color w:val="00518E"/>
        </w:rPr>
        <w:t>up </w:t>
      </w:r>
      <w:r w:rsidR="00EB5B6B">
        <w:rPr>
          <w:b/>
          <w:bCs/>
          <w:color w:val="00518E"/>
        </w:rPr>
        <w:t>26</w:t>
      </w:r>
      <w:r w:rsidR="00EB5B6B" w:rsidRPr="0006248B">
        <w:rPr>
          <w:b/>
          <w:bCs/>
          <w:color w:val="00518E"/>
        </w:rPr>
        <w:t>%</w:t>
      </w:r>
      <w:r w:rsidR="00EB5B6B">
        <w:t>)</w:t>
      </w:r>
      <w:r>
        <w:t>.</w:t>
      </w:r>
      <w:r w:rsidR="003A1B9E">
        <w:t xml:space="preserve"> </w:t>
      </w:r>
      <w:r w:rsidR="00EB5B6B">
        <w:t>Tasmania</w:t>
      </w:r>
      <w:r w:rsidR="004E700E">
        <w:t xml:space="preserve"> recorded </w:t>
      </w:r>
      <w:r w:rsidR="00381AA1" w:rsidRPr="00086AB2">
        <w:t>the largest decrease (</w:t>
      </w:r>
      <w:r w:rsidRPr="007C0401">
        <w:rPr>
          <w:rFonts w:ascii="Wingdings 3" w:hAnsi="Wingdings 3"/>
          <w:b/>
          <w:bCs/>
          <w:color w:val="B94F25"/>
        </w:rPr>
        <w:t>i</w:t>
      </w:r>
      <w:r w:rsidRPr="00086AB2">
        <w:t xml:space="preserve"> </w:t>
      </w:r>
      <w:r w:rsidR="00381AA1" w:rsidRPr="0006248B">
        <w:rPr>
          <w:b/>
          <w:bCs/>
          <w:color w:val="B94F25"/>
        </w:rPr>
        <w:t xml:space="preserve">down </w:t>
      </w:r>
      <w:r w:rsidR="00EB5B6B">
        <w:rPr>
          <w:b/>
          <w:bCs/>
          <w:color w:val="B94F25"/>
        </w:rPr>
        <w:t>25</w:t>
      </w:r>
      <w:r w:rsidR="003C4F76" w:rsidRPr="0006248B">
        <w:rPr>
          <w:b/>
          <w:bCs/>
          <w:color w:val="B94F25"/>
        </w:rPr>
        <w:t>%</w:t>
      </w:r>
      <w:r w:rsidR="00381AA1" w:rsidRPr="00086AB2">
        <w:t>)</w:t>
      </w:r>
      <w:r w:rsidR="00FE7959" w:rsidRPr="00086AB2">
        <w:t xml:space="preserve"> followed by </w:t>
      </w:r>
      <w:r w:rsidR="00EB5B6B">
        <w:t>the Northern Territory</w:t>
      </w:r>
      <w:r w:rsidR="00140CC3">
        <w:t xml:space="preserve"> </w:t>
      </w:r>
      <w:r>
        <w:t>(</w:t>
      </w:r>
      <w:r w:rsidRPr="007C0401">
        <w:rPr>
          <w:rFonts w:ascii="Wingdings 3" w:hAnsi="Wingdings 3"/>
          <w:b/>
          <w:bCs/>
          <w:color w:val="B94F25"/>
        </w:rPr>
        <w:t>i</w:t>
      </w:r>
      <w:r>
        <w:t xml:space="preserve"> </w:t>
      </w:r>
      <w:r w:rsidRPr="0006248B">
        <w:rPr>
          <w:b/>
          <w:bCs/>
          <w:color w:val="B94F25"/>
        </w:rPr>
        <w:t xml:space="preserve">down </w:t>
      </w:r>
      <w:r w:rsidR="006D1888">
        <w:rPr>
          <w:b/>
          <w:bCs/>
          <w:color w:val="B94F25"/>
        </w:rPr>
        <w:t>22</w:t>
      </w:r>
      <w:r w:rsidRPr="0006248B">
        <w:rPr>
          <w:b/>
          <w:bCs/>
          <w:color w:val="B94F25"/>
        </w:rPr>
        <w:t>%</w:t>
      </w:r>
      <w:r>
        <w:t>).</w:t>
      </w:r>
    </w:p>
    <w:p w14:paraId="78C07F74" w14:textId="4027EAD8" w:rsidR="001F785E" w:rsidRDefault="005B229B" w:rsidP="00386B13">
      <w:pPr>
        <w:ind w:left="360"/>
      </w:pPr>
      <w:r>
        <w:t>The Australian Government had no re</w:t>
      </w:r>
      <w:r w:rsidR="00230454">
        <w:t>p</w:t>
      </w:r>
      <w:r>
        <w:t>or</w:t>
      </w:r>
      <w:r w:rsidR="00230454">
        <w:t>t</w:t>
      </w:r>
      <w:r>
        <w:t>ed claims over this period.</w:t>
      </w:r>
    </w:p>
    <w:p w14:paraId="617A0011" w14:textId="4CF597DE" w:rsidR="00F17473" w:rsidRPr="00086AB2" w:rsidRDefault="00F17473" w:rsidP="0031228B">
      <w:pPr>
        <w:pStyle w:val="Heading3"/>
      </w:pPr>
      <w:bookmarkStart w:id="107" w:name="_Toc86602521"/>
      <w:bookmarkStart w:id="108" w:name="_Hlk56772973"/>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n</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A</w:t>
      </w:r>
      <w:r w:rsidRPr="00086AB2">
        <w:t>dministrative and support services by</w:t>
      </w:r>
      <w:r w:rsidR="00E55876" w:rsidRPr="00086AB2">
        <w:t> </w:t>
      </w:r>
      <w:r w:rsidRPr="00086AB2">
        <w:t>jurisdiction</w:t>
      </w:r>
      <w:bookmarkEnd w:id="107"/>
    </w:p>
    <w:bookmarkEnd w:id="108"/>
    <w:p w14:paraId="20616425" w14:textId="2EFF5F23" w:rsidR="00F17473" w:rsidRPr="00086AB2" w:rsidRDefault="00017CA2" w:rsidP="00F60444">
      <w:pPr>
        <w:spacing w:after="0"/>
        <w:jc w:val="center"/>
      </w:pPr>
      <w:r>
        <w:rPr>
          <w:noProof/>
        </w:rPr>
        <w:drawing>
          <wp:inline distT="0" distB="0" distL="0" distR="0" wp14:anchorId="6EB56AD6" wp14:editId="3C72A80A">
            <wp:extent cx="5487035" cy="3712845"/>
            <wp:effectExtent l="0" t="0" r="0" b="1905"/>
            <wp:docPr id="89" name="Picture 89" descr="Indicator 11n – Frequency rates of serious claims for Administrative and support services by jurisdiction&#10;&#10;This chart shows the Frequency rates (claims per million hours worked) of serious injury and disease claims for Administrative and support service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ndicator 11n – Frequency rates of serious claims for Administrative and support services by jurisdiction&#10;&#10;This chart shows the Frequency rates (claims per million hours worked) of serious injury and disease claims for Administrative and support services industry between 2015-16 and 2020-21, by jurisdiction. Please refer to body text for more information.&#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7035" cy="3712845"/>
                    </a:xfrm>
                    <a:prstGeom prst="rect">
                      <a:avLst/>
                    </a:prstGeom>
                    <a:noFill/>
                  </pic:spPr>
                </pic:pic>
              </a:graphicData>
            </a:graphic>
          </wp:inline>
        </w:drawing>
      </w:r>
    </w:p>
    <w:p w14:paraId="7FCF5F25" w14:textId="77777777" w:rsidR="003E25A6" w:rsidRDefault="003E25A6">
      <w:pPr>
        <w:spacing w:after="200" w:line="276" w:lineRule="auto"/>
        <w:jc w:val="left"/>
        <w:rPr>
          <w:rFonts w:ascii="Arial Bold" w:eastAsiaTheme="majorEastAsia" w:hAnsi="Arial Bold" w:cs="Arial"/>
          <w:b/>
          <w:kern w:val="32"/>
          <w:sz w:val="28"/>
          <w:szCs w:val="22"/>
        </w:rPr>
      </w:pPr>
      <w:bookmarkStart w:id="109" w:name="_Toc86602522"/>
      <w:r>
        <w:br w:type="page"/>
      </w:r>
    </w:p>
    <w:p w14:paraId="534B9C5B" w14:textId="5EE12EDB" w:rsidR="00781310" w:rsidRPr="00086AB2" w:rsidRDefault="00781310" w:rsidP="00B51041">
      <w:pPr>
        <w:pStyle w:val="Heading1"/>
      </w:pPr>
      <w:r w:rsidRPr="00086AB2">
        <w:lastRenderedPageBreak/>
        <w:t>P</w:t>
      </w:r>
      <w:r w:rsidR="001978D9" w:rsidRPr="00086AB2">
        <w:t>ublic administration and safety</w:t>
      </w:r>
      <w:bookmarkEnd w:id="109"/>
      <w:r w:rsidR="00EC0217">
        <w:t xml:space="preserve"> </w:t>
      </w:r>
    </w:p>
    <w:p w14:paraId="4D1280D5" w14:textId="20F1911E" w:rsidR="00295E34" w:rsidRDefault="00345426" w:rsidP="00C03259">
      <w:pPr>
        <w:pStyle w:val="ListParagraph"/>
        <w:numPr>
          <w:ilvl w:val="0"/>
          <w:numId w:val="37"/>
        </w:numPr>
      </w:pPr>
      <w:r>
        <w:t>T</w:t>
      </w:r>
      <w:r w:rsidR="00781310" w:rsidRPr="00086AB2">
        <w:t xml:space="preserve">he Australian </w:t>
      </w:r>
      <w:r w:rsidR="003A1B9E">
        <w:t xml:space="preserve">frequency </w:t>
      </w:r>
      <w:r w:rsidR="00781310" w:rsidRPr="00086AB2">
        <w:t xml:space="preserve">rate of claims in the </w:t>
      </w:r>
      <w:proofErr w:type="gramStart"/>
      <w:r w:rsidR="00781310" w:rsidRPr="00086AB2">
        <w:t>Public</w:t>
      </w:r>
      <w:proofErr w:type="gramEnd"/>
      <w:r w:rsidR="00781310" w:rsidRPr="00086AB2">
        <w:t xml:space="preserve"> administrat</w:t>
      </w:r>
      <w:r w:rsidR="00B36EA8" w:rsidRPr="00086AB2">
        <w:t xml:space="preserve">ion and safety industry was </w:t>
      </w:r>
      <w:r w:rsidR="00D64D80">
        <w:t>7.1</w:t>
      </w:r>
      <w:r w:rsidR="00781310" w:rsidRPr="00086AB2">
        <w:t xml:space="preserve"> claims </w:t>
      </w:r>
      <w:r w:rsidR="00295E34">
        <w:t xml:space="preserve">million hours worked </w:t>
      </w:r>
      <w:r w:rsidR="00781310" w:rsidRPr="00086AB2">
        <w:t xml:space="preserve">in </w:t>
      </w:r>
      <w:r w:rsidR="00D64D80" w:rsidRPr="00086AB2">
        <w:t>20</w:t>
      </w:r>
      <w:r w:rsidR="00D64D80">
        <w:t>20</w:t>
      </w:r>
      <w:r w:rsidR="00B36EA8" w:rsidRPr="00086AB2">
        <w:t>–</w:t>
      </w:r>
      <w:r w:rsidR="00295E34">
        <w:t>2</w:t>
      </w:r>
      <w:r w:rsidR="00D64D80">
        <w:t>1</w:t>
      </w:r>
      <w:r w:rsidR="00295E34">
        <w:t>p.</w:t>
      </w:r>
    </w:p>
    <w:p w14:paraId="550C9AC8" w14:textId="5D5EB6E6" w:rsidR="00BF1D1B" w:rsidRDefault="0000729A" w:rsidP="00241599">
      <w:pPr>
        <w:pStyle w:val="ListParagraph"/>
        <w:numPr>
          <w:ilvl w:val="0"/>
          <w:numId w:val="37"/>
        </w:numPr>
      </w:pPr>
      <w:r>
        <w:t>Tasmania (</w:t>
      </w:r>
      <w:r w:rsidR="00D64D80">
        <w:t>14.9</w:t>
      </w:r>
      <w:r w:rsidR="005035E8">
        <w:t xml:space="preserve"> </w:t>
      </w:r>
      <w:r>
        <w:t xml:space="preserve">claims per million hours worked) reported the highest frequency rate in </w:t>
      </w:r>
      <w:r w:rsidR="00D64D80">
        <w:t>2020</w:t>
      </w:r>
      <w:r>
        <w:t>–</w:t>
      </w:r>
      <w:r w:rsidR="00D64D80">
        <w:t xml:space="preserve">21p </w:t>
      </w:r>
      <w:r>
        <w:t xml:space="preserve">and </w:t>
      </w:r>
      <w:r w:rsidR="00241599">
        <w:t>the Australian Government (1.</w:t>
      </w:r>
      <w:r w:rsidR="00D64D80">
        <w:t>3</w:t>
      </w:r>
      <w:r w:rsidR="00241599">
        <w:t xml:space="preserve"> claims per million hours worked) </w:t>
      </w:r>
      <w:r>
        <w:t xml:space="preserve">the lowest. </w:t>
      </w:r>
    </w:p>
    <w:p w14:paraId="0C518340" w14:textId="21836099" w:rsidR="00B94D7D" w:rsidRDefault="00295E34" w:rsidP="00C03259">
      <w:pPr>
        <w:pStyle w:val="ListParagraph"/>
        <w:numPr>
          <w:ilvl w:val="0"/>
          <w:numId w:val="37"/>
        </w:numPr>
      </w:pPr>
      <w:r>
        <w:t xml:space="preserve">Overall, the frequency rate </w:t>
      </w:r>
      <w:r w:rsidR="00957936">
        <w:t xml:space="preserve">for this industry </w:t>
      </w:r>
      <w:r w:rsidR="00EB5B6B" w:rsidRPr="00072B22">
        <w:rPr>
          <w:b/>
          <w:bCs/>
          <w:color w:val="00518E"/>
        </w:rPr>
        <w:t>in</w:t>
      </w:r>
      <w:r w:rsidRPr="00072B22">
        <w:rPr>
          <w:b/>
          <w:bCs/>
          <w:color w:val="00518E"/>
        </w:rPr>
        <w:t>creased</w:t>
      </w:r>
      <w:r w:rsidR="006E2C4F" w:rsidRPr="00072B22">
        <w:rPr>
          <w:b/>
          <w:bCs/>
          <w:color w:val="00518E"/>
        </w:rPr>
        <w:t xml:space="preserve"> </w:t>
      </w:r>
      <w:r w:rsidR="007F6D50">
        <w:rPr>
          <w:b/>
          <w:bCs/>
          <w:color w:val="00518E"/>
        </w:rPr>
        <w:t xml:space="preserve">by </w:t>
      </w:r>
      <w:r w:rsidR="009F04B0">
        <w:rPr>
          <w:b/>
          <w:bCs/>
          <w:color w:val="00518E"/>
        </w:rPr>
        <w:t>7</w:t>
      </w:r>
      <w:r w:rsidR="009F04B0" w:rsidRPr="00295E34">
        <w:rPr>
          <w:b/>
          <w:bCs/>
          <w:color w:val="00518E"/>
        </w:rPr>
        <w:t>%</w:t>
      </w:r>
      <w:r w:rsidRPr="004F4B59">
        <w:rPr>
          <w:color w:val="365F91" w:themeColor="accent1" w:themeShade="BF"/>
        </w:rPr>
        <w:t xml:space="preserve"> </w:t>
      </w:r>
      <w:r>
        <w:t xml:space="preserve">between </w:t>
      </w:r>
      <w:r w:rsidR="00907086" w:rsidRPr="00086AB2">
        <w:t>201</w:t>
      </w:r>
      <w:r w:rsidR="00907086">
        <w:t>5</w:t>
      </w:r>
      <w:r w:rsidR="00907086" w:rsidRPr="00086AB2">
        <w:t>–1</w:t>
      </w:r>
      <w:r w:rsidR="00907086">
        <w:t xml:space="preserve">6 and </w:t>
      </w:r>
      <w:r w:rsidR="00C436B5">
        <w:br/>
      </w:r>
      <w:r w:rsidR="00907086" w:rsidRPr="00086AB2">
        <w:t>201</w:t>
      </w:r>
      <w:r w:rsidR="00907086">
        <w:t>9</w:t>
      </w:r>
      <w:r w:rsidR="00907086" w:rsidRPr="00086AB2">
        <w:t>–</w:t>
      </w:r>
      <w:r w:rsidR="00907086">
        <w:t>20</w:t>
      </w:r>
      <w:r w:rsidR="00781310" w:rsidRPr="00086AB2">
        <w:t xml:space="preserve">. </w:t>
      </w:r>
      <w:r w:rsidR="00D52EE4">
        <w:t>The</w:t>
      </w:r>
      <w:r w:rsidR="00A24A0F">
        <w:t> </w:t>
      </w:r>
      <w:r w:rsidR="00D52EE4">
        <w:t>Australian Government recorded the largest decrease (</w:t>
      </w:r>
      <w:r w:rsidR="006A1ADD" w:rsidRPr="007C0401">
        <w:rPr>
          <w:rFonts w:ascii="Wingdings 3" w:hAnsi="Wingdings 3"/>
          <w:b/>
          <w:bCs/>
          <w:color w:val="B94F25"/>
        </w:rPr>
        <w:t>i</w:t>
      </w:r>
      <w:r w:rsidR="006A1ADD">
        <w:t xml:space="preserve"> </w:t>
      </w:r>
      <w:r w:rsidR="006A1ADD" w:rsidRPr="00295E34">
        <w:rPr>
          <w:b/>
          <w:bCs/>
          <w:color w:val="B94F25"/>
        </w:rPr>
        <w:t xml:space="preserve">down </w:t>
      </w:r>
      <w:r w:rsidR="006D1888">
        <w:rPr>
          <w:b/>
          <w:bCs/>
          <w:color w:val="B94F25"/>
        </w:rPr>
        <w:t>35</w:t>
      </w:r>
      <w:r w:rsidR="006A1ADD" w:rsidRPr="00295E34">
        <w:rPr>
          <w:b/>
          <w:bCs/>
          <w:color w:val="B94F25"/>
        </w:rPr>
        <w:t>%</w:t>
      </w:r>
      <w:r w:rsidR="006A1ADD">
        <w:t>)</w:t>
      </w:r>
      <w:r>
        <w:t xml:space="preserve">, followed by </w:t>
      </w:r>
      <w:r w:rsidR="006D1888">
        <w:t>the Australian Capital Territory</w:t>
      </w:r>
      <w:r w:rsidR="00D52EE4">
        <w:t xml:space="preserve"> (</w:t>
      </w:r>
      <w:r w:rsidRPr="007C0401">
        <w:rPr>
          <w:rFonts w:ascii="Wingdings 3" w:hAnsi="Wingdings 3"/>
          <w:b/>
          <w:bCs/>
          <w:color w:val="B94F25"/>
        </w:rPr>
        <w:t>i</w:t>
      </w:r>
      <w:r>
        <w:t xml:space="preserve"> </w:t>
      </w:r>
      <w:r w:rsidR="00D52EE4" w:rsidRPr="00295E34">
        <w:rPr>
          <w:b/>
          <w:bCs/>
          <w:color w:val="B94F25"/>
        </w:rPr>
        <w:t xml:space="preserve">down </w:t>
      </w:r>
      <w:r w:rsidR="006D1888">
        <w:rPr>
          <w:b/>
          <w:bCs/>
          <w:color w:val="B94F25"/>
        </w:rPr>
        <w:t>20</w:t>
      </w:r>
      <w:r w:rsidR="003C4F76" w:rsidRPr="00295E34">
        <w:rPr>
          <w:b/>
          <w:bCs/>
          <w:color w:val="B94F25"/>
        </w:rPr>
        <w:t>%</w:t>
      </w:r>
      <w:r w:rsidR="00D52EE4">
        <w:t>)</w:t>
      </w:r>
      <w:r>
        <w:t>. T</w:t>
      </w:r>
      <w:r w:rsidR="00D52EE4">
        <w:t xml:space="preserve">he </w:t>
      </w:r>
      <w:r>
        <w:t xml:space="preserve">Northern </w:t>
      </w:r>
      <w:r w:rsidR="00B94D7D">
        <w:t xml:space="preserve">Territory </w:t>
      </w:r>
      <w:r>
        <w:t>reported the largest increase (</w:t>
      </w:r>
      <w:r w:rsidRPr="008F3580">
        <w:rPr>
          <w:rFonts w:ascii="Wingdings 3" w:hAnsi="Wingdings 3"/>
          <w:b/>
          <w:bCs/>
          <w:color w:val="00518E"/>
        </w:rPr>
        <w:t>h</w:t>
      </w:r>
      <w:r>
        <w:t> </w:t>
      </w:r>
      <w:r w:rsidRPr="00295E34">
        <w:rPr>
          <w:b/>
          <w:bCs/>
          <w:color w:val="00518E"/>
        </w:rPr>
        <w:t>up</w:t>
      </w:r>
      <w:r>
        <w:rPr>
          <w:b/>
          <w:bCs/>
          <w:color w:val="00518E"/>
        </w:rPr>
        <w:t> </w:t>
      </w:r>
      <w:r w:rsidR="00EB5B6B">
        <w:rPr>
          <w:b/>
          <w:bCs/>
          <w:color w:val="00518E"/>
        </w:rPr>
        <w:t>39</w:t>
      </w:r>
      <w:r w:rsidRPr="00295E34">
        <w:rPr>
          <w:b/>
          <w:bCs/>
          <w:color w:val="00518E"/>
        </w:rPr>
        <w:t>%</w:t>
      </w:r>
      <w:r>
        <w:t>).</w:t>
      </w:r>
      <w:r w:rsidR="00EC0217">
        <w:t xml:space="preserve"> </w:t>
      </w:r>
    </w:p>
    <w:p w14:paraId="029F849D" w14:textId="4EB55669" w:rsidR="00F17473" w:rsidRPr="00086AB2" w:rsidRDefault="00F17473" w:rsidP="0031228B">
      <w:pPr>
        <w:pStyle w:val="Heading3"/>
      </w:pPr>
      <w:bookmarkStart w:id="110" w:name="_Toc86602523"/>
      <w:bookmarkStart w:id="111" w:name="_Hlk56772979"/>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o</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proofErr w:type="gramStart"/>
      <w:r w:rsidR="009D46FF" w:rsidRPr="00912465">
        <w:t>P</w:t>
      </w:r>
      <w:r w:rsidRPr="00912465">
        <w:t>ublic</w:t>
      </w:r>
      <w:proofErr w:type="gramEnd"/>
      <w:r w:rsidRPr="00912465">
        <w:t xml:space="preserve"> administration and safety by</w:t>
      </w:r>
      <w:r w:rsidR="00E55876" w:rsidRPr="00912465">
        <w:t> </w:t>
      </w:r>
      <w:r w:rsidRPr="00912465">
        <w:t>jurisdiction</w:t>
      </w:r>
      <w:bookmarkEnd w:id="110"/>
    </w:p>
    <w:bookmarkEnd w:id="111"/>
    <w:p w14:paraId="3F222EB2" w14:textId="15F184B4" w:rsidR="008F29A3" w:rsidRPr="00F60444" w:rsidRDefault="009F04B0" w:rsidP="00F60444">
      <w:pPr>
        <w:jc w:val="center"/>
      </w:pPr>
      <w:r>
        <w:rPr>
          <w:noProof/>
        </w:rPr>
        <mc:AlternateContent>
          <mc:Choice Requires="wps">
            <w:drawing>
              <wp:anchor distT="0" distB="0" distL="114300" distR="114300" simplePos="0" relativeHeight="251686912" behindDoc="0" locked="0" layoutInCell="1" allowOverlap="1" wp14:anchorId="6BC2AC62" wp14:editId="19BFC615">
                <wp:simplePos x="0" y="0"/>
                <wp:positionH relativeFrom="column">
                  <wp:posOffset>1142365</wp:posOffset>
                </wp:positionH>
                <wp:positionV relativeFrom="paragraph">
                  <wp:posOffset>3019425</wp:posOffset>
                </wp:positionV>
                <wp:extent cx="4124325" cy="200025"/>
                <wp:effectExtent l="0" t="0" r="9525" b="9525"/>
                <wp:wrapNone/>
                <wp:docPr id="103" name="Rectangle 3" descr="Indicator 11o – Frequency rates of serious claims for Public administration and safety by jurisdiction&#10;&#10;This chart shows the Frequency rates (claims per million hours worked) of serious injury and disease claims for Public administration and safety industry between 2015-16 and 2020-21, by jurisdiction. Please refer to body text for more information.&#10;&#10;"/>
                <wp:cNvGraphicFramePr/>
                <a:graphic xmlns:a="http://schemas.openxmlformats.org/drawingml/2006/main">
                  <a:graphicData uri="http://schemas.microsoft.com/office/word/2010/wordprocessingShape">
                    <wps:wsp>
                      <wps:cNvSpPr/>
                      <wps:spPr>
                        <a:xfrm>
                          <a:off x="0" y="0"/>
                          <a:ext cx="4124325" cy="200025"/>
                        </a:xfrm>
                        <a:prstGeom prst="rect">
                          <a:avLst/>
                        </a:prstGeom>
                        <a:solidFill>
                          <a:sysClr val="window" lastClr="FFFFFF"/>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10924A1A" id="Rectangle 3" o:spid="_x0000_s1026" alt="Indicator 11o – Frequency rates of serious claims for Public administration and safety by jurisdiction&#10;&#10;This chart shows the Frequency rates (claims per million hours worked) of serious injury and disease claims for Public administration and safety industry between 2015-16 and 2020-21, by jurisdiction. Please refer to body text for more information.&#10;&#10;" style="position:absolute;margin-left:89.95pt;margin-top:237.75pt;width:324.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" fillcolor="window" stroked="f" strokeweight="2pt"/>
            </w:pict>
          </mc:Fallback>
        </mc:AlternateContent>
      </w:r>
      <w:r w:rsidR="00017CA2">
        <w:rPr>
          <w:noProof/>
        </w:rPr>
        <w:drawing>
          <wp:inline distT="0" distB="0" distL="0" distR="0" wp14:anchorId="3D4D3C27" wp14:editId="27C4D243">
            <wp:extent cx="5401310" cy="3365500"/>
            <wp:effectExtent l="0" t="0" r="8890" b="6350"/>
            <wp:docPr id="90" name="Picture 90" descr="Indicator 11o – Frequency rates of serious claims for Public administration and safety by jurisdiction&#10;&#10;This chart shows the Frequency rates (claims per million hours worked) of serious injury and disease claims for Public administration and safety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ndicator 11o – Frequency rates of serious claims for Public administration and safety by jurisdiction&#10;&#10;This chart shows the Frequency rates (claims per million hours worked) of serious injury and disease claims for Public administration and safety industry between 2015-16 and 2020-21, by jurisdiction. Please refer to body text for more information.&#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1310" cy="3365500"/>
                    </a:xfrm>
                    <a:prstGeom prst="rect">
                      <a:avLst/>
                    </a:prstGeom>
                    <a:noFill/>
                  </pic:spPr>
                </pic:pic>
              </a:graphicData>
            </a:graphic>
          </wp:inline>
        </w:drawing>
      </w:r>
    </w:p>
    <w:p w14:paraId="0769EB3E" w14:textId="77777777" w:rsidR="003E25A6" w:rsidRDefault="003E25A6">
      <w:pPr>
        <w:spacing w:after="200" w:line="276" w:lineRule="auto"/>
        <w:jc w:val="left"/>
        <w:rPr>
          <w:rFonts w:ascii="Arial Bold" w:eastAsiaTheme="majorEastAsia" w:hAnsi="Arial Bold" w:cs="Arial"/>
          <w:b/>
          <w:kern w:val="32"/>
          <w:sz w:val="28"/>
          <w:szCs w:val="22"/>
        </w:rPr>
      </w:pPr>
      <w:bookmarkStart w:id="112" w:name="_Toc86602524"/>
      <w:r>
        <w:br w:type="page"/>
      </w:r>
    </w:p>
    <w:p w14:paraId="1A1BEA9C" w14:textId="51821B9B" w:rsidR="008F29A3" w:rsidRPr="00086AB2" w:rsidRDefault="008F29A3" w:rsidP="008F29A3">
      <w:pPr>
        <w:pStyle w:val="Heading1"/>
      </w:pPr>
      <w:r w:rsidRPr="00086AB2">
        <w:lastRenderedPageBreak/>
        <w:t>Education and training</w:t>
      </w:r>
      <w:bookmarkEnd w:id="112"/>
      <w:r>
        <w:t xml:space="preserve"> </w:t>
      </w:r>
    </w:p>
    <w:p w14:paraId="199BF486" w14:textId="3648D05C" w:rsidR="00295E34" w:rsidRDefault="008F29A3" w:rsidP="00C03259">
      <w:pPr>
        <w:pStyle w:val="ListParagraph"/>
        <w:numPr>
          <w:ilvl w:val="0"/>
          <w:numId w:val="38"/>
        </w:numPr>
      </w:pPr>
      <w:r>
        <w:t>T</w:t>
      </w:r>
      <w:r w:rsidRPr="00086AB2">
        <w:t xml:space="preserve">he Australian </w:t>
      </w:r>
      <w:r w:rsidR="003A1B9E">
        <w:t xml:space="preserve">frequency </w:t>
      </w:r>
      <w:r w:rsidRPr="00086AB2">
        <w:t xml:space="preserve">rate for the Education and training industry was </w:t>
      </w:r>
      <w:r w:rsidR="00295E34">
        <w:t>4.</w:t>
      </w:r>
      <w:r w:rsidR="00D64D80">
        <w:t>7</w:t>
      </w:r>
      <w:r w:rsidR="00D64D80" w:rsidRPr="00086AB2">
        <w:t xml:space="preserve"> </w:t>
      </w:r>
      <w:r w:rsidRPr="00086AB2">
        <w:t xml:space="preserve">claims per </w:t>
      </w:r>
      <w:r w:rsidR="00295E34">
        <w:t xml:space="preserve">million hours worked in </w:t>
      </w:r>
      <w:r w:rsidR="00D64D80">
        <w:t>2020</w:t>
      </w:r>
      <w:r w:rsidR="003A1B9E">
        <w:t>–2</w:t>
      </w:r>
      <w:r w:rsidR="00D64D80">
        <w:t>1</w:t>
      </w:r>
      <w:r w:rsidR="003A1B9E">
        <w:t>p</w:t>
      </w:r>
      <w:r w:rsidR="00295E34">
        <w:t>.</w:t>
      </w:r>
    </w:p>
    <w:p w14:paraId="22EDD668" w14:textId="4259B702" w:rsidR="00295E34" w:rsidRDefault="00295E34" w:rsidP="00C03259">
      <w:pPr>
        <w:pStyle w:val="ListParagraph"/>
        <w:numPr>
          <w:ilvl w:val="0"/>
          <w:numId w:val="38"/>
        </w:numPr>
      </w:pPr>
      <w:r>
        <w:t xml:space="preserve">In </w:t>
      </w:r>
      <w:r w:rsidR="00D64D80">
        <w:t>2020</w:t>
      </w:r>
      <w:r w:rsidR="003A1B9E">
        <w:t>–2</w:t>
      </w:r>
      <w:r w:rsidR="00D00A11">
        <w:t>1</w:t>
      </w:r>
      <w:r w:rsidR="003A1B9E">
        <w:t>p</w:t>
      </w:r>
      <w:r w:rsidR="00957936">
        <w:t>,</w:t>
      </w:r>
      <w:r>
        <w:t xml:space="preserve"> </w:t>
      </w:r>
      <w:r w:rsidR="009F04B0">
        <w:t>t</w:t>
      </w:r>
      <w:r w:rsidR="00D00A11">
        <w:t xml:space="preserve">he Australian Capital Territory </w:t>
      </w:r>
      <w:r>
        <w:t>recorded the highest frequency rate (</w:t>
      </w:r>
      <w:r w:rsidR="00D00A11">
        <w:t>6.8</w:t>
      </w:r>
      <w:r>
        <w:t xml:space="preserve"> claims per million hours worked) and the Australian Government recorded the lowest (0.</w:t>
      </w:r>
      <w:r w:rsidR="00D00A11">
        <w:t>8</w:t>
      </w:r>
      <w:r>
        <w:t xml:space="preserve"> claims per million hours worked).</w:t>
      </w:r>
    </w:p>
    <w:p w14:paraId="3C043385" w14:textId="5AD4D678" w:rsidR="008F29A3" w:rsidRDefault="00295E34" w:rsidP="00C03259">
      <w:pPr>
        <w:pStyle w:val="ListParagraph"/>
        <w:numPr>
          <w:ilvl w:val="0"/>
          <w:numId w:val="38"/>
        </w:numPr>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 xml:space="preserve"> the frequency rate for this industry </w:t>
      </w:r>
      <w:r w:rsidRPr="005E49E0">
        <w:rPr>
          <w:b/>
          <w:bCs/>
          <w:color w:val="B94F25"/>
        </w:rPr>
        <w:t>decreased</w:t>
      </w:r>
      <w:r w:rsidR="007F6D50">
        <w:rPr>
          <w:b/>
          <w:bCs/>
          <w:color w:val="B94F25"/>
        </w:rPr>
        <w:t xml:space="preserve"> by</w:t>
      </w:r>
      <w:r w:rsidR="00974985" w:rsidRPr="008D1F61">
        <w:rPr>
          <w:b/>
          <w:bCs/>
          <w:color w:val="B94F25"/>
        </w:rPr>
        <w:t xml:space="preserve"> </w:t>
      </w:r>
      <w:r w:rsidR="00974985">
        <w:rPr>
          <w:b/>
          <w:bCs/>
          <w:color w:val="B94F25"/>
        </w:rPr>
        <w:t>1</w:t>
      </w:r>
      <w:r w:rsidR="00974985" w:rsidRPr="008D1F61">
        <w:rPr>
          <w:b/>
          <w:bCs/>
          <w:color w:val="B94F25"/>
        </w:rPr>
        <w:t>%</w:t>
      </w:r>
      <w:r>
        <w:t>.</w:t>
      </w:r>
      <w:r w:rsidR="003A1B9E">
        <w:t xml:space="preserve"> </w:t>
      </w:r>
      <w:r w:rsidR="00957936">
        <w:t>The Australian Government (</w:t>
      </w:r>
      <w:r w:rsidR="00957936" w:rsidRPr="007C0401">
        <w:rPr>
          <w:rFonts w:ascii="Wingdings 3" w:hAnsi="Wingdings 3"/>
          <w:b/>
          <w:bCs/>
          <w:color w:val="B94F25"/>
        </w:rPr>
        <w:t>i</w:t>
      </w:r>
      <w:r w:rsidR="00957936">
        <w:t xml:space="preserve"> </w:t>
      </w:r>
      <w:r w:rsidR="00957936" w:rsidRPr="008D1F61">
        <w:rPr>
          <w:b/>
          <w:bCs/>
          <w:color w:val="B94F25"/>
        </w:rPr>
        <w:t xml:space="preserve">down </w:t>
      </w:r>
      <w:r w:rsidR="00EB5B6B">
        <w:rPr>
          <w:b/>
          <w:bCs/>
          <w:color w:val="B94F25"/>
        </w:rPr>
        <w:t>58</w:t>
      </w:r>
      <w:r w:rsidR="00957936" w:rsidRPr="008D1F61">
        <w:rPr>
          <w:b/>
          <w:bCs/>
          <w:color w:val="B94F25"/>
        </w:rPr>
        <w:t>%</w:t>
      </w:r>
      <w:r w:rsidR="00957936">
        <w:t>) recorded</w:t>
      </w:r>
      <w:r>
        <w:t xml:space="preserve"> largest decrease, followed by South</w:t>
      </w:r>
      <w:r w:rsidR="00CE770C">
        <w:t> </w:t>
      </w:r>
      <w:r>
        <w:t>Australia (</w:t>
      </w:r>
      <w:r w:rsidR="008D1F61" w:rsidRPr="007C0401">
        <w:rPr>
          <w:rFonts w:ascii="Wingdings 3" w:hAnsi="Wingdings 3"/>
          <w:b/>
          <w:bCs/>
          <w:color w:val="B94F25"/>
        </w:rPr>
        <w:t>i</w:t>
      </w:r>
      <w:r w:rsidR="008D1F61">
        <w:t xml:space="preserve"> </w:t>
      </w:r>
      <w:r w:rsidRPr="008D1F61">
        <w:rPr>
          <w:b/>
          <w:bCs/>
          <w:color w:val="B94F25"/>
        </w:rPr>
        <w:t xml:space="preserve">down </w:t>
      </w:r>
      <w:r w:rsidR="00EB5B6B">
        <w:rPr>
          <w:b/>
          <w:bCs/>
          <w:color w:val="B94F25"/>
        </w:rPr>
        <w:t>23</w:t>
      </w:r>
      <w:r w:rsidRPr="008D1F61">
        <w:rPr>
          <w:b/>
          <w:bCs/>
          <w:color w:val="B94F25"/>
        </w:rPr>
        <w:t>%</w:t>
      </w:r>
      <w:r>
        <w:t>).</w:t>
      </w:r>
      <w:r w:rsidR="003A1B9E">
        <w:t xml:space="preserve"> </w:t>
      </w:r>
      <w:r w:rsidR="00EB5B6B">
        <w:t xml:space="preserve">The Australian Capital Territory </w:t>
      </w:r>
      <w:r w:rsidR="00974985">
        <w:t>(</w:t>
      </w:r>
      <w:r w:rsidR="00974985" w:rsidRPr="008F3580">
        <w:rPr>
          <w:rFonts w:ascii="Wingdings 3" w:hAnsi="Wingdings 3"/>
          <w:b/>
          <w:bCs/>
          <w:color w:val="00518E"/>
        </w:rPr>
        <w:t>h</w:t>
      </w:r>
      <w:r w:rsidR="00974985">
        <w:t xml:space="preserve"> </w:t>
      </w:r>
      <w:r w:rsidR="00974985" w:rsidRPr="008D1F61">
        <w:rPr>
          <w:b/>
          <w:bCs/>
          <w:color w:val="00518E"/>
        </w:rPr>
        <w:t xml:space="preserve">up </w:t>
      </w:r>
      <w:r w:rsidR="006D1888">
        <w:rPr>
          <w:b/>
          <w:bCs/>
          <w:color w:val="00518E"/>
        </w:rPr>
        <w:t>15</w:t>
      </w:r>
      <w:r w:rsidR="00974985" w:rsidRPr="008D1F61">
        <w:rPr>
          <w:b/>
          <w:bCs/>
          <w:color w:val="00518E"/>
        </w:rPr>
        <w:t>%</w:t>
      </w:r>
      <w:r w:rsidR="00974985">
        <w:t xml:space="preserve">) </w:t>
      </w:r>
      <w:r w:rsidR="006D1888">
        <w:t>recorded</w:t>
      </w:r>
      <w:r w:rsidR="00957936">
        <w:t xml:space="preserve"> </w:t>
      </w:r>
      <w:r>
        <w:t>the largest increase,</w:t>
      </w:r>
      <w:r w:rsidR="006D1888">
        <w:t xml:space="preserve"> closely</w:t>
      </w:r>
      <w:r>
        <w:t xml:space="preserve"> followed by </w:t>
      </w:r>
      <w:r w:rsidR="006D1888">
        <w:t>the Northern Territory</w:t>
      </w:r>
      <w:r w:rsidR="00EB5B6B">
        <w:t xml:space="preserve"> </w:t>
      </w:r>
      <w:r>
        <w:t>(</w:t>
      </w:r>
      <w:r w:rsidR="008D1F61" w:rsidRPr="008F3580">
        <w:rPr>
          <w:rFonts w:ascii="Wingdings 3" w:hAnsi="Wingdings 3"/>
          <w:b/>
          <w:bCs/>
          <w:color w:val="00518E"/>
        </w:rPr>
        <w:t>h</w:t>
      </w:r>
      <w:r w:rsidR="008D1F61">
        <w:t xml:space="preserve"> </w:t>
      </w:r>
      <w:r w:rsidRPr="008D1F61">
        <w:rPr>
          <w:b/>
          <w:bCs/>
          <w:color w:val="00518E"/>
        </w:rPr>
        <w:t xml:space="preserve">up </w:t>
      </w:r>
      <w:r w:rsidR="006D1888">
        <w:rPr>
          <w:b/>
          <w:bCs/>
          <w:color w:val="00518E"/>
        </w:rPr>
        <w:t>14</w:t>
      </w:r>
      <w:r w:rsidRPr="008D1F61">
        <w:rPr>
          <w:b/>
          <w:bCs/>
          <w:color w:val="00518E"/>
        </w:rPr>
        <w:t>%</w:t>
      </w:r>
      <w:r>
        <w:t>).</w:t>
      </w:r>
      <w:r w:rsidR="008F29A3">
        <w:t xml:space="preserve"> </w:t>
      </w:r>
    </w:p>
    <w:p w14:paraId="199023DA" w14:textId="51E80C60" w:rsidR="008F29A3" w:rsidRPr="00086AB2" w:rsidRDefault="008F29A3" w:rsidP="0031228B">
      <w:pPr>
        <w:pStyle w:val="Heading3"/>
      </w:pPr>
      <w:bookmarkStart w:id="113" w:name="_Toc86602525"/>
      <w:bookmarkStart w:id="114" w:name="_Hlk56773702"/>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4132C1">
        <w:rPr>
          <w:noProof/>
        </w:rPr>
        <w:t>p</w:t>
      </w:r>
      <w:r w:rsidRPr="00086AB2">
        <w:rPr>
          <w:noProof/>
        </w:rPr>
        <w:fldChar w:fldCharType="end"/>
      </w:r>
      <w:r w:rsidRPr="00086AB2">
        <w:t xml:space="preserve"> – </w:t>
      </w:r>
      <w:r w:rsidR="003A1B9E">
        <w:t>Frequency</w:t>
      </w:r>
      <w:r w:rsidR="003A1B9E" w:rsidRPr="00086AB2">
        <w:t xml:space="preserve"> </w:t>
      </w:r>
      <w:r w:rsidRPr="00086AB2">
        <w:t>rates of serious claims for Education and training by jurisdiction</w:t>
      </w:r>
      <w:bookmarkEnd w:id="113"/>
    </w:p>
    <w:bookmarkEnd w:id="114"/>
    <w:p w14:paraId="49BC29D4" w14:textId="6D7CAFB3" w:rsidR="008F29A3" w:rsidRDefault="00017CA2" w:rsidP="008F29A3">
      <w:pPr>
        <w:jc w:val="center"/>
      </w:pPr>
      <w:r>
        <w:rPr>
          <w:noProof/>
        </w:rPr>
        <w:drawing>
          <wp:inline distT="0" distB="0" distL="0" distR="0" wp14:anchorId="738989E5" wp14:editId="7C2BDB12">
            <wp:extent cx="5492750" cy="3328670"/>
            <wp:effectExtent l="0" t="0" r="0" b="5080"/>
            <wp:docPr id="93" name="Picture 93" descr="Indicator 11p – Frequency rates of serious claims for Education and training by jurisdiction&#10;&#10;This chart shows the Frequency rates (claims per million hours worked) of serious injury and disease claims for Education and training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ndicator 11p – Frequency rates of serious claims for Education and training by jurisdiction&#10;&#10;This chart shows the Frequency rates (claims per million hours worked) of serious injury and disease claims for Education and training industry between 2015-16 and 2020-21, by jurisdiction. Please refer to body text for more information.&#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2750" cy="3328670"/>
                    </a:xfrm>
                    <a:prstGeom prst="rect">
                      <a:avLst/>
                    </a:prstGeom>
                    <a:noFill/>
                  </pic:spPr>
                </pic:pic>
              </a:graphicData>
            </a:graphic>
          </wp:inline>
        </w:drawing>
      </w:r>
    </w:p>
    <w:p w14:paraId="11B99FE8" w14:textId="77777777" w:rsidR="003E25A6" w:rsidRDefault="003E25A6">
      <w:pPr>
        <w:spacing w:after="200" w:line="276" w:lineRule="auto"/>
        <w:jc w:val="left"/>
        <w:rPr>
          <w:rFonts w:ascii="Arial Bold" w:eastAsiaTheme="majorEastAsia" w:hAnsi="Arial Bold" w:cs="Arial"/>
          <w:b/>
          <w:kern w:val="32"/>
          <w:sz w:val="28"/>
          <w:szCs w:val="22"/>
        </w:rPr>
      </w:pPr>
      <w:bookmarkStart w:id="115" w:name="_Toc86602526"/>
      <w:r>
        <w:br w:type="page"/>
      </w:r>
    </w:p>
    <w:p w14:paraId="0F78BAFF" w14:textId="05726C83" w:rsidR="00781310" w:rsidRPr="00086AB2" w:rsidRDefault="00781310" w:rsidP="00B51041">
      <w:pPr>
        <w:pStyle w:val="Heading1"/>
      </w:pPr>
      <w:r w:rsidRPr="00086AB2">
        <w:lastRenderedPageBreak/>
        <w:t>H</w:t>
      </w:r>
      <w:r w:rsidR="001978D9" w:rsidRPr="00086AB2">
        <w:t>ealthcare and social assistance</w:t>
      </w:r>
      <w:bookmarkEnd w:id="115"/>
      <w:r w:rsidR="0021634B">
        <w:t xml:space="preserve"> </w:t>
      </w:r>
    </w:p>
    <w:p w14:paraId="22AAA932" w14:textId="4BBF6AAC" w:rsidR="008D1F61" w:rsidRDefault="00781310" w:rsidP="00C03259">
      <w:pPr>
        <w:pStyle w:val="ListParagraph"/>
        <w:numPr>
          <w:ilvl w:val="0"/>
          <w:numId w:val="39"/>
        </w:numPr>
      </w:pPr>
      <w:r w:rsidRPr="00086AB2">
        <w:t xml:space="preserve">The Australian </w:t>
      </w:r>
      <w:r w:rsidR="008D1F61">
        <w:t xml:space="preserve">frequency </w:t>
      </w:r>
      <w:r w:rsidRPr="00086AB2">
        <w:t xml:space="preserve">rate of claims in </w:t>
      </w:r>
      <w:r w:rsidR="008D1F61">
        <w:t xml:space="preserve">this industry in </w:t>
      </w:r>
      <w:r w:rsidR="003A1B9E">
        <w:t>20</w:t>
      </w:r>
      <w:r w:rsidR="00D00A11">
        <w:t>20</w:t>
      </w:r>
      <w:r w:rsidR="003A1B9E">
        <w:t>–2</w:t>
      </w:r>
      <w:r w:rsidR="00D00A11">
        <w:t>1</w:t>
      </w:r>
      <w:r w:rsidR="003A1B9E">
        <w:t>p</w:t>
      </w:r>
      <w:r w:rsidR="008D1F61">
        <w:t xml:space="preserve"> </w:t>
      </w:r>
      <w:r w:rsidRPr="00086AB2">
        <w:t xml:space="preserve">was </w:t>
      </w:r>
      <w:r w:rsidR="00974985">
        <w:t>10.2</w:t>
      </w:r>
      <w:r w:rsidR="008D1F61">
        <w:t xml:space="preserve"> claims per million hours worked. </w:t>
      </w:r>
    </w:p>
    <w:p w14:paraId="7264B3BA" w14:textId="436840B7" w:rsidR="008D1F61" w:rsidRDefault="008D1F61" w:rsidP="00C03259">
      <w:pPr>
        <w:pStyle w:val="ListParagraph"/>
        <w:numPr>
          <w:ilvl w:val="0"/>
          <w:numId w:val="39"/>
        </w:numPr>
      </w:pPr>
      <w:r>
        <w:t>Tasmania recorded the highest frequency rate (1</w:t>
      </w:r>
      <w:r w:rsidR="00974985">
        <w:t>4.6</w:t>
      </w:r>
      <w:r w:rsidR="00D00A11">
        <w:t xml:space="preserve"> </w:t>
      </w:r>
      <w:r>
        <w:t xml:space="preserve">claims per million hours worked) and the </w:t>
      </w:r>
      <w:r w:rsidR="00406501">
        <w:t xml:space="preserve">Australian Government recorded </w:t>
      </w:r>
      <w:r>
        <w:t xml:space="preserve">the lowest frequency rate </w:t>
      </w:r>
      <w:r w:rsidR="00974985">
        <w:t>(3.5</w:t>
      </w:r>
      <w:r>
        <w:t xml:space="preserve"> claims per million hours worked)</w:t>
      </w:r>
      <w:r w:rsidR="00974985">
        <w:t>.</w:t>
      </w:r>
    </w:p>
    <w:p w14:paraId="1D66A774" w14:textId="481D9DD4" w:rsidR="00FE4955" w:rsidRDefault="008D1F61" w:rsidP="00C03259">
      <w:pPr>
        <w:pStyle w:val="ListParagraph"/>
        <w:numPr>
          <w:ilvl w:val="0"/>
          <w:numId w:val="39"/>
        </w:numPr>
      </w:pPr>
      <w:r>
        <w:t>Overall</w:t>
      </w:r>
      <w:r w:rsidR="007D598E">
        <w:t>,</w:t>
      </w:r>
      <w:r>
        <w:t xml:space="preserve"> the frequency rate for this industry </w:t>
      </w:r>
      <w:r w:rsidR="00EB5B6B" w:rsidRPr="005B7D1F">
        <w:rPr>
          <w:b/>
          <w:bCs/>
          <w:color w:val="00518E"/>
        </w:rPr>
        <w:t>in</w:t>
      </w:r>
      <w:r w:rsidRPr="005B7D1F">
        <w:rPr>
          <w:b/>
          <w:bCs/>
          <w:color w:val="00518E"/>
        </w:rPr>
        <w:t xml:space="preserve">creased </w:t>
      </w:r>
      <w:r w:rsidR="007F6D50" w:rsidRPr="005B7D1F">
        <w:rPr>
          <w:b/>
          <w:bCs/>
          <w:color w:val="00518E"/>
        </w:rPr>
        <w:t>by</w:t>
      </w:r>
      <w:r w:rsidR="00974985" w:rsidRPr="005B7D1F">
        <w:rPr>
          <w:b/>
          <w:bCs/>
          <w:color w:val="00518E"/>
        </w:rPr>
        <w:t xml:space="preserve"> 13%</w:t>
      </w:r>
      <w:r w:rsidRPr="004F4B59">
        <w:rPr>
          <w:color w:val="365F91" w:themeColor="accent1" w:themeShade="BF"/>
        </w:rPr>
        <w:t xml:space="preserve"> </w:t>
      </w:r>
      <w:r>
        <w:t xml:space="preserve">between </w:t>
      </w:r>
      <w:r w:rsidR="00907086" w:rsidRPr="00086AB2">
        <w:t>201</w:t>
      </w:r>
      <w:r w:rsidR="00907086">
        <w:t>5</w:t>
      </w:r>
      <w:r w:rsidR="00907086" w:rsidRPr="00086AB2">
        <w:t>–1</w:t>
      </w:r>
      <w:r w:rsidR="00907086">
        <w:t xml:space="preserve">6 and </w:t>
      </w:r>
      <w:r w:rsidR="00C436B5">
        <w:br/>
      </w:r>
      <w:r w:rsidR="00907086" w:rsidRPr="00086AB2">
        <w:t>201</w:t>
      </w:r>
      <w:r w:rsidR="00907086">
        <w:t>9</w:t>
      </w:r>
      <w:r w:rsidR="00907086" w:rsidRPr="00086AB2">
        <w:t>–</w:t>
      </w:r>
      <w:r w:rsidR="00907086">
        <w:t>20</w:t>
      </w:r>
      <w:r>
        <w:t>.</w:t>
      </w:r>
      <w:r w:rsidR="003A1B9E">
        <w:t xml:space="preserve"> </w:t>
      </w:r>
      <w:r w:rsidR="002D5A49">
        <w:t xml:space="preserve">The Australian </w:t>
      </w:r>
      <w:r w:rsidR="00B8577F">
        <w:t>G</w:t>
      </w:r>
      <w:r w:rsidR="002D5A49">
        <w:t>overnment (</w:t>
      </w:r>
      <w:r w:rsidR="002D5A49" w:rsidRPr="007C0401">
        <w:rPr>
          <w:rFonts w:ascii="Wingdings 3" w:hAnsi="Wingdings 3"/>
          <w:b/>
          <w:bCs/>
          <w:color w:val="B94F25"/>
        </w:rPr>
        <w:t>i</w:t>
      </w:r>
      <w:r w:rsidR="002D5A49">
        <w:t xml:space="preserve"> </w:t>
      </w:r>
      <w:r w:rsidR="002D5A49" w:rsidRPr="008D1F61">
        <w:rPr>
          <w:b/>
          <w:bCs/>
          <w:color w:val="B94F25"/>
        </w:rPr>
        <w:t xml:space="preserve">down </w:t>
      </w:r>
      <w:r w:rsidR="00EB5B6B">
        <w:rPr>
          <w:b/>
          <w:bCs/>
          <w:color w:val="B94F25"/>
        </w:rPr>
        <w:t>34</w:t>
      </w:r>
      <w:r w:rsidR="002D5A49" w:rsidRPr="008D1F61">
        <w:rPr>
          <w:b/>
          <w:bCs/>
          <w:color w:val="B94F25"/>
        </w:rPr>
        <w:t>%</w:t>
      </w:r>
      <w:r w:rsidR="002D5A49">
        <w:t>) recorded the</w:t>
      </w:r>
      <w:r w:rsidR="00406501">
        <w:t xml:space="preserve"> largest decrease</w:t>
      </w:r>
      <w:r>
        <w:t xml:space="preserve">, followed by </w:t>
      </w:r>
      <w:r w:rsidR="00EB5B6B">
        <w:t xml:space="preserve">the Australian Capital Territory </w:t>
      </w:r>
      <w:r>
        <w:t>(</w:t>
      </w:r>
      <w:r w:rsidRPr="007C0401">
        <w:rPr>
          <w:rFonts w:ascii="Wingdings 3" w:hAnsi="Wingdings 3"/>
          <w:b/>
          <w:bCs/>
          <w:color w:val="B94F25"/>
        </w:rPr>
        <w:t>i</w:t>
      </w:r>
      <w:r>
        <w:t xml:space="preserve"> </w:t>
      </w:r>
      <w:r w:rsidRPr="008D1F61">
        <w:rPr>
          <w:b/>
          <w:bCs/>
          <w:color w:val="B94F25"/>
        </w:rPr>
        <w:t xml:space="preserve">down </w:t>
      </w:r>
      <w:r w:rsidR="00EB5B6B">
        <w:rPr>
          <w:b/>
          <w:bCs/>
          <w:color w:val="B94F25"/>
        </w:rPr>
        <w:t>26</w:t>
      </w:r>
      <w:r w:rsidRPr="008D1F61">
        <w:rPr>
          <w:b/>
          <w:bCs/>
          <w:color w:val="B94F25"/>
        </w:rPr>
        <w:t>%</w:t>
      </w:r>
      <w:r>
        <w:t>).</w:t>
      </w:r>
      <w:r w:rsidR="003A1B9E">
        <w:t xml:space="preserve"> </w:t>
      </w:r>
      <w:r w:rsidR="00EB5B6B">
        <w:t>New South Wales</w:t>
      </w:r>
      <w:r w:rsidR="002D5A49">
        <w:t xml:space="preserve"> (</w:t>
      </w:r>
      <w:r w:rsidR="002D5A49" w:rsidRPr="008F3580">
        <w:rPr>
          <w:rFonts w:ascii="Wingdings 3" w:hAnsi="Wingdings 3"/>
          <w:b/>
          <w:bCs/>
          <w:color w:val="00518E"/>
        </w:rPr>
        <w:t>h</w:t>
      </w:r>
      <w:r w:rsidR="002D5A49">
        <w:t xml:space="preserve"> </w:t>
      </w:r>
      <w:r w:rsidR="002D5A49" w:rsidRPr="008D1F61">
        <w:rPr>
          <w:b/>
          <w:bCs/>
          <w:color w:val="00518E"/>
        </w:rPr>
        <w:t xml:space="preserve">up </w:t>
      </w:r>
      <w:r w:rsidR="00EB5B6B">
        <w:rPr>
          <w:b/>
          <w:bCs/>
          <w:color w:val="00518E"/>
        </w:rPr>
        <w:t>36</w:t>
      </w:r>
      <w:r w:rsidR="002D5A49" w:rsidRPr="008D1F61">
        <w:rPr>
          <w:b/>
          <w:bCs/>
          <w:color w:val="00518E"/>
        </w:rPr>
        <w:t>%</w:t>
      </w:r>
      <w:r w:rsidR="002D5A49">
        <w:t xml:space="preserve">) recorded the </w:t>
      </w:r>
      <w:r w:rsidR="00E33A6B">
        <w:t xml:space="preserve">largest </w:t>
      </w:r>
      <w:r>
        <w:t>increase</w:t>
      </w:r>
      <w:r w:rsidR="002D5A49">
        <w:t>.</w:t>
      </w:r>
      <w:r>
        <w:t xml:space="preserve"> </w:t>
      </w:r>
    </w:p>
    <w:p w14:paraId="1987A947" w14:textId="52E0C316" w:rsidR="00671BB0" w:rsidRPr="00086AB2" w:rsidRDefault="00671BB0" w:rsidP="0031228B">
      <w:pPr>
        <w:pStyle w:val="Heading3"/>
      </w:pPr>
      <w:bookmarkStart w:id="116" w:name="_Toc86602527"/>
      <w:bookmarkStart w:id="117" w:name="_Hlk56773720"/>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4132C1">
        <w:rPr>
          <w:noProof/>
        </w:rPr>
        <w:t>q</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H</w:t>
      </w:r>
      <w:r w:rsidRPr="00086AB2">
        <w:t>ealth</w:t>
      </w:r>
      <w:r w:rsidR="00974985">
        <w:t xml:space="preserve"> </w:t>
      </w:r>
      <w:r w:rsidRPr="00086AB2">
        <w:t>care and social assistance by</w:t>
      </w:r>
      <w:r w:rsidR="00E55876" w:rsidRPr="00086AB2">
        <w:t> </w:t>
      </w:r>
      <w:r w:rsidRPr="00086AB2">
        <w:t>jurisdiction</w:t>
      </w:r>
      <w:bookmarkEnd w:id="116"/>
    </w:p>
    <w:bookmarkEnd w:id="117"/>
    <w:p w14:paraId="0475C5B7" w14:textId="636D5CB6" w:rsidR="00781310" w:rsidRDefault="00017CA2" w:rsidP="00FA79D4">
      <w:pPr>
        <w:jc w:val="center"/>
      </w:pPr>
      <w:r>
        <w:rPr>
          <w:noProof/>
        </w:rPr>
        <w:drawing>
          <wp:inline distT="0" distB="0" distL="0" distR="0" wp14:anchorId="3B379D93" wp14:editId="2790BE53">
            <wp:extent cx="5492750" cy="3365500"/>
            <wp:effectExtent l="0" t="0" r="0" b="6350"/>
            <wp:docPr id="94" name="Picture 94" descr="Indicator 11q – Frequency rates of serious claims for Healthcare and social assistance by jurisdiction&#10;&#10;This chart shows the Frequency rates (claims per million hours worked) of serious injury and disease claims for Healthcare and social assistance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ndicator 11q – Frequency rates of serious claims for Healthcare and social assistance by jurisdiction&#10;&#10;This chart shows the Frequency rates (claims per million hours worked) of serious injury and disease claims for Healthcare and social assistance industry between 2015-16 and 2020-21, by jurisdiction. Please refer to body text for more information.&#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2750" cy="3365500"/>
                    </a:xfrm>
                    <a:prstGeom prst="rect">
                      <a:avLst/>
                    </a:prstGeom>
                    <a:noFill/>
                  </pic:spPr>
                </pic:pic>
              </a:graphicData>
            </a:graphic>
          </wp:inline>
        </w:drawing>
      </w:r>
    </w:p>
    <w:p w14:paraId="1BC5E693" w14:textId="77777777" w:rsidR="003E25A6" w:rsidRDefault="003E25A6">
      <w:pPr>
        <w:spacing w:after="200" w:line="276" w:lineRule="auto"/>
        <w:jc w:val="left"/>
        <w:rPr>
          <w:rFonts w:ascii="Arial Bold" w:eastAsiaTheme="majorEastAsia" w:hAnsi="Arial Bold" w:cs="Arial"/>
          <w:b/>
          <w:kern w:val="32"/>
          <w:sz w:val="28"/>
          <w:szCs w:val="22"/>
        </w:rPr>
      </w:pPr>
      <w:bookmarkStart w:id="118" w:name="_Toc86602528"/>
      <w:r>
        <w:br w:type="page"/>
      </w:r>
    </w:p>
    <w:p w14:paraId="3FD1D9B0" w14:textId="1938313E" w:rsidR="008F29A3" w:rsidRPr="00086AB2" w:rsidRDefault="008F29A3" w:rsidP="007C5139">
      <w:pPr>
        <w:pStyle w:val="Heading1"/>
        <w:keepNext w:val="0"/>
        <w:keepLines/>
      </w:pPr>
      <w:r w:rsidRPr="00086AB2">
        <w:lastRenderedPageBreak/>
        <w:t>Arts and recreation services</w:t>
      </w:r>
      <w:bookmarkEnd w:id="118"/>
      <w:r>
        <w:t xml:space="preserve"> </w:t>
      </w:r>
    </w:p>
    <w:p w14:paraId="5ABE1F3A" w14:textId="75C2F457" w:rsidR="008D1F61" w:rsidRDefault="008F29A3" w:rsidP="007C5139">
      <w:pPr>
        <w:pStyle w:val="ListParagraph"/>
        <w:keepLines/>
        <w:numPr>
          <w:ilvl w:val="0"/>
          <w:numId w:val="40"/>
        </w:numPr>
      </w:pPr>
      <w:r w:rsidRPr="00086AB2">
        <w:t xml:space="preserve">The Australian </w:t>
      </w:r>
      <w:r w:rsidR="008D1F61">
        <w:t>frequency</w:t>
      </w:r>
      <w:r w:rsidRPr="00086AB2">
        <w:t xml:space="preserve"> rate for th</w:t>
      </w:r>
      <w:r w:rsidR="008D1F61">
        <w:t xml:space="preserve">is industry in </w:t>
      </w:r>
      <w:r w:rsidR="00D00A11">
        <w:t>2020</w:t>
      </w:r>
      <w:r w:rsidR="003A1B9E">
        <w:t>–2</w:t>
      </w:r>
      <w:r w:rsidR="00D00A11">
        <w:t>1</w:t>
      </w:r>
      <w:r w:rsidR="003A1B9E">
        <w:t>p</w:t>
      </w:r>
      <w:r w:rsidR="008D1F61">
        <w:t xml:space="preserve"> was </w:t>
      </w:r>
      <w:r w:rsidR="003A0D8C">
        <w:t xml:space="preserve">7.6 </w:t>
      </w:r>
      <w:r w:rsidR="008D1F61">
        <w:t>claims per million hours worked.</w:t>
      </w:r>
      <w:r w:rsidR="003A1B9E">
        <w:t xml:space="preserve"> </w:t>
      </w:r>
    </w:p>
    <w:p w14:paraId="7099130B" w14:textId="4EFD64AE" w:rsidR="008F29A3" w:rsidRDefault="008D1F61" w:rsidP="007C5139">
      <w:pPr>
        <w:pStyle w:val="ListParagraph"/>
        <w:keepLines/>
        <w:numPr>
          <w:ilvl w:val="0"/>
          <w:numId w:val="40"/>
        </w:numPr>
      </w:pPr>
      <w:r>
        <w:t xml:space="preserve">In </w:t>
      </w:r>
      <w:r w:rsidR="003A1B9E">
        <w:t>20</w:t>
      </w:r>
      <w:r w:rsidR="003A0D8C">
        <w:t>20</w:t>
      </w:r>
      <w:r w:rsidR="003A1B9E">
        <w:t>–2</w:t>
      </w:r>
      <w:r w:rsidR="003A0D8C">
        <w:t>1</w:t>
      </w:r>
      <w:r w:rsidR="003A1B9E">
        <w:t>p</w:t>
      </w:r>
      <w:r>
        <w:t>, Tasmania recorded the highest rate (</w:t>
      </w:r>
      <w:r w:rsidR="003A0D8C">
        <w:t>13.5</w:t>
      </w:r>
      <w:r w:rsidRPr="008D1F61">
        <w:t xml:space="preserve"> </w:t>
      </w:r>
      <w:r>
        <w:t xml:space="preserve">claims per million hours worked) and </w:t>
      </w:r>
      <w:r w:rsidR="00B57AC7">
        <w:t>Australian Government</w:t>
      </w:r>
      <w:r>
        <w:t xml:space="preserve"> recorded the lowest rate (</w:t>
      </w:r>
      <w:r w:rsidR="00B57AC7">
        <w:t>1.2</w:t>
      </w:r>
      <w:r w:rsidRPr="008D1F61">
        <w:t xml:space="preserve"> </w:t>
      </w:r>
      <w:r>
        <w:t xml:space="preserve">claims per million hours worked). </w:t>
      </w:r>
    </w:p>
    <w:p w14:paraId="59B292B1" w14:textId="664F5792" w:rsidR="0000289A" w:rsidRDefault="008D1F61" w:rsidP="00162C81">
      <w:pPr>
        <w:pStyle w:val="ListParagraph"/>
        <w:keepLines/>
        <w:numPr>
          <w:ilvl w:val="0"/>
          <w:numId w:val="40"/>
        </w:numPr>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20</w:t>
      </w:r>
      <w:r>
        <w:t xml:space="preserve">, the </w:t>
      </w:r>
      <w:r w:rsidR="00974985">
        <w:t xml:space="preserve">Australian </w:t>
      </w:r>
      <w:r>
        <w:t>frequency rate for this industry</w:t>
      </w:r>
      <w:r w:rsidRPr="00F8169B">
        <w:rPr>
          <w:b/>
          <w:bCs/>
          <w:color w:val="00518E"/>
        </w:rPr>
        <w:t xml:space="preserve"> </w:t>
      </w:r>
      <w:r w:rsidR="00974985" w:rsidRPr="00F8169B">
        <w:rPr>
          <w:b/>
          <w:bCs/>
          <w:color w:val="00518E"/>
        </w:rPr>
        <w:t>increased</w:t>
      </w:r>
      <w:r w:rsidR="007F6D50">
        <w:rPr>
          <w:b/>
          <w:bCs/>
          <w:color w:val="00518E"/>
        </w:rPr>
        <w:t xml:space="preserve"> by</w:t>
      </w:r>
      <w:r w:rsidR="00974985" w:rsidRPr="008D1F61">
        <w:rPr>
          <w:b/>
          <w:bCs/>
          <w:color w:val="00518E"/>
        </w:rPr>
        <w:t xml:space="preserve"> </w:t>
      </w:r>
      <w:r w:rsidR="00974985">
        <w:rPr>
          <w:b/>
          <w:bCs/>
          <w:color w:val="00518E"/>
        </w:rPr>
        <w:t>17</w:t>
      </w:r>
      <w:r w:rsidR="00974985" w:rsidRPr="008D1F61">
        <w:rPr>
          <w:b/>
          <w:bCs/>
          <w:color w:val="00518E"/>
        </w:rPr>
        <w:t>%</w:t>
      </w:r>
      <w:r w:rsidR="008B3D5B">
        <w:t xml:space="preserve">. The Northern Territory </w:t>
      </w:r>
      <w:r w:rsidR="002D5A49">
        <w:t>(</w:t>
      </w:r>
      <w:r w:rsidR="002D5A49" w:rsidRPr="002D5A49">
        <w:rPr>
          <w:rFonts w:ascii="Wingdings 3" w:hAnsi="Wingdings 3"/>
          <w:b/>
          <w:bCs/>
          <w:color w:val="B94F25"/>
        </w:rPr>
        <w:t>i</w:t>
      </w:r>
      <w:r w:rsidR="002D5A49">
        <w:t xml:space="preserve"> </w:t>
      </w:r>
      <w:r w:rsidR="002D5A49" w:rsidRPr="002D5A49">
        <w:rPr>
          <w:b/>
          <w:bCs/>
          <w:color w:val="B94F25"/>
        </w:rPr>
        <w:t xml:space="preserve">down </w:t>
      </w:r>
      <w:r w:rsidR="00B8577F">
        <w:rPr>
          <w:b/>
          <w:bCs/>
          <w:color w:val="B94F25"/>
        </w:rPr>
        <w:t>37</w:t>
      </w:r>
      <w:r w:rsidR="002D5A49" w:rsidRPr="002D5A49">
        <w:rPr>
          <w:b/>
          <w:bCs/>
          <w:color w:val="B94F25"/>
        </w:rPr>
        <w:t>%</w:t>
      </w:r>
      <w:r w:rsidR="002D5A49">
        <w:t>) recorded the</w:t>
      </w:r>
      <w:r w:rsidR="00F22ED5">
        <w:t xml:space="preserve"> largest </w:t>
      </w:r>
      <w:r w:rsidR="002D5A49">
        <w:t xml:space="preserve">decrease </w:t>
      </w:r>
      <w:r w:rsidR="00F22ED5">
        <w:t xml:space="preserve">and </w:t>
      </w:r>
      <w:r w:rsidR="008B3D5B">
        <w:t>New South Wales</w:t>
      </w:r>
      <w:r w:rsidR="002D5A49">
        <w:t xml:space="preserve"> (</w:t>
      </w:r>
      <w:r w:rsidR="002D5A49" w:rsidRPr="002D5A49">
        <w:rPr>
          <w:rFonts w:ascii="Wingdings 3" w:hAnsi="Wingdings 3"/>
          <w:b/>
          <w:bCs/>
          <w:color w:val="00518E"/>
        </w:rPr>
        <w:t>h</w:t>
      </w:r>
      <w:r w:rsidR="002D5A49">
        <w:t xml:space="preserve"> </w:t>
      </w:r>
      <w:r w:rsidR="002D5A49" w:rsidRPr="002D5A49">
        <w:rPr>
          <w:b/>
          <w:bCs/>
          <w:color w:val="00518E"/>
        </w:rPr>
        <w:t xml:space="preserve">up </w:t>
      </w:r>
      <w:r w:rsidR="008B3D5B">
        <w:rPr>
          <w:b/>
          <w:bCs/>
          <w:color w:val="00518E"/>
        </w:rPr>
        <w:t>36</w:t>
      </w:r>
      <w:r w:rsidR="002D5A49" w:rsidRPr="002D5A49">
        <w:rPr>
          <w:b/>
          <w:bCs/>
          <w:color w:val="00518E"/>
        </w:rPr>
        <w:t>%</w:t>
      </w:r>
      <w:r w:rsidR="002D5A49">
        <w:t xml:space="preserve">) </w:t>
      </w:r>
      <w:r w:rsidR="00B8577F">
        <w:t xml:space="preserve">recorded </w:t>
      </w:r>
      <w:r w:rsidR="002D5A49">
        <w:t xml:space="preserve">the </w:t>
      </w:r>
      <w:r w:rsidR="00F22ED5">
        <w:t>largest increase</w:t>
      </w:r>
      <w:r w:rsidR="00C84AE8">
        <w:t>.</w:t>
      </w:r>
      <w:r w:rsidR="008B3D5B">
        <w:t xml:space="preserve"> </w:t>
      </w:r>
    </w:p>
    <w:p w14:paraId="68C1107F" w14:textId="77777777" w:rsidR="00C84AE8" w:rsidRDefault="00C84AE8" w:rsidP="00F8169B">
      <w:pPr>
        <w:keepLines/>
        <w:ind w:left="360"/>
      </w:pPr>
    </w:p>
    <w:p w14:paraId="3E1C7168" w14:textId="2A00F820" w:rsidR="008F29A3" w:rsidRPr="00086AB2" w:rsidRDefault="008F29A3" w:rsidP="0031228B">
      <w:pPr>
        <w:pStyle w:val="Heading3"/>
      </w:pPr>
      <w:bookmarkStart w:id="119" w:name="_Toc86602529"/>
      <w:bookmarkStart w:id="120" w:name="_Hlk56773728"/>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4132C1">
        <w:rPr>
          <w:noProof/>
        </w:rPr>
        <w:t>r</w:t>
      </w:r>
      <w:r w:rsidRPr="00086AB2">
        <w:rPr>
          <w:noProof/>
        </w:rPr>
        <w:fldChar w:fldCharType="end"/>
      </w:r>
      <w:r w:rsidRPr="00086AB2">
        <w:t xml:space="preserve"> – </w:t>
      </w:r>
      <w:r w:rsidR="003A1B9E">
        <w:t>Frequency</w:t>
      </w:r>
      <w:r w:rsidR="003A1B9E" w:rsidRPr="00086AB2">
        <w:t xml:space="preserve"> </w:t>
      </w:r>
      <w:r w:rsidRPr="00086AB2">
        <w:t>rates of serious claims for Arts and recreation services by jurisdiction</w:t>
      </w:r>
      <w:bookmarkEnd w:id="119"/>
    </w:p>
    <w:bookmarkEnd w:id="120"/>
    <w:p w14:paraId="0BF48455" w14:textId="758AA787" w:rsidR="008F29A3" w:rsidRDefault="00230454" w:rsidP="00F60444">
      <w:pPr>
        <w:spacing w:after="0"/>
        <w:jc w:val="center"/>
      </w:pPr>
      <w:r>
        <w:rPr>
          <w:noProof/>
        </w:rPr>
        <mc:AlternateContent>
          <mc:Choice Requires="wps">
            <w:drawing>
              <wp:anchor distT="0" distB="0" distL="114300" distR="114300" simplePos="0" relativeHeight="251695104" behindDoc="0" locked="0" layoutInCell="1" allowOverlap="1" wp14:anchorId="57A8976D" wp14:editId="7A62EE52">
                <wp:simplePos x="0" y="0"/>
                <wp:positionH relativeFrom="column">
                  <wp:posOffset>1075690</wp:posOffset>
                </wp:positionH>
                <wp:positionV relativeFrom="paragraph">
                  <wp:posOffset>3028950</wp:posOffset>
                </wp:positionV>
                <wp:extent cx="3829143" cy="170656"/>
                <wp:effectExtent l="0" t="0" r="0" b="1270"/>
                <wp:wrapNone/>
                <wp:docPr id="4" name="Rectangle 3" descr="Indicator 11r – Frequency rates of serious claims for Arts and recreation services by jurisdiction&#10;This chart shows the Frequency rates (claims per million hours worked) of serious injury and disease claims for Arts and recreation services industry between 2015-16 and 2020-21, by jurisdiction. Please refer to body text for more information.&#10;">
                  <a:extLst xmlns:a="http://schemas.openxmlformats.org/drawingml/2006/main">
                    <a:ext uri="{FF2B5EF4-FFF2-40B4-BE49-F238E27FC236}">
                      <a16:creationId xmlns:a16="http://schemas.microsoft.com/office/drawing/2014/main" id="{71DD11BC-E918-415A-9E5A-7C6833998F10}"/>
                    </a:ext>
                  </a:extLst>
                </wp:docPr>
                <wp:cNvGraphicFramePr/>
                <a:graphic xmlns:a="http://schemas.openxmlformats.org/drawingml/2006/main">
                  <a:graphicData uri="http://schemas.microsoft.com/office/word/2010/wordprocessingShape">
                    <wps:wsp>
                      <wps:cNvSpPr/>
                      <wps:spPr>
                        <a:xfrm>
                          <a:off x="0" y="0"/>
                          <a:ext cx="3829143" cy="170656"/>
                        </a:xfrm>
                        <a:prstGeom prst="rect">
                          <a:avLst/>
                        </a:prstGeom>
                        <a:solidFill>
                          <a:sysClr val="window" lastClr="FFFFFF"/>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rect w14:anchorId="2664721F" id="Rectangle 3" o:spid="_x0000_s1026" alt="Indicator 11r – Frequency rates of serious claims for Arts and recreation services by jurisdiction&#10;This chart shows the Frequency rates (claims per million hours worked) of serious injury and disease claims for Arts and recreation services industry between 2015-16 and 2020-21, by jurisdiction. Please refer to body text for more information.&#10;" style="position:absolute;margin-left:84.7pt;margin-top:238.5pt;width:301.5pt;height:13.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" fillcolor="window" stroked="f" strokeweight="2pt"/>
            </w:pict>
          </mc:Fallback>
        </mc:AlternateContent>
      </w:r>
      <w:r w:rsidR="00C84AE8" w:rsidRPr="00C84AE8">
        <w:t xml:space="preserve"> </w:t>
      </w:r>
      <w:r w:rsidR="00017CA2">
        <w:rPr>
          <w:noProof/>
        </w:rPr>
        <w:drawing>
          <wp:inline distT="0" distB="0" distL="0" distR="0" wp14:anchorId="682D0BC3" wp14:editId="16764F2A">
            <wp:extent cx="5492750" cy="3335020"/>
            <wp:effectExtent l="0" t="0" r="0" b="0"/>
            <wp:docPr id="95" name="Picture 95" descr="Indicator 11r – Frequency rates of serious claims for Arts and recreation services by jurisdiction&#10;This chart shows the Frequency rates (claims per million hours worked) of serious injury and disease claims for Arts and recreation services industry between 2015-16 and 2020-21,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Indicator 11r – Frequency rates of serious claims for Arts and recreation services by jurisdiction&#10;This chart shows the Frequency rates (claims per million hours worked) of serious injury and disease claims for Arts and recreation services industry between 2015-16 and 2020-21, by jurisdiction. Please refer to body text for more information.&#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2750" cy="3335020"/>
                    </a:xfrm>
                    <a:prstGeom prst="rect">
                      <a:avLst/>
                    </a:prstGeom>
                    <a:noFill/>
                  </pic:spPr>
                </pic:pic>
              </a:graphicData>
            </a:graphic>
          </wp:inline>
        </w:drawing>
      </w:r>
    </w:p>
    <w:p w14:paraId="253827A4" w14:textId="77777777" w:rsidR="003E25A6" w:rsidRDefault="003E25A6">
      <w:pPr>
        <w:spacing w:after="200" w:line="276" w:lineRule="auto"/>
        <w:jc w:val="left"/>
        <w:rPr>
          <w:rFonts w:ascii="Arial Bold" w:eastAsiaTheme="majorEastAsia" w:hAnsi="Arial Bold" w:cs="Arial"/>
          <w:b/>
          <w:kern w:val="32"/>
          <w:sz w:val="28"/>
          <w:szCs w:val="22"/>
        </w:rPr>
      </w:pPr>
      <w:bookmarkStart w:id="121" w:name="_Toc86602530"/>
      <w:r>
        <w:br w:type="page"/>
      </w:r>
    </w:p>
    <w:p w14:paraId="245CEE51" w14:textId="122B6115" w:rsidR="00781310" w:rsidRPr="00086AB2" w:rsidRDefault="009B4398" w:rsidP="00B51041">
      <w:pPr>
        <w:pStyle w:val="Heading1"/>
      </w:pPr>
      <w:r w:rsidRPr="00086AB2">
        <w:lastRenderedPageBreak/>
        <w:t>Other services</w:t>
      </w:r>
      <w:bookmarkEnd w:id="121"/>
      <w:r w:rsidR="00020A2B">
        <w:t xml:space="preserve"> </w:t>
      </w:r>
    </w:p>
    <w:p w14:paraId="50DFA677" w14:textId="599A9F23" w:rsidR="00F22ED5" w:rsidRDefault="00565FD6" w:rsidP="00C03259">
      <w:pPr>
        <w:pStyle w:val="ListParagraph"/>
        <w:numPr>
          <w:ilvl w:val="0"/>
          <w:numId w:val="41"/>
        </w:numPr>
      </w:pPr>
      <w:r>
        <w:t>T</w:t>
      </w:r>
      <w:r w:rsidR="00781310" w:rsidRPr="00086AB2">
        <w:t xml:space="preserve">he Australian </w:t>
      </w:r>
      <w:r w:rsidR="003A1B9E">
        <w:t xml:space="preserve">frequency </w:t>
      </w:r>
      <w:r w:rsidR="00781310" w:rsidRPr="00086AB2">
        <w:t xml:space="preserve">rate of claims in the </w:t>
      </w:r>
      <w:proofErr w:type="gramStart"/>
      <w:r w:rsidR="00781310" w:rsidRPr="00086AB2">
        <w:t>Other</w:t>
      </w:r>
      <w:proofErr w:type="gramEnd"/>
      <w:r w:rsidR="00781310" w:rsidRPr="00086AB2">
        <w:t xml:space="preserve"> s</w:t>
      </w:r>
      <w:r w:rsidR="009851FB" w:rsidRPr="00086AB2">
        <w:t xml:space="preserve">ervices industry </w:t>
      </w:r>
      <w:r w:rsidR="00F22ED5">
        <w:t>was 5.</w:t>
      </w:r>
      <w:r w:rsidR="00D00A11">
        <w:t>5</w:t>
      </w:r>
      <w:r w:rsidR="00F22ED5">
        <w:t xml:space="preserve"> claims per million hours worked in </w:t>
      </w:r>
      <w:r w:rsidR="00D00A11">
        <w:t>2020</w:t>
      </w:r>
      <w:r w:rsidR="003A1B9E">
        <w:t>–2</w:t>
      </w:r>
      <w:r w:rsidR="00D00A11">
        <w:t>1</w:t>
      </w:r>
      <w:r w:rsidR="003A1B9E">
        <w:t>p</w:t>
      </w:r>
      <w:r w:rsidR="00F22ED5">
        <w:t>.</w:t>
      </w:r>
    </w:p>
    <w:p w14:paraId="5A0EC4BC" w14:textId="77777777" w:rsidR="00037DD2" w:rsidRDefault="00F22ED5" w:rsidP="00C03259">
      <w:pPr>
        <w:pStyle w:val="ListParagraph"/>
        <w:numPr>
          <w:ilvl w:val="0"/>
          <w:numId w:val="41"/>
        </w:numPr>
      </w:pPr>
      <w:r>
        <w:t xml:space="preserve">In </w:t>
      </w:r>
      <w:r w:rsidR="00D00A11">
        <w:t>2020</w:t>
      </w:r>
      <w:r w:rsidR="003A1B9E">
        <w:t>–2</w:t>
      </w:r>
      <w:r w:rsidR="00D00A11">
        <w:t>1</w:t>
      </w:r>
      <w:r w:rsidR="003A1B9E">
        <w:t>p</w:t>
      </w:r>
      <w:r w:rsidR="001A2DF3">
        <w:t>,</w:t>
      </w:r>
      <w:r>
        <w:t xml:space="preserve"> </w:t>
      </w:r>
      <w:r w:rsidR="00AF73D1">
        <w:t xml:space="preserve">Australian Government </w:t>
      </w:r>
      <w:r>
        <w:t>recorded the highest frequency rate and the Northern Territory recorded the lowest (</w:t>
      </w:r>
      <w:r w:rsidR="00064875">
        <w:t>2.6</w:t>
      </w:r>
      <w:r>
        <w:t xml:space="preserve"> claims per million hours worked).</w:t>
      </w:r>
      <w:r w:rsidR="00AF73D1">
        <w:t xml:space="preserve"> </w:t>
      </w:r>
    </w:p>
    <w:p w14:paraId="4499CE84" w14:textId="3640411D" w:rsidR="00F22ED5" w:rsidRDefault="00AF73D1" w:rsidP="00037DD2">
      <w:pPr>
        <w:pStyle w:val="ListParagraph"/>
        <w:numPr>
          <w:ilvl w:val="1"/>
          <w:numId w:val="41"/>
        </w:numPr>
      </w:pPr>
      <w:r>
        <w:t>Please note that the incidence rate for the Australian Government is based upon a small number of claims</w:t>
      </w:r>
      <w:r w:rsidR="00037DD2">
        <w:t>,</w:t>
      </w:r>
      <w:r w:rsidR="004815ED">
        <w:t xml:space="preserve"> which increases the volatility in </w:t>
      </w:r>
      <w:r w:rsidR="00037DD2">
        <w:t>the data</w:t>
      </w:r>
      <w:r>
        <w:t>.</w:t>
      </w:r>
    </w:p>
    <w:p w14:paraId="32EDBB00" w14:textId="039E39EA" w:rsidR="00FE4955" w:rsidRDefault="00F22ED5" w:rsidP="00C03259">
      <w:pPr>
        <w:pStyle w:val="ListParagraph"/>
        <w:numPr>
          <w:ilvl w:val="0"/>
          <w:numId w:val="41"/>
        </w:numPr>
      </w:pPr>
      <w:r>
        <w:t xml:space="preserve">Between </w:t>
      </w:r>
      <w:r w:rsidR="00907086" w:rsidRPr="00086AB2">
        <w:t>201</w:t>
      </w:r>
      <w:r w:rsidR="00907086">
        <w:t>5</w:t>
      </w:r>
      <w:r w:rsidR="00907086" w:rsidRPr="00086AB2">
        <w:t>–1</w:t>
      </w:r>
      <w:r w:rsidR="00907086">
        <w:t xml:space="preserve">6 and </w:t>
      </w:r>
      <w:r w:rsidR="00907086" w:rsidRPr="00086AB2">
        <w:t>201</w:t>
      </w:r>
      <w:r w:rsidR="00907086">
        <w:t>9</w:t>
      </w:r>
      <w:r w:rsidR="00907086" w:rsidRPr="00086AB2">
        <w:t>–</w:t>
      </w:r>
      <w:r w:rsidR="00907086">
        <w:t xml:space="preserve">20 </w:t>
      </w:r>
      <w:r>
        <w:t xml:space="preserve">the frequency rate for this industry </w:t>
      </w:r>
      <w:r w:rsidR="008B3D5B" w:rsidRPr="00F8169B">
        <w:rPr>
          <w:b/>
          <w:bCs/>
          <w:color w:val="00518E"/>
        </w:rPr>
        <w:t xml:space="preserve">increased </w:t>
      </w:r>
      <w:r w:rsidR="007F6D50">
        <w:rPr>
          <w:b/>
          <w:bCs/>
          <w:color w:val="00518E"/>
        </w:rPr>
        <w:t>by</w:t>
      </w:r>
      <w:r w:rsidR="00C84AE8" w:rsidRPr="00F22ED5">
        <w:rPr>
          <w:b/>
          <w:bCs/>
          <w:color w:val="00518E"/>
        </w:rPr>
        <w:t xml:space="preserve"> </w:t>
      </w:r>
      <w:r w:rsidR="00C84AE8">
        <w:rPr>
          <w:b/>
          <w:bCs/>
          <w:color w:val="00518E"/>
        </w:rPr>
        <w:t>20</w:t>
      </w:r>
      <w:r w:rsidR="00C84AE8" w:rsidRPr="00F22ED5">
        <w:rPr>
          <w:b/>
          <w:bCs/>
          <w:color w:val="00518E"/>
        </w:rPr>
        <w:t>%</w:t>
      </w:r>
      <w:r w:rsidRPr="00F8169B">
        <w:rPr>
          <w:color w:val="365F91" w:themeColor="accent1" w:themeShade="BF"/>
        </w:rPr>
        <w:t xml:space="preserve">, </w:t>
      </w:r>
      <w:r>
        <w:t xml:space="preserve">with </w:t>
      </w:r>
      <w:r w:rsidR="00AF73D1">
        <w:t>8</w:t>
      </w:r>
      <w:r>
        <w:t xml:space="preserve"> out of </w:t>
      </w:r>
      <w:r w:rsidR="00AF73D1">
        <w:t>9</w:t>
      </w:r>
      <w:r>
        <w:t xml:space="preserve"> industries recording </w:t>
      </w:r>
      <w:r w:rsidR="008B3D5B">
        <w:t>increases</w:t>
      </w:r>
      <w:r>
        <w:t>.</w:t>
      </w:r>
      <w:r w:rsidR="003A1B9E">
        <w:t xml:space="preserve"> </w:t>
      </w:r>
      <w:r w:rsidR="001A2DF3">
        <w:t xml:space="preserve">The </w:t>
      </w:r>
      <w:r w:rsidR="008B3D5B">
        <w:t>Northern</w:t>
      </w:r>
      <w:r w:rsidR="001A2DF3">
        <w:t xml:space="preserve"> Territory (</w:t>
      </w:r>
      <w:r w:rsidR="001A2DF3" w:rsidRPr="007C0401">
        <w:rPr>
          <w:rFonts w:ascii="Wingdings 3" w:hAnsi="Wingdings 3"/>
          <w:b/>
          <w:bCs/>
          <w:color w:val="B94F25"/>
        </w:rPr>
        <w:t>i</w:t>
      </w:r>
      <w:r w:rsidR="001A2DF3">
        <w:t> </w:t>
      </w:r>
      <w:r w:rsidR="001A2DF3" w:rsidRPr="00A24A0F">
        <w:rPr>
          <w:b/>
          <w:bCs/>
          <w:color w:val="B94F25"/>
        </w:rPr>
        <w:t>down </w:t>
      </w:r>
      <w:r w:rsidR="00B8577F">
        <w:rPr>
          <w:b/>
          <w:bCs/>
          <w:color w:val="B94F25"/>
        </w:rPr>
        <w:t>42</w:t>
      </w:r>
      <w:r w:rsidR="001A2DF3" w:rsidRPr="00A24A0F">
        <w:rPr>
          <w:b/>
          <w:bCs/>
          <w:color w:val="B94F25"/>
        </w:rPr>
        <w:t>%</w:t>
      </w:r>
      <w:r w:rsidR="001A2DF3">
        <w:t>) recorded the</w:t>
      </w:r>
      <w:r>
        <w:t xml:space="preserve"> </w:t>
      </w:r>
      <w:r w:rsidR="008B3D5B">
        <w:t xml:space="preserve">only </w:t>
      </w:r>
      <w:r>
        <w:t>decrease.</w:t>
      </w:r>
      <w:r w:rsidR="003A1B9E">
        <w:t xml:space="preserve"> </w:t>
      </w:r>
      <w:r w:rsidR="00AF73D1">
        <w:t xml:space="preserve">The Australian Government </w:t>
      </w:r>
      <w:r>
        <w:t xml:space="preserve">and </w:t>
      </w:r>
      <w:r w:rsidR="00AF73D1">
        <w:t xml:space="preserve">Tasmania </w:t>
      </w:r>
      <w:r>
        <w:t>(</w:t>
      </w:r>
      <w:r w:rsidRPr="008F3580">
        <w:rPr>
          <w:rFonts w:ascii="Wingdings 3" w:hAnsi="Wingdings 3"/>
          <w:b/>
          <w:bCs/>
          <w:color w:val="00518E"/>
        </w:rPr>
        <w:t>h</w:t>
      </w:r>
      <w:r w:rsidR="00A24A0F">
        <w:t> </w:t>
      </w:r>
      <w:r w:rsidRPr="00F22ED5">
        <w:rPr>
          <w:b/>
          <w:bCs/>
          <w:color w:val="00518E"/>
        </w:rPr>
        <w:t>up</w:t>
      </w:r>
      <w:r w:rsidR="00A24A0F">
        <w:rPr>
          <w:b/>
          <w:bCs/>
          <w:color w:val="00518E"/>
        </w:rPr>
        <w:t> </w:t>
      </w:r>
      <w:r w:rsidR="00AF73D1">
        <w:rPr>
          <w:b/>
          <w:bCs/>
          <w:color w:val="00518E"/>
        </w:rPr>
        <w:t>56</w:t>
      </w:r>
      <w:r w:rsidRPr="00F22ED5">
        <w:rPr>
          <w:b/>
          <w:bCs/>
          <w:color w:val="00518E"/>
        </w:rPr>
        <w:t>%</w:t>
      </w:r>
      <w:r>
        <w:t xml:space="preserve">) recorded </w:t>
      </w:r>
      <w:r w:rsidR="007F6D50">
        <w:t xml:space="preserve">the largest </w:t>
      </w:r>
      <w:r>
        <w:t>increases over the same period.</w:t>
      </w:r>
      <w:r w:rsidR="00FE4955" w:rsidRPr="00FE4955">
        <w:t xml:space="preserve"> </w:t>
      </w:r>
    </w:p>
    <w:p w14:paraId="48B1A17D" w14:textId="77777777" w:rsidR="003E25A6" w:rsidRDefault="003E25A6" w:rsidP="007C5139">
      <w:pPr>
        <w:pStyle w:val="Heading3"/>
        <w:spacing w:before="120"/>
      </w:pPr>
      <w:bookmarkStart w:id="122" w:name="_Toc86602531"/>
      <w:bookmarkStart w:id="123" w:name="_Hlk56773736"/>
    </w:p>
    <w:p w14:paraId="707C4C55" w14:textId="473CC72A" w:rsidR="00905154" w:rsidRDefault="00671BB0" w:rsidP="003E25A6">
      <w:pPr>
        <w:pStyle w:val="Heading3"/>
        <w:spacing w:before="120"/>
      </w:pPr>
      <w:r w:rsidRPr="00102FDD">
        <w:t>Indicator 11</w:t>
      </w:r>
      <w:r w:rsidR="006F0762" w:rsidRPr="00102FDD">
        <w:rPr>
          <w:noProof/>
        </w:rPr>
        <w:fldChar w:fldCharType="begin"/>
      </w:r>
      <w:r w:rsidR="006F0762" w:rsidRPr="00102FDD">
        <w:rPr>
          <w:noProof/>
        </w:rPr>
        <w:instrText xml:space="preserve"> SEQ Indicator_11 \* alphabetic </w:instrText>
      </w:r>
      <w:r w:rsidR="006F0762" w:rsidRPr="00102FDD">
        <w:rPr>
          <w:noProof/>
        </w:rPr>
        <w:fldChar w:fldCharType="separate"/>
      </w:r>
      <w:r w:rsidR="004132C1">
        <w:rPr>
          <w:noProof/>
        </w:rPr>
        <w:t>s</w:t>
      </w:r>
      <w:r w:rsidR="006F0762" w:rsidRPr="00102FDD">
        <w:rPr>
          <w:noProof/>
        </w:rPr>
        <w:fldChar w:fldCharType="end"/>
      </w:r>
      <w:r w:rsidRPr="00102FDD">
        <w:t xml:space="preserve"> </w:t>
      </w:r>
      <w:r w:rsidR="00E55876" w:rsidRPr="00102FDD">
        <w:t>–</w:t>
      </w:r>
      <w:r w:rsidRPr="00102FDD">
        <w:t xml:space="preserve"> </w:t>
      </w:r>
      <w:r w:rsidR="003A1B9E">
        <w:t>Frequency</w:t>
      </w:r>
      <w:r w:rsidRPr="00102FDD">
        <w:t xml:space="preserve"> rates of serious claims for </w:t>
      </w:r>
      <w:proofErr w:type="gramStart"/>
      <w:r w:rsidR="009D46FF" w:rsidRPr="00102FDD">
        <w:t>O</w:t>
      </w:r>
      <w:r w:rsidRPr="00102FDD">
        <w:t>ther</w:t>
      </w:r>
      <w:proofErr w:type="gramEnd"/>
      <w:r w:rsidRPr="00102FDD">
        <w:t xml:space="preserve"> services by jurisdiction</w:t>
      </w:r>
      <w:bookmarkEnd w:id="122"/>
      <w:bookmarkEnd w:id="123"/>
    </w:p>
    <w:p w14:paraId="1BD01E75" w14:textId="113FC893" w:rsidR="00826CBD" w:rsidRPr="00086AB2" w:rsidRDefault="00017CA2" w:rsidP="009E39EC">
      <w:pPr>
        <w:jc w:val="center"/>
        <w:sectPr w:rsidR="00826CBD" w:rsidRPr="00086AB2" w:rsidSect="009C1651">
          <w:pgSz w:w="11906" w:h="16838"/>
          <w:pgMar w:top="1440" w:right="1800" w:bottom="1440" w:left="1276" w:header="708" w:footer="708" w:gutter="0"/>
          <w:cols w:space="242"/>
          <w:docGrid w:linePitch="360"/>
        </w:sectPr>
      </w:pPr>
      <w:r>
        <w:rPr>
          <w:noProof/>
        </w:rPr>
        <w:drawing>
          <wp:inline distT="0" distB="0" distL="0" distR="0" wp14:anchorId="6BE50A05" wp14:editId="56FE5F0F">
            <wp:extent cx="5535930" cy="3335020"/>
            <wp:effectExtent l="0" t="0" r="7620" b="0"/>
            <wp:docPr id="96" name="Picture 96" descr="Indicator 11s – Frequency rates of serious claims for Other services by jurisdiction&#10;This chart shows the Frequency rates (claims per million hours worked) of serious injury and disease claims for Other services industry between 2015-16 and 2020-21p, by jurisdiction. Please refer to body text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ndicator 11s – Frequency rates of serious claims for Other services by jurisdiction&#10;This chart shows the Frequency rates (claims per million hours worked) of serious injury and disease claims for Other services industry between 2015-16 and 2020-21p, by jurisdiction. Please refer to body text for more information.&#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5930" cy="3335020"/>
                    </a:xfrm>
                    <a:prstGeom prst="rect">
                      <a:avLst/>
                    </a:prstGeom>
                    <a:noFill/>
                  </pic:spPr>
                </pic:pic>
              </a:graphicData>
            </a:graphic>
          </wp:inline>
        </w:drawing>
      </w:r>
    </w:p>
    <w:p w14:paraId="1A2D26B4" w14:textId="65CB9F6D" w:rsidR="00B747C9" w:rsidRPr="00086AB2" w:rsidRDefault="00B747C9" w:rsidP="001665F1">
      <w:pPr>
        <w:pStyle w:val="Title"/>
      </w:pPr>
      <w:bookmarkStart w:id="124" w:name="_Toc86602532"/>
      <w:r w:rsidRPr="00086AB2">
        <w:lastRenderedPageBreak/>
        <w:t xml:space="preserve">Appendix 1 </w:t>
      </w:r>
      <w:r w:rsidR="004132C1">
        <w:t>-</w:t>
      </w:r>
      <w:r w:rsidRPr="00086AB2">
        <w:t xml:space="preserve"> </w:t>
      </w:r>
      <w:r w:rsidR="00905C8B">
        <w:t>Further information</w:t>
      </w:r>
      <w:bookmarkEnd w:id="124"/>
    </w:p>
    <w:p w14:paraId="513283B5" w14:textId="393E54FD" w:rsidR="00B747C9" w:rsidRPr="00086AB2" w:rsidRDefault="00905C8B" w:rsidP="001665F1">
      <w:pPr>
        <w:pStyle w:val="Titlesmall"/>
      </w:pPr>
      <w:bookmarkStart w:id="125" w:name="_Toc86602533"/>
      <w:r>
        <w:t>Glossary</w:t>
      </w:r>
      <w:bookmarkEnd w:id="125"/>
    </w:p>
    <w:p w14:paraId="4DE92988" w14:textId="77777777" w:rsidR="00D07717" w:rsidRPr="000563EE" w:rsidRDefault="00D07717" w:rsidP="00D07717">
      <w:pPr>
        <w:rPr>
          <w:i/>
        </w:rPr>
      </w:pPr>
      <w:r w:rsidRPr="000563EE">
        <w:rPr>
          <w:i/>
        </w:rPr>
        <w:t>Definition of injury and disease</w:t>
      </w:r>
    </w:p>
    <w:p w14:paraId="04EB275E" w14:textId="77777777" w:rsidR="00D07717" w:rsidRPr="00086AB2" w:rsidRDefault="00D07717" w:rsidP="00D07717">
      <w:r w:rsidRPr="00086AB2">
        <w:t xml:space="preserve">Occupational injuries are defined as all employment-related injuries that are the result of a single traumatic event, occurring while a person is on duty or during a recess period at the workplace, and where there was a short or non-existent latency period. </w:t>
      </w:r>
    </w:p>
    <w:p w14:paraId="4C51F646" w14:textId="344C9768" w:rsidR="00D07717" w:rsidRDefault="00D07717" w:rsidP="00D07717">
      <w:r w:rsidRPr="00086AB2">
        <w:t xml:space="preserve">Occupational diseases are defined as all employment-related diseases that result from repeated or </w:t>
      </w:r>
      <w:proofErr w:type="gramStart"/>
      <w:r w:rsidRPr="00086AB2">
        <w:t>long</w:t>
      </w:r>
      <w:r w:rsidR="00C76A76">
        <w:t xml:space="preserve"> </w:t>
      </w:r>
      <w:r w:rsidRPr="00086AB2">
        <w:t>term</w:t>
      </w:r>
      <w:proofErr w:type="gramEnd"/>
      <w:r w:rsidRPr="00086AB2">
        <w:t xml:space="preserve"> exposure to an agent(s) or event(s), or that are the result of a single event resulting in a disease (for example, the development of hepatitis following a single exposure to the infection).</w:t>
      </w:r>
      <w:r w:rsidRPr="000563EE">
        <w:t xml:space="preserve"> </w:t>
      </w:r>
      <w:r w:rsidRPr="00086AB2">
        <w:t>The data in this report do not cover all cases of occupational injury and diseases as workers’ compensation generally covers employees only</w:t>
      </w:r>
      <w:r>
        <w:t xml:space="preserve"> (not </w:t>
      </w:r>
      <w:r w:rsidRPr="00086AB2">
        <w:t>contractors and self-employed workers</w:t>
      </w:r>
      <w:r>
        <w:t>)</w:t>
      </w:r>
      <w:r w:rsidRPr="00086AB2">
        <w:t>.</w:t>
      </w:r>
      <w:r w:rsidRPr="000563EE">
        <w:t xml:space="preserve"> </w:t>
      </w:r>
      <w:r w:rsidR="00CE59CA">
        <w:t>The</w:t>
      </w:r>
      <w:r w:rsidRPr="00086AB2">
        <w:t xml:space="preserve"> incidence and frequency rates shown in this report for all industries </w:t>
      </w:r>
      <w:r w:rsidR="00C57770">
        <w:t>are calculated using a denominator that has</w:t>
      </w:r>
      <w:r w:rsidRPr="00086AB2">
        <w:t xml:space="preserve"> been adjusted to exclude self-employed persons.</w:t>
      </w:r>
    </w:p>
    <w:p w14:paraId="7F61ACF3" w14:textId="2D132E66" w:rsidR="00D07717" w:rsidRPr="00086AB2" w:rsidRDefault="00D07717" w:rsidP="00D07717">
      <w:pPr>
        <w:keepNext/>
        <w:keepLines/>
      </w:pPr>
      <w:r>
        <w:t xml:space="preserve">The data in this report has been classified using the </w:t>
      </w:r>
      <w:r w:rsidRPr="00086AB2">
        <w:t>Type of Occurrence Classification System (TOOCS)</w:t>
      </w:r>
      <w:r>
        <w:t>.</w:t>
      </w:r>
      <w:r w:rsidRPr="00086AB2">
        <w:t xml:space="preserve"> More information </w:t>
      </w:r>
      <w:r>
        <w:t xml:space="preserve">on the TOOCS can be found </w:t>
      </w:r>
      <w:r w:rsidRPr="00086AB2">
        <w:t xml:space="preserve">on the </w:t>
      </w:r>
      <w:hyperlink r:id="rId63" w:history="1">
        <w:r w:rsidRPr="00086AB2">
          <w:rPr>
            <w:rStyle w:val="SWALinkChar"/>
          </w:rPr>
          <w:t>Safe Work Australia</w:t>
        </w:r>
      </w:hyperlink>
      <w:r w:rsidRPr="00086AB2">
        <w:t xml:space="preserve"> website. </w:t>
      </w:r>
    </w:p>
    <w:p w14:paraId="6134D817" w14:textId="77777777" w:rsidR="00D07717" w:rsidRPr="000563EE" w:rsidRDefault="00D07717" w:rsidP="00D07717">
      <w:pPr>
        <w:rPr>
          <w:i/>
          <w:iCs/>
        </w:rPr>
      </w:pPr>
      <w:r>
        <w:rPr>
          <w:i/>
          <w:iCs/>
        </w:rPr>
        <w:t>Exclusions</w:t>
      </w:r>
    </w:p>
    <w:p w14:paraId="4352E743" w14:textId="77777777" w:rsidR="00D07717" w:rsidRPr="00086AB2" w:rsidRDefault="00D07717" w:rsidP="00D07717">
      <w:r>
        <w:t>T</w:t>
      </w:r>
      <w:r w:rsidRPr="00086AB2">
        <w:t>he following have been excluded from the data in this report:</w:t>
      </w:r>
    </w:p>
    <w:p w14:paraId="5E7EC74F" w14:textId="77777777" w:rsidR="00D07717" w:rsidRPr="00086AB2" w:rsidRDefault="00D07717" w:rsidP="00D07717">
      <w:pPr>
        <w:pStyle w:val="SWABullets"/>
      </w:pPr>
      <w:r w:rsidRPr="00086AB2">
        <w:t xml:space="preserve">occupational injuries and diseases resulting in absences from work of less than </w:t>
      </w:r>
      <w:r w:rsidRPr="00086AB2">
        <w:br/>
        <w:t>one working week</w:t>
      </w:r>
      <w:r>
        <w:t>,</w:t>
      </w:r>
    </w:p>
    <w:p w14:paraId="40B116F6" w14:textId="4F2A9311" w:rsidR="00D07717" w:rsidRPr="00086AB2" w:rsidRDefault="00CE770C" w:rsidP="00D07717">
      <w:pPr>
        <w:pStyle w:val="SWABullets"/>
      </w:pPr>
      <w:r w:rsidRPr="00CE770C">
        <w:t xml:space="preserve">police in Western Australia </w:t>
      </w:r>
      <w:r>
        <w:t xml:space="preserve">and </w:t>
      </w:r>
      <w:r w:rsidR="00D07717" w:rsidRPr="00086AB2">
        <w:t>military personnel within the Defence force</w:t>
      </w:r>
      <w:r w:rsidR="00D07717">
        <w:t>,</w:t>
      </w:r>
    </w:p>
    <w:p w14:paraId="64CABF78" w14:textId="0B99EB4A" w:rsidR="00D07717" w:rsidRPr="00086AB2" w:rsidRDefault="00D07717" w:rsidP="00D07717">
      <w:pPr>
        <w:pStyle w:val="SWABullets"/>
      </w:pPr>
      <w:r w:rsidRPr="00086AB2">
        <w:t>cases not claimed as workers’ compensation or not acknowledged as being</w:t>
      </w:r>
      <w:r>
        <w:br/>
      </w:r>
      <w:r w:rsidRPr="00086AB2">
        <w:t>work</w:t>
      </w:r>
      <w:r>
        <w:noBreakHyphen/>
        <w:t>r</w:t>
      </w:r>
      <w:r w:rsidRPr="00086AB2">
        <w:t>elated, and</w:t>
      </w:r>
    </w:p>
    <w:p w14:paraId="51205235" w14:textId="77777777" w:rsidR="00D07717" w:rsidRPr="00086AB2" w:rsidRDefault="00D07717" w:rsidP="00D07717">
      <w:pPr>
        <w:pStyle w:val="SWABullets"/>
      </w:pPr>
      <w:r w:rsidRPr="00086AB2">
        <w:t>claims for compensation to the Dust Diseases Authority of New South Wales.</w:t>
      </w:r>
    </w:p>
    <w:p w14:paraId="3D8169E4" w14:textId="33C20BA4" w:rsidR="00A54093" w:rsidRPr="00782BAF" w:rsidRDefault="00A54093" w:rsidP="00B747C9">
      <w:pPr>
        <w:rPr>
          <w:i/>
        </w:rPr>
      </w:pPr>
      <w:r>
        <w:rPr>
          <w:i/>
        </w:rPr>
        <w:t>National Data Set for Compensation-based Statistics</w:t>
      </w:r>
    </w:p>
    <w:p w14:paraId="3143BA47" w14:textId="53E7C603" w:rsidR="00B747C9" w:rsidRPr="000563EE" w:rsidRDefault="00B747C9" w:rsidP="00B747C9">
      <w:r w:rsidRPr="00086AB2">
        <w:t xml:space="preserve">The data presented in this report are extracted from the National Data Set for Compensation-based Statistics (NDS), which is compiled annually from claims made under state, </w:t>
      </w:r>
      <w:proofErr w:type="gramStart"/>
      <w:r w:rsidRPr="00086AB2">
        <w:t>territory</w:t>
      </w:r>
      <w:proofErr w:type="gramEnd"/>
      <w:r w:rsidRPr="00086AB2">
        <w:t xml:space="preserve"> and </w:t>
      </w:r>
      <w:r w:rsidR="006A3630" w:rsidRPr="00086AB2">
        <w:t xml:space="preserve">Commonwealth </w:t>
      </w:r>
      <w:r w:rsidRPr="00086AB2">
        <w:t xml:space="preserve">workers’ compensation Acts. The New Zealand Accident Compensation Corporation (ACC) also </w:t>
      </w:r>
      <w:r w:rsidRPr="000563EE">
        <w:t xml:space="preserve">collects data in accordance with the NDS. </w:t>
      </w:r>
      <w:r w:rsidR="00754853" w:rsidRPr="000563EE">
        <w:t xml:space="preserve">Further information about the NDS can be found on the </w:t>
      </w:r>
      <w:hyperlink r:id="rId64" w:history="1">
        <w:r w:rsidR="00754853" w:rsidRPr="000563EE">
          <w:rPr>
            <w:rStyle w:val="SWALinkChar"/>
          </w:rPr>
          <w:t>Safe Work Australia</w:t>
        </w:r>
      </w:hyperlink>
      <w:r w:rsidR="00754853" w:rsidRPr="000563EE">
        <w:t xml:space="preserve"> website.</w:t>
      </w:r>
    </w:p>
    <w:p w14:paraId="345AD107" w14:textId="2CC8D24F" w:rsidR="00A54093" w:rsidRPr="00782BAF" w:rsidRDefault="00654E9D" w:rsidP="00B747C9">
      <w:pPr>
        <w:rPr>
          <w:i/>
        </w:rPr>
      </w:pPr>
      <w:r>
        <w:rPr>
          <w:i/>
        </w:rPr>
        <w:t>Serious claim</w:t>
      </w:r>
    </w:p>
    <w:p w14:paraId="0E4E09DE" w14:textId="6567EE48" w:rsidR="00B747C9" w:rsidRDefault="00654E9D" w:rsidP="00B747C9">
      <w:r>
        <w:t>A</w:t>
      </w:r>
      <w:r w:rsidR="00B747C9" w:rsidRPr="00086AB2">
        <w:t xml:space="preserve"> serious claim is a workers’ compensation claim for an incapacity that results in a total absence from work of one working week or more. Claims excluded from this definition include those arising from a work-related fatality or a journey to or from work or during a recess period. One working week is defined as lost when the number of hours lost is greater than or equal to the number of hours usually worked per week.</w:t>
      </w:r>
    </w:p>
    <w:p w14:paraId="29C29A2F" w14:textId="77777777" w:rsidR="00D07717" w:rsidRPr="000563EE" w:rsidRDefault="00D07717" w:rsidP="00D07717">
      <w:r w:rsidRPr="000563EE">
        <w:rPr>
          <w:i/>
        </w:rPr>
        <w:t>Traumatic Injury Fatalities</w:t>
      </w:r>
    </w:p>
    <w:p w14:paraId="29A1C861" w14:textId="227234C3" w:rsidR="00D07717" w:rsidRPr="00086AB2" w:rsidRDefault="00D07717" w:rsidP="00D07717">
      <w:r w:rsidRPr="000563EE">
        <w:t>This edition sources information from the Traumatic Injury Fatalities (TIF) collection. This collection sources data from workers’ compensation data, fatality notifications to the various</w:t>
      </w:r>
      <w:r w:rsidR="00BA0B6C">
        <w:t xml:space="preserve"> WHS</w:t>
      </w:r>
      <w:r w:rsidRPr="000563EE">
        <w:t xml:space="preserve"> authorities and information in the National Coronial Information System (NCIS). Further information about the TIF collection can be found on the </w:t>
      </w:r>
      <w:hyperlink r:id="rId65" w:history="1">
        <w:r w:rsidRPr="0096677E">
          <w:rPr>
            <w:rStyle w:val="Hyperlink"/>
            <w:color w:val="auto"/>
          </w:rPr>
          <w:t>Safe Work Australia</w:t>
        </w:r>
      </w:hyperlink>
      <w:r w:rsidRPr="000563EE">
        <w:t xml:space="preserve"> </w:t>
      </w:r>
      <w:r w:rsidRPr="00086AB2">
        <w:t>website.</w:t>
      </w:r>
    </w:p>
    <w:p w14:paraId="21EFD459" w14:textId="358118A3" w:rsidR="00ED47E7" w:rsidRPr="00D07717" w:rsidRDefault="00ED47E7" w:rsidP="00D07717">
      <w:pPr>
        <w:pStyle w:val="Titlesmall"/>
      </w:pPr>
      <w:bookmarkStart w:id="126" w:name="_Toc86602534"/>
      <w:r w:rsidRPr="00D07717">
        <w:t>Time series and adjustment of scheme data</w:t>
      </w:r>
      <w:bookmarkEnd w:id="126"/>
    </w:p>
    <w:p w14:paraId="08B21AED" w14:textId="5EA8312A" w:rsidR="00ED47E7" w:rsidRPr="00086AB2" w:rsidRDefault="00ED47E7" w:rsidP="00ED47E7">
      <w:r w:rsidRPr="00086AB2">
        <w:t>The estimates of the number of employees and their hours worked for Australia are supplied by the Australian Bureau of Statistics and these denominator data are based on the Labour Force Survey, the Survey of Employment and Earnings and data provided by Comcare</w:t>
      </w:r>
      <w:r w:rsidR="006F009C">
        <w:t xml:space="preserve"> and</w:t>
      </w:r>
      <w:r w:rsidR="00364478">
        <w:t xml:space="preserve"> the Australian Capital </w:t>
      </w:r>
      <w:r w:rsidR="00240C58">
        <w:t>Territory</w:t>
      </w:r>
      <w:r w:rsidR="00D06582">
        <w:t xml:space="preserve"> </w:t>
      </w:r>
      <w:r w:rsidR="00364478">
        <w:t>Government.</w:t>
      </w:r>
      <w:r w:rsidRPr="00086AB2">
        <w:t xml:space="preserve"> Further adjustments are performed using data from the Census</w:t>
      </w:r>
      <w:r w:rsidR="0072547B">
        <w:t>.</w:t>
      </w:r>
      <w:r w:rsidRPr="00086AB2">
        <w:t xml:space="preserve"> These data are matched to the scope of the claims data but may not be exact, particularly in the smaller </w:t>
      </w:r>
      <w:r w:rsidRPr="00086AB2">
        <w:lastRenderedPageBreak/>
        <w:t xml:space="preserve">jurisdictions, due to the number of employees being derived from a survey of the population rather than a census. </w:t>
      </w:r>
    </w:p>
    <w:p w14:paraId="33BF993D" w14:textId="37A21E15" w:rsidR="00ED47E7" w:rsidRPr="00086AB2" w:rsidRDefault="00ED47E7" w:rsidP="00ED47E7">
      <w:r w:rsidRPr="00086AB2">
        <w:t>The New Zealand employment data used has been sourced from the New Zealand census information.</w:t>
      </w:r>
    </w:p>
    <w:p w14:paraId="58669A44" w14:textId="5C3E7F03" w:rsidR="00ED47E7" w:rsidRPr="00086AB2" w:rsidRDefault="00ED47E7" w:rsidP="00EA124A">
      <w:pPr>
        <w:keepNext/>
        <w:keepLines/>
      </w:pPr>
      <w:r w:rsidRPr="00086AB2">
        <w:t>Incidence and frequency rates, especially for the most recent years, are expected to rise as the number of accepted claims increases</w:t>
      </w:r>
      <w:r w:rsidR="00001159">
        <w:t>,</w:t>
      </w:r>
      <w:r w:rsidRPr="00086AB2">
        <w:t xml:space="preserve"> as </w:t>
      </w:r>
      <w:r w:rsidR="00001159">
        <w:t>more claim</w:t>
      </w:r>
      <w:r w:rsidR="0065175C">
        <w:t>s</w:t>
      </w:r>
      <w:r w:rsidR="00001159">
        <w:t xml:space="preserve"> are lodged and finalised</w:t>
      </w:r>
      <w:r w:rsidRPr="00086AB2">
        <w:t>. This may involve additional claims being accepted or shorter-term claims with temporary incapacity incurring additional time lost and subsequently matching the definition of a serious claim: one that involves one or more working weeks of time lost.</w:t>
      </w:r>
    </w:p>
    <w:p w14:paraId="73390C20" w14:textId="2C724653" w:rsidR="00ED47E7" w:rsidRPr="00086AB2" w:rsidRDefault="00ED47E7" w:rsidP="00ED47E7">
      <w:r w:rsidRPr="00086AB2">
        <w:t xml:space="preserve">Claims data shown in this report for </w:t>
      </w:r>
      <w:r w:rsidR="004417B4" w:rsidRPr="00086AB2">
        <w:t>20</w:t>
      </w:r>
      <w:r w:rsidR="005E49E0">
        <w:t>20</w:t>
      </w:r>
      <w:r w:rsidR="004417B4" w:rsidRPr="00086AB2">
        <w:t>–</w:t>
      </w:r>
      <w:r w:rsidR="00905C8B">
        <w:t>2</w:t>
      </w:r>
      <w:r w:rsidR="005E49E0">
        <w:t>1</w:t>
      </w:r>
      <w:r w:rsidRPr="00086AB2">
        <w:t xml:space="preserve"> </w:t>
      </w:r>
      <w:proofErr w:type="gramStart"/>
      <w:r w:rsidRPr="00086AB2">
        <w:t>are</w:t>
      </w:r>
      <w:proofErr w:type="gramEnd"/>
      <w:r w:rsidRPr="00086AB2">
        <w:t xml:space="preserve"> preliminary</w:t>
      </w:r>
      <w:r w:rsidR="00D06582">
        <w:t xml:space="preserve"> </w:t>
      </w:r>
      <w:r w:rsidR="00436D3E">
        <w:t>and likely to change</w:t>
      </w:r>
      <w:r w:rsidRPr="00086AB2">
        <w:t>. Therefore</w:t>
      </w:r>
      <w:r w:rsidR="00384890">
        <w:t>,</w:t>
      </w:r>
      <w:r w:rsidRPr="00086AB2">
        <w:t xml:space="preserve"> these data </w:t>
      </w:r>
      <w:r w:rsidR="00384890">
        <w:t xml:space="preserve">items </w:t>
      </w:r>
      <w:r w:rsidRPr="00086AB2">
        <w:t xml:space="preserve">are likely to be understated and a comparison of </w:t>
      </w:r>
      <w:r w:rsidR="004417B4" w:rsidRPr="00086AB2">
        <w:t>201</w:t>
      </w:r>
      <w:r w:rsidR="005E49E0">
        <w:t>9</w:t>
      </w:r>
      <w:r w:rsidR="004417B4" w:rsidRPr="00086AB2">
        <w:t>–</w:t>
      </w:r>
      <w:r w:rsidR="005E49E0">
        <w:t>20</w:t>
      </w:r>
      <w:r w:rsidRPr="00086AB2">
        <w:t xml:space="preserve"> data with those of previous years should be undertaken with caution. </w:t>
      </w:r>
    </w:p>
    <w:p w14:paraId="6E931744" w14:textId="661DC2CA" w:rsidR="00ED47E7" w:rsidRPr="00086AB2" w:rsidRDefault="00436D3E" w:rsidP="00ED47E7">
      <w:r>
        <w:t xml:space="preserve">A range of factors can affect </w:t>
      </w:r>
      <w:r w:rsidR="00D06582">
        <w:t xml:space="preserve">the </w:t>
      </w:r>
      <w:r w:rsidR="00ED47E7" w:rsidRPr="00086AB2">
        <w:t>analysi</w:t>
      </w:r>
      <w:r w:rsidR="00D06582">
        <w:t>s of</w:t>
      </w:r>
      <w:r w:rsidR="00ED47E7" w:rsidRPr="00086AB2">
        <w:t xml:space="preserve"> trends over time</w:t>
      </w:r>
      <w:r w:rsidR="00240C58">
        <w:t>,</w:t>
      </w:r>
      <w:r>
        <w:t xml:space="preserve"> </w:t>
      </w:r>
      <w:r w:rsidR="009A04AC">
        <w:t>includ</w:t>
      </w:r>
      <w:r w:rsidR="00240C58">
        <w:t>ing changes to</w:t>
      </w:r>
      <w:r w:rsidR="009A04AC">
        <w:t xml:space="preserve"> jurisdictions’ legislative and administrative </w:t>
      </w:r>
      <w:r w:rsidR="00240C58">
        <w:t>arrangements</w:t>
      </w:r>
      <w:r w:rsidR="009A04AC">
        <w:t>.</w:t>
      </w:r>
      <w:r w:rsidR="00ED47E7" w:rsidRPr="00086AB2">
        <w:t xml:space="preserve"> </w:t>
      </w:r>
      <w:r w:rsidR="009A04AC">
        <w:t>F</w:t>
      </w:r>
      <w:r w:rsidR="00ED47E7" w:rsidRPr="00086AB2">
        <w:t xml:space="preserve">urther details of </w:t>
      </w:r>
      <w:r w:rsidR="009A04AC">
        <w:t>these changes</w:t>
      </w:r>
      <w:r w:rsidR="00ED47E7" w:rsidRPr="00086AB2">
        <w:t xml:space="preserve"> should be sought from the jurisdictions. Any commentary relating to these comparisons should be interpreted carefully. </w:t>
      </w:r>
    </w:p>
    <w:p w14:paraId="1BF07E6C" w14:textId="486BDDC7" w:rsidR="00ED47E7" w:rsidRDefault="00ED47E7" w:rsidP="00ED47E7">
      <w:r w:rsidRPr="00086AB2">
        <w:t xml:space="preserve">Frequency rates for the </w:t>
      </w:r>
      <w:proofErr w:type="spellStart"/>
      <w:r w:rsidRPr="00086AB2">
        <w:t>Seacare</w:t>
      </w:r>
      <w:proofErr w:type="spellEnd"/>
      <w:r w:rsidRPr="00086AB2">
        <w:t xml:space="preserve"> scheme have been calculated using a 24-hour basis. This is </w:t>
      </w:r>
      <w:r w:rsidR="009A04AC">
        <w:t>to recognise</w:t>
      </w:r>
      <w:r w:rsidRPr="00086AB2">
        <w:t xml:space="preserve"> the 24-hour risk of exposure to workplace hazards due to the nature of employment in the maritime industry. This definition is consistent with data published by the </w:t>
      </w:r>
      <w:proofErr w:type="spellStart"/>
      <w:r w:rsidRPr="00086AB2">
        <w:t>Seacare</w:t>
      </w:r>
      <w:proofErr w:type="spellEnd"/>
      <w:r w:rsidRPr="00086AB2">
        <w:t xml:space="preserve"> Authority.</w:t>
      </w:r>
    </w:p>
    <w:p w14:paraId="21264A02" w14:textId="04F5DAAC" w:rsidR="00905C8B" w:rsidRPr="00086AB2" w:rsidRDefault="00905C8B" w:rsidP="00ED47E7">
      <w:r>
        <w:t>More information on adjustments made to jurisdictions’ data can be found</w:t>
      </w:r>
      <w:r w:rsidR="00754853">
        <w:t xml:space="preserve"> in the </w:t>
      </w:r>
      <w:r w:rsidR="00754853" w:rsidRPr="00754853">
        <w:t>Explanatory notes: National data set for compensation-based statistics for Safe Work Australia</w:t>
      </w:r>
      <w:r>
        <w:t xml:space="preserve"> on the </w:t>
      </w:r>
      <w:hyperlink r:id="rId66" w:history="1">
        <w:r w:rsidRPr="00905C8B">
          <w:rPr>
            <w:rStyle w:val="Hyperlink"/>
            <w:color w:val="auto"/>
          </w:rPr>
          <w:t>Safe Work Australia</w:t>
        </w:r>
      </w:hyperlink>
      <w:r>
        <w:t xml:space="preserve"> website.</w:t>
      </w:r>
    </w:p>
    <w:p w14:paraId="243E463F" w14:textId="77777777" w:rsidR="006F15AC" w:rsidRPr="00086AB2" w:rsidRDefault="006F15AC" w:rsidP="00396555"/>
    <w:p w14:paraId="041991EB" w14:textId="77777777" w:rsidR="008E540E" w:rsidRPr="00086AB2" w:rsidRDefault="008E540E" w:rsidP="00396555">
      <w:pPr>
        <w:sectPr w:rsidR="008E540E" w:rsidRPr="00086AB2" w:rsidSect="009C1651">
          <w:pgSz w:w="11906" w:h="16838"/>
          <w:pgMar w:top="1440" w:right="1800" w:bottom="1440" w:left="1276" w:header="708" w:footer="708" w:gutter="0"/>
          <w:cols w:space="242"/>
          <w:docGrid w:linePitch="360"/>
        </w:sectPr>
      </w:pPr>
    </w:p>
    <w:p w14:paraId="63FF8C3B" w14:textId="7CC084F4" w:rsidR="006F15AC" w:rsidRPr="00086AB2" w:rsidRDefault="006F15AC" w:rsidP="001665F1">
      <w:pPr>
        <w:pStyle w:val="Title"/>
      </w:pPr>
      <w:bookmarkStart w:id="127" w:name="_Toc86602535"/>
      <w:r w:rsidRPr="00086AB2">
        <w:lastRenderedPageBreak/>
        <w:t xml:space="preserve">Appendix 2 </w:t>
      </w:r>
      <w:r w:rsidR="004132C1">
        <w:t>-</w:t>
      </w:r>
      <w:r w:rsidRPr="00086AB2">
        <w:t xml:space="preserve"> Jurisdictional contact information</w:t>
      </w:r>
      <w:bookmarkEnd w:id="127"/>
    </w:p>
    <w:tbl>
      <w:tblPr>
        <w:tblStyle w:val="LightShading-Accent2"/>
        <w:tblW w:w="5310" w:type="pct"/>
        <w:tblLook w:val="04A0" w:firstRow="1" w:lastRow="0" w:firstColumn="1" w:lastColumn="0" w:noHBand="0" w:noVBand="1"/>
        <w:tblCaption w:val="Appendix - Jurisdictional contact information"/>
        <w:tblDescription w:val="This table shows contact information of work health and safety and workers' compensation authorities in Australian states and territories"/>
      </w:tblPr>
      <w:tblGrid>
        <w:gridCol w:w="2689"/>
        <w:gridCol w:w="3499"/>
        <w:gridCol w:w="3182"/>
      </w:tblGrid>
      <w:tr w:rsidR="004513B8" w:rsidRPr="001928BE" w14:paraId="1AB9922A" w14:textId="77777777" w:rsidTr="007405FF">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435" w:type="pct"/>
            <w:vAlign w:val="center"/>
          </w:tcPr>
          <w:p w14:paraId="47083A51" w14:textId="77777777" w:rsidR="004513B8" w:rsidRPr="001928BE" w:rsidRDefault="004513B8" w:rsidP="007405FF">
            <w:pPr>
              <w:spacing w:before="40" w:after="40"/>
              <w:ind w:left="113"/>
              <w:jc w:val="center"/>
              <w:rPr>
                <w:rFonts w:cs="Arial"/>
                <w:szCs w:val="20"/>
              </w:rPr>
            </w:pPr>
            <w:r w:rsidRPr="001928BE">
              <w:rPr>
                <w:rFonts w:cs="Arial"/>
                <w:szCs w:val="20"/>
              </w:rPr>
              <w:t>Jurisdiction</w:t>
            </w:r>
          </w:p>
        </w:tc>
        <w:tc>
          <w:tcPr>
            <w:tcW w:w="1867" w:type="pct"/>
            <w:vAlign w:val="center"/>
          </w:tcPr>
          <w:p w14:paraId="21B21DBA" w14:textId="77777777" w:rsidR="004513B8" w:rsidRPr="001928BE" w:rsidRDefault="004513B8" w:rsidP="007405FF">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1928BE">
              <w:rPr>
                <w:rFonts w:cs="Arial"/>
                <w:szCs w:val="20"/>
              </w:rPr>
              <w:t>Organisation</w:t>
            </w:r>
          </w:p>
        </w:tc>
        <w:tc>
          <w:tcPr>
            <w:tcW w:w="1698" w:type="pct"/>
            <w:vAlign w:val="center"/>
          </w:tcPr>
          <w:p w14:paraId="492B3C6A" w14:textId="77777777" w:rsidR="004513B8" w:rsidRPr="001928BE" w:rsidRDefault="004513B8" w:rsidP="007405FF">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1928BE">
              <w:rPr>
                <w:rFonts w:cs="Arial"/>
                <w:szCs w:val="20"/>
              </w:rPr>
              <w:t>Contact details</w:t>
            </w:r>
          </w:p>
        </w:tc>
      </w:tr>
      <w:tr w:rsidR="004513B8" w:rsidRPr="001928BE" w14:paraId="180C9BCF" w14:textId="77777777" w:rsidTr="007405FF">
        <w:trPr>
          <w:cnfStyle w:val="000000100000" w:firstRow="0" w:lastRow="0" w:firstColumn="0" w:lastColumn="0" w:oddVBand="0" w:evenVBand="0" w:oddHBand="1"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1435" w:type="pct"/>
          </w:tcPr>
          <w:p w14:paraId="5C291F10" w14:textId="77777777" w:rsidR="004513B8" w:rsidRPr="001928BE" w:rsidRDefault="004513B8" w:rsidP="007405FF">
            <w:pPr>
              <w:spacing w:before="40" w:after="40"/>
              <w:jc w:val="left"/>
              <w:rPr>
                <w:rFonts w:cs="Arial"/>
                <w:szCs w:val="20"/>
              </w:rPr>
            </w:pPr>
            <w:r w:rsidRPr="001928BE">
              <w:rPr>
                <w:rFonts w:cs="Arial"/>
                <w:szCs w:val="20"/>
              </w:rPr>
              <w:t>New South Wales</w:t>
            </w:r>
          </w:p>
          <w:p w14:paraId="30997F6E" w14:textId="77777777" w:rsidR="004513B8" w:rsidRPr="001928BE" w:rsidRDefault="004513B8" w:rsidP="007405FF">
            <w:pPr>
              <w:spacing w:before="40" w:after="40"/>
              <w:jc w:val="left"/>
              <w:rPr>
                <w:rFonts w:cs="Arial"/>
                <w:szCs w:val="20"/>
              </w:rPr>
            </w:pPr>
          </w:p>
          <w:p w14:paraId="0BBA77E8" w14:textId="77777777" w:rsidR="004513B8" w:rsidRPr="001928BE" w:rsidRDefault="004513B8" w:rsidP="007405FF">
            <w:pPr>
              <w:spacing w:before="40" w:after="40"/>
              <w:jc w:val="left"/>
              <w:rPr>
                <w:rFonts w:cs="Arial"/>
                <w:szCs w:val="20"/>
              </w:rPr>
            </w:pPr>
          </w:p>
        </w:tc>
        <w:tc>
          <w:tcPr>
            <w:tcW w:w="1867" w:type="pct"/>
          </w:tcPr>
          <w:p w14:paraId="0B96A3B3"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State Insurance Regulatory Authority</w:t>
            </w:r>
            <w:r w:rsidRPr="001928BE">
              <w:rPr>
                <w:rFonts w:cs="Arial"/>
                <w:szCs w:val="20"/>
              </w:rPr>
              <w:br/>
            </w:r>
          </w:p>
          <w:p w14:paraId="2D12C825"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494FD2C"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22C150A3"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SafeWork NSW</w:t>
            </w:r>
          </w:p>
          <w:p w14:paraId="6D3F33E9"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2CB7626A"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12473E39"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NSW Personal Injury Commission</w:t>
            </w:r>
          </w:p>
          <w:p w14:paraId="522ACFA5"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F6CDCF5"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1E65920D"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928BE">
              <w:rPr>
                <w:rFonts w:cs="Arial"/>
                <w:szCs w:val="20"/>
              </w:rPr>
              <w:t>icare</w:t>
            </w:r>
            <w:proofErr w:type="spellEnd"/>
            <w:r w:rsidRPr="001928BE">
              <w:rPr>
                <w:rFonts w:cs="Arial"/>
                <w:szCs w:val="20"/>
              </w:rPr>
              <w:t xml:space="preserve"> NSW</w:t>
            </w:r>
          </w:p>
        </w:tc>
        <w:tc>
          <w:tcPr>
            <w:tcW w:w="1698" w:type="pct"/>
          </w:tcPr>
          <w:p w14:paraId="39A0B78B"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13 10 50</w:t>
            </w:r>
          </w:p>
          <w:p w14:paraId="65AE1986" w14:textId="77777777" w:rsidR="004513B8" w:rsidRPr="001928BE" w:rsidRDefault="00594771"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Cs w:val="20"/>
              </w:rPr>
            </w:pPr>
            <w:hyperlink r:id="rId67" w:history="1">
              <w:r w:rsidR="004513B8" w:rsidRPr="001928BE">
                <w:rPr>
                  <w:rStyle w:val="Hyperlink"/>
                  <w:rFonts w:eastAsiaTheme="majorEastAsia" w:cs="Arial"/>
                  <w:color w:val="000000" w:themeColor="text1"/>
                  <w:szCs w:val="20"/>
                </w:rPr>
                <w:t>contact@sira.nsw.gov.au</w:t>
              </w:r>
            </w:hyperlink>
          </w:p>
          <w:p w14:paraId="63161533" w14:textId="77777777" w:rsidR="004513B8" w:rsidRPr="001928BE" w:rsidRDefault="00594771"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Cs w:val="20"/>
              </w:rPr>
            </w:pPr>
            <w:hyperlink r:id="rId68" w:tooltip="Link to State Insurance Regulatory Authority NSW website" w:history="1">
              <w:r w:rsidR="004513B8" w:rsidRPr="001928BE">
                <w:rPr>
                  <w:rStyle w:val="Hyperlink"/>
                  <w:rFonts w:eastAsiaTheme="majorEastAsia" w:cs="Arial"/>
                  <w:color w:val="000000" w:themeColor="text1"/>
                  <w:szCs w:val="20"/>
                </w:rPr>
                <w:t>www.sira.nsw.gov.au</w:t>
              </w:r>
            </w:hyperlink>
          </w:p>
          <w:p w14:paraId="61383877" w14:textId="77777777" w:rsidR="004513B8" w:rsidRPr="003D6109" w:rsidRDefault="004513B8"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 w:val="10"/>
                <w:szCs w:val="10"/>
              </w:rPr>
            </w:pPr>
          </w:p>
          <w:p w14:paraId="44DB1F7F"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contact@safework.nsw.gov.au</w:t>
            </w:r>
          </w:p>
          <w:p w14:paraId="2554250D"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69" w:tooltip="SafeWork NSW website" w:history="1">
              <w:r w:rsidR="004513B8" w:rsidRPr="001928BE">
                <w:rPr>
                  <w:rStyle w:val="Hyperlink"/>
                  <w:rFonts w:eastAsiaTheme="majorEastAsia" w:cs="Arial"/>
                  <w:color w:val="000000" w:themeColor="text1"/>
                  <w:szCs w:val="20"/>
                </w:rPr>
                <w:t>www.safework.nsw.gov.au</w:t>
              </w:r>
            </w:hyperlink>
          </w:p>
          <w:p w14:paraId="281E3C5D"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10"/>
                <w:szCs w:val="10"/>
              </w:rPr>
            </w:pPr>
          </w:p>
          <w:p w14:paraId="2AFE910E"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1800 742 679</w:t>
            </w:r>
          </w:p>
          <w:p w14:paraId="030F94B1"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70" w:history="1">
              <w:r w:rsidR="004513B8" w:rsidRPr="001928BE">
                <w:rPr>
                  <w:rStyle w:val="Hyperlink"/>
                  <w:rFonts w:eastAsiaTheme="majorEastAsia" w:cs="Arial"/>
                  <w:color w:val="000000" w:themeColor="text1"/>
                  <w:szCs w:val="20"/>
                </w:rPr>
                <w:t>www.pi.nsw.gov.au</w:t>
              </w:r>
            </w:hyperlink>
          </w:p>
          <w:p w14:paraId="07C7EC2C"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10"/>
                <w:szCs w:val="10"/>
              </w:rPr>
            </w:pPr>
          </w:p>
          <w:p w14:paraId="1BBC0B5C"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71" w:history="1">
              <w:r w:rsidR="004513B8" w:rsidRPr="001928BE">
                <w:rPr>
                  <w:rStyle w:val="Hyperlink"/>
                  <w:rFonts w:eastAsiaTheme="majorEastAsia" w:cs="Arial"/>
                  <w:color w:val="000000" w:themeColor="text1"/>
                  <w:szCs w:val="20"/>
                </w:rPr>
                <w:t>www.icare.nsw.gov.au</w:t>
              </w:r>
            </w:hyperlink>
          </w:p>
        </w:tc>
      </w:tr>
      <w:tr w:rsidR="004513B8" w:rsidRPr="001928BE" w14:paraId="38BFCBC0" w14:textId="77777777" w:rsidTr="007405FF">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435" w:type="pct"/>
          </w:tcPr>
          <w:p w14:paraId="36C22529" w14:textId="77777777" w:rsidR="004513B8" w:rsidRPr="001928BE" w:rsidRDefault="004513B8" w:rsidP="007405FF">
            <w:pPr>
              <w:spacing w:before="40" w:after="40"/>
              <w:jc w:val="left"/>
              <w:rPr>
                <w:rFonts w:cs="Arial"/>
                <w:szCs w:val="20"/>
              </w:rPr>
            </w:pPr>
            <w:r w:rsidRPr="001928BE">
              <w:rPr>
                <w:rFonts w:cs="Arial"/>
                <w:szCs w:val="20"/>
              </w:rPr>
              <w:t>Victoria</w:t>
            </w:r>
          </w:p>
        </w:tc>
        <w:tc>
          <w:tcPr>
            <w:tcW w:w="1867" w:type="pct"/>
          </w:tcPr>
          <w:p w14:paraId="511866A1"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WorkSafe Victoria</w:t>
            </w:r>
          </w:p>
        </w:tc>
        <w:tc>
          <w:tcPr>
            <w:tcW w:w="1698" w:type="pct"/>
          </w:tcPr>
          <w:p w14:paraId="302610A5"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Advisory Service 1800 136 089</w:t>
            </w:r>
          </w:p>
          <w:p w14:paraId="3F5961D5" w14:textId="77777777" w:rsidR="004513B8" w:rsidRPr="001928BE" w:rsidRDefault="00594771"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Fonts w:eastAsiaTheme="majorEastAsia" w:cs="Arial"/>
                <w:color w:val="000000" w:themeColor="text1"/>
                <w:szCs w:val="20"/>
              </w:rPr>
            </w:pPr>
            <w:hyperlink r:id="rId72" w:history="1">
              <w:r w:rsidR="004513B8" w:rsidRPr="001928BE">
                <w:rPr>
                  <w:rStyle w:val="Hyperlink"/>
                  <w:rFonts w:eastAsiaTheme="majorEastAsia" w:cs="Arial"/>
                  <w:color w:val="000000" w:themeColor="text1"/>
                  <w:szCs w:val="20"/>
                </w:rPr>
                <w:t>info@worksafe.vic.gov.au</w:t>
              </w:r>
            </w:hyperlink>
          </w:p>
          <w:p w14:paraId="630B04B0" w14:textId="77777777" w:rsidR="004513B8" w:rsidRPr="001928BE" w:rsidRDefault="00594771"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hyperlink r:id="rId73" w:tooltip="Link to WorkSafe Victoria website" w:history="1">
              <w:r w:rsidR="004513B8" w:rsidRPr="001928BE">
                <w:rPr>
                  <w:rStyle w:val="Hyperlink"/>
                  <w:rFonts w:eastAsiaTheme="majorEastAsia" w:cs="Arial"/>
                  <w:color w:val="000000" w:themeColor="text1"/>
                  <w:szCs w:val="20"/>
                </w:rPr>
                <w:t>www.worksafe.vic.gov.au</w:t>
              </w:r>
            </w:hyperlink>
          </w:p>
        </w:tc>
      </w:tr>
      <w:tr w:rsidR="004513B8" w:rsidRPr="001928BE" w14:paraId="6E7884CF" w14:textId="77777777" w:rsidTr="007405FF">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35" w:type="pct"/>
          </w:tcPr>
          <w:p w14:paraId="30F8493C" w14:textId="77777777" w:rsidR="004513B8" w:rsidRPr="001928BE" w:rsidRDefault="004513B8" w:rsidP="007405FF">
            <w:pPr>
              <w:spacing w:before="40" w:after="40"/>
              <w:jc w:val="left"/>
              <w:rPr>
                <w:rFonts w:cs="Arial"/>
                <w:szCs w:val="20"/>
              </w:rPr>
            </w:pPr>
            <w:r w:rsidRPr="001928BE">
              <w:rPr>
                <w:rFonts w:cs="Arial"/>
                <w:szCs w:val="20"/>
              </w:rPr>
              <w:t>Queensland</w:t>
            </w:r>
          </w:p>
        </w:tc>
        <w:tc>
          <w:tcPr>
            <w:tcW w:w="1867" w:type="pct"/>
          </w:tcPr>
          <w:p w14:paraId="401E5D63"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 xml:space="preserve">Office of Industrial Relations </w:t>
            </w:r>
          </w:p>
        </w:tc>
        <w:tc>
          <w:tcPr>
            <w:tcW w:w="1698" w:type="pct"/>
          </w:tcPr>
          <w:p w14:paraId="67F16997"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Infoline 1300 362 128</w:t>
            </w:r>
          </w:p>
          <w:p w14:paraId="336CC2C3"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74" w:history="1">
              <w:r w:rsidR="004513B8" w:rsidRPr="001928BE">
                <w:rPr>
                  <w:rStyle w:val="Hyperlink"/>
                  <w:rFonts w:eastAsiaTheme="majorEastAsia" w:cs="Arial"/>
                  <w:color w:val="000000" w:themeColor="text1"/>
                  <w:szCs w:val="20"/>
                </w:rPr>
                <w:t>www.worksafe.qld.gov.au</w:t>
              </w:r>
            </w:hyperlink>
          </w:p>
        </w:tc>
      </w:tr>
      <w:tr w:rsidR="004513B8" w:rsidRPr="001928BE" w14:paraId="0D9924D2" w14:textId="77777777" w:rsidTr="007405FF">
        <w:trPr>
          <w:cnfStyle w:val="000000010000" w:firstRow="0" w:lastRow="0" w:firstColumn="0" w:lastColumn="0" w:oddVBand="0" w:evenVBand="0" w:oddHBand="0" w:evenHBand="1"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435" w:type="pct"/>
          </w:tcPr>
          <w:p w14:paraId="208BEE77" w14:textId="77777777" w:rsidR="004513B8" w:rsidRPr="001928BE" w:rsidRDefault="004513B8" w:rsidP="007405FF">
            <w:pPr>
              <w:spacing w:before="40" w:after="40"/>
              <w:jc w:val="left"/>
              <w:rPr>
                <w:rFonts w:cs="Arial"/>
                <w:szCs w:val="20"/>
              </w:rPr>
            </w:pPr>
            <w:r w:rsidRPr="001928BE">
              <w:rPr>
                <w:rFonts w:cs="Arial"/>
                <w:szCs w:val="20"/>
              </w:rPr>
              <w:t>Western Australia</w:t>
            </w:r>
          </w:p>
        </w:tc>
        <w:tc>
          <w:tcPr>
            <w:tcW w:w="1867" w:type="pct"/>
          </w:tcPr>
          <w:p w14:paraId="3348090C"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proofErr w:type="spellStart"/>
            <w:r w:rsidRPr="001928BE">
              <w:rPr>
                <w:rFonts w:cs="Arial"/>
                <w:szCs w:val="20"/>
              </w:rPr>
              <w:t>WorkCover</w:t>
            </w:r>
            <w:proofErr w:type="spellEnd"/>
            <w:r w:rsidRPr="001928BE">
              <w:rPr>
                <w:rFonts w:cs="Arial"/>
                <w:szCs w:val="20"/>
              </w:rPr>
              <w:t xml:space="preserve"> WA</w:t>
            </w:r>
          </w:p>
          <w:p w14:paraId="6D8FE594" w14:textId="77777777" w:rsidR="004513B8"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p>
          <w:p w14:paraId="44673EE6" w14:textId="77777777" w:rsidR="004513B8" w:rsidRPr="003D6109"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 w:val="10"/>
                <w:szCs w:val="10"/>
              </w:rPr>
            </w:pPr>
          </w:p>
          <w:p w14:paraId="47E4D931"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 xml:space="preserve">Department of Mines, Industry Regulation and Safety – WorkSafe </w:t>
            </w:r>
          </w:p>
        </w:tc>
        <w:tc>
          <w:tcPr>
            <w:tcW w:w="1698" w:type="pct"/>
          </w:tcPr>
          <w:p w14:paraId="316D0C43" w14:textId="6FE7E21C" w:rsidR="004513B8" w:rsidRPr="001928BE" w:rsidRDefault="0048401D"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Pr>
                <w:rFonts w:cs="Arial"/>
                <w:color w:val="000000" w:themeColor="text1"/>
                <w:szCs w:val="20"/>
              </w:rPr>
              <w:t>1300 794 744</w:t>
            </w:r>
          </w:p>
          <w:p w14:paraId="3F7C298D" w14:textId="77777777" w:rsidR="004513B8" w:rsidRDefault="00594771"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Style w:val="Hyperlink"/>
                <w:rFonts w:eastAsiaTheme="majorEastAsia" w:cs="Arial"/>
                <w:color w:val="000000" w:themeColor="text1"/>
                <w:szCs w:val="20"/>
              </w:rPr>
            </w:pPr>
            <w:hyperlink r:id="rId75" w:tooltip="Link to WorkCover WA website" w:history="1">
              <w:r w:rsidR="004513B8" w:rsidRPr="001928BE">
                <w:rPr>
                  <w:rStyle w:val="Hyperlink"/>
                  <w:rFonts w:eastAsiaTheme="majorEastAsia" w:cs="Arial"/>
                  <w:color w:val="000000" w:themeColor="text1"/>
                  <w:szCs w:val="20"/>
                </w:rPr>
                <w:t>www.workcover.wa.gov.au</w:t>
              </w:r>
            </w:hyperlink>
          </w:p>
          <w:p w14:paraId="1952DD71" w14:textId="77777777" w:rsidR="004513B8" w:rsidRPr="003D6109" w:rsidRDefault="004513B8"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Fonts w:eastAsiaTheme="majorEastAsia" w:cs="Arial"/>
                <w:color w:val="000000" w:themeColor="text1"/>
                <w:sz w:val="10"/>
                <w:szCs w:val="10"/>
              </w:rPr>
            </w:pPr>
          </w:p>
          <w:p w14:paraId="1B05FC03"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1300 307 877</w:t>
            </w:r>
          </w:p>
          <w:p w14:paraId="4FA1CF43" w14:textId="77777777" w:rsidR="004513B8" w:rsidRPr="001928BE" w:rsidRDefault="00594771" w:rsidP="007405FF">
            <w:pPr>
              <w:spacing w:before="40" w:after="4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000000" w:themeColor="text1"/>
                <w:szCs w:val="20"/>
              </w:rPr>
            </w:pPr>
            <w:hyperlink r:id="rId76" w:tooltip="Link to Department of Mines, Industry Regulation and Safety– WorkSafe website" w:history="1">
              <w:r w:rsidR="004513B8" w:rsidRPr="001928BE">
                <w:rPr>
                  <w:rStyle w:val="Hyperlink"/>
                  <w:rFonts w:eastAsiaTheme="majorEastAsia" w:cs="Arial"/>
                  <w:color w:val="000000" w:themeColor="text1"/>
                  <w:szCs w:val="20"/>
                </w:rPr>
                <w:t>www.dmirs.wa.gov.au</w:t>
              </w:r>
            </w:hyperlink>
          </w:p>
        </w:tc>
      </w:tr>
      <w:tr w:rsidR="004513B8" w:rsidRPr="001928BE" w14:paraId="396206BE" w14:textId="77777777" w:rsidTr="007405FF">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435" w:type="pct"/>
          </w:tcPr>
          <w:p w14:paraId="472639D8" w14:textId="77777777" w:rsidR="004513B8" w:rsidRPr="001928BE" w:rsidRDefault="004513B8" w:rsidP="007405FF">
            <w:pPr>
              <w:spacing w:before="40" w:after="40"/>
              <w:jc w:val="left"/>
              <w:rPr>
                <w:rFonts w:cs="Arial"/>
                <w:szCs w:val="20"/>
              </w:rPr>
            </w:pPr>
            <w:r w:rsidRPr="001928BE">
              <w:rPr>
                <w:rFonts w:cs="Arial"/>
                <w:szCs w:val="20"/>
              </w:rPr>
              <w:t>South Australia</w:t>
            </w:r>
          </w:p>
        </w:tc>
        <w:tc>
          <w:tcPr>
            <w:tcW w:w="1867" w:type="pct"/>
          </w:tcPr>
          <w:p w14:paraId="2085FE18"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928BE">
              <w:rPr>
                <w:rFonts w:cs="Arial"/>
                <w:szCs w:val="20"/>
              </w:rPr>
              <w:t>ReturnToWorkSA</w:t>
            </w:r>
            <w:proofErr w:type="spellEnd"/>
          </w:p>
          <w:p w14:paraId="4F71A467" w14:textId="77777777" w:rsidR="004513B8"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55BCDA69"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4913C39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SafeWork SA</w:t>
            </w:r>
          </w:p>
        </w:tc>
        <w:tc>
          <w:tcPr>
            <w:tcW w:w="1698" w:type="pct"/>
          </w:tcPr>
          <w:p w14:paraId="164247DA"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13 18 55</w:t>
            </w:r>
          </w:p>
          <w:p w14:paraId="07CB3630" w14:textId="77777777" w:rsidR="004513B8" w:rsidRDefault="00594771"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Cs w:val="20"/>
              </w:rPr>
            </w:pPr>
            <w:hyperlink r:id="rId77" w:tooltip="Link to Return to Work SA website" w:history="1">
              <w:r w:rsidR="004513B8" w:rsidRPr="001928BE">
                <w:rPr>
                  <w:rStyle w:val="Hyperlink"/>
                  <w:rFonts w:eastAsiaTheme="majorEastAsia" w:cs="Arial"/>
                  <w:color w:val="000000" w:themeColor="text1"/>
                  <w:szCs w:val="20"/>
                </w:rPr>
                <w:t>www.rtwsa.com</w:t>
              </w:r>
            </w:hyperlink>
          </w:p>
          <w:p w14:paraId="19EA8790" w14:textId="77777777" w:rsidR="004513B8" w:rsidRPr="003D6109" w:rsidRDefault="004513B8"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10"/>
                <w:szCs w:val="10"/>
              </w:rPr>
            </w:pPr>
          </w:p>
          <w:p w14:paraId="555F54A9"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1300 365 255</w:t>
            </w:r>
          </w:p>
          <w:p w14:paraId="453FBDD2"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78" w:tooltip="Link to SafeWork SA website" w:history="1">
              <w:r w:rsidR="004513B8" w:rsidRPr="001928BE">
                <w:rPr>
                  <w:rStyle w:val="Hyperlink"/>
                  <w:rFonts w:eastAsiaTheme="majorEastAsia" w:cs="Arial"/>
                  <w:color w:val="000000" w:themeColor="text1"/>
                  <w:szCs w:val="20"/>
                </w:rPr>
                <w:t>www.safework.sa.gov.au</w:t>
              </w:r>
            </w:hyperlink>
          </w:p>
        </w:tc>
      </w:tr>
      <w:tr w:rsidR="004513B8" w:rsidRPr="001928BE" w14:paraId="21131503" w14:textId="77777777" w:rsidTr="007405FF">
        <w:trPr>
          <w:cnfStyle w:val="000000010000" w:firstRow="0" w:lastRow="0" w:firstColumn="0" w:lastColumn="0" w:oddVBand="0" w:evenVBand="0" w:oddHBand="0" w:evenHBand="1"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435" w:type="pct"/>
          </w:tcPr>
          <w:p w14:paraId="00A97E9E" w14:textId="77777777" w:rsidR="004513B8" w:rsidRPr="001928BE" w:rsidRDefault="004513B8" w:rsidP="007405FF">
            <w:pPr>
              <w:spacing w:before="40" w:after="40"/>
              <w:jc w:val="left"/>
              <w:rPr>
                <w:rFonts w:cs="Arial"/>
                <w:szCs w:val="20"/>
              </w:rPr>
            </w:pPr>
            <w:r w:rsidRPr="001928BE">
              <w:rPr>
                <w:rFonts w:cs="Arial"/>
                <w:szCs w:val="20"/>
              </w:rPr>
              <w:t>Tasmania</w:t>
            </w:r>
          </w:p>
        </w:tc>
        <w:tc>
          <w:tcPr>
            <w:tcW w:w="1867" w:type="pct"/>
          </w:tcPr>
          <w:p w14:paraId="016B33D7"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WorkSafe Tasmania</w:t>
            </w:r>
          </w:p>
        </w:tc>
        <w:tc>
          <w:tcPr>
            <w:tcW w:w="1698" w:type="pct"/>
          </w:tcPr>
          <w:p w14:paraId="08B07AAE"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1300 366 322 (inside Tas)</w:t>
            </w:r>
          </w:p>
          <w:p w14:paraId="755F0D54"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(03) 6166 4600 (outside Tas)</w:t>
            </w:r>
          </w:p>
          <w:p w14:paraId="5A8F5635" w14:textId="77777777" w:rsidR="004513B8" w:rsidRPr="001928BE" w:rsidRDefault="00594771"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Fonts w:eastAsiaTheme="majorEastAsia" w:cs="Arial"/>
                <w:color w:val="000000" w:themeColor="text1"/>
                <w:szCs w:val="20"/>
              </w:rPr>
            </w:pPr>
            <w:hyperlink r:id="rId79" w:history="1">
              <w:r w:rsidR="004513B8" w:rsidRPr="001928BE">
                <w:rPr>
                  <w:rStyle w:val="Hyperlink"/>
                  <w:rFonts w:eastAsiaTheme="majorEastAsia" w:cs="Arial"/>
                  <w:color w:val="000000" w:themeColor="text1"/>
                  <w:szCs w:val="20"/>
                </w:rPr>
                <w:t>wstinfo@justice.tas.gov.au</w:t>
              </w:r>
            </w:hyperlink>
          </w:p>
          <w:p w14:paraId="47EB1861" w14:textId="77777777" w:rsidR="004513B8" w:rsidRPr="001928BE" w:rsidRDefault="00594771"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hyperlink r:id="rId80" w:tooltip="Link to WorkSafe Tasmania website" w:history="1">
              <w:r w:rsidR="004513B8" w:rsidRPr="001928BE">
                <w:rPr>
                  <w:rStyle w:val="Hyperlink"/>
                  <w:rFonts w:eastAsiaTheme="majorEastAsia" w:cs="Arial"/>
                  <w:color w:val="000000" w:themeColor="text1"/>
                  <w:szCs w:val="20"/>
                </w:rPr>
                <w:t>www.worksafe.tas.gov.au</w:t>
              </w:r>
            </w:hyperlink>
          </w:p>
        </w:tc>
      </w:tr>
      <w:tr w:rsidR="004513B8" w:rsidRPr="001928BE" w14:paraId="7C8420AF" w14:textId="77777777" w:rsidTr="007405FF">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35" w:type="pct"/>
          </w:tcPr>
          <w:p w14:paraId="7419CA69" w14:textId="77777777" w:rsidR="004513B8" w:rsidRPr="001928BE" w:rsidRDefault="004513B8" w:rsidP="007405FF">
            <w:pPr>
              <w:spacing w:before="40" w:after="40"/>
              <w:jc w:val="left"/>
              <w:rPr>
                <w:rFonts w:cs="Arial"/>
                <w:szCs w:val="20"/>
              </w:rPr>
            </w:pPr>
            <w:r w:rsidRPr="001928BE">
              <w:rPr>
                <w:rFonts w:cs="Arial"/>
                <w:szCs w:val="20"/>
              </w:rPr>
              <w:t>Northern Territory</w:t>
            </w:r>
          </w:p>
        </w:tc>
        <w:tc>
          <w:tcPr>
            <w:tcW w:w="1867" w:type="pct"/>
          </w:tcPr>
          <w:p w14:paraId="1C77127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NT WorkSafe</w:t>
            </w:r>
          </w:p>
        </w:tc>
        <w:tc>
          <w:tcPr>
            <w:tcW w:w="1698" w:type="pct"/>
          </w:tcPr>
          <w:p w14:paraId="1F0B0292"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1800 019 115</w:t>
            </w:r>
          </w:p>
          <w:p w14:paraId="046E5124" w14:textId="77777777" w:rsidR="004513B8" w:rsidRPr="001928BE" w:rsidRDefault="00594771"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81" w:history="1">
              <w:r w:rsidR="004513B8" w:rsidRPr="001928BE">
                <w:rPr>
                  <w:rStyle w:val="Hyperlink"/>
                  <w:rFonts w:eastAsiaTheme="majorEastAsia" w:cs="Arial"/>
                  <w:color w:val="000000" w:themeColor="text1"/>
                  <w:szCs w:val="20"/>
                </w:rPr>
                <w:t>ntworksafe@nt.gov.au</w:t>
              </w:r>
            </w:hyperlink>
          </w:p>
          <w:p w14:paraId="172B8B1A"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hyperlink r:id="rId82" w:history="1">
              <w:r w:rsidR="004513B8" w:rsidRPr="001928BE">
                <w:rPr>
                  <w:rStyle w:val="Hyperlink"/>
                  <w:rFonts w:eastAsiaTheme="majorEastAsia" w:cs="Arial"/>
                  <w:color w:val="000000" w:themeColor="text1"/>
                  <w:szCs w:val="20"/>
                </w:rPr>
                <w:t>www.worksafe.nt.gov.au</w:t>
              </w:r>
            </w:hyperlink>
          </w:p>
        </w:tc>
      </w:tr>
      <w:tr w:rsidR="004513B8" w:rsidRPr="001928BE" w14:paraId="5BF19881" w14:textId="77777777" w:rsidTr="007405FF">
        <w:trPr>
          <w:cnfStyle w:val="000000010000" w:firstRow="0" w:lastRow="0" w:firstColumn="0" w:lastColumn="0" w:oddVBand="0" w:evenVBand="0" w:oddHBand="0" w:evenHBand="1"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435" w:type="pct"/>
          </w:tcPr>
          <w:p w14:paraId="73E6DB46" w14:textId="77777777" w:rsidR="004513B8" w:rsidRPr="001928BE" w:rsidRDefault="004513B8" w:rsidP="007405FF">
            <w:pPr>
              <w:pStyle w:val="NoParagraphStyle"/>
              <w:spacing w:before="40" w:after="40" w:line="240" w:lineRule="auto"/>
              <w:rPr>
                <w:rFonts w:ascii="Arial" w:hAnsi="Arial" w:cs="Arial"/>
                <w:sz w:val="20"/>
                <w:szCs w:val="20"/>
              </w:rPr>
            </w:pPr>
            <w:r w:rsidRPr="001928BE">
              <w:rPr>
                <w:rFonts w:ascii="Arial" w:hAnsi="Arial" w:cs="Arial"/>
                <w:sz w:val="20"/>
                <w:szCs w:val="20"/>
              </w:rPr>
              <w:t>Australian Capital Territory</w:t>
            </w:r>
          </w:p>
        </w:tc>
        <w:tc>
          <w:tcPr>
            <w:tcW w:w="1867" w:type="pct"/>
          </w:tcPr>
          <w:p w14:paraId="7A76F673" w14:textId="77777777" w:rsidR="004513B8" w:rsidRPr="001928BE" w:rsidRDefault="004513B8" w:rsidP="007405FF">
            <w:pPr>
              <w:pStyle w:val="NoParagraphStyle"/>
              <w:spacing w:before="40" w:after="4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8BE">
              <w:rPr>
                <w:rFonts w:ascii="Arial" w:hAnsi="Arial" w:cs="Arial"/>
                <w:sz w:val="20"/>
                <w:szCs w:val="20"/>
              </w:rPr>
              <w:t>WorkSafe ACT</w:t>
            </w:r>
          </w:p>
        </w:tc>
        <w:tc>
          <w:tcPr>
            <w:tcW w:w="1698" w:type="pct"/>
          </w:tcPr>
          <w:p w14:paraId="40D99AE1" w14:textId="0A5D291B" w:rsidR="004513B8" w:rsidRPr="001928BE" w:rsidRDefault="003B32B7"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Pr>
                <w:rFonts w:cs="Arial"/>
                <w:color w:val="000000" w:themeColor="text1"/>
                <w:szCs w:val="20"/>
              </w:rPr>
              <w:t>13 22 81</w:t>
            </w:r>
          </w:p>
          <w:p w14:paraId="77178260" w14:textId="77777777" w:rsidR="004513B8" w:rsidRPr="001928BE" w:rsidRDefault="00594771" w:rsidP="007405FF">
            <w:pPr>
              <w:spacing w:before="40" w:after="4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000000" w:themeColor="text1"/>
                <w:szCs w:val="20"/>
              </w:rPr>
            </w:pPr>
            <w:hyperlink r:id="rId83" w:history="1">
              <w:r w:rsidR="004513B8" w:rsidRPr="001928BE">
                <w:rPr>
                  <w:rStyle w:val="Hyperlink"/>
                  <w:rFonts w:eastAsiaTheme="majorEastAsia" w:cs="Arial"/>
                  <w:color w:val="000000" w:themeColor="text1"/>
                  <w:szCs w:val="20"/>
                </w:rPr>
                <w:t>www.worksafe.act.gov.au</w:t>
              </w:r>
            </w:hyperlink>
          </w:p>
        </w:tc>
      </w:tr>
      <w:tr w:rsidR="004513B8" w:rsidRPr="001928BE" w14:paraId="3E4A5B97" w14:textId="77777777" w:rsidTr="007405F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14:paraId="5E7481FA" w14:textId="77777777" w:rsidR="004513B8" w:rsidRPr="001928BE" w:rsidRDefault="004513B8" w:rsidP="007405FF">
            <w:pPr>
              <w:spacing w:before="40" w:after="40"/>
              <w:jc w:val="left"/>
              <w:rPr>
                <w:rFonts w:cs="Arial"/>
                <w:szCs w:val="20"/>
              </w:rPr>
            </w:pPr>
            <w:proofErr w:type="spellStart"/>
            <w:r w:rsidRPr="001928BE">
              <w:rPr>
                <w:rFonts w:cs="Arial"/>
                <w:szCs w:val="20"/>
              </w:rPr>
              <w:t>Seacare</w:t>
            </w:r>
            <w:proofErr w:type="spellEnd"/>
          </w:p>
        </w:tc>
        <w:tc>
          <w:tcPr>
            <w:tcW w:w="1867" w:type="pct"/>
          </w:tcPr>
          <w:p w14:paraId="36AB29FD"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928BE">
              <w:rPr>
                <w:rFonts w:cs="Arial"/>
                <w:szCs w:val="20"/>
              </w:rPr>
              <w:t>Seacare</w:t>
            </w:r>
            <w:proofErr w:type="spellEnd"/>
            <w:r w:rsidRPr="001928BE">
              <w:rPr>
                <w:rFonts w:cs="Arial"/>
                <w:szCs w:val="20"/>
              </w:rPr>
              <w:t xml:space="preserve"> Authority</w:t>
            </w:r>
          </w:p>
        </w:tc>
        <w:tc>
          <w:tcPr>
            <w:tcW w:w="1698" w:type="pct"/>
          </w:tcPr>
          <w:p w14:paraId="5F76A467"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(02) 6275 0070</w:t>
            </w:r>
          </w:p>
          <w:p w14:paraId="658DE6EC" w14:textId="77777777" w:rsidR="004513B8" w:rsidRPr="001928BE" w:rsidRDefault="00594771"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84" w:history="1">
              <w:r w:rsidR="004513B8" w:rsidRPr="001928BE">
                <w:rPr>
                  <w:rStyle w:val="Hyperlink"/>
                  <w:rFonts w:eastAsiaTheme="majorEastAsia" w:cs="Arial"/>
                  <w:color w:val="000000" w:themeColor="text1"/>
                  <w:szCs w:val="20"/>
                </w:rPr>
                <w:t>seacare@comcare.gov.au</w:t>
              </w:r>
            </w:hyperlink>
          </w:p>
          <w:p w14:paraId="0FE0CDF8"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85" w:tooltip="Link to Seacare Authority website" w:history="1">
              <w:r w:rsidR="004513B8" w:rsidRPr="001928BE">
                <w:rPr>
                  <w:rStyle w:val="Hyperlink"/>
                  <w:rFonts w:eastAsiaTheme="majorEastAsia" w:cs="Arial"/>
                  <w:color w:val="000000" w:themeColor="text1"/>
                  <w:szCs w:val="20"/>
                </w:rPr>
                <w:t>www.seacare.gov.au</w:t>
              </w:r>
            </w:hyperlink>
          </w:p>
        </w:tc>
      </w:tr>
      <w:tr w:rsidR="004513B8" w:rsidRPr="001928BE" w14:paraId="7BC3B4C5" w14:textId="77777777" w:rsidTr="007405FF">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35" w:type="pct"/>
          </w:tcPr>
          <w:p w14:paraId="45A8880C" w14:textId="77777777" w:rsidR="004513B8" w:rsidRPr="001928BE" w:rsidRDefault="004513B8" w:rsidP="007405FF">
            <w:pPr>
              <w:spacing w:before="40" w:after="40"/>
              <w:jc w:val="left"/>
              <w:rPr>
                <w:rFonts w:cs="Arial"/>
                <w:szCs w:val="20"/>
              </w:rPr>
            </w:pPr>
            <w:r w:rsidRPr="001928BE">
              <w:rPr>
                <w:rFonts w:cs="Arial"/>
                <w:szCs w:val="20"/>
              </w:rPr>
              <w:t>Australian Government</w:t>
            </w:r>
          </w:p>
        </w:tc>
        <w:tc>
          <w:tcPr>
            <w:tcW w:w="1867" w:type="pct"/>
          </w:tcPr>
          <w:p w14:paraId="6D78062E"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Comcare</w:t>
            </w:r>
          </w:p>
        </w:tc>
        <w:tc>
          <w:tcPr>
            <w:tcW w:w="1698" w:type="pct"/>
          </w:tcPr>
          <w:p w14:paraId="3091FA0A"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1300 366 979</w:t>
            </w:r>
          </w:p>
          <w:p w14:paraId="6B3217B0" w14:textId="77777777" w:rsidR="004513B8" w:rsidRPr="001928BE" w:rsidRDefault="00594771" w:rsidP="007405FF">
            <w:pPr>
              <w:spacing w:before="40" w:after="4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000000" w:themeColor="text1"/>
                <w:szCs w:val="20"/>
              </w:rPr>
            </w:pPr>
            <w:hyperlink r:id="rId86" w:tooltip="Link to Comcare website" w:history="1">
              <w:r w:rsidR="004513B8" w:rsidRPr="001928BE">
                <w:rPr>
                  <w:rStyle w:val="Hyperlink"/>
                  <w:rFonts w:eastAsiaTheme="majorEastAsia" w:cs="Arial"/>
                  <w:color w:val="000000" w:themeColor="text1"/>
                  <w:szCs w:val="20"/>
                </w:rPr>
                <w:t>www.comcare.gov.au</w:t>
              </w:r>
            </w:hyperlink>
          </w:p>
        </w:tc>
      </w:tr>
      <w:tr w:rsidR="004513B8" w:rsidRPr="001928BE" w14:paraId="48482A7B" w14:textId="77777777" w:rsidTr="007405FF">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435" w:type="pct"/>
          </w:tcPr>
          <w:p w14:paraId="1DFAD0E5" w14:textId="77777777" w:rsidR="004513B8" w:rsidRPr="001928BE" w:rsidRDefault="004513B8" w:rsidP="007405FF">
            <w:pPr>
              <w:spacing w:before="40" w:after="40"/>
              <w:jc w:val="left"/>
              <w:rPr>
                <w:rFonts w:cs="Arial"/>
                <w:szCs w:val="20"/>
              </w:rPr>
            </w:pPr>
            <w:r w:rsidRPr="001928BE">
              <w:rPr>
                <w:rFonts w:cs="Arial"/>
                <w:szCs w:val="20"/>
              </w:rPr>
              <w:t>New Zealand</w:t>
            </w:r>
          </w:p>
        </w:tc>
        <w:tc>
          <w:tcPr>
            <w:tcW w:w="1867" w:type="pct"/>
          </w:tcPr>
          <w:p w14:paraId="3A2CA74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Accident Compensation Corporation</w:t>
            </w:r>
          </w:p>
          <w:p w14:paraId="5E1915B8"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03631B06"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0C106D3B" w14:textId="77777777" w:rsidR="004513B8" w:rsidRPr="001928BE" w:rsidRDefault="004513B8" w:rsidP="007405FF">
            <w:pPr>
              <w:tabs>
                <w:tab w:val="left" w:pos="2445"/>
              </w:tabs>
              <w:spacing w:before="40" w:after="40"/>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WorkSafe New Zealand</w:t>
            </w:r>
          </w:p>
        </w:tc>
        <w:tc>
          <w:tcPr>
            <w:tcW w:w="1698" w:type="pct"/>
          </w:tcPr>
          <w:p w14:paraId="6D3B1ED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64 7 848 7400</w:t>
            </w:r>
          </w:p>
          <w:p w14:paraId="1019FC1D"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87" w:tooltip="Accident Compensation Corporation website" w:history="1">
              <w:r w:rsidR="004513B8" w:rsidRPr="001928BE">
                <w:rPr>
                  <w:rStyle w:val="Hyperlinks"/>
                  <w:rFonts w:eastAsiaTheme="majorEastAsia" w:cs="Arial"/>
                  <w:color w:val="000000" w:themeColor="text1"/>
                  <w:szCs w:val="20"/>
                </w:rPr>
                <w:t>www.acc.co.nz</w:t>
              </w:r>
            </w:hyperlink>
          </w:p>
          <w:p w14:paraId="4FE9A366"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 w:val="10"/>
                <w:szCs w:val="10"/>
              </w:rPr>
            </w:pPr>
          </w:p>
          <w:p w14:paraId="512E691A"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0800 030 040</w:t>
            </w:r>
          </w:p>
          <w:p w14:paraId="7C82FD9B" w14:textId="77777777" w:rsidR="004513B8" w:rsidRPr="001928BE" w:rsidRDefault="00594771"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88" w:history="1">
              <w:r w:rsidR="004513B8" w:rsidRPr="001928BE">
                <w:rPr>
                  <w:rStyle w:val="Hyperlinks"/>
                  <w:rFonts w:eastAsiaTheme="majorEastAsia" w:cs="Arial"/>
                  <w:color w:val="000000" w:themeColor="text1"/>
                  <w:szCs w:val="20"/>
                </w:rPr>
                <w:t>www.worksafe.govt.nz</w:t>
              </w:r>
            </w:hyperlink>
          </w:p>
        </w:tc>
      </w:tr>
    </w:tbl>
    <w:p w14:paraId="576C651A" w14:textId="77777777" w:rsidR="0032659F" w:rsidRPr="004F6BA7" w:rsidRDefault="0032659F" w:rsidP="004513B8">
      <w:pPr>
        <w:pStyle w:val="SWATableheader"/>
        <w:spacing w:before="120" w:after="120"/>
        <w:rPr>
          <w:sz w:val="2"/>
          <w:szCs w:val="2"/>
        </w:rPr>
      </w:pPr>
    </w:p>
    <w:sectPr w:rsidR="0032659F" w:rsidRPr="004F6BA7" w:rsidSect="00F21CB1">
      <w:headerReference w:type="first" r:id="rId89"/>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49C91" w14:textId="77777777" w:rsidR="00E2414D" w:rsidRDefault="00E2414D" w:rsidP="003411E8">
      <w:r>
        <w:separator/>
      </w:r>
    </w:p>
  </w:endnote>
  <w:endnote w:type="continuationSeparator" w:id="0">
    <w:p w14:paraId="7590700E" w14:textId="77777777" w:rsidR="00E2414D" w:rsidRDefault="00E2414D"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B069" w14:textId="77777777" w:rsidR="009A79D8" w:rsidRDefault="009A7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938542"/>
      <w:docPartObj>
        <w:docPartGallery w:val="Page Numbers (Bottom of Page)"/>
        <w:docPartUnique/>
      </w:docPartObj>
    </w:sdtPr>
    <w:sdtEndPr>
      <w:rPr>
        <w:noProof/>
      </w:rPr>
    </w:sdtEndPr>
    <w:sdtContent>
      <w:p w14:paraId="2D7C65E7" w14:textId="77777777" w:rsidR="009612E6" w:rsidRDefault="009612E6" w:rsidP="00E754C1">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D5B6" w14:textId="77777777" w:rsidR="009612E6" w:rsidRDefault="009612E6">
    <w:pPr>
      <w:pStyle w:val="Footer"/>
      <w:jc w:val="right"/>
    </w:pPr>
  </w:p>
  <w:p w14:paraId="38EB85AD" w14:textId="77777777" w:rsidR="009612E6" w:rsidRPr="00510E89" w:rsidRDefault="009612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50089"/>
      <w:docPartObj>
        <w:docPartGallery w:val="Page Numbers (Bottom of Page)"/>
        <w:docPartUnique/>
      </w:docPartObj>
    </w:sdtPr>
    <w:sdtEndPr>
      <w:rPr>
        <w:noProof/>
      </w:rPr>
    </w:sdtEndPr>
    <w:sdtContent>
      <w:p w14:paraId="700C1641" w14:textId="77777777" w:rsidR="009612E6" w:rsidRDefault="009612E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ABEA5CA" w14:textId="77777777" w:rsidR="009612E6" w:rsidRPr="00510E89" w:rsidRDefault="00961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60ED" w14:textId="77777777" w:rsidR="00E2414D" w:rsidRDefault="00E2414D" w:rsidP="003411E8">
      <w:r>
        <w:separator/>
      </w:r>
    </w:p>
  </w:footnote>
  <w:footnote w:type="continuationSeparator" w:id="0">
    <w:p w14:paraId="62272BF7" w14:textId="77777777" w:rsidR="00E2414D" w:rsidRDefault="00E2414D"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15FA" w14:textId="77777777" w:rsidR="009A79D8" w:rsidRDefault="009A7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828C" w14:textId="77777777" w:rsidR="009A79D8" w:rsidRDefault="009A79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2BD5" w14:textId="77777777" w:rsidR="009612E6" w:rsidRDefault="009612E6" w:rsidP="00C07BFE">
    <w:pPr>
      <w:pStyle w:val="Header"/>
      <w:tabs>
        <w:tab w:val="left" w:pos="28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EAA8" w14:textId="77777777" w:rsidR="009612E6" w:rsidRDefault="009612E6" w:rsidP="00C07BFE">
    <w:pPr>
      <w:pStyle w:val="Header"/>
      <w:tabs>
        <w:tab w:val="left" w:pos="284"/>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94FD" w14:textId="77777777" w:rsidR="009612E6" w:rsidRDefault="009612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0C" w14:textId="77777777" w:rsidR="009612E6" w:rsidRDefault="009612E6"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20AE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C507D"/>
    <w:multiLevelType w:val="hybridMultilevel"/>
    <w:tmpl w:val="1F4E4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93E97"/>
    <w:multiLevelType w:val="hybridMultilevel"/>
    <w:tmpl w:val="B976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B4879"/>
    <w:multiLevelType w:val="hybridMultilevel"/>
    <w:tmpl w:val="9176E5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F64819"/>
    <w:multiLevelType w:val="hybridMultilevel"/>
    <w:tmpl w:val="41BC5F9A"/>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5" w15:restartNumberingAfterBreak="0">
    <w:nsid w:val="150C1F59"/>
    <w:multiLevelType w:val="hybridMultilevel"/>
    <w:tmpl w:val="0D9EB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D6B92"/>
    <w:multiLevelType w:val="hybridMultilevel"/>
    <w:tmpl w:val="06D6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B534EA"/>
    <w:multiLevelType w:val="hybridMultilevel"/>
    <w:tmpl w:val="724EB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554A66"/>
    <w:multiLevelType w:val="hybridMultilevel"/>
    <w:tmpl w:val="DE145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246D194D"/>
    <w:multiLevelType w:val="hybridMultilevel"/>
    <w:tmpl w:val="D276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9E6D2C"/>
    <w:multiLevelType w:val="hybridMultilevel"/>
    <w:tmpl w:val="1E1A3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E427B2"/>
    <w:multiLevelType w:val="hybridMultilevel"/>
    <w:tmpl w:val="1BB4485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77E53DC"/>
    <w:multiLevelType w:val="hybridMultilevel"/>
    <w:tmpl w:val="B080B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9110FC"/>
    <w:multiLevelType w:val="hybridMultilevel"/>
    <w:tmpl w:val="898C2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C42451"/>
    <w:multiLevelType w:val="hybridMultilevel"/>
    <w:tmpl w:val="CD9C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8A4907"/>
    <w:multiLevelType w:val="hybridMultilevel"/>
    <w:tmpl w:val="CB284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D05A6E"/>
    <w:multiLevelType w:val="hybridMultilevel"/>
    <w:tmpl w:val="0360F5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71739BB"/>
    <w:multiLevelType w:val="hybridMultilevel"/>
    <w:tmpl w:val="FFD65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31AC6"/>
    <w:multiLevelType w:val="hybridMultilevel"/>
    <w:tmpl w:val="84448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85868"/>
    <w:multiLevelType w:val="hybridMultilevel"/>
    <w:tmpl w:val="CED092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36F2CFC"/>
    <w:multiLevelType w:val="hybridMultilevel"/>
    <w:tmpl w:val="02E8B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786641"/>
    <w:multiLevelType w:val="hybridMultilevel"/>
    <w:tmpl w:val="33861122"/>
    <w:lvl w:ilvl="0" w:tplc="46D6E79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922DAC"/>
    <w:multiLevelType w:val="hybridMultilevel"/>
    <w:tmpl w:val="C7302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C26333"/>
    <w:multiLevelType w:val="hybridMultilevel"/>
    <w:tmpl w:val="D6B8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43994"/>
    <w:multiLevelType w:val="hybridMultilevel"/>
    <w:tmpl w:val="467C5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D6E4D4D"/>
    <w:multiLevelType w:val="hybridMultilevel"/>
    <w:tmpl w:val="90208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B73BFC"/>
    <w:multiLevelType w:val="multilevel"/>
    <w:tmpl w:val="012E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DF2E6B"/>
    <w:multiLevelType w:val="hybridMultilevel"/>
    <w:tmpl w:val="DA907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5B0941"/>
    <w:multiLevelType w:val="hybridMultilevel"/>
    <w:tmpl w:val="A3F0B1CA"/>
    <w:lvl w:ilvl="0" w:tplc="01E88C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8529C3"/>
    <w:multiLevelType w:val="hybridMultilevel"/>
    <w:tmpl w:val="93D8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B65BFA"/>
    <w:multiLevelType w:val="hybridMultilevel"/>
    <w:tmpl w:val="C2BC3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692A6F"/>
    <w:multiLevelType w:val="hybridMultilevel"/>
    <w:tmpl w:val="6256E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F04DC5"/>
    <w:multiLevelType w:val="hybridMultilevel"/>
    <w:tmpl w:val="6874C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701A5D"/>
    <w:multiLevelType w:val="hybridMultilevel"/>
    <w:tmpl w:val="0FAA3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137DFE"/>
    <w:multiLevelType w:val="multilevel"/>
    <w:tmpl w:val="4BDA3DC4"/>
    <w:numStyleLink w:val="SecNumb"/>
  </w:abstractNum>
  <w:abstractNum w:abstractNumId="38" w15:restartNumberingAfterBreak="0">
    <w:nsid w:val="6E6264AF"/>
    <w:multiLevelType w:val="hybridMultilevel"/>
    <w:tmpl w:val="7B4A3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A5293C"/>
    <w:multiLevelType w:val="hybridMultilevel"/>
    <w:tmpl w:val="48CC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CD75F1"/>
    <w:multiLevelType w:val="hybridMultilevel"/>
    <w:tmpl w:val="F8EC0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4620B3"/>
    <w:multiLevelType w:val="hybridMultilevel"/>
    <w:tmpl w:val="333E4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077750"/>
    <w:multiLevelType w:val="hybridMultilevel"/>
    <w:tmpl w:val="12080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717203"/>
    <w:multiLevelType w:val="hybridMultilevel"/>
    <w:tmpl w:val="194E47C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5" w15:restartNumberingAfterBreak="0">
    <w:nsid w:val="7BDC798F"/>
    <w:multiLevelType w:val="hybridMultilevel"/>
    <w:tmpl w:val="75024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E4124B"/>
    <w:multiLevelType w:val="hybridMultilevel"/>
    <w:tmpl w:val="FF2CD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7"/>
  </w:num>
  <w:num w:numId="4">
    <w:abstractNumId w:val="44"/>
  </w:num>
  <w:num w:numId="5">
    <w:abstractNumId w:val="37"/>
  </w:num>
  <w:num w:numId="6">
    <w:abstractNumId w:val="0"/>
  </w:num>
  <w:num w:numId="7">
    <w:abstractNumId w:val="39"/>
  </w:num>
  <w:num w:numId="8">
    <w:abstractNumId w:val="36"/>
  </w:num>
  <w:num w:numId="9">
    <w:abstractNumId w:val="23"/>
  </w:num>
  <w:num w:numId="10">
    <w:abstractNumId w:val="31"/>
  </w:num>
  <w:num w:numId="11">
    <w:abstractNumId w:val="22"/>
  </w:num>
  <w:num w:numId="12">
    <w:abstractNumId w:val="20"/>
  </w:num>
  <w:num w:numId="13">
    <w:abstractNumId w:val="1"/>
  </w:num>
  <w:num w:numId="14">
    <w:abstractNumId w:val="11"/>
  </w:num>
  <w:num w:numId="15">
    <w:abstractNumId w:val="18"/>
  </w:num>
  <w:num w:numId="16">
    <w:abstractNumId w:val="21"/>
  </w:num>
  <w:num w:numId="17">
    <w:abstractNumId w:val="12"/>
  </w:num>
  <w:num w:numId="18">
    <w:abstractNumId w:val="19"/>
  </w:num>
  <w:num w:numId="19">
    <w:abstractNumId w:val="25"/>
  </w:num>
  <w:num w:numId="20">
    <w:abstractNumId w:val="24"/>
  </w:num>
  <w:num w:numId="21">
    <w:abstractNumId w:val="42"/>
  </w:num>
  <w:num w:numId="22">
    <w:abstractNumId w:val="13"/>
  </w:num>
  <w:num w:numId="23">
    <w:abstractNumId w:val="7"/>
  </w:num>
  <w:num w:numId="24">
    <w:abstractNumId w:val="35"/>
  </w:num>
  <w:num w:numId="25">
    <w:abstractNumId w:val="6"/>
  </w:num>
  <w:num w:numId="26">
    <w:abstractNumId w:val="46"/>
  </w:num>
  <w:num w:numId="27">
    <w:abstractNumId w:val="3"/>
  </w:num>
  <w:num w:numId="28">
    <w:abstractNumId w:val="30"/>
  </w:num>
  <w:num w:numId="29">
    <w:abstractNumId w:val="15"/>
  </w:num>
  <w:num w:numId="30">
    <w:abstractNumId w:val="5"/>
  </w:num>
  <w:num w:numId="31">
    <w:abstractNumId w:val="9"/>
  </w:num>
  <w:num w:numId="32">
    <w:abstractNumId w:val="41"/>
  </w:num>
  <w:num w:numId="33">
    <w:abstractNumId w:val="33"/>
  </w:num>
  <w:num w:numId="34">
    <w:abstractNumId w:val="34"/>
  </w:num>
  <w:num w:numId="35">
    <w:abstractNumId w:val="16"/>
  </w:num>
  <w:num w:numId="36">
    <w:abstractNumId w:val="2"/>
  </w:num>
  <w:num w:numId="37">
    <w:abstractNumId w:val="26"/>
  </w:num>
  <w:num w:numId="38">
    <w:abstractNumId w:val="32"/>
  </w:num>
  <w:num w:numId="39">
    <w:abstractNumId w:val="40"/>
  </w:num>
  <w:num w:numId="40">
    <w:abstractNumId w:val="45"/>
  </w:num>
  <w:num w:numId="41">
    <w:abstractNumId w:val="17"/>
  </w:num>
  <w:num w:numId="42">
    <w:abstractNumId w:val="28"/>
  </w:num>
  <w:num w:numId="43">
    <w:abstractNumId w:val="38"/>
  </w:num>
  <w:num w:numId="44">
    <w:abstractNumId w:val="8"/>
  </w:num>
  <w:num w:numId="45">
    <w:abstractNumId w:val="4"/>
  </w:num>
  <w:num w:numId="46">
    <w:abstractNumId w:val="29"/>
  </w:num>
  <w:num w:numId="47">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1a8ac-b95f-4b87-aa30-720e89f286c6"/>
  </w:docVars>
  <w:rsids>
    <w:rsidRoot w:val="00077368"/>
    <w:rsid w:val="00001159"/>
    <w:rsid w:val="00002196"/>
    <w:rsid w:val="000026C8"/>
    <w:rsid w:val="0000289A"/>
    <w:rsid w:val="00002B4C"/>
    <w:rsid w:val="0000417E"/>
    <w:rsid w:val="00005797"/>
    <w:rsid w:val="000062EA"/>
    <w:rsid w:val="0000657D"/>
    <w:rsid w:val="00006B89"/>
    <w:rsid w:val="00006FCF"/>
    <w:rsid w:val="00007127"/>
    <w:rsid w:val="0000729A"/>
    <w:rsid w:val="0000770D"/>
    <w:rsid w:val="000107AB"/>
    <w:rsid w:val="00012038"/>
    <w:rsid w:val="00012363"/>
    <w:rsid w:val="000135E2"/>
    <w:rsid w:val="00013A5D"/>
    <w:rsid w:val="00016064"/>
    <w:rsid w:val="000171F0"/>
    <w:rsid w:val="00017CA2"/>
    <w:rsid w:val="00020821"/>
    <w:rsid w:val="00020A2B"/>
    <w:rsid w:val="00020DBC"/>
    <w:rsid w:val="000233C2"/>
    <w:rsid w:val="0002378C"/>
    <w:rsid w:val="000244D2"/>
    <w:rsid w:val="00024AB7"/>
    <w:rsid w:val="00025CFE"/>
    <w:rsid w:val="00026223"/>
    <w:rsid w:val="000265CC"/>
    <w:rsid w:val="000267EE"/>
    <w:rsid w:val="00026B7E"/>
    <w:rsid w:val="00027F88"/>
    <w:rsid w:val="0003037C"/>
    <w:rsid w:val="000304FC"/>
    <w:rsid w:val="00031A5C"/>
    <w:rsid w:val="0003244F"/>
    <w:rsid w:val="00034C08"/>
    <w:rsid w:val="00034DB6"/>
    <w:rsid w:val="000361A7"/>
    <w:rsid w:val="00036775"/>
    <w:rsid w:val="00037DD2"/>
    <w:rsid w:val="00040AB3"/>
    <w:rsid w:val="0004108C"/>
    <w:rsid w:val="0004220E"/>
    <w:rsid w:val="000429D7"/>
    <w:rsid w:val="00042B7A"/>
    <w:rsid w:val="00042BDB"/>
    <w:rsid w:val="00042C6C"/>
    <w:rsid w:val="00050658"/>
    <w:rsid w:val="000520C4"/>
    <w:rsid w:val="0005327F"/>
    <w:rsid w:val="0005433E"/>
    <w:rsid w:val="00055A54"/>
    <w:rsid w:val="000563EE"/>
    <w:rsid w:val="00056EAA"/>
    <w:rsid w:val="000577A0"/>
    <w:rsid w:val="00057827"/>
    <w:rsid w:val="00061B2E"/>
    <w:rsid w:val="0006248B"/>
    <w:rsid w:val="000625F3"/>
    <w:rsid w:val="00062F12"/>
    <w:rsid w:val="00064875"/>
    <w:rsid w:val="000658BD"/>
    <w:rsid w:val="00066D3B"/>
    <w:rsid w:val="0006710C"/>
    <w:rsid w:val="00071286"/>
    <w:rsid w:val="0007228B"/>
    <w:rsid w:val="00072B22"/>
    <w:rsid w:val="00072EC0"/>
    <w:rsid w:val="00073A07"/>
    <w:rsid w:val="00075FCD"/>
    <w:rsid w:val="00077148"/>
    <w:rsid w:val="00077368"/>
    <w:rsid w:val="00077D9A"/>
    <w:rsid w:val="00081F90"/>
    <w:rsid w:val="0008200E"/>
    <w:rsid w:val="000847F1"/>
    <w:rsid w:val="00084AEE"/>
    <w:rsid w:val="00085CC6"/>
    <w:rsid w:val="00085F25"/>
    <w:rsid w:val="000862E5"/>
    <w:rsid w:val="00086AB2"/>
    <w:rsid w:val="00086ABC"/>
    <w:rsid w:val="00087672"/>
    <w:rsid w:val="00087AAF"/>
    <w:rsid w:val="00087C7D"/>
    <w:rsid w:val="00087E20"/>
    <w:rsid w:val="00091147"/>
    <w:rsid w:val="00091F06"/>
    <w:rsid w:val="00092250"/>
    <w:rsid w:val="000925F1"/>
    <w:rsid w:val="00092643"/>
    <w:rsid w:val="00093FF6"/>
    <w:rsid w:val="00094BB6"/>
    <w:rsid w:val="0009576A"/>
    <w:rsid w:val="00095772"/>
    <w:rsid w:val="00095DC2"/>
    <w:rsid w:val="00096F32"/>
    <w:rsid w:val="000A105F"/>
    <w:rsid w:val="000A1B0E"/>
    <w:rsid w:val="000A1C63"/>
    <w:rsid w:val="000A2013"/>
    <w:rsid w:val="000A34EC"/>
    <w:rsid w:val="000A3553"/>
    <w:rsid w:val="000A4B8E"/>
    <w:rsid w:val="000A4BCB"/>
    <w:rsid w:val="000A56F6"/>
    <w:rsid w:val="000A7E83"/>
    <w:rsid w:val="000B0736"/>
    <w:rsid w:val="000B15CF"/>
    <w:rsid w:val="000B1DE9"/>
    <w:rsid w:val="000B2046"/>
    <w:rsid w:val="000B3499"/>
    <w:rsid w:val="000B386A"/>
    <w:rsid w:val="000B3DD8"/>
    <w:rsid w:val="000B3F36"/>
    <w:rsid w:val="000B4550"/>
    <w:rsid w:val="000B49AD"/>
    <w:rsid w:val="000B53FF"/>
    <w:rsid w:val="000B630E"/>
    <w:rsid w:val="000B6602"/>
    <w:rsid w:val="000B6868"/>
    <w:rsid w:val="000C1275"/>
    <w:rsid w:val="000C12E2"/>
    <w:rsid w:val="000C1B52"/>
    <w:rsid w:val="000C1C05"/>
    <w:rsid w:val="000C1C76"/>
    <w:rsid w:val="000C1F50"/>
    <w:rsid w:val="000C25E1"/>
    <w:rsid w:val="000C3198"/>
    <w:rsid w:val="000C32BD"/>
    <w:rsid w:val="000C33E0"/>
    <w:rsid w:val="000C3F42"/>
    <w:rsid w:val="000C4F60"/>
    <w:rsid w:val="000C5003"/>
    <w:rsid w:val="000C5435"/>
    <w:rsid w:val="000C6906"/>
    <w:rsid w:val="000C6D37"/>
    <w:rsid w:val="000C7C70"/>
    <w:rsid w:val="000D051B"/>
    <w:rsid w:val="000D0595"/>
    <w:rsid w:val="000D0A29"/>
    <w:rsid w:val="000D0F14"/>
    <w:rsid w:val="000D1127"/>
    <w:rsid w:val="000D14EB"/>
    <w:rsid w:val="000D2449"/>
    <w:rsid w:val="000D34EF"/>
    <w:rsid w:val="000D3DCB"/>
    <w:rsid w:val="000D4889"/>
    <w:rsid w:val="000D54FA"/>
    <w:rsid w:val="000D5FE6"/>
    <w:rsid w:val="000D6509"/>
    <w:rsid w:val="000D7B1C"/>
    <w:rsid w:val="000D7B60"/>
    <w:rsid w:val="000E0F9F"/>
    <w:rsid w:val="000E124B"/>
    <w:rsid w:val="000E134E"/>
    <w:rsid w:val="000E3E96"/>
    <w:rsid w:val="000E5BB1"/>
    <w:rsid w:val="000E64F5"/>
    <w:rsid w:val="000F0E39"/>
    <w:rsid w:val="000F11D0"/>
    <w:rsid w:val="000F1505"/>
    <w:rsid w:val="000F1560"/>
    <w:rsid w:val="000F24AE"/>
    <w:rsid w:val="000F4770"/>
    <w:rsid w:val="000F4F04"/>
    <w:rsid w:val="000F5B6F"/>
    <w:rsid w:val="000F6F1B"/>
    <w:rsid w:val="00100D8A"/>
    <w:rsid w:val="00101310"/>
    <w:rsid w:val="0010295F"/>
    <w:rsid w:val="00102FDD"/>
    <w:rsid w:val="001036CC"/>
    <w:rsid w:val="00104B49"/>
    <w:rsid w:val="001055CE"/>
    <w:rsid w:val="001070E5"/>
    <w:rsid w:val="001072B4"/>
    <w:rsid w:val="00111498"/>
    <w:rsid w:val="0011179A"/>
    <w:rsid w:val="001129BA"/>
    <w:rsid w:val="00113CA7"/>
    <w:rsid w:val="00114C36"/>
    <w:rsid w:val="00114C42"/>
    <w:rsid w:val="001169B9"/>
    <w:rsid w:val="00117908"/>
    <w:rsid w:val="00121DD9"/>
    <w:rsid w:val="00122143"/>
    <w:rsid w:val="0012261F"/>
    <w:rsid w:val="00123749"/>
    <w:rsid w:val="00124A12"/>
    <w:rsid w:val="00125A36"/>
    <w:rsid w:val="00126416"/>
    <w:rsid w:val="001268F1"/>
    <w:rsid w:val="00126B87"/>
    <w:rsid w:val="00126F70"/>
    <w:rsid w:val="0013074D"/>
    <w:rsid w:val="00130DBE"/>
    <w:rsid w:val="00130DEF"/>
    <w:rsid w:val="00133E99"/>
    <w:rsid w:val="0013520D"/>
    <w:rsid w:val="00137231"/>
    <w:rsid w:val="00137702"/>
    <w:rsid w:val="00137966"/>
    <w:rsid w:val="00140956"/>
    <w:rsid w:val="00140CC3"/>
    <w:rsid w:val="001428A7"/>
    <w:rsid w:val="00142D66"/>
    <w:rsid w:val="00143FC3"/>
    <w:rsid w:val="0014571C"/>
    <w:rsid w:val="00145827"/>
    <w:rsid w:val="001465EE"/>
    <w:rsid w:val="00147373"/>
    <w:rsid w:val="00150509"/>
    <w:rsid w:val="00150A8D"/>
    <w:rsid w:val="00151B66"/>
    <w:rsid w:val="001523EB"/>
    <w:rsid w:val="00152591"/>
    <w:rsid w:val="00152A74"/>
    <w:rsid w:val="001547F2"/>
    <w:rsid w:val="0015524E"/>
    <w:rsid w:val="00155389"/>
    <w:rsid w:val="00155411"/>
    <w:rsid w:val="001570B8"/>
    <w:rsid w:val="00160B79"/>
    <w:rsid w:val="00161201"/>
    <w:rsid w:val="001613C8"/>
    <w:rsid w:val="001614E5"/>
    <w:rsid w:val="00162016"/>
    <w:rsid w:val="00162C81"/>
    <w:rsid w:val="00162DA9"/>
    <w:rsid w:val="001636C2"/>
    <w:rsid w:val="001640C3"/>
    <w:rsid w:val="001646E2"/>
    <w:rsid w:val="001658CC"/>
    <w:rsid w:val="001665F1"/>
    <w:rsid w:val="00166EB0"/>
    <w:rsid w:val="0017006D"/>
    <w:rsid w:val="00170177"/>
    <w:rsid w:val="00171491"/>
    <w:rsid w:val="001734A1"/>
    <w:rsid w:val="001737DD"/>
    <w:rsid w:val="0017447F"/>
    <w:rsid w:val="00176650"/>
    <w:rsid w:val="001769C7"/>
    <w:rsid w:val="00176E42"/>
    <w:rsid w:val="00177C32"/>
    <w:rsid w:val="001817B4"/>
    <w:rsid w:val="0018261F"/>
    <w:rsid w:val="0018287A"/>
    <w:rsid w:val="00182CBC"/>
    <w:rsid w:val="001830D8"/>
    <w:rsid w:val="00184E3F"/>
    <w:rsid w:val="001856BE"/>
    <w:rsid w:val="001858DB"/>
    <w:rsid w:val="00185BB9"/>
    <w:rsid w:val="00185EE4"/>
    <w:rsid w:val="00186239"/>
    <w:rsid w:val="00187A2D"/>
    <w:rsid w:val="00187C51"/>
    <w:rsid w:val="001906D9"/>
    <w:rsid w:val="00190A09"/>
    <w:rsid w:val="00190DC8"/>
    <w:rsid w:val="00191239"/>
    <w:rsid w:val="00191603"/>
    <w:rsid w:val="00192BF8"/>
    <w:rsid w:val="00192FFC"/>
    <w:rsid w:val="00193005"/>
    <w:rsid w:val="00193D55"/>
    <w:rsid w:val="001941A3"/>
    <w:rsid w:val="0019511C"/>
    <w:rsid w:val="001978D9"/>
    <w:rsid w:val="001A1B68"/>
    <w:rsid w:val="001A2DF3"/>
    <w:rsid w:val="001A409E"/>
    <w:rsid w:val="001A4236"/>
    <w:rsid w:val="001A6258"/>
    <w:rsid w:val="001B2382"/>
    <w:rsid w:val="001B2B87"/>
    <w:rsid w:val="001B67B4"/>
    <w:rsid w:val="001B6B86"/>
    <w:rsid w:val="001B7208"/>
    <w:rsid w:val="001B75CF"/>
    <w:rsid w:val="001C0B29"/>
    <w:rsid w:val="001C12B2"/>
    <w:rsid w:val="001C275F"/>
    <w:rsid w:val="001C4985"/>
    <w:rsid w:val="001C604F"/>
    <w:rsid w:val="001C6352"/>
    <w:rsid w:val="001C7666"/>
    <w:rsid w:val="001D0C0A"/>
    <w:rsid w:val="001D0E9A"/>
    <w:rsid w:val="001D28CE"/>
    <w:rsid w:val="001D3DDE"/>
    <w:rsid w:val="001D7A7C"/>
    <w:rsid w:val="001D7C48"/>
    <w:rsid w:val="001E2E8F"/>
    <w:rsid w:val="001E38D2"/>
    <w:rsid w:val="001E4038"/>
    <w:rsid w:val="001E4110"/>
    <w:rsid w:val="001E50CF"/>
    <w:rsid w:val="001F1A38"/>
    <w:rsid w:val="001F1B86"/>
    <w:rsid w:val="001F2A80"/>
    <w:rsid w:val="001F2DC1"/>
    <w:rsid w:val="001F33EA"/>
    <w:rsid w:val="001F3CCE"/>
    <w:rsid w:val="001F4AA7"/>
    <w:rsid w:val="001F5B9D"/>
    <w:rsid w:val="001F617E"/>
    <w:rsid w:val="001F6234"/>
    <w:rsid w:val="001F6C02"/>
    <w:rsid w:val="001F6CA9"/>
    <w:rsid w:val="001F7272"/>
    <w:rsid w:val="001F785E"/>
    <w:rsid w:val="00201491"/>
    <w:rsid w:val="002031C9"/>
    <w:rsid w:val="00203217"/>
    <w:rsid w:val="00204557"/>
    <w:rsid w:val="002064A0"/>
    <w:rsid w:val="00206AD9"/>
    <w:rsid w:val="002072F8"/>
    <w:rsid w:val="00207BFC"/>
    <w:rsid w:val="00210458"/>
    <w:rsid w:val="002108F4"/>
    <w:rsid w:val="00210E9F"/>
    <w:rsid w:val="002119AB"/>
    <w:rsid w:val="002122C3"/>
    <w:rsid w:val="002128C4"/>
    <w:rsid w:val="002131D1"/>
    <w:rsid w:val="00214611"/>
    <w:rsid w:val="00214E4D"/>
    <w:rsid w:val="0021522E"/>
    <w:rsid w:val="0021634B"/>
    <w:rsid w:val="0022008A"/>
    <w:rsid w:val="00220412"/>
    <w:rsid w:val="00221EB8"/>
    <w:rsid w:val="00222424"/>
    <w:rsid w:val="00222F0C"/>
    <w:rsid w:val="00223D84"/>
    <w:rsid w:val="00226AD2"/>
    <w:rsid w:val="00230454"/>
    <w:rsid w:val="002306DE"/>
    <w:rsid w:val="0023135E"/>
    <w:rsid w:val="0023228D"/>
    <w:rsid w:val="00233166"/>
    <w:rsid w:val="002334FE"/>
    <w:rsid w:val="0023478F"/>
    <w:rsid w:val="00236B76"/>
    <w:rsid w:val="00237B5F"/>
    <w:rsid w:val="0024000A"/>
    <w:rsid w:val="00240C58"/>
    <w:rsid w:val="00241255"/>
    <w:rsid w:val="00241599"/>
    <w:rsid w:val="0024317C"/>
    <w:rsid w:val="0024355E"/>
    <w:rsid w:val="002437D9"/>
    <w:rsid w:val="0024396E"/>
    <w:rsid w:val="002456E7"/>
    <w:rsid w:val="00245E9F"/>
    <w:rsid w:val="00246940"/>
    <w:rsid w:val="00246B93"/>
    <w:rsid w:val="00246F39"/>
    <w:rsid w:val="00247241"/>
    <w:rsid w:val="00250240"/>
    <w:rsid w:val="00250B65"/>
    <w:rsid w:val="00250D42"/>
    <w:rsid w:val="00251567"/>
    <w:rsid w:val="0025250F"/>
    <w:rsid w:val="00252805"/>
    <w:rsid w:val="00252C33"/>
    <w:rsid w:val="002536B5"/>
    <w:rsid w:val="00253964"/>
    <w:rsid w:val="00254B5D"/>
    <w:rsid w:val="002556A8"/>
    <w:rsid w:val="00256C01"/>
    <w:rsid w:val="00257198"/>
    <w:rsid w:val="0026096D"/>
    <w:rsid w:val="00260A3A"/>
    <w:rsid w:val="002612ED"/>
    <w:rsid w:val="00261B6B"/>
    <w:rsid w:val="0026241A"/>
    <w:rsid w:val="002634C4"/>
    <w:rsid w:val="00264896"/>
    <w:rsid w:val="0026558F"/>
    <w:rsid w:val="002670F1"/>
    <w:rsid w:val="002712B6"/>
    <w:rsid w:val="00271678"/>
    <w:rsid w:val="00271700"/>
    <w:rsid w:val="002723A2"/>
    <w:rsid w:val="00273691"/>
    <w:rsid w:val="00276AF2"/>
    <w:rsid w:val="00276C82"/>
    <w:rsid w:val="00277227"/>
    <w:rsid w:val="002774BF"/>
    <w:rsid w:val="00277DAC"/>
    <w:rsid w:val="00281E1D"/>
    <w:rsid w:val="002822CC"/>
    <w:rsid w:val="0028377A"/>
    <w:rsid w:val="00287A54"/>
    <w:rsid w:val="002912A1"/>
    <w:rsid w:val="00291B11"/>
    <w:rsid w:val="00292056"/>
    <w:rsid w:val="002927BC"/>
    <w:rsid w:val="00294622"/>
    <w:rsid w:val="00294CDB"/>
    <w:rsid w:val="0029532C"/>
    <w:rsid w:val="00295E34"/>
    <w:rsid w:val="002A123A"/>
    <w:rsid w:val="002A13CF"/>
    <w:rsid w:val="002A170E"/>
    <w:rsid w:val="002A27C0"/>
    <w:rsid w:val="002A301F"/>
    <w:rsid w:val="002A4936"/>
    <w:rsid w:val="002A4994"/>
    <w:rsid w:val="002A60D7"/>
    <w:rsid w:val="002A6453"/>
    <w:rsid w:val="002A7EB4"/>
    <w:rsid w:val="002B0620"/>
    <w:rsid w:val="002B08B1"/>
    <w:rsid w:val="002B1F7C"/>
    <w:rsid w:val="002B36CD"/>
    <w:rsid w:val="002B3EBB"/>
    <w:rsid w:val="002B5AD5"/>
    <w:rsid w:val="002B5B44"/>
    <w:rsid w:val="002B5D92"/>
    <w:rsid w:val="002B6A61"/>
    <w:rsid w:val="002B6B6F"/>
    <w:rsid w:val="002B723F"/>
    <w:rsid w:val="002B7674"/>
    <w:rsid w:val="002B78F4"/>
    <w:rsid w:val="002C0AE7"/>
    <w:rsid w:val="002C1BBD"/>
    <w:rsid w:val="002C1C94"/>
    <w:rsid w:val="002C2153"/>
    <w:rsid w:val="002C3567"/>
    <w:rsid w:val="002C3F04"/>
    <w:rsid w:val="002C4451"/>
    <w:rsid w:val="002C47A2"/>
    <w:rsid w:val="002C5064"/>
    <w:rsid w:val="002C50DE"/>
    <w:rsid w:val="002C537A"/>
    <w:rsid w:val="002C5948"/>
    <w:rsid w:val="002C6758"/>
    <w:rsid w:val="002C7AAB"/>
    <w:rsid w:val="002D0BDE"/>
    <w:rsid w:val="002D1046"/>
    <w:rsid w:val="002D14BE"/>
    <w:rsid w:val="002D157C"/>
    <w:rsid w:val="002D198D"/>
    <w:rsid w:val="002D25A9"/>
    <w:rsid w:val="002D2D5F"/>
    <w:rsid w:val="002D3758"/>
    <w:rsid w:val="002D3FAA"/>
    <w:rsid w:val="002D5A49"/>
    <w:rsid w:val="002D6028"/>
    <w:rsid w:val="002D638A"/>
    <w:rsid w:val="002D644E"/>
    <w:rsid w:val="002D7E14"/>
    <w:rsid w:val="002E05A5"/>
    <w:rsid w:val="002E1736"/>
    <w:rsid w:val="002E1FBF"/>
    <w:rsid w:val="002E355A"/>
    <w:rsid w:val="002E4350"/>
    <w:rsid w:val="002E4773"/>
    <w:rsid w:val="002E5541"/>
    <w:rsid w:val="002E5FC6"/>
    <w:rsid w:val="002E6FF9"/>
    <w:rsid w:val="002F182A"/>
    <w:rsid w:val="002F1C0D"/>
    <w:rsid w:val="002F254F"/>
    <w:rsid w:val="002F4089"/>
    <w:rsid w:val="002F410A"/>
    <w:rsid w:val="002F4146"/>
    <w:rsid w:val="002F420E"/>
    <w:rsid w:val="002F51F0"/>
    <w:rsid w:val="002F5866"/>
    <w:rsid w:val="00302585"/>
    <w:rsid w:val="00303E3E"/>
    <w:rsid w:val="00304331"/>
    <w:rsid w:val="0030474C"/>
    <w:rsid w:val="003053F8"/>
    <w:rsid w:val="00305D4D"/>
    <w:rsid w:val="00306031"/>
    <w:rsid w:val="003070A9"/>
    <w:rsid w:val="00307106"/>
    <w:rsid w:val="003079A2"/>
    <w:rsid w:val="00310839"/>
    <w:rsid w:val="003111E6"/>
    <w:rsid w:val="0031228B"/>
    <w:rsid w:val="00313829"/>
    <w:rsid w:val="003145A9"/>
    <w:rsid w:val="0032015A"/>
    <w:rsid w:val="0032103F"/>
    <w:rsid w:val="003224F1"/>
    <w:rsid w:val="003238CC"/>
    <w:rsid w:val="00323CFF"/>
    <w:rsid w:val="00324E65"/>
    <w:rsid w:val="003262A8"/>
    <w:rsid w:val="0032659F"/>
    <w:rsid w:val="003269D8"/>
    <w:rsid w:val="00327275"/>
    <w:rsid w:val="00327D86"/>
    <w:rsid w:val="0033014E"/>
    <w:rsid w:val="0033113B"/>
    <w:rsid w:val="0033180F"/>
    <w:rsid w:val="00331B45"/>
    <w:rsid w:val="003325ED"/>
    <w:rsid w:val="003327B2"/>
    <w:rsid w:val="003338FA"/>
    <w:rsid w:val="00333A32"/>
    <w:rsid w:val="00334E48"/>
    <w:rsid w:val="0033569C"/>
    <w:rsid w:val="00335F69"/>
    <w:rsid w:val="00336841"/>
    <w:rsid w:val="0034032C"/>
    <w:rsid w:val="003411E8"/>
    <w:rsid w:val="00341CBC"/>
    <w:rsid w:val="00343325"/>
    <w:rsid w:val="00345426"/>
    <w:rsid w:val="00345DA2"/>
    <w:rsid w:val="0034620F"/>
    <w:rsid w:val="00346216"/>
    <w:rsid w:val="0034683D"/>
    <w:rsid w:val="003469BE"/>
    <w:rsid w:val="00350B31"/>
    <w:rsid w:val="00352400"/>
    <w:rsid w:val="003535BF"/>
    <w:rsid w:val="0035363A"/>
    <w:rsid w:val="00353CBA"/>
    <w:rsid w:val="003558FE"/>
    <w:rsid w:val="00355FA0"/>
    <w:rsid w:val="0035776E"/>
    <w:rsid w:val="0035795D"/>
    <w:rsid w:val="00361D30"/>
    <w:rsid w:val="00361F8E"/>
    <w:rsid w:val="00362A11"/>
    <w:rsid w:val="0036373C"/>
    <w:rsid w:val="00364478"/>
    <w:rsid w:val="0036599A"/>
    <w:rsid w:val="00365B5C"/>
    <w:rsid w:val="00365B74"/>
    <w:rsid w:val="00371111"/>
    <w:rsid w:val="0037353F"/>
    <w:rsid w:val="00373865"/>
    <w:rsid w:val="00373889"/>
    <w:rsid w:val="00373B5F"/>
    <w:rsid w:val="00373D17"/>
    <w:rsid w:val="00375419"/>
    <w:rsid w:val="00375544"/>
    <w:rsid w:val="00375809"/>
    <w:rsid w:val="00375853"/>
    <w:rsid w:val="00381AA1"/>
    <w:rsid w:val="003825D1"/>
    <w:rsid w:val="00382614"/>
    <w:rsid w:val="003847DD"/>
    <w:rsid w:val="00384890"/>
    <w:rsid w:val="0038514A"/>
    <w:rsid w:val="00386B13"/>
    <w:rsid w:val="00387649"/>
    <w:rsid w:val="00390D56"/>
    <w:rsid w:val="00391311"/>
    <w:rsid w:val="00392528"/>
    <w:rsid w:val="003931B0"/>
    <w:rsid w:val="00393539"/>
    <w:rsid w:val="0039462E"/>
    <w:rsid w:val="00396555"/>
    <w:rsid w:val="00397D4A"/>
    <w:rsid w:val="003A0107"/>
    <w:rsid w:val="003A0D8C"/>
    <w:rsid w:val="003A1B9E"/>
    <w:rsid w:val="003A3266"/>
    <w:rsid w:val="003A3AC5"/>
    <w:rsid w:val="003A3B13"/>
    <w:rsid w:val="003A4452"/>
    <w:rsid w:val="003A448F"/>
    <w:rsid w:val="003A59B4"/>
    <w:rsid w:val="003B045F"/>
    <w:rsid w:val="003B0F29"/>
    <w:rsid w:val="003B2339"/>
    <w:rsid w:val="003B24D6"/>
    <w:rsid w:val="003B32B7"/>
    <w:rsid w:val="003B57A9"/>
    <w:rsid w:val="003B5969"/>
    <w:rsid w:val="003B6A4A"/>
    <w:rsid w:val="003B70A3"/>
    <w:rsid w:val="003B70CD"/>
    <w:rsid w:val="003C098C"/>
    <w:rsid w:val="003C15FC"/>
    <w:rsid w:val="003C1E2B"/>
    <w:rsid w:val="003C3236"/>
    <w:rsid w:val="003C33AB"/>
    <w:rsid w:val="003C39DB"/>
    <w:rsid w:val="003C3EDE"/>
    <w:rsid w:val="003C4054"/>
    <w:rsid w:val="003C4F76"/>
    <w:rsid w:val="003C675C"/>
    <w:rsid w:val="003C71E3"/>
    <w:rsid w:val="003D0202"/>
    <w:rsid w:val="003D0A61"/>
    <w:rsid w:val="003D0B67"/>
    <w:rsid w:val="003D187A"/>
    <w:rsid w:val="003D3906"/>
    <w:rsid w:val="003D450C"/>
    <w:rsid w:val="003D4D13"/>
    <w:rsid w:val="003D4FB2"/>
    <w:rsid w:val="003D527F"/>
    <w:rsid w:val="003D52F1"/>
    <w:rsid w:val="003D6A95"/>
    <w:rsid w:val="003D703C"/>
    <w:rsid w:val="003D7317"/>
    <w:rsid w:val="003D76FD"/>
    <w:rsid w:val="003D7C1F"/>
    <w:rsid w:val="003D7F25"/>
    <w:rsid w:val="003E0877"/>
    <w:rsid w:val="003E0A80"/>
    <w:rsid w:val="003E13B3"/>
    <w:rsid w:val="003E25A6"/>
    <w:rsid w:val="003E2D4F"/>
    <w:rsid w:val="003E3DB4"/>
    <w:rsid w:val="003E4485"/>
    <w:rsid w:val="003E4C95"/>
    <w:rsid w:val="003E5581"/>
    <w:rsid w:val="003E58E2"/>
    <w:rsid w:val="003E69EC"/>
    <w:rsid w:val="003E6B57"/>
    <w:rsid w:val="003E7106"/>
    <w:rsid w:val="003F051B"/>
    <w:rsid w:val="003F1494"/>
    <w:rsid w:val="003F15A8"/>
    <w:rsid w:val="003F1A5D"/>
    <w:rsid w:val="003F362E"/>
    <w:rsid w:val="003F3E54"/>
    <w:rsid w:val="003F4219"/>
    <w:rsid w:val="003F45D4"/>
    <w:rsid w:val="003F59B4"/>
    <w:rsid w:val="003F615F"/>
    <w:rsid w:val="00400136"/>
    <w:rsid w:val="004007C3"/>
    <w:rsid w:val="004014F4"/>
    <w:rsid w:val="00401577"/>
    <w:rsid w:val="004035EC"/>
    <w:rsid w:val="00403869"/>
    <w:rsid w:val="00404B7E"/>
    <w:rsid w:val="00405160"/>
    <w:rsid w:val="00406501"/>
    <w:rsid w:val="004074AF"/>
    <w:rsid w:val="00407E72"/>
    <w:rsid w:val="0041076C"/>
    <w:rsid w:val="00410AF3"/>
    <w:rsid w:val="00411127"/>
    <w:rsid w:val="004132C1"/>
    <w:rsid w:val="00413A86"/>
    <w:rsid w:val="0041422A"/>
    <w:rsid w:val="004162CD"/>
    <w:rsid w:val="004171A8"/>
    <w:rsid w:val="00420AC9"/>
    <w:rsid w:val="0042100E"/>
    <w:rsid w:val="00421269"/>
    <w:rsid w:val="00423212"/>
    <w:rsid w:val="00423F59"/>
    <w:rsid w:val="004251D3"/>
    <w:rsid w:val="00426389"/>
    <w:rsid w:val="00426D88"/>
    <w:rsid w:val="0043040A"/>
    <w:rsid w:val="00430457"/>
    <w:rsid w:val="00430511"/>
    <w:rsid w:val="00430D6C"/>
    <w:rsid w:val="00431BF2"/>
    <w:rsid w:val="00431EC1"/>
    <w:rsid w:val="00432D38"/>
    <w:rsid w:val="00435945"/>
    <w:rsid w:val="004364D2"/>
    <w:rsid w:val="00436D3E"/>
    <w:rsid w:val="00440C37"/>
    <w:rsid w:val="00440E70"/>
    <w:rsid w:val="004417B4"/>
    <w:rsid w:val="00441875"/>
    <w:rsid w:val="00441C79"/>
    <w:rsid w:val="00442BA1"/>
    <w:rsid w:val="004452A7"/>
    <w:rsid w:val="004452FB"/>
    <w:rsid w:val="004454BD"/>
    <w:rsid w:val="004455D1"/>
    <w:rsid w:val="004468A1"/>
    <w:rsid w:val="00446EF9"/>
    <w:rsid w:val="004471F0"/>
    <w:rsid w:val="004476E9"/>
    <w:rsid w:val="00447C69"/>
    <w:rsid w:val="00447C78"/>
    <w:rsid w:val="004502B3"/>
    <w:rsid w:val="004503C0"/>
    <w:rsid w:val="00451318"/>
    <w:rsid w:val="004513B8"/>
    <w:rsid w:val="004526C1"/>
    <w:rsid w:val="00452FFF"/>
    <w:rsid w:val="0045457E"/>
    <w:rsid w:val="00455002"/>
    <w:rsid w:val="00457DAE"/>
    <w:rsid w:val="00457FCE"/>
    <w:rsid w:val="00461195"/>
    <w:rsid w:val="00461C5D"/>
    <w:rsid w:val="004620F7"/>
    <w:rsid w:val="0046252E"/>
    <w:rsid w:val="00462C20"/>
    <w:rsid w:val="004637B1"/>
    <w:rsid w:val="004651A1"/>
    <w:rsid w:val="00465482"/>
    <w:rsid w:val="004659D5"/>
    <w:rsid w:val="00465FC0"/>
    <w:rsid w:val="00466F4D"/>
    <w:rsid w:val="00467151"/>
    <w:rsid w:val="004677BD"/>
    <w:rsid w:val="0047025B"/>
    <w:rsid w:val="00470777"/>
    <w:rsid w:val="004714CD"/>
    <w:rsid w:val="004726AA"/>
    <w:rsid w:val="00473E21"/>
    <w:rsid w:val="00473F9D"/>
    <w:rsid w:val="004741AB"/>
    <w:rsid w:val="004748E5"/>
    <w:rsid w:val="00474B83"/>
    <w:rsid w:val="00475C85"/>
    <w:rsid w:val="0047741D"/>
    <w:rsid w:val="00477588"/>
    <w:rsid w:val="00477658"/>
    <w:rsid w:val="004815AB"/>
    <w:rsid w:val="004815ED"/>
    <w:rsid w:val="00481FD8"/>
    <w:rsid w:val="0048240A"/>
    <w:rsid w:val="00482668"/>
    <w:rsid w:val="00483568"/>
    <w:rsid w:val="0048401D"/>
    <w:rsid w:val="004841BA"/>
    <w:rsid w:val="00484773"/>
    <w:rsid w:val="004848FD"/>
    <w:rsid w:val="004854F9"/>
    <w:rsid w:val="00485C33"/>
    <w:rsid w:val="004866F8"/>
    <w:rsid w:val="0048685D"/>
    <w:rsid w:val="00486C4E"/>
    <w:rsid w:val="00486FC2"/>
    <w:rsid w:val="00487622"/>
    <w:rsid w:val="00487AEC"/>
    <w:rsid w:val="004907FF"/>
    <w:rsid w:val="004911F7"/>
    <w:rsid w:val="004917D0"/>
    <w:rsid w:val="00491C6E"/>
    <w:rsid w:val="00492659"/>
    <w:rsid w:val="00495FAF"/>
    <w:rsid w:val="004967AC"/>
    <w:rsid w:val="004A2301"/>
    <w:rsid w:val="004A2B14"/>
    <w:rsid w:val="004A2CA3"/>
    <w:rsid w:val="004A425E"/>
    <w:rsid w:val="004A4C60"/>
    <w:rsid w:val="004A53A5"/>
    <w:rsid w:val="004A5852"/>
    <w:rsid w:val="004A7FAF"/>
    <w:rsid w:val="004B00B0"/>
    <w:rsid w:val="004B051B"/>
    <w:rsid w:val="004B18D3"/>
    <w:rsid w:val="004B1A0E"/>
    <w:rsid w:val="004B3AFC"/>
    <w:rsid w:val="004B521D"/>
    <w:rsid w:val="004B55D8"/>
    <w:rsid w:val="004B646D"/>
    <w:rsid w:val="004B732D"/>
    <w:rsid w:val="004B79B6"/>
    <w:rsid w:val="004B7B0F"/>
    <w:rsid w:val="004C0A3D"/>
    <w:rsid w:val="004C13BC"/>
    <w:rsid w:val="004C173D"/>
    <w:rsid w:val="004C1C8A"/>
    <w:rsid w:val="004C5651"/>
    <w:rsid w:val="004C6198"/>
    <w:rsid w:val="004C7164"/>
    <w:rsid w:val="004C7BE0"/>
    <w:rsid w:val="004D0DE8"/>
    <w:rsid w:val="004D1D5B"/>
    <w:rsid w:val="004D2214"/>
    <w:rsid w:val="004D3D3D"/>
    <w:rsid w:val="004D4012"/>
    <w:rsid w:val="004D5167"/>
    <w:rsid w:val="004D5F92"/>
    <w:rsid w:val="004D7B61"/>
    <w:rsid w:val="004E27C6"/>
    <w:rsid w:val="004E28BB"/>
    <w:rsid w:val="004E2BF4"/>
    <w:rsid w:val="004E3376"/>
    <w:rsid w:val="004E33BF"/>
    <w:rsid w:val="004E3DB8"/>
    <w:rsid w:val="004E6B4B"/>
    <w:rsid w:val="004E6C9F"/>
    <w:rsid w:val="004E700E"/>
    <w:rsid w:val="004E78A3"/>
    <w:rsid w:val="004E7BB3"/>
    <w:rsid w:val="004F136C"/>
    <w:rsid w:val="004F1816"/>
    <w:rsid w:val="004F18EC"/>
    <w:rsid w:val="004F2B63"/>
    <w:rsid w:val="004F2CB8"/>
    <w:rsid w:val="004F2DCC"/>
    <w:rsid w:val="004F2E2B"/>
    <w:rsid w:val="004F3B5A"/>
    <w:rsid w:val="004F4B59"/>
    <w:rsid w:val="004F5608"/>
    <w:rsid w:val="004F6215"/>
    <w:rsid w:val="004F62AD"/>
    <w:rsid w:val="004F6B49"/>
    <w:rsid w:val="004F6BA7"/>
    <w:rsid w:val="004F7AAA"/>
    <w:rsid w:val="004F7FFB"/>
    <w:rsid w:val="00500380"/>
    <w:rsid w:val="00500E11"/>
    <w:rsid w:val="00500F06"/>
    <w:rsid w:val="0050130E"/>
    <w:rsid w:val="005017BA"/>
    <w:rsid w:val="00501E33"/>
    <w:rsid w:val="00503481"/>
    <w:rsid w:val="005035E8"/>
    <w:rsid w:val="0050371E"/>
    <w:rsid w:val="0050409C"/>
    <w:rsid w:val="0050454C"/>
    <w:rsid w:val="005067D6"/>
    <w:rsid w:val="00506CEB"/>
    <w:rsid w:val="005074CF"/>
    <w:rsid w:val="00507FD0"/>
    <w:rsid w:val="00510225"/>
    <w:rsid w:val="00510666"/>
    <w:rsid w:val="00510E89"/>
    <w:rsid w:val="00511132"/>
    <w:rsid w:val="0051247F"/>
    <w:rsid w:val="005124B9"/>
    <w:rsid w:val="00512BB9"/>
    <w:rsid w:val="00512BD0"/>
    <w:rsid w:val="0051400B"/>
    <w:rsid w:val="00514E77"/>
    <w:rsid w:val="00516970"/>
    <w:rsid w:val="005170CF"/>
    <w:rsid w:val="005173F6"/>
    <w:rsid w:val="00517775"/>
    <w:rsid w:val="00517F0C"/>
    <w:rsid w:val="00520154"/>
    <w:rsid w:val="00520584"/>
    <w:rsid w:val="00520D47"/>
    <w:rsid w:val="00520F31"/>
    <w:rsid w:val="00521A8D"/>
    <w:rsid w:val="005220B5"/>
    <w:rsid w:val="005225D2"/>
    <w:rsid w:val="00522A78"/>
    <w:rsid w:val="00522C19"/>
    <w:rsid w:val="00522E61"/>
    <w:rsid w:val="005233AD"/>
    <w:rsid w:val="00524364"/>
    <w:rsid w:val="00524F02"/>
    <w:rsid w:val="005263CE"/>
    <w:rsid w:val="0052664F"/>
    <w:rsid w:val="005304BC"/>
    <w:rsid w:val="00530D27"/>
    <w:rsid w:val="00532482"/>
    <w:rsid w:val="00532697"/>
    <w:rsid w:val="00532CDD"/>
    <w:rsid w:val="00534256"/>
    <w:rsid w:val="005342F6"/>
    <w:rsid w:val="005354A4"/>
    <w:rsid w:val="00535940"/>
    <w:rsid w:val="00535E4C"/>
    <w:rsid w:val="00536144"/>
    <w:rsid w:val="00536289"/>
    <w:rsid w:val="00537ADF"/>
    <w:rsid w:val="00537D5A"/>
    <w:rsid w:val="00537FCF"/>
    <w:rsid w:val="0054162A"/>
    <w:rsid w:val="00541CC4"/>
    <w:rsid w:val="00542532"/>
    <w:rsid w:val="00542E0D"/>
    <w:rsid w:val="00543F5B"/>
    <w:rsid w:val="0054518D"/>
    <w:rsid w:val="00546161"/>
    <w:rsid w:val="00546165"/>
    <w:rsid w:val="00546811"/>
    <w:rsid w:val="00546938"/>
    <w:rsid w:val="00546B67"/>
    <w:rsid w:val="00546E30"/>
    <w:rsid w:val="005470C2"/>
    <w:rsid w:val="005510E9"/>
    <w:rsid w:val="00551589"/>
    <w:rsid w:val="00552D3D"/>
    <w:rsid w:val="00553377"/>
    <w:rsid w:val="00553741"/>
    <w:rsid w:val="00556AA1"/>
    <w:rsid w:val="00556C39"/>
    <w:rsid w:val="00556C3E"/>
    <w:rsid w:val="00557079"/>
    <w:rsid w:val="00557E06"/>
    <w:rsid w:val="00557FCC"/>
    <w:rsid w:val="00560EBC"/>
    <w:rsid w:val="005612B6"/>
    <w:rsid w:val="00562419"/>
    <w:rsid w:val="00562A6D"/>
    <w:rsid w:val="00565D1F"/>
    <w:rsid w:val="00565FD6"/>
    <w:rsid w:val="0056729E"/>
    <w:rsid w:val="00570AF1"/>
    <w:rsid w:val="00570D6E"/>
    <w:rsid w:val="00571636"/>
    <w:rsid w:val="00573E64"/>
    <w:rsid w:val="00574F63"/>
    <w:rsid w:val="00575B5C"/>
    <w:rsid w:val="005770BF"/>
    <w:rsid w:val="005778D0"/>
    <w:rsid w:val="00577EA3"/>
    <w:rsid w:val="00581656"/>
    <w:rsid w:val="00581E2B"/>
    <w:rsid w:val="005820B5"/>
    <w:rsid w:val="005833D0"/>
    <w:rsid w:val="00583EEB"/>
    <w:rsid w:val="005844A8"/>
    <w:rsid w:val="00584F97"/>
    <w:rsid w:val="005865B9"/>
    <w:rsid w:val="005871D9"/>
    <w:rsid w:val="00587F6C"/>
    <w:rsid w:val="0059184D"/>
    <w:rsid w:val="005921B6"/>
    <w:rsid w:val="00592278"/>
    <w:rsid w:val="005932A7"/>
    <w:rsid w:val="00594771"/>
    <w:rsid w:val="0059569A"/>
    <w:rsid w:val="00596128"/>
    <w:rsid w:val="00596582"/>
    <w:rsid w:val="00596D14"/>
    <w:rsid w:val="00596DAD"/>
    <w:rsid w:val="00597011"/>
    <w:rsid w:val="005A1539"/>
    <w:rsid w:val="005A15FC"/>
    <w:rsid w:val="005A3862"/>
    <w:rsid w:val="005A4199"/>
    <w:rsid w:val="005A6455"/>
    <w:rsid w:val="005A69F8"/>
    <w:rsid w:val="005B03F2"/>
    <w:rsid w:val="005B0F1E"/>
    <w:rsid w:val="005B14A5"/>
    <w:rsid w:val="005B202C"/>
    <w:rsid w:val="005B229B"/>
    <w:rsid w:val="005B655B"/>
    <w:rsid w:val="005B6DA6"/>
    <w:rsid w:val="005B6DB1"/>
    <w:rsid w:val="005B7D1F"/>
    <w:rsid w:val="005C1488"/>
    <w:rsid w:val="005C1DE2"/>
    <w:rsid w:val="005C345A"/>
    <w:rsid w:val="005C3890"/>
    <w:rsid w:val="005C3B52"/>
    <w:rsid w:val="005C4648"/>
    <w:rsid w:val="005C4874"/>
    <w:rsid w:val="005C4C44"/>
    <w:rsid w:val="005C4D2E"/>
    <w:rsid w:val="005C5739"/>
    <w:rsid w:val="005C5C63"/>
    <w:rsid w:val="005C77F8"/>
    <w:rsid w:val="005C79F0"/>
    <w:rsid w:val="005D0128"/>
    <w:rsid w:val="005D0CFC"/>
    <w:rsid w:val="005D1493"/>
    <w:rsid w:val="005D2190"/>
    <w:rsid w:val="005D486E"/>
    <w:rsid w:val="005D50E8"/>
    <w:rsid w:val="005D7178"/>
    <w:rsid w:val="005D73B9"/>
    <w:rsid w:val="005D75AB"/>
    <w:rsid w:val="005E0079"/>
    <w:rsid w:val="005E07FA"/>
    <w:rsid w:val="005E0917"/>
    <w:rsid w:val="005E335C"/>
    <w:rsid w:val="005E49E0"/>
    <w:rsid w:val="005E4CAE"/>
    <w:rsid w:val="005E5F2A"/>
    <w:rsid w:val="005F1601"/>
    <w:rsid w:val="005F2E36"/>
    <w:rsid w:val="005F2FC4"/>
    <w:rsid w:val="005F3F44"/>
    <w:rsid w:val="005F5FD2"/>
    <w:rsid w:val="005F74BC"/>
    <w:rsid w:val="00601ED5"/>
    <w:rsid w:val="00603D8A"/>
    <w:rsid w:val="00604F84"/>
    <w:rsid w:val="00605F73"/>
    <w:rsid w:val="00606EBA"/>
    <w:rsid w:val="00611DD6"/>
    <w:rsid w:val="00612713"/>
    <w:rsid w:val="00612FBC"/>
    <w:rsid w:val="006135D1"/>
    <w:rsid w:val="00615483"/>
    <w:rsid w:val="006156DC"/>
    <w:rsid w:val="00617509"/>
    <w:rsid w:val="00617EB4"/>
    <w:rsid w:val="00620197"/>
    <w:rsid w:val="006209B5"/>
    <w:rsid w:val="00621201"/>
    <w:rsid w:val="0062235B"/>
    <w:rsid w:val="00626DCB"/>
    <w:rsid w:val="00627277"/>
    <w:rsid w:val="00630C18"/>
    <w:rsid w:val="00631E22"/>
    <w:rsid w:val="0063282B"/>
    <w:rsid w:val="00632BFB"/>
    <w:rsid w:val="00633700"/>
    <w:rsid w:val="006338CB"/>
    <w:rsid w:val="00634726"/>
    <w:rsid w:val="00637440"/>
    <w:rsid w:val="00637B0D"/>
    <w:rsid w:val="00640495"/>
    <w:rsid w:val="00640497"/>
    <w:rsid w:val="00643AB8"/>
    <w:rsid w:val="00643D1C"/>
    <w:rsid w:val="0065044A"/>
    <w:rsid w:val="0065175C"/>
    <w:rsid w:val="00651D51"/>
    <w:rsid w:val="0065216A"/>
    <w:rsid w:val="00652B50"/>
    <w:rsid w:val="00653D2C"/>
    <w:rsid w:val="00653F19"/>
    <w:rsid w:val="0065461B"/>
    <w:rsid w:val="00654E9D"/>
    <w:rsid w:val="00655216"/>
    <w:rsid w:val="00655324"/>
    <w:rsid w:val="0065639F"/>
    <w:rsid w:val="006571D4"/>
    <w:rsid w:val="006571FD"/>
    <w:rsid w:val="00660C0F"/>
    <w:rsid w:val="0066139C"/>
    <w:rsid w:val="00662794"/>
    <w:rsid w:val="00662C78"/>
    <w:rsid w:val="00663CC1"/>
    <w:rsid w:val="006649E7"/>
    <w:rsid w:val="00664DEE"/>
    <w:rsid w:val="00664F08"/>
    <w:rsid w:val="006654CA"/>
    <w:rsid w:val="006659E2"/>
    <w:rsid w:val="00665FAC"/>
    <w:rsid w:val="006662D7"/>
    <w:rsid w:val="00666B15"/>
    <w:rsid w:val="00666E37"/>
    <w:rsid w:val="006705DB"/>
    <w:rsid w:val="00670682"/>
    <w:rsid w:val="0067096A"/>
    <w:rsid w:val="00670BCD"/>
    <w:rsid w:val="00671BB0"/>
    <w:rsid w:val="00672AA7"/>
    <w:rsid w:val="00672D36"/>
    <w:rsid w:val="006749AF"/>
    <w:rsid w:val="0067564A"/>
    <w:rsid w:val="00675B61"/>
    <w:rsid w:val="006761C0"/>
    <w:rsid w:val="00677046"/>
    <w:rsid w:val="006776D0"/>
    <w:rsid w:val="006803D3"/>
    <w:rsid w:val="0068269E"/>
    <w:rsid w:val="00682CAD"/>
    <w:rsid w:val="00683DC9"/>
    <w:rsid w:val="006852E9"/>
    <w:rsid w:val="006878FB"/>
    <w:rsid w:val="006926E8"/>
    <w:rsid w:val="00692B4A"/>
    <w:rsid w:val="00692B9C"/>
    <w:rsid w:val="006930C4"/>
    <w:rsid w:val="0069416F"/>
    <w:rsid w:val="00694381"/>
    <w:rsid w:val="00695014"/>
    <w:rsid w:val="00695C41"/>
    <w:rsid w:val="006968E1"/>
    <w:rsid w:val="006968F4"/>
    <w:rsid w:val="00697DF8"/>
    <w:rsid w:val="006A0002"/>
    <w:rsid w:val="006A047B"/>
    <w:rsid w:val="006A1476"/>
    <w:rsid w:val="006A17F7"/>
    <w:rsid w:val="006A1ADD"/>
    <w:rsid w:val="006A1F7F"/>
    <w:rsid w:val="006A1FA9"/>
    <w:rsid w:val="006A2498"/>
    <w:rsid w:val="006A2DCB"/>
    <w:rsid w:val="006A3630"/>
    <w:rsid w:val="006A3D58"/>
    <w:rsid w:val="006A5E46"/>
    <w:rsid w:val="006A682A"/>
    <w:rsid w:val="006A6B87"/>
    <w:rsid w:val="006A7021"/>
    <w:rsid w:val="006B0392"/>
    <w:rsid w:val="006B1355"/>
    <w:rsid w:val="006B1517"/>
    <w:rsid w:val="006B1DC6"/>
    <w:rsid w:val="006B3FF7"/>
    <w:rsid w:val="006B44A5"/>
    <w:rsid w:val="006B6ED8"/>
    <w:rsid w:val="006B7701"/>
    <w:rsid w:val="006C0AE0"/>
    <w:rsid w:val="006C1072"/>
    <w:rsid w:val="006C1A85"/>
    <w:rsid w:val="006C21B2"/>
    <w:rsid w:val="006C23AE"/>
    <w:rsid w:val="006C2470"/>
    <w:rsid w:val="006C3058"/>
    <w:rsid w:val="006C3107"/>
    <w:rsid w:val="006C3863"/>
    <w:rsid w:val="006C4BDC"/>
    <w:rsid w:val="006C4BFF"/>
    <w:rsid w:val="006C5AE4"/>
    <w:rsid w:val="006C5CAB"/>
    <w:rsid w:val="006C62C1"/>
    <w:rsid w:val="006C736A"/>
    <w:rsid w:val="006D07A8"/>
    <w:rsid w:val="006D108C"/>
    <w:rsid w:val="006D1888"/>
    <w:rsid w:val="006D18D9"/>
    <w:rsid w:val="006D1C78"/>
    <w:rsid w:val="006D1D6B"/>
    <w:rsid w:val="006D2B77"/>
    <w:rsid w:val="006D6791"/>
    <w:rsid w:val="006D6DFB"/>
    <w:rsid w:val="006D7290"/>
    <w:rsid w:val="006D72C3"/>
    <w:rsid w:val="006D731E"/>
    <w:rsid w:val="006D7D72"/>
    <w:rsid w:val="006E2105"/>
    <w:rsid w:val="006E2C4F"/>
    <w:rsid w:val="006E3B2A"/>
    <w:rsid w:val="006E3C9D"/>
    <w:rsid w:val="006E5EEB"/>
    <w:rsid w:val="006F009C"/>
    <w:rsid w:val="006F0762"/>
    <w:rsid w:val="006F0E3D"/>
    <w:rsid w:val="006F15AC"/>
    <w:rsid w:val="006F32AA"/>
    <w:rsid w:val="006F5644"/>
    <w:rsid w:val="006F5B55"/>
    <w:rsid w:val="00701378"/>
    <w:rsid w:val="0070183B"/>
    <w:rsid w:val="00702612"/>
    <w:rsid w:val="007026AC"/>
    <w:rsid w:val="00702BAF"/>
    <w:rsid w:val="00704D0B"/>
    <w:rsid w:val="00705120"/>
    <w:rsid w:val="00711D93"/>
    <w:rsid w:val="007123D6"/>
    <w:rsid w:val="00712B7B"/>
    <w:rsid w:val="00712C2A"/>
    <w:rsid w:val="00713B42"/>
    <w:rsid w:val="0071450B"/>
    <w:rsid w:val="007159DD"/>
    <w:rsid w:val="00720C28"/>
    <w:rsid w:val="007211E7"/>
    <w:rsid w:val="0072127C"/>
    <w:rsid w:val="00722839"/>
    <w:rsid w:val="00722E7A"/>
    <w:rsid w:val="007231AE"/>
    <w:rsid w:val="00723E67"/>
    <w:rsid w:val="00724339"/>
    <w:rsid w:val="007250D6"/>
    <w:rsid w:val="0072547B"/>
    <w:rsid w:val="00725996"/>
    <w:rsid w:val="007260E3"/>
    <w:rsid w:val="007263AE"/>
    <w:rsid w:val="0072773D"/>
    <w:rsid w:val="007320DE"/>
    <w:rsid w:val="00732BF6"/>
    <w:rsid w:val="00733209"/>
    <w:rsid w:val="00733B0B"/>
    <w:rsid w:val="00735C6D"/>
    <w:rsid w:val="007405FF"/>
    <w:rsid w:val="00741900"/>
    <w:rsid w:val="00741D61"/>
    <w:rsid w:val="00742261"/>
    <w:rsid w:val="00742F12"/>
    <w:rsid w:val="0074369A"/>
    <w:rsid w:val="007439D9"/>
    <w:rsid w:val="007443D0"/>
    <w:rsid w:val="00744425"/>
    <w:rsid w:val="00744E0A"/>
    <w:rsid w:val="00745F32"/>
    <w:rsid w:val="00746222"/>
    <w:rsid w:val="0075034A"/>
    <w:rsid w:val="00750B89"/>
    <w:rsid w:val="00750EF2"/>
    <w:rsid w:val="0075111E"/>
    <w:rsid w:val="00751338"/>
    <w:rsid w:val="00752E84"/>
    <w:rsid w:val="007533AF"/>
    <w:rsid w:val="00754853"/>
    <w:rsid w:val="00755AA2"/>
    <w:rsid w:val="00756635"/>
    <w:rsid w:val="00762385"/>
    <w:rsid w:val="0076391E"/>
    <w:rsid w:val="007653A6"/>
    <w:rsid w:val="0076725A"/>
    <w:rsid w:val="00771625"/>
    <w:rsid w:val="007729EA"/>
    <w:rsid w:val="0077351E"/>
    <w:rsid w:val="00773F5A"/>
    <w:rsid w:val="007744ED"/>
    <w:rsid w:val="00774ED0"/>
    <w:rsid w:val="00775BB6"/>
    <w:rsid w:val="00775EB2"/>
    <w:rsid w:val="007760D4"/>
    <w:rsid w:val="00777AFC"/>
    <w:rsid w:val="00777C4A"/>
    <w:rsid w:val="00780CE7"/>
    <w:rsid w:val="00781310"/>
    <w:rsid w:val="00782438"/>
    <w:rsid w:val="00782BAF"/>
    <w:rsid w:val="0078326A"/>
    <w:rsid w:val="0078550F"/>
    <w:rsid w:val="00785DA3"/>
    <w:rsid w:val="00785DC4"/>
    <w:rsid w:val="00787181"/>
    <w:rsid w:val="00787A6B"/>
    <w:rsid w:val="00790185"/>
    <w:rsid w:val="007901E6"/>
    <w:rsid w:val="007921F9"/>
    <w:rsid w:val="00793459"/>
    <w:rsid w:val="007938AC"/>
    <w:rsid w:val="00795CFD"/>
    <w:rsid w:val="00796C6E"/>
    <w:rsid w:val="007978A1"/>
    <w:rsid w:val="007A0F15"/>
    <w:rsid w:val="007A2925"/>
    <w:rsid w:val="007A319C"/>
    <w:rsid w:val="007A4057"/>
    <w:rsid w:val="007A4A11"/>
    <w:rsid w:val="007A7466"/>
    <w:rsid w:val="007B02F4"/>
    <w:rsid w:val="007B0EF3"/>
    <w:rsid w:val="007B3442"/>
    <w:rsid w:val="007B3AAE"/>
    <w:rsid w:val="007B4751"/>
    <w:rsid w:val="007B65C3"/>
    <w:rsid w:val="007B7B09"/>
    <w:rsid w:val="007B7C3E"/>
    <w:rsid w:val="007C0401"/>
    <w:rsid w:val="007C0DDF"/>
    <w:rsid w:val="007C15C6"/>
    <w:rsid w:val="007C1D0C"/>
    <w:rsid w:val="007C232B"/>
    <w:rsid w:val="007C2BEF"/>
    <w:rsid w:val="007C477F"/>
    <w:rsid w:val="007C501A"/>
    <w:rsid w:val="007C5139"/>
    <w:rsid w:val="007C57D9"/>
    <w:rsid w:val="007C5D5D"/>
    <w:rsid w:val="007C63BA"/>
    <w:rsid w:val="007C63C7"/>
    <w:rsid w:val="007C79C4"/>
    <w:rsid w:val="007C7C5D"/>
    <w:rsid w:val="007D16BD"/>
    <w:rsid w:val="007D179E"/>
    <w:rsid w:val="007D1A23"/>
    <w:rsid w:val="007D2274"/>
    <w:rsid w:val="007D33A3"/>
    <w:rsid w:val="007D42CA"/>
    <w:rsid w:val="007D598E"/>
    <w:rsid w:val="007D72A3"/>
    <w:rsid w:val="007D7E8F"/>
    <w:rsid w:val="007E15F6"/>
    <w:rsid w:val="007E20B0"/>
    <w:rsid w:val="007E3213"/>
    <w:rsid w:val="007E6B62"/>
    <w:rsid w:val="007E7776"/>
    <w:rsid w:val="007E7F9A"/>
    <w:rsid w:val="007F03B6"/>
    <w:rsid w:val="007F1AAB"/>
    <w:rsid w:val="007F2304"/>
    <w:rsid w:val="007F2CB7"/>
    <w:rsid w:val="007F3BDA"/>
    <w:rsid w:val="007F489B"/>
    <w:rsid w:val="007F5071"/>
    <w:rsid w:val="007F5C9E"/>
    <w:rsid w:val="007F6B25"/>
    <w:rsid w:val="007F6D50"/>
    <w:rsid w:val="007F6E2A"/>
    <w:rsid w:val="007F7514"/>
    <w:rsid w:val="00800AF8"/>
    <w:rsid w:val="008012F3"/>
    <w:rsid w:val="00802A18"/>
    <w:rsid w:val="00802ACF"/>
    <w:rsid w:val="008034E9"/>
    <w:rsid w:val="008048C3"/>
    <w:rsid w:val="00806023"/>
    <w:rsid w:val="008065F8"/>
    <w:rsid w:val="00806D10"/>
    <w:rsid w:val="00806FDC"/>
    <w:rsid w:val="008100E9"/>
    <w:rsid w:val="00812A53"/>
    <w:rsid w:val="00812EB7"/>
    <w:rsid w:val="00813740"/>
    <w:rsid w:val="00816022"/>
    <w:rsid w:val="00817B6F"/>
    <w:rsid w:val="00817F1D"/>
    <w:rsid w:val="008203EB"/>
    <w:rsid w:val="0082242D"/>
    <w:rsid w:val="008234FC"/>
    <w:rsid w:val="00823C73"/>
    <w:rsid w:val="00824488"/>
    <w:rsid w:val="008245A5"/>
    <w:rsid w:val="00825C96"/>
    <w:rsid w:val="00825E2C"/>
    <w:rsid w:val="00826C76"/>
    <w:rsid w:val="00826CBD"/>
    <w:rsid w:val="00827AA8"/>
    <w:rsid w:val="00827BAB"/>
    <w:rsid w:val="008305DE"/>
    <w:rsid w:val="00831DC1"/>
    <w:rsid w:val="00832254"/>
    <w:rsid w:val="008324DA"/>
    <w:rsid w:val="00832514"/>
    <w:rsid w:val="00832AB0"/>
    <w:rsid w:val="008339AE"/>
    <w:rsid w:val="00833EDD"/>
    <w:rsid w:val="00834D1F"/>
    <w:rsid w:val="00835961"/>
    <w:rsid w:val="00836CBF"/>
    <w:rsid w:val="00836D3D"/>
    <w:rsid w:val="00837C16"/>
    <w:rsid w:val="008400BE"/>
    <w:rsid w:val="00841238"/>
    <w:rsid w:val="00842F87"/>
    <w:rsid w:val="00844845"/>
    <w:rsid w:val="008448B6"/>
    <w:rsid w:val="00844A16"/>
    <w:rsid w:val="008450EE"/>
    <w:rsid w:val="0084510E"/>
    <w:rsid w:val="008467BA"/>
    <w:rsid w:val="00846B96"/>
    <w:rsid w:val="00847BE5"/>
    <w:rsid w:val="00847DAC"/>
    <w:rsid w:val="00851276"/>
    <w:rsid w:val="00852B8E"/>
    <w:rsid w:val="00852BE5"/>
    <w:rsid w:val="00853B6F"/>
    <w:rsid w:val="00854B05"/>
    <w:rsid w:val="008552DB"/>
    <w:rsid w:val="0085542B"/>
    <w:rsid w:val="00860A77"/>
    <w:rsid w:val="00861808"/>
    <w:rsid w:val="00861B0A"/>
    <w:rsid w:val="00861FAA"/>
    <w:rsid w:val="00862931"/>
    <w:rsid w:val="008629B7"/>
    <w:rsid w:val="00863CBF"/>
    <w:rsid w:val="0086437C"/>
    <w:rsid w:val="0086524D"/>
    <w:rsid w:val="008659BF"/>
    <w:rsid w:val="00865E8A"/>
    <w:rsid w:val="0086630C"/>
    <w:rsid w:val="00866BE0"/>
    <w:rsid w:val="00866F67"/>
    <w:rsid w:val="00870BD6"/>
    <w:rsid w:val="00871001"/>
    <w:rsid w:val="00871933"/>
    <w:rsid w:val="00872634"/>
    <w:rsid w:val="00872EE6"/>
    <w:rsid w:val="008732BD"/>
    <w:rsid w:val="00873B5B"/>
    <w:rsid w:val="0087506A"/>
    <w:rsid w:val="008753E3"/>
    <w:rsid w:val="008756A7"/>
    <w:rsid w:val="00876D39"/>
    <w:rsid w:val="00877629"/>
    <w:rsid w:val="008829F7"/>
    <w:rsid w:val="008836DD"/>
    <w:rsid w:val="008851BF"/>
    <w:rsid w:val="00886C65"/>
    <w:rsid w:val="008902C4"/>
    <w:rsid w:val="008907A9"/>
    <w:rsid w:val="00891D30"/>
    <w:rsid w:val="008933CC"/>
    <w:rsid w:val="00893D6E"/>
    <w:rsid w:val="00896B42"/>
    <w:rsid w:val="00897D3A"/>
    <w:rsid w:val="00897E89"/>
    <w:rsid w:val="008A2458"/>
    <w:rsid w:val="008A2EA5"/>
    <w:rsid w:val="008A313E"/>
    <w:rsid w:val="008A3473"/>
    <w:rsid w:val="008A3A60"/>
    <w:rsid w:val="008A3C40"/>
    <w:rsid w:val="008A5722"/>
    <w:rsid w:val="008A57E6"/>
    <w:rsid w:val="008A7E8C"/>
    <w:rsid w:val="008B0BE2"/>
    <w:rsid w:val="008B0E1D"/>
    <w:rsid w:val="008B1C44"/>
    <w:rsid w:val="008B20E3"/>
    <w:rsid w:val="008B2813"/>
    <w:rsid w:val="008B3D5B"/>
    <w:rsid w:val="008B665B"/>
    <w:rsid w:val="008B76E8"/>
    <w:rsid w:val="008C0A75"/>
    <w:rsid w:val="008C178B"/>
    <w:rsid w:val="008C2462"/>
    <w:rsid w:val="008C6CA2"/>
    <w:rsid w:val="008C746B"/>
    <w:rsid w:val="008C7FAD"/>
    <w:rsid w:val="008D0451"/>
    <w:rsid w:val="008D12A9"/>
    <w:rsid w:val="008D1736"/>
    <w:rsid w:val="008D1E7A"/>
    <w:rsid w:val="008D1ED3"/>
    <w:rsid w:val="008D1F61"/>
    <w:rsid w:val="008D2A61"/>
    <w:rsid w:val="008D367D"/>
    <w:rsid w:val="008D4BB9"/>
    <w:rsid w:val="008D6FAE"/>
    <w:rsid w:val="008D771A"/>
    <w:rsid w:val="008D78F1"/>
    <w:rsid w:val="008E013C"/>
    <w:rsid w:val="008E09A6"/>
    <w:rsid w:val="008E0DDC"/>
    <w:rsid w:val="008E3BE3"/>
    <w:rsid w:val="008E3FEF"/>
    <w:rsid w:val="008E4254"/>
    <w:rsid w:val="008E4270"/>
    <w:rsid w:val="008E540E"/>
    <w:rsid w:val="008E5F34"/>
    <w:rsid w:val="008E63C4"/>
    <w:rsid w:val="008E6EF2"/>
    <w:rsid w:val="008E7F97"/>
    <w:rsid w:val="008F17CC"/>
    <w:rsid w:val="008F29A3"/>
    <w:rsid w:val="008F3580"/>
    <w:rsid w:val="008F3ABB"/>
    <w:rsid w:val="008F46FB"/>
    <w:rsid w:val="008F526C"/>
    <w:rsid w:val="008F533D"/>
    <w:rsid w:val="008F5520"/>
    <w:rsid w:val="00901323"/>
    <w:rsid w:val="009023E2"/>
    <w:rsid w:val="0090329C"/>
    <w:rsid w:val="00903EEF"/>
    <w:rsid w:val="00903F63"/>
    <w:rsid w:val="00904B2E"/>
    <w:rsid w:val="00904BC5"/>
    <w:rsid w:val="00905154"/>
    <w:rsid w:val="00905393"/>
    <w:rsid w:val="00905555"/>
    <w:rsid w:val="0090560C"/>
    <w:rsid w:val="00905C8B"/>
    <w:rsid w:val="00905D33"/>
    <w:rsid w:val="00907086"/>
    <w:rsid w:val="0090731F"/>
    <w:rsid w:val="00911D2C"/>
    <w:rsid w:val="00912465"/>
    <w:rsid w:val="00914563"/>
    <w:rsid w:val="00914B75"/>
    <w:rsid w:val="00914DFF"/>
    <w:rsid w:val="0091681D"/>
    <w:rsid w:val="00917B54"/>
    <w:rsid w:val="009200C9"/>
    <w:rsid w:val="00920E7B"/>
    <w:rsid w:val="009213EE"/>
    <w:rsid w:val="00921410"/>
    <w:rsid w:val="00922181"/>
    <w:rsid w:val="00923C3B"/>
    <w:rsid w:val="00923C5C"/>
    <w:rsid w:val="00924415"/>
    <w:rsid w:val="0092532C"/>
    <w:rsid w:val="00930562"/>
    <w:rsid w:val="00930D43"/>
    <w:rsid w:val="00931F1D"/>
    <w:rsid w:val="00933D31"/>
    <w:rsid w:val="00933EBA"/>
    <w:rsid w:val="009343CD"/>
    <w:rsid w:val="00934DED"/>
    <w:rsid w:val="00937113"/>
    <w:rsid w:val="009372B0"/>
    <w:rsid w:val="00937370"/>
    <w:rsid w:val="00937CA0"/>
    <w:rsid w:val="00940B83"/>
    <w:rsid w:val="00941B5B"/>
    <w:rsid w:val="00942BE9"/>
    <w:rsid w:val="00944A50"/>
    <w:rsid w:val="009453D0"/>
    <w:rsid w:val="009456F4"/>
    <w:rsid w:val="00947F6E"/>
    <w:rsid w:val="00950091"/>
    <w:rsid w:val="00954393"/>
    <w:rsid w:val="009548EF"/>
    <w:rsid w:val="00954954"/>
    <w:rsid w:val="00957093"/>
    <w:rsid w:val="0095786E"/>
    <w:rsid w:val="00957936"/>
    <w:rsid w:val="00960040"/>
    <w:rsid w:val="00960792"/>
    <w:rsid w:val="00960BBF"/>
    <w:rsid w:val="009612E6"/>
    <w:rsid w:val="00963657"/>
    <w:rsid w:val="00963EAF"/>
    <w:rsid w:val="0096493F"/>
    <w:rsid w:val="00964B21"/>
    <w:rsid w:val="0096677E"/>
    <w:rsid w:val="00970F05"/>
    <w:rsid w:val="00971B9B"/>
    <w:rsid w:val="0097214F"/>
    <w:rsid w:val="00973785"/>
    <w:rsid w:val="00974471"/>
    <w:rsid w:val="0097473A"/>
    <w:rsid w:val="00974985"/>
    <w:rsid w:val="00974A5C"/>
    <w:rsid w:val="00975C76"/>
    <w:rsid w:val="0097641C"/>
    <w:rsid w:val="009773E2"/>
    <w:rsid w:val="00977671"/>
    <w:rsid w:val="009779A4"/>
    <w:rsid w:val="009800F1"/>
    <w:rsid w:val="009802FF"/>
    <w:rsid w:val="009804A7"/>
    <w:rsid w:val="00980545"/>
    <w:rsid w:val="0098134E"/>
    <w:rsid w:val="00983A8F"/>
    <w:rsid w:val="00983E07"/>
    <w:rsid w:val="00984685"/>
    <w:rsid w:val="00984DE8"/>
    <w:rsid w:val="009851FB"/>
    <w:rsid w:val="00985691"/>
    <w:rsid w:val="00986780"/>
    <w:rsid w:val="00987217"/>
    <w:rsid w:val="00987B11"/>
    <w:rsid w:val="009912BB"/>
    <w:rsid w:val="00992B0D"/>
    <w:rsid w:val="00992C7A"/>
    <w:rsid w:val="009932C1"/>
    <w:rsid w:val="0099413B"/>
    <w:rsid w:val="00994B8B"/>
    <w:rsid w:val="00994EBD"/>
    <w:rsid w:val="00995BA9"/>
    <w:rsid w:val="00996F6F"/>
    <w:rsid w:val="009A04AC"/>
    <w:rsid w:val="009A0C8C"/>
    <w:rsid w:val="009A45E0"/>
    <w:rsid w:val="009A4D9D"/>
    <w:rsid w:val="009A55C9"/>
    <w:rsid w:val="009A5EC1"/>
    <w:rsid w:val="009A63AF"/>
    <w:rsid w:val="009A642B"/>
    <w:rsid w:val="009A79D8"/>
    <w:rsid w:val="009A7E68"/>
    <w:rsid w:val="009B1B3B"/>
    <w:rsid w:val="009B2CED"/>
    <w:rsid w:val="009B4398"/>
    <w:rsid w:val="009B56BC"/>
    <w:rsid w:val="009B5ED8"/>
    <w:rsid w:val="009B60EF"/>
    <w:rsid w:val="009B65D8"/>
    <w:rsid w:val="009B6AB8"/>
    <w:rsid w:val="009B6AF8"/>
    <w:rsid w:val="009B6F6C"/>
    <w:rsid w:val="009B7F51"/>
    <w:rsid w:val="009C00F7"/>
    <w:rsid w:val="009C1651"/>
    <w:rsid w:val="009C199B"/>
    <w:rsid w:val="009C1D77"/>
    <w:rsid w:val="009C2254"/>
    <w:rsid w:val="009C29C4"/>
    <w:rsid w:val="009C4703"/>
    <w:rsid w:val="009C4830"/>
    <w:rsid w:val="009C4F86"/>
    <w:rsid w:val="009C53D0"/>
    <w:rsid w:val="009C571C"/>
    <w:rsid w:val="009C7197"/>
    <w:rsid w:val="009C7741"/>
    <w:rsid w:val="009C7CF6"/>
    <w:rsid w:val="009D33E5"/>
    <w:rsid w:val="009D46FF"/>
    <w:rsid w:val="009D62AB"/>
    <w:rsid w:val="009D6F53"/>
    <w:rsid w:val="009D7A7E"/>
    <w:rsid w:val="009E0A2E"/>
    <w:rsid w:val="009E0D95"/>
    <w:rsid w:val="009E2637"/>
    <w:rsid w:val="009E363B"/>
    <w:rsid w:val="009E39EC"/>
    <w:rsid w:val="009E47D0"/>
    <w:rsid w:val="009E4E76"/>
    <w:rsid w:val="009E66B2"/>
    <w:rsid w:val="009E676F"/>
    <w:rsid w:val="009E69F4"/>
    <w:rsid w:val="009E6BC5"/>
    <w:rsid w:val="009F04B0"/>
    <w:rsid w:val="009F07C5"/>
    <w:rsid w:val="009F0FB1"/>
    <w:rsid w:val="009F2A51"/>
    <w:rsid w:val="009F2F68"/>
    <w:rsid w:val="009F4564"/>
    <w:rsid w:val="009F4C86"/>
    <w:rsid w:val="009F59E5"/>
    <w:rsid w:val="009F61B4"/>
    <w:rsid w:val="009F6D8E"/>
    <w:rsid w:val="009F70C1"/>
    <w:rsid w:val="009F722E"/>
    <w:rsid w:val="009F7F83"/>
    <w:rsid w:val="00A005BC"/>
    <w:rsid w:val="00A01597"/>
    <w:rsid w:val="00A015DD"/>
    <w:rsid w:val="00A0181B"/>
    <w:rsid w:val="00A02154"/>
    <w:rsid w:val="00A02157"/>
    <w:rsid w:val="00A0229E"/>
    <w:rsid w:val="00A02A5E"/>
    <w:rsid w:val="00A03033"/>
    <w:rsid w:val="00A03D67"/>
    <w:rsid w:val="00A03E3D"/>
    <w:rsid w:val="00A04BB6"/>
    <w:rsid w:val="00A06964"/>
    <w:rsid w:val="00A10BB5"/>
    <w:rsid w:val="00A11CC8"/>
    <w:rsid w:val="00A1240B"/>
    <w:rsid w:val="00A16F18"/>
    <w:rsid w:val="00A17097"/>
    <w:rsid w:val="00A20009"/>
    <w:rsid w:val="00A200D7"/>
    <w:rsid w:val="00A204FC"/>
    <w:rsid w:val="00A211DB"/>
    <w:rsid w:val="00A212D5"/>
    <w:rsid w:val="00A22256"/>
    <w:rsid w:val="00A23B70"/>
    <w:rsid w:val="00A2443F"/>
    <w:rsid w:val="00A2488B"/>
    <w:rsid w:val="00A24A0F"/>
    <w:rsid w:val="00A25018"/>
    <w:rsid w:val="00A275B1"/>
    <w:rsid w:val="00A279FF"/>
    <w:rsid w:val="00A27B48"/>
    <w:rsid w:val="00A314C5"/>
    <w:rsid w:val="00A323F1"/>
    <w:rsid w:val="00A32719"/>
    <w:rsid w:val="00A33758"/>
    <w:rsid w:val="00A33B98"/>
    <w:rsid w:val="00A36F08"/>
    <w:rsid w:val="00A379C3"/>
    <w:rsid w:val="00A37C09"/>
    <w:rsid w:val="00A40589"/>
    <w:rsid w:val="00A4395E"/>
    <w:rsid w:val="00A439E6"/>
    <w:rsid w:val="00A446B4"/>
    <w:rsid w:val="00A4491C"/>
    <w:rsid w:val="00A45023"/>
    <w:rsid w:val="00A4505C"/>
    <w:rsid w:val="00A457E0"/>
    <w:rsid w:val="00A45D0C"/>
    <w:rsid w:val="00A45E9A"/>
    <w:rsid w:val="00A46529"/>
    <w:rsid w:val="00A47357"/>
    <w:rsid w:val="00A47D8D"/>
    <w:rsid w:val="00A47F72"/>
    <w:rsid w:val="00A50481"/>
    <w:rsid w:val="00A50B85"/>
    <w:rsid w:val="00A52EB7"/>
    <w:rsid w:val="00A54093"/>
    <w:rsid w:val="00A55C6D"/>
    <w:rsid w:val="00A55D5B"/>
    <w:rsid w:val="00A575F7"/>
    <w:rsid w:val="00A57645"/>
    <w:rsid w:val="00A579E3"/>
    <w:rsid w:val="00A6010C"/>
    <w:rsid w:val="00A606FE"/>
    <w:rsid w:val="00A6195D"/>
    <w:rsid w:val="00A619D3"/>
    <w:rsid w:val="00A61D78"/>
    <w:rsid w:val="00A6244B"/>
    <w:rsid w:val="00A63218"/>
    <w:rsid w:val="00A65046"/>
    <w:rsid w:val="00A65A8D"/>
    <w:rsid w:val="00A66DE3"/>
    <w:rsid w:val="00A67489"/>
    <w:rsid w:val="00A678A2"/>
    <w:rsid w:val="00A71A8E"/>
    <w:rsid w:val="00A71E34"/>
    <w:rsid w:val="00A735E6"/>
    <w:rsid w:val="00A74989"/>
    <w:rsid w:val="00A74AA0"/>
    <w:rsid w:val="00A750D9"/>
    <w:rsid w:val="00A76309"/>
    <w:rsid w:val="00A76CF2"/>
    <w:rsid w:val="00A77091"/>
    <w:rsid w:val="00A81111"/>
    <w:rsid w:val="00A82ECD"/>
    <w:rsid w:val="00A85577"/>
    <w:rsid w:val="00A86AE0"/>
    <w:rsid w:val="00A90C6E"/>
    <w:rsid w:val="00A9216A"/>
    <w:rsid w:val="00A93189"/>
    <w:rsid w:val="00A93A35"/>
    <w:rsid w:val="00A945EC"/>
    <w:rsid w:val="00A9481D"/>
    <w:rsid w:val="00A9493F"/>
    <w:rsid w:val="00A950F9"/>
    <w:rsid w:val="00A95A79"/>
    <w:rsid w:val="00A95F22"/>
    <w:rsid w:val="00A965F7"/>
    <w:rsid w:val="00A96678"/>
    <w:rsid w:val="00A96DF5"/>
    <w:rsid w:val="00A97019"/>
    <w:rsid w:val="00A97199"/>
    <w:rsid w:val="00AA10E5"/>
    <w:rsid w:val="00AA233E"/>
    <w:rsid w:val="00AA3BF8"/>
    <w:rsid w:val="00AA4BC3"/>
    <w:rsid w:val="00AA4C3B"/>
    <w:rsid w:val="00AA5718"/>
    <w:rsid w:val="00AA5771"/>
    <w:rsid w:val="00AA5815"/>
    <w:rsid w:val="00AA6958"/>
    <w:rsid w:val="00AA7CE2"/>
    <w:rsid w:val="00AB20B9"/>
    <w:rsid w:val="00AB2237"/>
    <w:rsid w:val="00AB50F8"/>
    <w:rsid w:val="00AB59A4"/>
    <w:rsid w:val="00AB5B6A"/>
    <w:rsid w:val="00AB68A0"/>
    <w:rsid w:val="00AC0720"/>
    <w:rsid w:val="00AC09E8"/>
    <w:rsid w:val="00AC0B4E"/>
    <w:rsid w:val="00AC0D60"/>
    <w:rsid w:val="00AC1F28"/>
    <w:rsid w:val="00AC3A10"/>
    <w:rsid w:val="00AC5DAE"/>
    <w:rsid w:val="00AC629B"/>
    <w:rsid w:val="00AC786A"/>
    <w:rsid w:val="00AD11A7"/>
    <w:rsid w:val="00AD165B"/>
    <w:rsid w:val="00AD1689"/>
    <w:rsid w:val="00AD18AF"/>
    <w:rsid w:val="00AD1DD9"/>
    <w:rsid w:val="00AD2DEF"/>
    <w:rsid w:val="00AD4195"/>
    <w:rsid w:val="00AD46C8"/>
    <w:rsid w:val="00AD517E"/>
    <w:rsid w:val="00AD53DE"/>
    <w:rsid w:val="00AD555E"/>
    <w:rsid w:val="00AD5D3E"/>
    <w:rsid w:val="00AD6479"/>
    <w:rsid w:val="00AD6501"/>
    <w:rsid w:val="00AD7121"/>
    <w:rsid w:val="00AD7DC6"/>
    <w:rsid w:val="00AE0846"/>
    <w:rsid w:val="00AE1169"/>
    <w:rsid w:val="00AE29EB"/>
    <w:rsid w:val="00AE2BEA"/>
    <w:rsid w:val="00AE3136"/>
    <w:rsid w:val="00AE31AA"/>
    <w:rsid w:val="00AE320E"/>
    <w:rsid w:val="00AE56CB"/>
    <w:rsid w:val="00AE742E"/>
    <w:rsid w:val="00AF080C"/>
    <w:rsid w:val="00AF0B5E"/>
    <w:rsid w:val="00AF1522"/>
    <w:rsid w:val="00AF1525"/>
    <w:rsid w:val="00AF184D"/>
    <w:rsid w:val="00AF222E"/>
    <w:rsid w:val="00AF36A8"/>
    <w:rsid w:val="00AF3A8A"/>
    <w:rsid w:val="00AF4B6B"/>
    <w:rsid w:val="00AF5416"/>
    <w:rsid w:val="00AF548B"/>
    <w:rsid w:val="00AF6A93"/>
    <w:rsid w:val="00AF6AE8"/>
    <w:rsid w:val="00AF6CDB"/>
    <w:rsid w:val="00AF6ED0"/>
    <w:rsid w:val="00AF73D1"/>
    <w:rsid w:val="00AF7464"/>
    <w:rsid w:val="00AF76E8"/>
    <w:rsid w:val="00AF7807"/>
    <w:rsid w:val="00B0018D"/>
    <w:rsid w:val="00B023B0"/>
    <w:rsid w:val="00B05BF3"/>
    <w:rsid w:val="00B06626"/>
    <w:rsid w:val="00B06C28"/>
    <w:rsid w:val="00B07D9E"/>
    <w:rsid w:val="00B07EFB"/>
    <w:rsid w:val="00B10377"/>
    <w:rsid w:val="00B104BC"/>
    <w:rsid w:val="00B1089A"/>
    <w:rsid w:val="00B108F1"/>
    <w:rsid w:val="00B10C63"/>
    <w:rsid w:val="00B124F0"/>
    <w:rsid w:val="00B12C74"/>
    <w:rsid w:val="00B145EF"/>
    <w:rsid w:val="00B1545D"/>
    <w:rsid w:val="00B170EE"/>
    <w:rsid w:val="00B17B6F"/>
    <w:rsid w:val="00B20E83"/>
    <w:rsid w:val="00B23017"/>
    <w:rsid w:val="00B24501"/>
    <w:rsid w:val="00B245F9"/>
    <w:rsid w:val="00B25BA6"/>
    <w:rsid w:val="00B2665B"/>
    <w:rsid w:val="00B27863"/>
    <w:rsid w:val="00B278AE"/>
    <w:rsid w:val="00B27D87"/>
    <w:rsid w:val="00B30010"/>
    <w:rsid w:val="00B311C7"/>
    <w:rsid w:val="00B3207F"/>
    <w:rsid w:val="00B331F4"/>
    <w:rsid w:val="00B34860"/>
    <w:rsid w:val="00B368F4"/>
    <w:rsid w:val="00B36D1C"/>
    <w:rsid w:val="00B36EA8"/>
    <w:rsid w:val="00B3721A"/>
    <w:rsid w:val="00B40F4F"/>
    <w:rsid w:val="00B41082"/>
    <w:rsid w:val="00B416A1"/>
    <w:rsid w:val="00B42E4A"/>
    <w:rsid w:val="00B443B0"/>
    <w:rsid w:val="00B44D54"/>
    <w:rsid w:val="00B45298"/>
    <w:rsid w:val="00B45EC1"/>
    <w:rsid w:val="00B46A8F"/>
    <w:rsid w:val="00B47075"/>
    <w:rsid w:val="00B47E90"/>
    <w:rsid w:val="00B509D2"/>
    <w:rsid w:val="00B50EB0"/>
    <w:rsid w:val="00B51041"/>
    <w:rsid w:val="00B5123A"/>
    <w:rsid w:val="00B51D5F"/>
    <w:rsid w:val="00B55140"/>
    <w:rsid w:val="00B5767E"/>
    <w:rsid w:val="00B57AC7"/>
    <w:rsid w:val="00B60EA4"/>
    <w:rsid w:val="00B61A03"/>
    <w:rsid w:val="00B62529"/>
    <w:rsid w:val="00B62B15"/>
    <w:rsid w:val="00B63106"/>
    <w:rsid w:val="00B63E9C"/>
    <w:rsid w:val="00B66C68"/>
    <w:rsid w:val="00B67C51"/>
    <w:rsid w:val="00B7007E"/>
    <w:rsid w:val="00B707BF"/>
    <w:rsid w:val="00B732BB"/>
    <w:rsid w:val="00B745EF"/>
    <w:rsid w:val="00B747C9"/>
    <w:rsid w:val="00B747D9"/>
    <w:rsid w:val="00B77327"/>
    <w:rsid w:val="00B773DE"/>
    <w:rsid w:val="00B77CBC"/>
    <w:rsid w:val="00B77DC6"/>
    <w:rsid w:val="00B80A58"/>
    <w:rsid w:val="00B82AB3"/>
    <w:rsid w:val="00B8433E"/>
    <w:rsid w:val="00B8577F"/>
    <w:rsid w:val="00B866BC"/>
    <w:rsid w:val="00B87886"/>
    <w:rsid w:val="00B90B21"/>
    <w:rsid w:val="00B9390D"/>
    <w:rsid w:val="00B947BA"/>
    <w:rsid w:val="00B94D7D"/>
    <w:rsid w:val="00B94DB8"/>
    <w:rsid w:val="00B95198"/>
    <w:rsid w:val="00BA0B6C"/>
    <w:rsid w:val="00BA10FF"/>
    <w:rsid w:val="00BA122F"/>
    <w:rsid w:val="00BA1642"/>
    <w:rsid w:val="00BA2924"/>
    <w:rsid w:val="00BA4296"/>
    <w:rsid w:val="00BA5013"/>
    <w:rsid w:val="00BA6893"/>
    <w:rsid w:val="00BA6E40"/>
    <w:rsid w:val="00BA71A4"/>
    <w:rsid w:val="00BB174F"/>
    <w:rsid w:val="00BB258E"/>
    <w:rsid w:val="00BB45BD"/>
    <w:rsid w:val="00BB657C"/>
    <w:rsid w:val="00BB7E7B"/>
    <w:rsid w:val="00BC00A8"/>
    <w:rsid w:val="00BC0206"/>
    <w:rsid w:val="00BC0DA2"/>
    <w:rsid w:val="00BC0DB4"/>
    <w:rsid w:val="00BC1622"/>
    <w:rsid w:val="00BC33DC"/>
    <w:rsid w:val="00BC3EB7"/>
    <w:rsid w:val="00BC56BB"/>
    <w:rsid w:val="00BC6901"/>
    <w:rsid w:val="00BC6D23"/>
    <w:rsid w:val="00BD0130"/>
    <w:rsid w:val="00BD078E"/>
    <w:rsid w:val="00BD3B97"/>
    <w:rsid w:val="00BD4C0A"/>
    <w:rsid w:val="00BD62EA"/>
    <w:rsid w:val="00BE09B4"/>
    <w:rsid w:val="00BE357D"/>
    <w:rsid w:val="00BE6B2E"/>
    <w:rsid w:val="00BE739F"/>
    <w:rsid w:val="00BE7BA6"/>
    <w:rsid w:val="00BF0281"/>
    <w:rsid w:val="00BF0BC0"/>
    <w:rsid w:val="00BF1D1B"/>
    <w:rsid w:val="00BF270D"/>
    <w:rsid w:val="00BF414C"/>
    <w:rsid w:val="00BF41CC"/>
    <w:rsid w:val="00BF5662"/>
    <w:rsid w:val="00BF65EC"/>
    <w:rsid w:val="00BF6A3E"/>
    <w:rsid w:val="00BF7DB6"/>
    <w:rsid w:val="00C00338"/>
    <w:rsid w:val="00C006D3"/>
    <w:rsid w:val="00C00AA1"/>
    <w:rsid w:val="00C01973"/>
    <w:rsid w:val="00C01FD3"/>
    <w:rsid w:val="00C03259"/>
    <w:rsid w:val="00C03800"/>
    <w:rsid w:val="00C046C8"/>
    <w:rsid w:val="00C04948"/>
    <w:rsid w:val="00C051CA"/>
    <w:rsid w:val="00C062D0"/>
    <w:rsid w:val="00C06417"/>
    <w:rsid w:val="00C06A5F"/>
    <w:rsid w:val="00C07186"/>
    <w:rsid w:val="00C07BFE"/>
    <w:rsid w:val="00C1111B"/>
    <w:rsid w:val="00C152B2"/>
    <w:rsid w:val="00C162A5"/>
    <w:rsid w:val="00C1632A"/>
    <w:rsid w:val="00C16BEF"/>
    <w:rsid w:val="00C17B49"/>
    <w:rsid w:val="00C2036F"/>
    <w:rsid w:val="00C20587"/>
    <w:rsid w:val="00C20CBD"/>
    <w:rsid w:val="00C20DB2"/>
    <w:rsid w:val="00C223FD"/>
    <w:rsid w:val="00C2258F"/>
    <w:rsid w:val="00C245E2"/>
    <w:rsid w:val="00C249D6"/>
    <w:rsid w:val="00C24B25"/>
    <w:rsid w:val="00C268BA"/>
    <w:rsid w:val="00C277BE"/>
    <w:rsid w:val="00C31798"/>
    <w:rsid w:val="00C31FE1"/>
    <w:rsid w:val="00C32309"/>
    <w:rsid w:val="00C3234A"/>
    <w:rsid w:val="00C325BF"/>
    <w:rsid w:val="00C32EE8"/>
    <w:rsid w:val="00C355C7"/>
    <w:rsid w:val="00C36646"/>
    <w:rsid w:val="00C4127C"/>
    <w:rsid w:val="00C42EB9"/>
    <w:rsid w:val="00C436B5"/>
    <w:rsid w:val="00C457C5"/>
    <w:rsid w:val="00C458AC"/>
    <w:rsid w:val="00C4681E"/>
    <w:rsid w:val="00C47954"/>
    <w:rsid w:val="00C50144"/>
    <w:rsid w:val="00C5258B"/>
    <w:rsid w:val="00C57770"/>
    <w:rsid w:val="00C57F41"/>
    <w:rsid w:val="00C60373"/>
    <w:rsid w:val="00C60939"/>
    <w:rsid w:val="00C61316"/>
    <w:rsid w:val="00C627A3"/>
    <w:rsid w:val="00C6323F"/>
    <w:rsid w:val="00C63B88"/>
    <w:rsid w:val="00C63DB5"/>
    <w:rsid w:val="00C672AF"/>
    <w:rsid w:val="00C676C5"/>
    <w:rsid w:val="00C67B81"/>
    <w:rsid w:val="00C706EA"/>
    <w:rsid w:val="00C7073D"/>
    <w:rsid w:val="00C70B73"/>
    <w:rsid w:val="00C72152"/>
    <w:rsid w:val="00C72BC4"/>
    <w:rsid w:val="00C7349A"/>
    <w:rsid w:val="00C73D14"/>
    <w:rsid w:val="00C7463D"/>
    <w:rsid w:val="00C7475F"/>
    <w:rsid w:val="00C753A1"/>
    <w:rsid w:val="00C75841"/>
    <w:rsid w:val="00C76A76"/>
    <w:rsid w:val="00C7771C"/>
    <w:rsid w:val="00C80966"/>
    <w:rsid w:val="00C81F2B"/>
    <w:rsid w:val="00C82D5F"/>
    <w:rsid w:val="00C82E83"/>
    <w:rsid w:val="00C84AE8"/>
    <w:rsid w:val="00C8587B"/>
    <w:rsid w:val="00C85DF5"/>
    <w:rsid w:val="00C868A7"/>
    <w:rsid w:val="00C870F4"/>
    <w:rsid w:val="00C879F5"/>
    <w:rsid w:val="00C87D5A"/>
    <w:rsid w:val="00C9020B"/>
    <w:rsid w:val="00C90848"/>
    <w:rsid w:val="00C9153F"/>
    <w:rsid w:val="00C9188C"/>
    <w:rsid w:val="00C92473"/>
    <w:rsid w:val="00C92808"/>
    <w:rsid w:val="00C93569"/>
    <w:rsid w:val="00C95003"/>
    <w:rsid w:val="00C95BE6"/>
    <w:rsid w:val="00C963FE"/>
    <w:rsid w:val="00C964CF"/>
    <w:rsid w:val="00C965EC"/>
    <w:rsid w:val="00C97937"/>
    <w:rsid w:val="00CA0167"/>
    <w:rsid w:val="00CA0AEE"/>
    <w:rsid w:val="00CA1091"/>
    <w:rsid w:val="00CA11BD"/>
    <w:rsid w:val="00CA12F7"/>
    <w:rsid w:val="00CA1A71"/>
    <w:rsid w:val="00CA2B01"/>
    <w:rsid w:val="00CA3385"/>
    <w:rsid w:val="00CA45C7"/>
    <w:rsid w:val="00CA46A0"/>
    <w:rsid w:val="00CA4B65"/>
    <w:rsid w:val="00CA4F45"/>
    <w:rsid w:val="00CA500F"/>
    <w:rsid w:val="00CB0891"/>
    <w:rsid w:val="00CB106E"/>
    <w:rsid w:val="00CB1DC2"/>
    <w:rsid w:val="00CB34D2"/>
    <w:rsid w:val="00CB4022"/>
    <w:rsid w:val="00CB632E"/>
    <w:rsid w:val="00CC04D4"/>
    <w:rsid w:val="00CC1458"/>
    <w:rsid w:val="00CC1B76"/>
    <w:rsid w:val="00CC3D68"/>
    <w:rsid w:val="00CC620E"/>
    <w:rsid w:val="00CD15AB"/>
    <w:rsid w:val="00CD3124"/>
    <w:rsid w:val="00CD38DF"/>
    <w:rsid w:val="00CD3A5D"/>
    <w:rsid w:val="00CD5072"/>
    <w:rsid w:val="00CD5319"/>
    <w:rsid w:val="00CD61E0"/>
    <w:rsid w:val="00CD7279"/>
    <w:rsid w:val="00CE0388"/>
    <w:rsid w:val="00CE058C"/>
    <w:rsid w:val="00CE1065"/>
    <w:rsid w:val="00CE312F"/>
    <w:rsid w:val="00CE32DD"/>
    <w:rsid w:val="00CE5647"/>
    <w:rsid w:val="00CE59CA"/>
    <w:rsid w:val="00CE5E41"/>
    <w:rsid w:val="00CE65B5"/>
    <w:rsid w:val="00CE6979"/>
    <w:rsid w:val="00CE770C"/>
    <w:rsid w:val="00CE79A8"/>
    <w:rsid w:val="00CE7C12"/>
    <w:rsid w:val="00CE7D48"/>
    <w:rsid w:val="00CE7F34"/>
    <w:rsid w:val="00CF1262"/>
    <w:rsid w:val="00CF14E4"/>
    <w:rsid w:val="00CF2ABA"/>
    <w:rsid w:val="00CF3626"/>
    <w:rsid w:val="00CF3C4D"/>
    <w:rsid w:val="00CF5A77"/>
    <w:rsid w:val="00CF6402"/>
    <w:rsid w:val="00D00A11"/>
    <w:rsid w:val="00D0120C"/>
    <w:rsid w:val="00D019D0"/>
    <w:rsid w:val="00D0220F"/>
    <w:rsid w:val="00D03248"/>
    <w:rsid w:val="00D034C1"/>
    <w:rsid w:val="00D052C7"/>
    <w:rsid w:val="00D05B56"/>
    <w:rsid w:val="00D062DB"/>
    <w:rsid w:val="00D06582"/>
    <w:rsid w:val="00D067C2"/>
    <w:rsid w:val="00D06BC8"/>
    <w:rsid w:val="00D0719C"/>
    <w:rsid w:val="00D07625"/>
    <w:rsid w:val="00D07717"/>
    <w:rsid w:val="00D1081C"/>
    <w:rsid w:val="00D109DA"/>
    <w:rsid w:val="00D10D6A"/>
    <w:rsid w:val="00D115A2"/>
    <w:rsid w:val="00D11ACB"/>
    <w:rsid w:val="00D130B1"/>
    <w:rsid w:val="00D13B53"/>
    <w:rsid w:val="00D14023"/>
    <w:rsid w:val="00D16F5F"/>
    <w:rsid w:val="00D1792E"/>
    <w:rsid w:val="00D20B68"/>
    <w:rsid w:val="00D212CD"/>
    <w:rsid w:val="00D219FB"/>
    <w:rsid w:val="00D21BD2"/>
    <w:rsid w:val="00D21F34"/>
    <w:rsid w:val="00D225AE"/>
    <w:rsid w:val="00D230A6"/>
    <w:rsid w:val="00D262E9"/>
    <w:rsid w:val="00D272B1"/>
    <w:rsid w:val="00D272BB"/>
    <w:rsid w:val="00D275E1"/>
    <w:rsid w:val="00D2760A"/>
    <w:rsid w:val="00D27A4E"/>
    <w:rsid w:val="00D30914"/>
    <w:rsid w:val="00D30D61"/>
    <w:rsid w:val="00D3178A"/>
    <w:rsid w:val="00D31865"/>
    <w:rsid w:val="00D31EE0"/>
    <w:rsid w:val="00D324CF"/>
    <w:rsid w:val="00D32BBD"/>
    <w:rsid w:val="00D32BDA"/>
    <w:rsid w:val="00D33160"/>
    <w:rsid w:val="00D34FAE"/>
    <w:rsid w:val="00D36694"/>
    <w:rsid w:val="00D40155"/>
    <w:rsid w:val="00D407E6"/>
    <w:rsid w:val="00D40BD3"/>
    <w:rsid w:val="00D423FE"/>
    <w:rsid w:val="00D43C1C"/>
    <w:rsid w:val="00D43C63"/>
    <w:rsid w:val="00D44551"/>
    <w:rsid w:val="00D45317"/>
    <w:rsid w:val="00D506CC"/>
    <w:rsid w:val="00D50EF1"/>
    <w:rsid w:val="00D51FC8"/>
    <w:rsid w:val="00D52504"/>
    <w:rsid w:val="00D52EE4"/>
    <w:rsid w:val="00D5578D"/>
    <w:rsid w:val="00D55BC5"/>
    <w:rsid w:val="00D57A42"/>
    <w:rsid w:val="00D60313"/>
    <w:rsid w:val="00D61318"/>
    <w:rsid w:val="00D61607"/>
    <w:rsid w:val="00D61C67"/>
    <w:rsid w:val="00D62774"/>
    <w:rsid w:val="00D62C46"/>
    <w:rsid w:val="00D6322B"/>
    <w:rsid w:val="00D63BFD"/>
    <w:rsid w:val="00D63C2C"/>
    <w:rsid w:val="00D64A2A"/>
    <w:rsid w:val="00D64D80"/>
    <w:rsid w:val="00D64E89"/>
    <w:rsid w:val="00D65777"/>
    <w:rsid w:val="00D65A9F"/>
    <w:rsid w:val="00D66878"/>
    <w:rsid w:val="00D66E7E"/>
    <w:rsid w:val="00D717FD"/>
    <w:rsid w:val="00D71E74"/>
    <w:rsid w:val="00D7210C"/>
    <w:rsid w:val="00D72182"/>
    <w:rsid w:val="00D72DFE"/>
    <w:rsid w:val="00D73D0A"/>
    <w:rsid w:val="00D764D5"/>
    <w:rsid w:val="00D77DD3"/>
    <w:rsid w:val="00D8013D"/>
    <w:rsid w:val="00D80333"/>
    <w:rsid w:val="00D80A8D"/>
    <w:rsid w:val="00D81BDF"/>
    <w:rsid w:val="00D81E0F"/>
    <w:rsid w:val="00D835A5"/>
    <w:rsid w:val="00D850AC"/>
    <w:rsid w:val="00D85ED6"/>
    <w:rsid w:val="00D869FA"/>
    <w:rsid w:val="00D87A9B"/>
    <w:rsid w:val="00D911F6"/>
    <w:rsid w:val="00D91F95"/>
    <w:rsid w:val="00D923E0"/>
    <w:rsid w:val="00D92EEF"/>
    <w:rsid w:val="00D93033"/>
    <w:rsid w:val="00D93660"/>
    <w:rsid w:val="00D95DC9"/>
    <w:rsid w:val="00DA0498"/>
    <w:rsid w:val="00DA0D25"/>
    <w:rsid w:val="00DA154E"/>
    <w:rsid w:val="00DA1841"/>
    <w:rsid w:val="00DA230F"/>
    <w:rsid w:val="00DA3C51"/>
    <w:rsid w:val="00DA5307"/>
    <w:rsid w:val="00DA55B0"/>
    <w:rsid w:val="00DA599C"/>
    <w:rsid w:val="00DA7030"/>
    <w:rsid w:val="00DA738E"/>
    <w:rsid w:val="00DA788B"/>
    <w:rsid w:val="00DA7B3C"/>
    <w:rsid w:val="00DB136A"/>
    <w:rsid w:val="00DB2911"/>
    <w:rsid w:val="00DB2A21"/>
    <w:rsid w:val="00DB2F86"/>
    <w:rsid w:val="00DB55AA"/>
    <w:rsid w:val="00DB656E"/>
    <w:rsid w:val="00DB7651"/>
    <w:rsid w:val="00DB7658"/>
    <w:rsid w:val="00DB77DF"/>
    <w:rsid w:val="00DB7D9E"/>
    <w:rsid w:val="00DC0542"/>
    <w:rsid w:val="00DC0595"/>
    <w:rsid w:val="00DC0C9F"/>
    <w:rsid w:val="00DC23A9"/>
    <w:rsid w:val="00DC241B"/>
    <w:rsid w:val="00DC44D7"/>
    <w:rsid w:val="00DC47C6"/>
    <w:rsid w:val="00DC4EFB"/>
    <w:rsid w:val="00DC5FCF"/>
    <w:rsid w:val="00DD0D94"/>
    <w:rsid w:val="00DD0DB0"/>
    <w:rsid w:val="00DD0F43"/>
    <w:rsid w:val="00DD1296"/>
    <w:rsid w:val="00DD1DAB"/>
    <w:rsid w:val="00DD27A4"/>
    <w:rsid w:val="00DD2884"/>
    <w:rsid w:val="00DD528E"/>
    <w:rsid w:val="00DD7C2F"/>
    <w:rsid w:val="00DE0924"/>
    <w:rsid w:val="00DE3D56"/>
    <w:rsid w:val="00DE46E7"/>
    <w:rsid w:val="00DE4B79"/>
    <w:rsid w:val="00DE5A56"/>
    <w:rsid w:val="00DE6234"/>
    <w:rsid w:val="00DE6453"/>
    <w:rsid w:val="00DF23CB"/>
    <w:rsid w:val="00DF3960"/>
    <w:rsid w:val="00DF54D7"/>
    <w:rsid w:val="00DF61B1"/>
    <w:rsid w:val="00DF6A44"/>
    <w:rsid w:val="00DF77C5"/>
    <w:rsid w:val="00E018E7"/>
    <w:rsid w:val="00E04C70"/>
    <w:rsid w:val="00E05E24"/>
    <w:rsid w:val="00E0674A"/>
    <w:rsid w:val="00E07409"/>
    <w:rsid w:val="00E07BC7"/>
    <w:rsid w:val="00E1127D"/>
    <w:rsid w:val="00E13B93"/>
    <w:rsid w:val="00E14533"/>
    <w:rsid w:val="00E15949"/>
    <w:rsid w:val="00E15ACD"/>
    <w:rsid w:val="00E15FFF"/>
    <w:rsid w:val="00E1664F"/>
    <w:rsid w:val="00E16C87"/>
    <w:rsid w:val="00E20CEA"/>
    <w:rsid w:val="00E221C9"/>
    <w:rsid w:val="00E2414D"/>
    <w:rsid w:val="00E247C2"/>
    <w:rsid w:val="00E2507D"/>
    <w:rsid w:val="00E26F12"/>
    <w:rsid w:val="00E321AB"/>
    <w:rsid w:val="00E325C7"/>
    <w:rsid w:val="00E33651"/>
    <w:rsid w:val="00E33A6B"/>
    <w:rsid w:val="00E33C86"/>
    <w:rsid w:val="00E33D45"/>
    <w:rsid w:val="00E35B72"/>
    <w:rsid w:val="00E36032"/>
    <w:rsid w:val="00E36485"/>
    <w:rsid w:val="00E36F0E"/>
    <w:rsid w:val="00E37C41"/>
    <w:rsid w:val="00E4067A"/>
    <w:rsid w:val="00E40D55"/>
    <w:rsid w:val="00E418E9"/>
    <w:rsid w:val="00E4195F"/>
    <w:rsid w:val="00E430B6"/>
    <w:rsid w:val="00E4483A"/>
    <w:rsid w:val="00E45362"/>
    <w:rsid w:val="00E4549A"/>
    <w:rsid w:val="00E510C6"/>
    <w:rsid w:val="00E51431"/>
    <w:rsid w:val="00E517F6"/>
    <w:rsid w:val="00E52CA4"/>
    <w:rsid w:val="00E53DAB"/>
    <w:rsid w:val="00E54920"/>
    <w:rsid w:val="00E54DD1"/>
    <w:rsid w:val="00E55876"/>
    <w:rsid w:val="00E55A50"/>
    <w:rsid w:val="00E5660F"/>
    <w:rsid w:val="00E57038"/>
    <w:rsid w:val="00E570D7"/>
    <w:rsid w:val="00E572FC"/>
    <w:rsid w:val="00E602C5"/>
    <w:rsid w:val="00E6737B"/>
    <w:rsid w:val="00E7337C"/>
    <w:rsid w:val="00E73AA5"/>
    <w:rsid w:val="00E74178"/>
    <w:rsid w:val="00E754C1"/>
    <w:rsid w:val="00E76BFC"/>
    <w:rsid w:val="00E80575"/>
    <w:rsid w:val="00E806FA"/>
    <w:rsid w:val="00E81B98"/>
    <w:rsid w:val="00E82228"/>
    <w:rsid w:val="00E83B91"/>
    <w:rsid w:val="00E840FC"/>
    <w:rsid w:val="00E841F7"/>
    <w:rsid w:val="00E85147"/>
    <w:rsid w:val="00E85230"/>
    <w:rsid w:val="00E86FAA"/>
    <w:rsid w:val="00E901F0"/>
    <w:rsid w:val="00E90AFF"/>
    <w:rsid w:val="00E9291D"/>
    <w:rsid w:val="00E92A06"/>
    <w:rsid w:val="00E92F5B"/>
    <w:rsid w:val="00E93608"/>
    <w:rsid w:val="00E94155"/>
    <w:rsid w:val="00E95212"/>
    <w:rsid w:val="00E95A43"/>
    <w:rsid w:val="00E95FB0"/>
    <w:rsid w:val="00E961C9"/>
    <w:rsid w:val="00E96B81"/>
    <w:rsid w:val="00E96FB2"/>
    <w:rsid w:val="00E977CD"/>
    <w:rsid w:val="00E977F9"/>
    <w:rsid w:val="00E97C26"/>
    <w:rsid w:val="00EA124A"/>
    <w:rsid w:val="00EA19D7"/>
    <w:rsid w:val="00EA1A19"/>
    <w:rsid w:val="00EA1BDB"/>
    <w:rsid w:val="00EA2213"/>
    <w:rsid w:val="00EA2403"/>
    <w:rsid w:val="00EA37E9"/>
    <w:rsid w:val="00EA3907"/>
    <w:rsid w:val="00EA3B42"/>
    <w:rsid w:val="00EA497B"/>
    <w:rsid w:val="00EA53BE"/>
    <w:rsid w:val="00EA579B"/>
    <w:rsid w:val="00EA66A0"/>
    <w:rsid w:val="00EA76B4"/>
    <w:rsid w:val="00EA7F49"/>
    <w:rsid w:val="00EB1750"/>
    <w:rsid w:val="00EB37ED"/>
    <w:rsid w:val="00EB3C0B"/>
    <w:rsid w:val="00EB3F6A"/>
    <w:rsid w:val="00EB4D6D"/>
    <w:rsid w:val="00EB5B6B"/>
    <w:rsid w:val="00EB5D4F"/>
    <w:rsid w:val="00EB695C"/>
    <w:rsid w:val="00EB788F"/>
    <w:rsid w:val="00EB7B48"/>
    <w:rsid w:val="00EC0217"/>
    <w:rsid w:val="00EC04B3"/>
    <w:rsid w:val="00EC052E"/>
    <w:rsid w:val="00EC0D15"/>
    <w:rsid w:val="00EC3612"/>
    <w:rsid w:val="00EC3FF6"/>
    <w:rsid w:val="00EC5605"/>
    <w:rsid w:val="00EC6A3B"/>
    <w:rsid w:val="00EC71EB"/>
    <w:rsid w:val="00EC7F95"/>
    <w:rsid w:val="00EC7FD1"/>
    <w:rsid w:val="00ED0CA6"/>
    <w:rsid w:val="00ED2224"/>
    <w:rsid w:val="00ED23FB"/>
    <w:rsid w:val="00ED29D6"/>
    <w:rsid w:val="00ED3D2E"/>
    <w:rsid w:val="00ED47E7"/>
    <w:rsid w:val="00ED4B2D"/>
    <w:rsid w:val="00ED4BC8"/>
    <w:rsid w:val="00ED5074"/>
    <w:rsid w:val="00ED5149"/>
    <w:rsid w:val="00ED5556"/>
    <w:rsid w:val="00ED616C"/>
    <w:rsid w:val="00ED6C96"/>
    <w:rsid w:val="00EE0400"/>
    <w:rsid w:val="00EE06EB"/>
    <w:rsid w:val="00EE13F3"/>
    <w:rsid w:val="00EE14ED"/>
    <w:rsid w:val="00EE25B0"/>
    <w:rsid w:val="00EF0328"/>
    <w:rsid w:val="00EF05F1"/>
    <w:rsid w:val="00EF06C2"/>
    <w:rsid w:val="00EF25AD"/>
    <w:rsid w:val="00EF2F78"/>
    <w:rsid w:val="00EF3207"/>
    <w:rsid w:val="00EF41A4"/>
    <w:rsid w:val="00EF4870"/>
    <w:rsid w:val="00EF5DBF"/>
    <w:rsid w:val="00EF6FC3"/>
    <w:rsid w:val="00EF7D72"/>
    <w:rsid w:val="00F00D0A"/>
    <w:rsid w:val="00F00D34"/>
    <w:rsid w:val="00F01178"/>
    <w:rsid w:val="00F01955"/>
    <w:rsid w:val="00F01956"/>
    <w:rsid w:val="00F021DB"/>
    <w:rsid w:val="00F02269"/>
    <w:rsid w:val="00F042AA"/>
    <w:rsid w:val="00F05D0E"/>
    <w:rsid w:val="00F06DD7"/>
    <w:rsid w:val="00F06EB7"/>
    <w:rsid w:val="00F0705A"/>
    <w:rsid w:val="00F10454"/>
    <w:rsid w:val="00F11282"/>
    <w:rsid w:val="00F114EE"/>
    <w:rsid w:val="00F12AF9"/>
    <w:rsid w:val="00F133BD"/>
    <w:rsid w:val="00F13F2B"/>
    <w:rsid w:val="00F1735F"/>
    <w:rsid w:val="00F17473"/>
    <w:rsid w:val="00F20315"/>
    <w:rsid w:val="00F208CC"/>
    <w:rsid w:val="00F21CB1"/>
    <w:rsid w:val="00F21F84"/>
    <w:rsid w:val="00F22966"/>
    <w:rsid w:val="00F22ED5"/>
    <w:rsid w:val="00F2335F"/>
    <w:rsid w:val="00F26DB0"/>
    <w:rsid w:val="00F2727F"/>
    <w:rsid w:val="00F2764E"/>
    <w:rsid w:val="00F2768E"/>
    <w:rsid w:val="00F27E06"/>
    <w:rsid w:val="00F30119"/>
    <w:rsid w:val="00F301C4"/>
    <w:rsid w:val="00F301E5"/>
    <w:rsid w:val="00F30B6D"/>
    <w:rsid w:val="00F31A5A"/>
    <w:rsid w:val="00F31FB6"/>
    <w:rsid w:val="00F351B3"/>
    <w:rsid w:val="00F3539D"/>
    <w:rsid w:val="00F36134"/>
    <w:rsid w:val="00F36BBF"/>
    <w:rsid w:val="00F3763B"/>
    <w:rsid w:val="00F378B1"/>
    <w:rsid w:val="00F379D8"/>
    <w:rsid w:val="00F37B76"/>
    <w:rsid w:val="00F40E8C"/>
    <w:rsid w:val="00F42D37"/>
    <w:rsid w:val="00F448AA"/>
    <w:rsid w:val="00F44D85"/>
    <w:rsid w:val="00F4551F"/>
    <w:rsid w:val="00F457B0"/>
    <w:rsid w:val="00F463DB"/>
    <w:rsid w:val="00F46416"/>
    <w:rsid w:val="00F5071A"/>
    <w:rsid w:val="00F51F06"/>
    <w:rsid w:val="00F52244"/>
    <w:rsid w:val="00F52A39"/>
    <w:rsid w:val="00F56151"/>
    <w:rsid w:val="00F56A05"/>
    <w:rsid w:val="00F602E4"/>
    <w:rsid w:val="00F60444"/>
    <w:rsid w:val="00F60AA4"/>
    <w:rsid w:val="00F60D57"/>
    <w:rsid w:val="00F61FBE"/>
    <w:rsid w:val="00F625BD"/>
    <w:rsid w:val="00F63633"/>
    <w:rsid w:val="00F63E4D"/>
    <w:rsid w:val="00F6424C"/>
    <w:rsid w:val="00F644F6"/>
    <w:rsid w:val="00F6499F"/>
    <w:rsid w:val="00F650FF"/>
    <w:rsid w:val="00F65B57"/>
    <w:rsid w:val="00F65C7D"/>
    <w:rsid w:val="00F70D98"/>
    <w:rsid w:val="00F714F3"/>
    <w:rsid w:val="00F7155E"/>
    <w:rsid w:val="00F71D23"/>
    <w:rsid w:val="00F7260D"/>
    <w:rsid w:val="00F726B1"/>
    <w:rsid w:val="00F7275E"/>
    <w:rsid w:val="00F72AD2"/>
    <w:rsid w:val="00F72E00"/>
    <w:rsid w:val="00F7343A"/>
    <w:rsid w:val="00F735AE"/>
    <w:rsid w:val="00F74ABF"/>
    <w:rsid w:val="00F74ACD"/>
    <w:rsid w:val="00F7688A"/>
    <w:rsid w:val="00F76E6A"/>
    <w:rsid w:val="00F77B8F"/>
    <w:rsid w:val="00F8169B"/>
    <w:rsid w:val="00F81B48"/>
    <w:rsid w:val="00F82060"/>
    <w:rsid w:val="00F82202"/>
    <w:rsid w:val="00F822D1"/>
    <w:rsid w:val="00F83FBC"/>
    <w:rsid w:val="00F869DA"/>
    <w:rsid w:val="00F879E2"/>
    <w:rsid w:val="00F87C67"/>
    <w:rsid w:val="00F90579"/>
    <w:rsid w:val="00F907CD"/>
    <w:rsid w:val="00F92BBB"/>
    <w:rsid w:val="00F933A9"/>
    <w:rsid w:val="00F93DAC"/>
    <w:rsid w:val="00F9424C"/>
    <w:rsid w:val="00F959A8"/>
    <w:rsid w:val="00F96BDA"/>
    <w:rsid w:val="00FA067D"/>
    <w:rsid w:val="00FA06FF"/>
    <w:rsid w:val="00FA090D"/>
    <w:rsid w:val="00FA0E43"/>
    <w:rsid w:val="00FA102B"/>
    <w:rsid w:val="00FA3010"/>
    <w:rsid w:val="00FA3332"/>
    <w:rsid w:val="00FA3352"/>
    <w:rsid w:val="00FA40C9"/>
    <w:rsid w:val="00FA4755"/>
    <w:rsid w:val="00FA5974"/>
    <w:rsid w:val="00FA5C0E"/>
    <w:rsid w:val="00FA79AD"/>
    <w:rsid w:val="00FA79D4"/>
    <w:rsid w:val="00FB088F"/>
    <w:rsid w:val="00FB45F9"/>
    <w:rsid w:val="00FB4C0A"/>
    <w:rsid w:val="00FB59C4"/>
    <w:rsid w:val="00FB60B8"/>
    <w:rsid w:val="00FB6E7D"/>
    <w:rsid w:val="00FC0609"/>
    <w:rsid w:val="00FC0FF9"/>
    <w:rsid w:val="00FC1393"/>
    <w:rsid w:val="00FC2216"/>
    <w:rsid w:val="00FC331E"/>
    <w:rsid w:val="00FC3DA6"/>
    <w:rsid w:val="00FC4D41"/>
    <w:rsid w:val="00FC4DA1"/>
    <w:rsid w:val="00FC501E"/>
    <w:rsid w:val="00FC537E"/>
    <w:rsid w:val="00FC5A5A"/>
    <w:rsid w:val="00FC5F4D"/>
    <w:rsid w:val="00FD00F6"/>
    <w:rsid w:val="00FD1996"/>
    <w:rsid w:val="00FD3219"/>
    <w:rsid w:val="00FD33C3"/>
    <w:rsid w:val="00FD3BFE"/>
    <w:rsid w:val="00FD585C"/>
    <w:rsid w:val="00FD5D71"/>
    <w:rsid w:val="00FD6B2C"/>
    <w:rsid w:val="00FE04A3"/>
    <w:rsid w:val="00FE24C1"/>
    <w:rsid w:val="00FE2E07"/>
    <w:rsid w:val="00FE386E"/>
    <w:rsid w:val="00FE4955"/>
    <w:rsid w:val="00FE7959"/>
    <w:rsid w:val="00FF022B"/>
    <w:rsid w:val="00FF2AEA"/>
    <w:rsid w:val="00FF3D44"/>
    <w:rsid w:val="00FF51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A7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Normal"/>
    <w:qFormat/>
    <w:rsid w:val="00536144"/>
    <w:pPr>
      <w:spacing w:after="12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B51041"/>
    <w:pPr>
      <w:keepNext/>
      <w:spacing w:before="36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B51041"/>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162DA9"/>
    <w:pPr>
      <w:numPr>
        <w:numId w:val="2"/>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162DA9"/>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7653A6"/>
    <w:pPr>
      <w:tabs>
        <w:tab w:val="left" w:pos="284"/>
        <w:tab w:val="right" w:leader="dot" w:pos="8820"/>
      </w:tabs>
      <w:spacing w:before="200"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ind w:left="1077" w:hanging="357"/>
    </w:pPr>
  </w:style>
  <w:style w:type="paragraph" w:styleId="Caption">
    <w:name w:val="caption"/>
    <w:basedOn w:val="Normal"/>
    <w:next w:val="Normal"/>
    <w:uiPriority w:val="35"/>
    <w:unhideWhenUsed/>
    <w:qFormat/>
    <w:rsid w:val="00D10D6A"/>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semiHidden/>
    <w:unhideWhenUsed/>
    <w:rsid w:val="00D10D6A"/>
  </w:style>
  <w:style w:type="character" w:customStyle="1" w:styleId="BodyTextChar">
    <w:name w:val="Body Text Char"/>
    <w:basedOn w:val="DefaultParagraphFont"/>
    <w:link w:val="BodyText"/>
    <w:uiPriority w:val="99"/>
    <w:semiHidden/>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ind w:left="0"/>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styleId="CommentReference">
    <w:name w:val="annotation reference"/>
    <w:basedOn w:val="DefaultParagraphFont"/>
    <w:uiPriority w:val="99"/>
    <w:semiHidden/>
    <w:unhideWhenUsed/>
    <w:rsid w:val="007E7776"/>
    <w:rPr>
      <w:sz w:val="16"/>
      <w:szCs w:val="16"/>
    </w:rPr>
  </w:style>
  <w:style w:type="paragraph" w:styleId="CommentText">
    <w:name w:val="annotation text"/>
    <w:basedOn w:val="Normal"/>
    <w:link w:val="CommentTextChar"/>
    <w:uiPriority w:val="99"/>
    <w:unhideWhenUsed/>
    <w:rsid w:val="007E7776"/>
    <w:rPr>
      <w:szCs w:val="20"/>
    </w:rPr>
  </w:style>
  <w:style w:type="character" w:customStyle="1" w:styleId="CommentTextChar">
    <w:name w:val="Comment Text Char"/>
    <w:basedOn w:val="DefaultParagraphFont"/>
    <w:link w:val="CommentText"/>
    <w:uiPriority w:val="99"/>
    <w:rsid w:val="007E7776"/>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E7776"/>
    <w:rPr>
      <w:b/>
      <w:bCs/>
    </w:rPr>
  </w:style>
  <w:style w:type="character" w:customStyle="1" w:styleId="CommentSubjectChar">
    <w:name w:val="Comment Subject Char"/>
    <w:basedOn w:val="CommentTextChar"/>
    <w:link w:val="CommentSubject"/>
    <w:uiPriority w:val="99"/>
    <w:semiHidden/>
    <w:rsid w:val="007E7776"/>
    <w:rPr>
      <w:rFonts w:ascii="Arial" w:eastAsia="Times New Roman" w:hAnsi="Arial" w:cs="Times New Roman"/>
      <w:b/>
      <w:bCs/>
      <w:sz w:val="20"/>
      <w:szCs w:val="20"/>
      <w:lang w:eastAsia="en-AU"/>
    </w:rPr>
  </w:style>
  <w:style w:type="paragraph" w:styleId="ListBullet">
    <w:name w:val="List Bullet"/>
    <w:basedOn w:val="Normal"/>
    <w:uiPriority w:val="99"/>
    <w:unhideWhenUsed/>
    <w:rsid w:val="003F4219"/>
    <w:pPr>
      <w:numPr>
        <w:numId w:val="6"/>
      </w:numPr>
      <w:contextualSpacing/>
    </w:pPr>
  </w:style>
  <w:style w:type="paragraph" w:customStyle="1" w:styleId="Disclaimer">
    <w:name w:val="Disclaimer"/>
    <w:basedOn w:val="Normal"/>
    <w:uiPriority w:val="2"/>
    <w:rsid w:val="00077D9A"/>
    <w:pPr>
      <w:spacing w:after="60"/>
      <w:jc w:val="left"/>
    </w:pPr>
    <w:rPr>
      <w:rFonts w:eastAsiaTheme="minorHAnsi" w:cs="Arial"/>
      <w:sz w:val="16"/>
      <w:szCs w:val="16"/>
      <w:lang w:eastAsia="en-US"/>
    </w:rPr>
  </w:style>
  <w:style w:type="character" w:styleId="UnresolvedMention">
    <w:name w:val="Unresolved Mention"/>
    <w:basedOn w:val="DefaultParagraphFont"/>
    <w:uiPriority w:val="99"/>
    <w:semiHidden/>
    <w:unhideWhenUsed/>
    <w:rsid w:val="00AF36A8"/>
    <w:rPr>
      <w:color w:val="605E5C"/>
      <w:shd w:val="clear" w:color="auto" w:fill="E1DFDD"/>
    </w:rPr>
  </w:style>
  <w:style w:type="paragraph" w:styleId="Revision">
    <w:name w:val="Revision"/>
    <w:hidden/>
    <w:uiPriority w:val="99"/>
    <w:semiHidden/>
    <w:rsid w:val="0032103F"/>
    <w:pPr>
      <w:spacing w:after="0" w:line="240" w:lineRule="auto"/>
    </w:pPr>
    <w:rPr>
      <w:rFonts w:ascii="Arial" w:eastAsia="Times New Roman" w:hAnsi="Arial" w:cs="Times New Roman"/>
      <w:sz w:val="20"/>
      <w:szCs w:val="24"/>
      <w:lang w:eastAsia="en-AU"/>
    </w:rPr>
  </w:style>
  <w:style w:type="paragraph" w:styleId="TableofFigures">
    <w:name w:val="table of figures"/>
    <w:basedOn w:val="Normal"/>
    <w:next w:val="Normal"/>
    <w:uiPriority w:val="99"/>
    <w:unhideWhenUsed/>
    <w:rsid w:val="00E1127D"/>
    <w:pPr>
      <w:spacing w:after="0"/>
    </w:pPr>
  </w:style>
  <w:style w:type="paragraph" w:customStyle="1" w:styleId="NoParagraphStyle">
    <w:name w:val="[No Paragraph Style]"/>
    <w:rsid w:val="004513B8"/>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styleId="TOC4">
    <w:name w:val="toc 4"/>
    <w:basedOn w:val="Normal"/>
    <w:next w:val="Normal"/>
    <w:autoRedefine/>
    <w:uiPriority w:val="39"/>
    <w:unhideWhenUsed/>
    <w:rsid w:val="0031228B"/>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1228B"/>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1228B"/>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1228B"/>
    <w:pPr>
      <w:spacing w:after="100" w:line="259" w:lineRule="auto"/>
      <w:ind w:left="132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1228B"/>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865">
      <w:bodyDiv w:val="1"/>
      <w:marLeft w:val="0"/>
      <w:marRight w:val="0"/>
      <w:marTop w:val="0"/>
      <w:marBottom w:val="0"/>
      <w:divBdr>
        <w:top w:val="none" w:sz="0" w:space="0" w:color="auto"/>
        <w:left w:val="none" w:sz="0" w:space="0" w:color="auto"/>
        <w:bottom w:val="none" w:sz="0" w:space="0" w:color="auto"/>
        <w:right w:val="none" w:sz="0" w:space="0" w:color="auto"/>
      </w:divBdr>
    </w:div>
    <w:div w:id="74329201">
      <w:bodyDiv w:val="1"/>
      <w:marLeft w:val="0"/>
      <w:marRight w:val="0"/>
      <w:marTop w:val="0"/>
      <w:marBottom w:val="0"/>
      <w:divBdr>
        <w:top w:val="none" w:sz="0" w:space="0" w:color="auto"/>
        <w:left w:val="none" w:sz="0" w:space="0" w:color="auto"/>
        <w:bottom w:val="none" w:sz="0" w:space="0" w:color="auto"/>
        <w:right w:val="none" w:sz="0" w:space="0" w:color="auto"/>
      </w:divBdr>
    </w:div>
    <w:div w:id="187065800">
      <w:bodyDiv w:val="1"/>
      <w:marLeft w:val="0"/>
      <w:marRight w:val="0"/>
      <w:marTop w:val="0"/>
      <w:marBottom w:val="0"/>
      <w:divBdr>
        <w:top w:val="none" w:sz="0" w:space="0" w:color="auto"/>
        <w:left w:val="none" w:sz="0" w:space="0" w:color="auto"/>
        <w:bottom w:val="none" w:sz="0" w:space="0" w:color="auto"/>
        <w:right w:val="none" w:sz="0" w:space="0" w:color="auto"/>
      </w:divBdr>
    </w:div>
    <w:div w:id="212351351">
      <w:bodyDiv w:val="1"/>
      <w:marLeft w:val="0"/>
      <w:marRight w:val="0"/>
      <w:marTop w:val="0"/>
      <w:marBottom w:val="0"/>
      <w:divBdr>
        <w:top w:val="none" w:sz="0" w:space="0" w:color="auto"/>
        <w:left w:val="none" w:sz="0" w:space="0" w:color="auto"/>
        <w:bottom w:val="none" w:sz="0" w:space="0" w:color="auto"/>
        <w:right w:val="none" w:sz="0" w:space="0" w:color="auto"/>
      </w:divBdr>
    </w:div>
    <w:div w:id="374811478">
      <w:bodyDiv w:val="1"/>
      <w:marLeft w:val="0"/>
      <w:marRight w:val="0"/>
      <w:marTop w:val="0"/>
      <w:marBottom w:val="0"/>
      <w:divBdr>
        <w:top w:val="none" w:sz="0" w:space="0" w:color="auto"/>
        <w:left w:val="none" w:sz="0" w:space="0" w:color="auto"/>
        <w:bottom w:val="none" w:sz="0" w:space="0" w:color="auto"/>
        <w:right w:val="none" w:sz="0" w:space="0" w:color="auto"/>
      </w:divBdr>
    </w:div>
    <w:div w:id="566917176">
      <w:bodyDiv w:val="1"/>
      <w:marLeft w:val="0"/>
      <w:marRight w:val="0"/>
      <w:marTop w:val="0"/>
      <w:marBottom w:val="0"/>
      <w:divBdr>
        <w:top w:val="none" w:sz="0" w:space="0" w:color="auto"/>
        <w:left w:val="none" w:sz="0" w:space="0" w:color="auto"/>
        <w:bottom w:val="none" w:sz="0" w:space="0" w:color="auto"/>
        <w:right w:val="none" w:sz="0" w:space="0" w:color="auto"/>
      </w:divBdr>
    </w:div>
    <w:div w:id="579339294">
      <w:bodyDiv w:val="1"/>
      <w:marLeft w:val="0"/>
      <w:marRight w:val="0"/>
      <w:marTop w:val="0"/>
      <w:marBottom w:val="0"/>
      <w:divBdr>
        <w:top w:val="none" w:sz="0" w:space="0" w:color="auto"/>
        <w:left w:val="none" w:sz="0" w:space="0" w:color="auto"/>
        <w:bottom w:val="none" w:sz="0" w:space="0" w:color="auto"/>
        <w:right w:val="none" w:sz="0" w:space="0" w:color="auto"/>
      </w:divBdr>
    </w:div>
    <w:div w:id="613709474">
      <w:bodyDiv w:val="1"/>
      <w:marLeft w:val="0"/>
      <w:marRight w:val="0"/>
      <w:marTop w:val="0"/>
      <w:marBottom w:val="0"/>
      <w:divBdr>
        <w:top w:val="none" w:sz="0" w:space="0" w:color="auto"/>
        <w:left w:val="none" w:sz="0" w:space="0" w:color="auto"/>
        <w:bottom w:val="none" w:sz="0" w:space="0" w:color="auto"/>
        <w:right w:val="none" w:sz="0" w:space="0" w:color="auto"/>
      </w:divBdr>
    </w:div>
    <w:div w:id="674578057">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98045309">
      <w:bodyDiv w:val="1"/>
      <w:marLeft w:val="0"/>
      <w:marRight w:val="0"/>
      <w:marTop w:val="0"/>
      <w:marBottom w:val="0"/>
      <w:divBdr>
        <w:top w:val="none" w:sz="0" w:space="0" w:color="auto"/>
        <w:left w:val="none" w:sz="0" w:space="0" w:color="auto"/>
        <w:bottom w:val="none" w:sz="0" w:space="0" w:color="auto"/>
        <w:right w:val="none" w:sz="0" w:space="0" w:color="auto"/>
      </w:divBdr>
    </w:div>
    <w:div w:id="702680446">
      <w:bodyDiv w:val="1"/>
      <w:marLeft w:val="0"/>
      <w:marRight w:val="0"/>
      <w:marTop w:val="0"/>
      <w:marBottom w:val="0"/>
      <w:divBdr>
        <w:top w:val="none" w:sz="0" w:space="0" w:color="auto"/>
        <w:left w:val="none" w:sz="0" w:space="0" w:color="auto"/>
        <w:bottom w:val="none" w:sz="0" w:space="0" w:color="auto"/>
        <w:right w:val="none" w:sz="0" w:space="0" w:color="auto"/>
      </w:divBdr>
    </w:div>
    <w:div w:id="717167163">
      <w:bodyDiv w:val="1"/>
      <w:marLeft w:val="0"/>
      <w:marRight w:val="0"/>
      <w:marTop w:val="0"/>
      <w:marBottom w:val="0"/>
      <w:divBdr>
        <w:top w:val="none" w:sz="0" w:space="0" w:color="auto"/>
        <w:left w:val="none" w:sz="0" w:space="0" w:color="auto"/>
        <w:bottom w:val="none" w:sz="0" w:space="0" w:color="auto"/>
        <w:right w:val="none" w:sz="0" w:space="0" w:color="auto"/>
      </w:divBdr>
    </w:div>
    <w:div w:id="747729208">
      <w:bodyDiv w:val="1"/>
      <w:marLeft w:val="0"/>
      <w:marRight w:val="0"/>
      <w:marTop w:val="0"/>
      <w:marBottom w:val="0"/>
      <w:divBdr>
        <w:top w:val="none" w:sz="0" w:space="0" w:color="auto"/>
        <w:left w:val="none" w:sz="0" w:space="0" w:color="auto"/>
        <w:bottom w:val="none" w:sz="0" w:space="0" w:color="auto"/>
        <w:right w:val="none" w:sz="0" w:space="0" w:color="auto"/>
      </w:divBdr>
    </w:div>
    <w:div w:id="827795066">
      <w:bodyDiv w:val="1"/>
      <w:marLeft w:val="0"/>
      <w:marRight w:val="0"/>
      <w:marTop w:val="0"/>
      <w:marBottom w:val="0"/>
      <w:divBdr>
        <w:top w:val="none" w:sz="0" w:space="0" w:color="auto"/>
        <w:left w:val="none" w:sz="0" w:space="0" w:color="auto"/>
        <w:bottom w:val="none" w:sz="0" w:space="0" w:color="auto"/>
        <w:right w:val="none" w:sz="0" w:space="0" w:color="auto"/>
      </w:divBdr>
    </w:div>
    <w:div w:id="1017731259">
      <w:bodyDiv w:val="1"/>
      <w:marLeft w:val="0"/>
      <w:marRight w:val="0"/>
      <w:marTop w:val="0"/>
      <w:marBottom w:val="0"/>
      <w:divBdr>
        <w:top w:val="none" w:sz="0" w:space="0" w:color="auto"/>
        <w:left w:val="none" w:sz="0" w:space="0" w:color="auto"/>
        <w:bottom w:val="none" w:sz="0" w:space="0" w:color="auto"/>
        <w:right w:val="none" w:sz="0" w:space="0" w:color="auto"/>
      </w:divBdr>
    </w:div>
    <w:div w:id="1111315088">
      <w:bodyDiv w:val="1"/>
      <w:marLeft w:val="0"/>
      <w:marRight w:val="0"/>
      <w:marTop w:val="0"/>
      <w:marBottom w:val="0"/>
      <w:divBdr>
        <w:top w:val="none" w:sz="0" w:space="0" w:color="auto"/>
        <w:left w:val="none" w:sz="0" w:space="0" w:color="auto"/>
        <w:bottom w:val="none" w:sz="0" w:space="0" w:color="auto"/>
        <w:right w:val="none" w:sz="0" w:space="0" w:color="auto"/>
      </w:divBdr>
    </w:div>
    <w:div w:id="1161888058">
      <w:bodyDiv w:val="1"/>
      <w:marLeft w:val="0"/>
      <w:marRight w:val="0"/>
      <w:marTop w:val="0"/>
      <w:marBottom w:val="0"/>
      <w:divBdr>
        <w:top w:val="none" w:sz="0" w:space="0" w:color="auto"/>
        <w:left w:val="none" w:sz="0" w:space="0" w:color="auto"/>
        <w:bottom w:val="none" w:sz="0" w:space="0" w:color="auto"/>
        <w:right w:val="none" w:sz="0" w:space="0" w:color="auto"/>
      </w:divBdr>
    </w:div>
    <w:div w:id="1239099306">
      <w:bodyDiv w:val="1"/>
      <w:marLeft w:val="0"/>
      <w:marRight w:val="0"/>
      <w:marTop w:val="0"/>
      <w:marBottom w:val="0"/>
      <w:divBdr>
        <w:top w:val="none" w:sz="0" w:space="0" w:color="auto"/>
        <w:left w:val="none" w:sz="0" w:space="0" w:color="auto"/>
        <w:bottom w:val="none" w:sz="0" w:space="0" w:color="auto"/>
        <w:right w:val="none" w:sz="0" w:space="0" w:color="auto"/>
      </w:divBdr>
    </w:div>
    <w:div w:id="1296792217">
      <w:bodyDiv w:val="1"/>
      <w:marLeft w:val="0"/>
      <w:marRight w:val="0"/>
      <w:marTop w:val="0"/>
      <w:marBottom w:val="0"/>
      <w:divBdr>
        <w:top w:val="none" w:sz="0" w:space="0" w:color="auto"/>
        <w:left w:val="none" w:sz="0" w:space="0" w:color="auto"/>
        <w:bottom w:val="none" w:sz="0" w:space="0" w:color="auto"/>
        <w:right w:val="none" w:sz="0" w:space="0" w:color="auto"/>
      </w:divBdr>
    </w:div>
    <w:div w:id="1392461034">
      <w:bodyDiv w:val="1"/>
      <w:marLeft w:val="0"/>
      <w:marRight w:val="0"/>
      <w:marTop w:val="0"/>
      <w:marBottom w:val="0"/>
      <w:divBdr>
        <w:top w:val="none" w:sz="0" w:space="0" w:color="auto"/>
        <w:left w:val="none" w:sz="0" w:space="0" w:color="auto"/>
        <w:bottom w:val="none" w:sz="0" w:space="0" w:color="auto"/>
        <w:right w:val="none" w:sz="0" w:space="0" w:color="auto"/>
      </w:divBdr>
    </w:div>
    <w:div w:id="1541015582">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843473827">
      <w:bodyDiv w:val="1"/>
      <w:marLeft w:val="0"/>
      <w:marRight w:val="0"/>
      <w:marTop w:val="0"/>
      <w:marBottom w:val="0"/>
      <w:divBdr>
        <w:top w:val="none" w:sz="0" w:space="0" w:color="auto"/>
        <w:left w:val="none" w:sz="0" w:space="0" w:color="auto"/>
        <w:bottom w:val="none" w:sz="0" w:space="0" w:color="auto"/>
        <w:right w:val="none" w:sz="0" w:space="0" w:color="auto"/>
      </w:divBdr>
    </w:div>
    <w:div w:id="1965622039">
      <w:bodyDiv w:val="1"/>
      <w:marLeft w:val="0"/>
      <w:marRight w:val="0"/>
      <w:marTop w:val="0"/>
      <w:marBottom w:val="0"/>
      <w:divBdr>
        <w:top w:val="none" w:sz="0" w:space="0" w:color="auto"/>
        <w:left w:val="none" w:sz="0" w:space="0" w:color="auto"/>
        <w:bottom w:val="none" w:sz="0" w:space="0" w:color="auto"/>
        <w:right w:val="none" w:sz="0" w:space="0" w:color="auto"/>
      </w:divBdr>
    </w:div>
    <w:div w:id="1983346320">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1950528">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header" Target="header5.xml"/><Relationship Id="rId47" Type="http://schemas.openxmlformats.org/officeDocument/2006/relationships/image" Target="media/image22.png"/><Relationship Id="rId63" Type="http://schemas.openxmlformats.org/officeDocument/2006/relationships/hyperlink" Target="https://www.safeworkaustralia.gov.au/doc/type-occurrence-classification-system-toocs-3rd-edition-may-2008" TargetMode="External"/><Relationship Id="rId68" Type="http://schemas.openxmlformats.org/officeDocument/2006/relationships/hyperlink" Target="http://www.sira.nsw.gov.au/" TargetMode="External"/><Relationship Id="rId84" Type="http://schemas.openxmlformats.org/officeDocument/2006/relationships/hyperlink" Target="mailto:seacare@comcare.gov.au" TargetMode="External"/><Relationship Id="rId89" Type="http://schemas.openxmlformats.org/officeDocument/2006/relationships/header" Target="header6.xml"/><Relationship Id="rId16" Type="http://schemas.openxmlformats.org/officeDocument/2006/relationships/hyperlink" Target="file:///C:\Users\MM3499\AppData\Local\Microsoft\Windows\INetCache\IE\JDDIZ8DH\www.swa.gov.au" TargetMode="External"/><Relationship Id="rId11"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hyperlink" Target="https://www.worksafe.qld.gov.au/" TargetMode="External"/><Relationship Id="rId79" Type="http://schemas.openxmlformats.org/officeDocument/2006/relationships/hyperlink" Target="mailto:wstinfo@justice.tas.gov.au"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yperlink" Target="https://www.safeworkaustralia.gov.au/collection/work-related-traumatic-injury-fatalities" TargetMode="External"/><Relationship Id="rId30" Type="http://schemas.openxmlformats.org/officeDocument/2006/relationships/hyperlink" Target="https://www.safeworkaustralia.gov.au/data-and-research/explore-our-data" TargetMode="Externa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https://www.safeworkaustralia.gov.au/collection/australian-workers-compensation-statistics" TargetMode="External"/><Relationship Id="rId69" Type="http://schemas.openxmlformats.org/officeDocument/2006/relationships/hyperlink" Target="http://www.safework.nsw.gov.au/" TargetMode="External"/><Relationship Id="rId77" Type="http://schemas.openxmlformats.org/officeDocument/2006/relationships/hyperlink" Target="http://www.rtwsa.com/" TargetMode="External"/><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hyperlink" Target="mailto:info@worksafe.vic.gov.au" TargetMode="External"/><Relationship Id="rId80" Type="http://schemas.openxmlformats.org/officeDocument/2006/relationships/hyperlink" Target="http://www.worksafe.tas.gov.au/" TargetMode="External"/><Relationship Id="rId85" Type="http://schemas.openxmlformats.org/officeDocument/2006/relationships/hyperlink" Target="http://www.seacare.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afeworkaustralia.gov.au/data-and-research/measuring-return-work-outcomes"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mailto:contact@sira.nsw.gov.au" TargetMode="External"/><Relationship Id="rId20" Type="http://schemas.openxmlformats.org/officeDocument/2006/relationships/header" Target="header4.xml"/><Relationship Id="rId41" Type="http://schemas.openxmlformats.org/officeDocument/2006/relationships/hyperlink" Target="https://www.safeworkaustralia.gov.au/data-and-research/explore-our-data"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pi.nsw.gov.au/" TargetMode="External"/><Relationship Id="rId75" Type="http://schemas.openxmlformats.org/officeDocument/2006/relationships/hyperlink" Target="http://www.workcover.wa.gov.au/" TargetMode="External"/><Relationship Id="rId83" Type="http://schemas.openxmlformats.org/officeDocument/2006/relationships/hyperlink" Target="https://www.worksafe.act.gov.au/" TargetMode="External"/><Relationship Id="rId88" Type="http://schemas.openxmlformats.org/officeDocument/2006/relationships/hyperlink" Target="http://www.worksafe.govt.nz"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swa.gov.au" TargetMode="External"/><Relationship Id="rId23" Type="http://schemas.openxmlformats.org/officeDocument/2006/relationships/image" Target="media/image4.png"/><Relationship Id="rId28" Type="http://schemas.openxmlformats.org/officeDocument/2006/relationships/hyperlink" Target="https://www.mesothelioma-australia.com/publications-and-data/publications"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https://www.safeworkaustralia.gov.au/data-and-research/explore-our-data" TargetMode="External"/><Relationship Id="rId73" Type="http://schemas.openxmlformats.org/officeDocument/2006/relationships/hyperlink" Target="http://www.worksafe.vic.gov.au/" TargetMode="External"/><Relationship Id="rId78" Type="http://schemas.openxmlformats.org/officeDocument/2006/relationships/hyperlink" Target="http://www.safework.sa.gov.au/" TargetMode="External"/><Relationship Id="rId81" Type="http://schemas.openxmlformats.org/officeDocument/2006/relationships/hyperlink" Target="mailto:ntworksafe@nt.gov.au" TargetMode="External"/><Relationship Id="rId86" Type="http://schemas.openxmlformats.org/officeDocument/2006/relationships/hyperlink" Target="http://www.comcare.gov.a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safeworkaustralia.gov.au/workers-compensation/comparing-workers-compensation-australia"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www.dmirs.wa.gov.au/" TargetMode="External"/><Relationship Id="rId7" Type="http://schemas.openxmlformats.org/officeDocument/2006/relationships/endnotes" Target="endnotes.xml"/><Relationship Id="rId71" Type="http://schemas.openxmlformats.org/officeDocument/2006/relationships/hyperlink" Target="http://www.icare.nsw.gov.au" TargetMode="External"/><Relationship Id="rId2" Type="http://schemas.openxmlformats.org/officeDocument/2006/relationships/numbering" Target="numbering.xml"/><Relationship Id="rId29" Type="http://schemas.openxmlformats.org/officeDocument/2006/relationships/hyperlink" Target="https://www.safeworkaustralia.gov.au/resources-and-publications/guidance-materials/type-occurrence-classification-system-toocs-3rd-edition-may-2008" TargetMode="External"/><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hyperlink" Target="https://www.safeworkaustralia.gov.au/resources-and-publications/statistical-reports/explanatory-notes-national-data-set-compensation-based-statistics-safe-work-australia" TargetMode="External"/><Relationship Id="rId87" Type="http://schemas.openxmlformats.org/officeDocument/2006/relationships/hyperlink" Target="http://www.acc.co.nz/" TargetMode="External"/><Relationship Id="rId61" Type="http://schemas.openxmlformats.org/officeDocument/2006/relationships/image" Target="media/image36.png"/><Relationship Id="rId82" Type="http://schemas.openxmlformats.org/officeDocument/2006/relationships/hyperlink" Target="http://www.worksafe.nt.gov.au/Pages/default.aspx" TargetMode="Externa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96BCF-4239-46FD-91D9-B36E56C5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10815</Words>
  <Characters>61649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2022-11-24T22:39:00Z</dcterms:created>
  <dcterms:modified xsi:type="dcterms:W3CDTF">2022-12-08T02:25:00Z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2022-06-22T04:02:25Z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502c8f1f-9759-4159-a031-b1a6cfe11b54</vt:lpwstr>
  </property>
  <property fmtid="{D5CDD505-2E9C-101B-9397-08002B2CF9AE}" pid="8" name="MSIP_Label_79d889eb-932f-4752-8739-64d25806ef64_ContentBits">
    <vt:lpwstr>0</vt:lpwstr>
  </property>
</Properties>
</file>