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harts/chart14.xml" ContentType="application/vnd.openxmlformats-officedocument.drawingml.chart+xml"/>
  <Override PartName="/word/charts/chart13.xml" ContentType="application/vnd.openxmlformats-officedocument.drawingml.chart+xml"/>
  <Override PartName="/word/charts/chart12.xml" ContentType="application/vnd.openxmlformats-officedocument.drawingml.chart+xml"/>
  <Override PartName="/word/charts/chart10.xml" ContentType="application/vnd.openxmlformats-officedocument.drawingml.chart+xml"/>
  <Override PartName="/word/charts/chart1.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4.xml" ContentType="application/vnd.openxmlformats-officedocument.drawingml.chart+xml"/>
  <Override PartName="/word/charts/chart9.xml" ContentType="application/vnd.openxmlformats-officedocument.drawingml.chart+xml"/>
  <Override PartName="/word/charts/chart3.xml" ContentType="application/vnd.openxmlformats-officedocument.drawingml.chart+xml"/>
  <Override PartName="/word/charts/chart8.xml" ContentType="application/vnd.openxmlformats-officedocument.drawingml.chart+xml"/>
  <Override PartName="/word/charts/chart6.xml" ContentType="application/vnd.openxmlformats-officedocument.drawingml.chart+xml"/>
  <Override PartName="/word/charts/chart5.xml" ContentType="application/vnd.openxmlformats-officedocument.drawingml.chart+xml"/>
  <Override PartName="/word/charts/chart7.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AF8" w:rsidRPr="006072DD" w:rsidRDefault="00416138" w:rsidP="008A5E94">
      <w:pPr>
        <w:spacing w:before="3600" w:after="7200"/>
        <w:jc w:val="center"/>
        <w:rPr>
          <w:b/>
          <w:sz w:val="40"/>
          <w:szCs w:val="40"/>
        </w:rPr>
      </w:pPr>
      <w:bookmarkStart w:id="0" w:name="_GoBack"/>
      <w:bookmarkEnd w:id="0"/>
      <w:r w:rsidRPr="006072DD">
        <w:rPr>
          <w:b/>
          <w:sz w:val="40"/>
          <w:szCs w:val="40"/>
        </w:rPr>
        <w:t xml:space="preserve">A Comparison of Work-Related Injuries </w:t>
      </w:r>
      <w:r w:rsidR="008A5E94" w:rsidRPr="006072DD">
        <w:rPr>
          <w:b/>
          <w:sz w:val="40"/>
          <w:szCs w:val="40"/>
        </w:rPr>
        <w:t>Among</w:t>
      </w:r>
      <w:r w:rsidR="004D3864" w:rsidRPr="006072DD">
        <w:rPr>
          <w:b/>
          <w:sz w:val="40"/>
          <w:szCs w:val="40"/>
        </w:rPr>
        <w:t xml:space="preserve"> </w:t>
      </w:r>
      <w:r w:rsidR="00997B22" w:rsidRPr="006072DD">
        <w:rPr>
          <w:b/>
          <w:sz w:val="40"/>
          <w:szCs w:val="40"/>
        </w:rPr>
        <w:t>S</w:t>
      </w:r>
      <w:r w:rsidR="000D5BAF" w:rsidRPr="006072DD">
        <w:rPr>
          <w:b/>
          <w:sz w:val="40"/>
          <w:szCs w:val="40"/>
        </w:rPr>
        <w:t>hiftworkers and</w:t>
      </w:r>
      <w:r w:rsidR="00637BEA" w:rsidRPr="006072DD">
        <w:rPr>
          <w:b/>
          <w:sz w:val="40"/>
          <w:szCs w:val="40"/>
        </w:rPr>
        <w:t xml:space="preserve"> </w:t>
      </w:r>
      <w:r w:rsidR="0082093C" w:rsidRPr="006072DD">
        <w:rPr>
          <w:b/>
          <w:sz w:val="40"/>
          <w:szCs w:val="40"/>
        </w:rPr>
        <w:t>Non-Shiftworkers</w:t>
      </w:r>
    </w:p>
    <w:p w:rsidR="00B51AE3" w:rsidRPr="00B51AE3" w:rsidRDefault="00B51AE3" w:rsidP="00B51AE3">
      <w:pPr>
        <w:spacing w:after="240"/>
        <w:jc w:val="center"/>
        <w:rPr>
          <w:b/>
          <w:sz w:val="28"/>
          <w:szCs w:val="28"/>
        </w:rPr>
      </w:pPr>
      <w:r w:rsidRPr="00B51AE3">
        <w:rPr>
          <w:b/>
          <w:sz w:val="28"/>
          <w:szCs w:val="28"/>
        </w:rPr>
        <w:t>2016</w:t>
      </w:r>
    </w:p>
    <w:p w:rsidR="000B47E6" w:rsidRDefault="00160AF8" w:rsidP="000B47E6">
      <w:pPr>
        <w:jc w:val="center"/>
        <w:rPr>
          <w:b/>
          <w:sz w:val="40"/>
          <w:szCs w:val="40"/>
        </w:rPr>
      </w:pPr>
      <w:r w:rsidRPr="00810655">
        <w:rPr>
          <w:noProof/>
        </w:rPr>
        <w:drawing>
          <wp:inline distT="0" distB="0" distL="0" distR="0" wp14:anchorId="246B7471" wp14:editId="495EDC7B">
            <wp:extent cx="2071999" cy="432000"/>
            <wp:effectExtent l="0" t="0" r="5080" b="6350"/>
            <wp:docPr id="26" name="Picture 26"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9" cstate="print"/>
                    <a:srcRect/>
                    <a:stretch>
                      <a:fillRect/>
                    </a:stretch>
                  </pic:blipFill>
                  <pic:spPr bwMode="auto">
                    <a:xfrm>
                      <a:off x="0" y="0"/>
                      <a:ext cx="2071999" cy="432000"/>
                    </a:xfrm>
                    <a:prstGeom prst="rect">
                      <a:avLst/>
                    </a:prstGeom>
                    <a:noFill/>
                    <a:ln w="9525">
                      <a:noFill/>
                      <a:miter lim="800000"/>
                      <a:headEnd/>
                      <a:tailEnd/>
                    </a:ln>
                  </pic:spPr>
                </pic:pic>
              </a:graphicData>
            </a:graphic>
          </wp:inline>
        </w:drawing>
      </w:r>
      <w:r w:rsidR="000B47E6">
        <w:rPr>
          <w:b/>
          <w:sz w:val="40"/>
          <w:szCs w:val="40"/>
        </w:rPr>
        <w:br w:type="page"/>
      </w:r>
    </w:p>
    <w:p w:rsidR="00DF1CC9" w:rsidRDefault="00D73CF6" w:rsidP="00DF1CC9">
      <w:pPr>
        <w:rPr>
          <w:b/>
        </w:rPr>
      </w:pPr>
      <w:r>
        <w:rPr>
          <w:b/>
        </w:rPr>
        <w:lastRenderedPageBreak/>
        <w:t>Creative Commons</w:t>
      </w:r>
    </w:p>
    <w:p w:rsidR="00160AF8" w:rsidRPr="00D73CF6" w:rsidRDefault="00160AF8" w:rsidP="00DF1CC9">
      <w:pPr>
        <w:rPr>
          <w:b/>
        </w:rPr>
      </w:pPr>
      <w:r>
        <w:rPr>
          <w:noProof/>
          <w:color w:val="000000" w:themeColor="text1"/>
          <w:sz w:val="19"/>
          <w:szCs w:val="19"/>
        </w:rPr>
        <w:drawing>
          <wp:inline distT="0" distB="0" distL="0" distR="0" wp14:anchorId="23CCFD7C" wp14:editId="0A253100">
            <wp:extent cx="1524000" cy="530370"/>
            <wp:effectExtent l="0" t="0" r="0" b="0"/>
            <wp:docPr id="1" name="Picture 4"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title="Creative Commons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0" cy="530225"/>
                    </a:xfrm>
                    <a:prstGeom prst="rect">
                      <a:avLst/>
                    </a:prstGeom>
                  </pic:spPr>
                </pic:pic>
              </a:graphicData>
            </a:graphic>
          </wp:inline>
        </w:drawing>
      </w:r>
    </w:p>
    <w:p w:rsidR="003D6776" w:rsidRDefault="003D6776" w:rsidP="003D6776">
      <w:pPr>
        <w:pStyle w:val="TextBody"/>
      </w:pPr>
      <w:r>
        <w:t>ISBN: 978-1-76028-823-5 (online pdf)</w:t>
      </w:r>
      <w:r>
        <w:br/>
        <w:t>ISBN: 978-1-76028-824-2 (online docx)</w:t>
      </w:r>
    </w:p>
    <w:p w:rsidR="00DF1CC9" w:rsidRDefault="00DF1CC9" w:rsidP="00DF1CC9">
      <w:r>
        <w:t xml:space="preserve">With the exception of the Safe Work Australia logo, this report is licensed by Safe Work Australia under a Creative Commons 3.0 Australia Licence. To view a copy of this licence, visit </w:t>
      </w:r>
      <w:hyperlink r:id="rId11" w:history="1">
        <w:r w:rsidR="00D73CF6" w:rsidRPr="00240531">
          <w:rPr>
            <w:rStyle w:val="Hyperlink"/>
          </w:rPr>
          <w:t>http://creativecommons.org/licenses/by/3.0/au/deed.en</w:t>
        </w:r>
      </w:hyperlink>
    </w:p>
    <w:p w:rsidR="00DF1CC9" w:rsidRDefault="00DF1CC9" w:rsidP="00DF1CC9">
      <w:r>
        <w:t>In essence, you are free to copy, communicate and adapt the work, as long as you attribute the work to Safe Work Australia and abid</w:t>
      </w:r>
      <w:r w:rsidR="00F8343F">
        <w:t>e by the other licensing terms.</w:t>
      </w:r>
    </w:p>
    <w:p w:rsidR="00DF1CC9" w:rsidRDefault="00DF1CC9" w:rsidP="00DF1CC9">
      <w:r>
        <w:t>Enquiries regarding the licence and any use of the report are welcome at:</w:t>
      </w:r>
    </w:p>
    <w:p w:rsidR="00DF1CC9" w:rsidRDefault="00DF1CC9" w:rsidP="009F3E19">
      <w:pPr>
        <w:spacing w:after="0"/>
      </w:pPr>
      <w:r>
        <w:t>Copyright Officer</w:t>
      </w:r>
    </w:p>
    <w:p w:rsidR="00DF1CC9" w:rsidRDefault="00DF1CC9" w:rsidP="009F3E19">
      <w:pPr>
        <w:spacing w:after="0"/>
      </w:pPr>
      <w:r>
        <w:t>Safe Work Australia</w:t>
      </w:r>
    </w:p>
    <w:p w:rsidR="00DF1CC9" w:rsidRDefault="00DF1CC9" w:rsidP="009F3E19">
      <w:pPr>
        <w:spacing w:after="0"/>
      </w:pPr>
      <w:r>
        <w:t>GPO Box 641 Canberra ACT 2601</w:t>
      </w:r>
    </w:p>
    <w:p w:rsidR="00DF1CC9" w:rsidRDefault="00DF1CC9" w:rsidP="009F3E19">
      <w:pPr>
        <w:spacing w:after="0"/>
      </w:pPr>
      <w:r>
        <w:t xml:space="preserve">Email: </w:t>
      </w:r>
      <w:hyperlink r:id="rId12" w:history="1">
        <w:r w:rsidR="00D73CF6" w:rsidRPr="00240531">
          <w:rPr>
            <w:rStyle w:val="Hyperlink"/>
          </w:rPr>
          <w:t>copyrightrequests@swa.gov.au</w:t>
        </w:r>
      </w:hyperlink>
    </w:p>
    <w:p w:rsidR="009F3E19" w:rsidRDefault="009F3E19" w:rsidP="00DF1CC9">
      <w:pPr>
        <w:rPr>
          <w:b/>
        </w:rPr>
      </w:pPr>
    </w:p>
    <w:p w:rsidR="00DF1CC9" w:rsidRPr="00D73CF6" w:rsidRDefault="00DF1CC9" w:rsidP="00DF1CC9">
      <w:pPr>
        <w:rPr>
          <w:b/>
        </w:rPr>
      </w:pPr>
      <w:r w:rsidRPr="00D73CF6">
        <w:rPr>
          <w:b/>
        </w:rPr>
        <w:t>Disclaimer</w:t>
      </w:r>
    </w:p>
    <w:p w:rsidR="00DF1CC9" w:rsidRDefault="00DF1CC9" w:rsidP="00DF1CC9">
      <w:r>
        <w:t>The information provided in this document can only assist you in the most general way. This document does not replace any statutory requirements under any relevant state and territory legislation. Safe Work Australia accepts no liability arising from the use of or reliance on the material contained on this document, which is provided on</w:t>
      </w:r>
      <w:r w:rsidR="00D73CF6">
        <w:t xml:space="preserve"> </w:t>
      </w:r>
      <w:r>
        <w:t>the basis that Safe Work Australia is not thereby engaged in rendering professional advice. Before relying on the material, users should carefully make their own assessment as to its accuracy, currency, completeness and relevance for their purposes, and should obtain any appropriate professional advice relevant to their particular circumstances. To the extent that the material in this document includes views or recommendations of third parties, such views or recommendations do not necessarily reflect the views of Safe Work Australia nor do they indicate a commitment to a particular course of action.</w:t>
      </w:r>
    </w:p>
    <w:p w:rsidR="00DF1CC9" w:rsidRDefault="00DF1CC9">
      <w:r>
        <w:br w:type="page"/>
      </w:r>
    </w:p>
    <w:p w:rsidR="002529A5" w:rsidRDefault="002529A5" w:rsidP="002529A5">
      <w:pPr>
        <w:pStyle w:val="Heading1"/>
      </w:pPr>
      <w:bookmarkStart w:id="1" w:name="_Toc434238376"/>
      <w:bookmarkStart w:id="2" w:name="_Toc434305213"/>
      <w:bookmarkStart w:id="3" w:name="_Toc434922956"/>
      <w:bookmarkStart w:id="4" w:name="_Toc435165761"/>
      <w:bookmarkStart w:id="5" w:name="_Toc437840015"/>
      <w:bookmarkStart w:id="6" w:name="_Toc440436091"/>
      <w:bookmarkStart w:id="7" w:name="_Toc440442286"/>
      <w:bookmarkStart w:id="8" w:name="_Toc440620255"/>
      <w:bookmarkStart w:id="9" w:name="_Toc440869174"/>
      <w:bookmarkStart w:id="10" w:name="_Toc441038650"/>
      <w:bookmarkStart w:id="11" w:name="_Toc441043239"/>
      <w:bookmarkStart w:id="12" w:name="_Toc443550220"/>
      <w:bookmarkStart w:id="13" w:name="_Toc443550517"/>
      <w:bookmarkStart w:id="14" w:name="_Toc443651428"/>
      <w:bookmarkStart w:id="15" w:name="_Toc444075006"/>
      <w:bookmarkStart w:id="16" w:name="_Toc447701662"/>
      <w:bookmarkStart w:id="17" w:name="_Toc458413169"/>
      <w:bookmarkStart w:id="18" w:name="_Toc458414954"/>
      <w:bookmarkStart w:id="19" w:name="_Toc459358360"/>
      <w:bookmarkStart w:id="20" w:name="_Toc459366221"/>
      <w:r>
        <w:lastRenderedPageBreak/>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sdt>
      <w:sdtPr>
        <w:rPr>
          <w:rStyle w:val="Hyperlink"/>
        </w:rPr>
        <w:id w:val="894711399"/>
        <w:docPartObj>
          <w:docPartGallery w:val="Table of Contents"/>
          <w:docPartUnique/>
        </w:docPartObj>
      </w:sdtPr>
      <w:sdtEndPr>
        <w:rPr>
          <w:rStyle w:val="DefaultParagraphFont"/>
          <w:color w:val="auto"/>
          <w:u w:val="none"/>
        </w:rPr>
      </w:sdtEndPr>
      <w:sdtContent>
        <w:p w:rsidR="00FE4D1D" w:rsidRDefault="002529A5">
          <w:pPr>
            <w:pStyle w:val="TOC1"/>
            <w:rPr>
              <w:rFonts w:asciiTheme="minorHAnsi" w:eastAsiaTheme="minorEastAsia" w:hAnsiTheme="minorHAnsi" w:cstheme="minorBidi"/>
              <w:kern w:val="0"/>
              <w:sz w:val="22"/>
            </w:rPr>
          </w:pPr>
          <w:r w:rsidRPr="00BE5B5A">
            <w:rPr>
              <w:rStyle w:val="Hyperlink"/>
            </w:rPr>
            <w:fldChar w:fldCharType="begin"/>
          </w:r>
          <w:r w:rsidRPr="00BE5B5A">
            <w:rPr>
              <w:rStyle w:val="Hyperlink"/>
            </w:rPr>
            <w:instrText xml:space="preserve"> TOC \o "1-3" \h \z \u </w:instrText>
          </w:r>
          <w:r w:rsidRPr="00BE5B5A">
            <w:rPr>
              <w:rStyle w:val="Hyperlink"/>
            </w:rPr>
            <w:fldChar w:fldCharType="separate"/>
          </w:r>
          <w:hyperlink w:anchor="_Toc459366222" w:history="1">
            <w:r w:rsidR="00FE4D1D" w:rsidRPr="00CD70B4">
              <w:rPr>
                <w:rStyle w:val="Hyperlink"/>
              </w:rPr>
              <w:t>Abbreviations and symbols</w:t>
            </w:r>
            <w:r w:rsidR="00FE4D1D">
              <w:rPr>
                <w:webHidden/>
              </w:rPr>
              <w:tab/>
            </w:r>
            <w:r w:rsidR="00FE4D1D">
              <w:rPr>
                <w:webHidden/>
              </w:rPr>
              <w:fldChar w:fldCharType="begin"/>
            </w:r>
            <w:r w:rsidR="00FE4D1D">
              <w:rPr>
                <w:webHidden/>
              </w:rPr>
              <w:instrText xml:space="preserve"> PAGEREF _Toc459366222 \h </w:instrText>
            </w:r>
            <w:r w:rsidR="00FE4D1D">
              <w:rPr>
                <w:webHidden/>
              </w:rPr>
            </w:r>
            <w:r w:rsidR="00FE4D1D">
              <w:rPr>
                <w:webHidden/>
              </w:rPr>
              <w:fldChar w:fldCharType="separate"/>
            </w:r>
            <w:r w:rsidR="006E0370">
              <w:rPr>
                <w:webHidden/>
              </w:rPr>
              <w:t>4</w:t>
            </w:r>
            <w:r w:rsidR="00FE4D1D">
              <w:rPr>
                <w:webHidden/>
              </w:rPr>
              <w:fldChar w:fldCharType="end"/>
            </w:r>
          </w:hyperlink>
        </w:p>
        <w:p w:rsidR="00FE4D1D" w:rsidRDefault="0040786F">
          <w:pPr>
            <w:pStyle w:val="TOC1"/>
            <w:rPr>
              <w:rFonts w:asciiTheme="minorHAnsi" w:eastAsiaTheme="minorEastAsia" w:hAnsiTheme="minorHAnsi" w:cstheme="minorBidi"/>
              <w:kern w:val="0"/>
              <w:sz w:val="22"/>
            </w:rPr>
          </w:pPr>
          <w:hyperlink w:anchor="_Toc459366223" w:history="1">
            <w:r w:rsidR="00FE4D1D" w:rsidRPr="00CD70B4">
              <w:rPr>
                <w:rStyle w:val="Hyperlink"/>
              </w:rPr>
              <w:t>Summary of results</w:t>
            </w:r>
            <w:r w:rsidR="00FE4D1D">
              <w:rPr>
                <w:webHidden/>
              </w:rPr>
              <w:tab/>
            </w:r>
            <w:r w:rsidR="00FE4D1D">
              <w:rPr>
                <w:webHidden/>
              </w:rPr>
              <w:fldChar w:fldCharType="begin"/>
            </w:r>
            <w:r w:rsidR="00FE4D1D">
              <w:rPr>
                <w:webHidden/>
              </w:rPr>
              <w:instrText xml:space="preserve"> PAGEREF _Toc459366223 \h </w:instrText>
            </w:r>
            <w:r w:rsidR="00FE4D1D">
              <w:rPr>
                <w:webHidden/>
              </w:rPr>
            </w:r>
            <w:r w:rsidR="00FE4D1D">
              <w:rPr>
                <w:webHidden/>
              </w:rPr>
              <w:fldChar w:fldCharType="separate"/>
            </w:r>
            <w:r w:rsidR="006E0370">
              <w:rPr>
                <w:webHidden/>
              </w:rPr>
              <w:t>5</w:t>
            </w:r>
            <w:r w:rsidR="00FE4D1D">
              <w:rPr>
                <w:webHidden/>
              </w:rPr>
              <w:fldChar w:fldCharType="end"/>
            </w:r>
          </w:hyperlink>
        </w:p>
        <w:p w:rsidR="00FE4D1D" w:rsidRDefault="0040786F">
          <w:pPr>
            <w:pStyle w:val="TOC1"/>
            <w:rPr>
              <w:rFonts w:asciiTheme="minorHAnsi" w:eastAsiaTheme="minorEastAsia" w:hAnsiTheme="minorHAnsi" w:cstheme="minorBidi"/>
              <w:kern w:val="0"/>
              <w:sz w:val="22"/>
            </w:rPr>
          </w:pPr>
          <w:hyperlink w:anchor="_Toc459366224" w:history="1">
            <w:r w:rsidR="00FE4D1D" w:rsidRPr="00CD70B4">
              <w:rPr>
                <w:rStyle w:val="Hyperlink"/>
              </w:rPr>
              <w:t>Introduction</w:t>
            </w:r>
            <w:r w:rsidR="00FE4D1D">
              <w:rPr>
                <w:webHidden/>
              </w:rPr>
              <w:tab/>
            </w:r>
            <w:r w:rsidR="00FE4D1D">
              <w:rPr>
                <w:webHidden/>
              </w:rPr>
              <w:fldChar w:fldCharType="begin"/>
            </w:r>
            <w:r w:rsidR="00FE4D1D">
              <w:rPr>
                <w:webHidden/>
              </w:rPr>
              <w:instrText xml:space="preserve"> PAGEREF _Toc459366224 \h </w:instrText>
            </w:r>
            <w:r w:rsidR="00FE4D1D">
              <w:rPr>
                <w:webHidden/>
              </w:rPr>
            </w:r>
            <w:r w:rsidR="00FE4D1D">
              <w:rPr>
                <w:webHidden/>
              </w:rPr>
              <w:fldChar w:fldCharType="separate"/>
            </w:r>
            <w:r w:rsidR="006E0370">
              <w:rPr>
                <w:webHidden/>
              </w:rPr>
              <w:t>6</w:t>
            </w:r>
            <w:r w:rsidR="00FE4D1D">
              <w:rPr>
                <w:webHidden/>
              </w:rPr>
              <w:fldChar w:fldCharType="end"/>
            </w:r>
          </w:hyperlink>
        </w:p>
        <w:p w:rsidR="00FE4D1D" w:rsidRDefault="0040786F">
          <w:pPr>
            <w:pStyle w:val="TOC2"/>
            <w:tabs>
              <w:tab w:val="right" w:leader="dot" w:pos="9736"/>
            </w:tabs>
            <w:rPr>
              <w:rFonts w:asciiTheme="minorHAnsi" w:eastAsiaTheme="minorEastAsia" w:hAnsiTheme="minorHAnsi" w:cstheme="minorBidi"/>
              <w:noProof/>
              <w:kern w:val="0"/>
              <w:sz w:val="22"/>
            </w:rPr>
          </w:pPr>
          <w:hyperlink w:anchor="_Toc459366225" w:history="1">
            <w:r w:rsidR="00FE4D1D" w:rsidRPr="00CD70B4">
              <w:rPr>
                <w:rStyle w:val="Hyperlink"/>
                <w:noProof/>
              </w:rPr>
              <w:t>Source of data</w:t>
            </w:r>
            <w:r w:rsidR="00FE4D1D">
              <w:rPr>
                <w:noProof/>
                <w:webHidden/>
              </w:rPr>
              <w:tab/>
            </w:r>
            <w:r w:rsidR="00FE4D1D">
              <w:rPr>
                <w:noProof/>
                <w:webHidden/>
              </w:rPr>
              <w:fldChar w:fldCharType="begin"/>
            </w:r>
            <w:r w:rsidR="00FE4D1D">
              <w:rPr>
                <w:noProof/>
                <w:webHidden/>
              </w:rPr>
              <w:instrText xml:space="preserve"> PAGEREF _Toc459366225 \h </w:instrText>
            </w:r>
            <w:r w:rsidR="00FE4D1D">
              <w:rPr>
                <w:noProof/>
                <w:webHidden/>
              </w:rPr>
            </w:r>
            <w:r w:rsidR="00FE4D1D">
              <w:rPr>
                <w:noProof/>
                <w:webHidden/>
              </w:rPr>
              <w:fldChar w:fldCharType="separate"/>
            </w:r>
            <w:r w:rsidR="006E0370">
              <w:rPr>
                <w:noProof/>
                <w:webHidden/>
              </w:rPr>
              <w:t>6</w:t>
            </w:r>
            <w:r w:rsidR="00FE4D1D">
              <w:rPr>
                <w:noProof/>
                <w:webHidden/>
              </w:rPr>
              <w:fldChar w:fldCharType="end"/>
            </w:r>
          </w:hyperlink>
        </w:p>
        <w:p w:rsidR="00FE4D1D" w:rsidRDefault="0040786F">
          <w:pPr>
            <w:pStyle w:val="TOC2"/>
            <w:tabs>
              <w:tab w:val="right" w:leader="dot" w:pos="9736"/>
            </w:tabs>
            <w:rPr>
              <w:rFonts w:asciiTheme="minorHAnsi" w:eastAsiaTheme="minorEastAsia" w:hAnsiTheme="minorHAnsi" w:cstheme="minorBidi"/>
              <w:noProof/>
              <w:kern w:val="0"/>
              <w:sz w:val="22"/>
            </w:rPr>
          </w:pPr>
          <w:hyperlink w:anchor="_Toc459366226" w:history="1">
            <w:r w:rsidR="00FE4D1D" w:rsidRPr="00CD70B4">
              <w:rPr>
                <w:rStyle w:val="Hyperlink"/>
                <w:noProof/>
              </w:rPr>
              <w:t>Relative standard error</w:t>
            </w:r>
            <w:r w:rsidR="00FE4D1D">
              <w:rPr>
                <w:noProof/>
                <w:webHidden/>
              </w:rPr>
              <w:tab/>
            </w:r>
            <w:r w:rsidR="00FE4D1D">
              <w:rPr>
                <w:noProof/>
                <w:webHidden/>
              </w:rPr>
              <w:fldChar w:fldCharType="begin"/>
            </w:r>
            <w:r w:rsidR="00FE4D1D">
              <w:rPr>
                <w:noProof/>
                <w:webHidden/>
              </w:rPr>
              <w:instrText xml:space="preserve"> PAGEREF _Toc459366226 \h </w:instrText>
            </w:r>
            <w:r w:rsidR="00FE4D1D">
              <w:rPr>
                <w:noProof/>
                <w:webHidden/>
              </w:rPr>
            </w:r>
            <w:r w:rsidR="00FE4D1D">
              <w:rPr>
                <w:noProof/>
                <w:webHidden/>
              </w:rPr>
              <w:fldChar w:fldCharType="separate"/>
            </w:r>
            <w:r w:rsidR="006E0370">
              <w:rPr>
                <w:noProof/>
                <w:webHidden/>
              </w:rPr>
              <w:t>6</w:t>
            </w:r>
            <w:r w:rsidR="00FE4D1D">
              <w:rPr>
                <w:noProof/>
                <w:webHidden/>
              </w:rPr>
              <w:fldChar w:fldCharType="end"/>
            </w:r>
          </w:hyperlink>
        </w:p>
        <w:p w:rsidR="00FE4D1D" w:rsidRDefault="0040786F">
          <w:pPr>
            <w:pStyle w:val="TOC2"/>
            <w:tabs>
              <w:tab w:val="right" w:leader="dot" w:pos="9736"/>
            </w:tabs>
            <w:rPr>
              <w:rFonts w:asciiTheme="minorHAnsi" w:eastAsiaTheme="minorEastAsia" w:hAnsiTheme="minorHAnsi" w:cstheme="minorBidi"/>
              <w:noProof/>
              <w:kern w:val="0"/>
              <w:sz w:val="22"/>
            </w:rPr>
          </w:pPr>
          <w:hyperlink w:anchor="_Toc459366227" w:history="1">
            <w:r w:rsidR="00FE4D1D" w:rsidRPr="00CD70B4">
              <w:rPr>
                <w:rStyle w:val="Hyperlink"/>
                <w:noProof/>
              </w:rPr>
              <w:t>Tests of statistical significance</w:t>
            </w:r>
            <w:r w:rsidR="00FE4D1D">
              <w:rPr>
                <w:noProof/>
                <w:webHidden/>
              </w:rPr>
              <w:tab/>
            </w:r>
            <w:r w:rsidR="00FE4D1D">
              <w:rPr>
                <w:noProof/>
                <w:webHidden/>
              </w:rPr>
              <w:fldChar w:fldCharType="begin"/>
            </w:r>
            <w:r w:rsidR="00FE4D1D">
              <w:rPr>
                <w:noProof/>
                <w:webHidden/>
              </w:rPr>
              <w:instrText xml:space="preserve"> PAGEREF _Toc459366227 \h </w:instrText>
            </w:r>
            <w:r w:rsidR="00FE4D1D">
              <w:rPr>
                <w:noProof/>
                <w:webHidden/>
              </w:rPr>
            </w:r>
            <w:r w:rsidR="00FE4D1D">
              <w:rPr>
                <w:noProof/>
                <w:webHidden/>
              </w:rPr>
              <w:fldChar w:fldCharType="separate"/>
            </w:r>
            <w:r w:rsidR="006E0370">
              <w:rPr>
                <w:noProof/>
                <w:webHidden/>
              </w:rPr>
              <w:t>6</w:t>
            </w:r>
            <w:r w:rsidR="00FE4D1D">
              <w:rPr>
                <w:noProof/>
                <w:webHidden/>
              </w:rPr>
              <w:fldChar w:fldCharType="end"/>
            </w:r>
          </w:hyperlink>
        </w:p>
        <w:p w:rsidR="00FE4D1D" w:rsidRDefault="0040786F">
          <w:pPr>
            <w:pStyle w:val="TOC2"/>
            <w:tabs>
              <w:tab w:val="right" w:leader="dot" w:pos="9736"/>
            </w:tabs>
            <w:rPr>
              <w:rFonts w:asciiTheme="minorHAnsi" w:eastAsiaTheme="minorEastAsia" w:hAnsiTheme="minorHAnsi" w:cstheme="minorBidi"/>
              <w:noProof/>
              <w:kern w:val="0"/>
              <w:sz w:val="22"/>
            </w:rPr>
          </w:pPr>
          <w:hyperlink w:anchor="_Toc459366228" w:history="1">
            <w:r w:rsidR="00FE4D1D" w:rsidRPr="00CD70B4">
              <w:rPr>
                <w:rStyle w:val="Hyperlink"/>
                <w:noProof/>
              </w:rPr>
              <w:t>Injury rates</w:t>
            </w:r>
            <w:r w:rsidR="00FE4D1D">
              <w:rPr>
                <w:noProof/>
                <w:webHidden/>
              </w:rPr>
              <w:tab/>
            </w:r>
            <w:r w:rsidR="00FE4D1D">
              <w:rPr>
                <w:noProof/>
                <w:webHidden/>
              </w:rPr>
              <w:fldChar w:fldCharType="begin"/>
            </w:r>
            <w:r w:rsidR="00FE4D1D">
              <w:rPr>
                <w:noProof/>
                <w:webHidden/>
              </w:rPr>
              <w:instrText xml:space="preserve"> PAGEREF _Toc459366228 \h </w:instrText>
            </w:r>
            <w:r w:rsidR="00FE4D1D">
              <w:rPr>
                <w:noProof/>
                <w:webHidden/>
              </w:rPr>
            </w:r>
            <w:r w:rsidR="00FE4D1D">
              <w:rPr>
                <w:noProof/>
                <w:webHidden/>
              </w:rPr>
              <w:fldChar w:fldCharType="separate"/>
            </w:r>
            <w:r w:rsidR="006E0370">
              <w:rPr>
                <w:noProof/>
                <w:webHidden/>
              </w:rPr>
              <w:t>6</w:t>
            </w:r>
            <w:r w:rsidR="00FE4D1D">
              <w:rPr>
                <w:noProof/>
                <w:webHidden/>
              </w:rPr>
              <w:fldChar w:fldCharType="end"/>
            </w:r>
          </w:hyperlink>
        </w:p>
        <w:p w:rsidR="00FE4D1D" w:rsidRDefault="0040786F">
          <w:pPr>
            <w:pStyle w:val="TOC1"/>
            <w:rPr>
              <w:rFonts w:asciiTheme="minorHAnsi" w:eastAsiaTheme="minorEastAsia" w:hAnsiTheme="minorHAnsi" w:cstheme="minorBidi"/>
              <w:kern w:val="0"/>
              <w:sz w:val="22"/>
            </w:rPr>
          </w:pPr>
          <w:hyperlink w:anchor="_Toc459366229" w:history="1">
            <w:r w:rsidR="00FE4D1D" w:rsidRPr="00CD70B4">
              <w:rPr>
                <w:rStyle w:val="Hyperlink"/>
              </w:rPr>
              <w:t>Impact of shiftwork on work-related injuries</w:t>
            </w:r>
            <w:r w:rsidR="00FE4D1D">
              <w:rPr>
                <w:webHidden/>
              </w:rPr>
              <w:tab/>
            </w:r>
            <w:r w:rsidR="00FE4D1D">
              <w:rPr>
                <w:webHidden/>
              </w:rPr>
              <w:fldChar w:fldCharType="begin"/>
            </w:r>
            <w:r w:rsidR="00FE4D1D">
              <w:rPr>
                <w:webHidden/>
              </w:rPr>
              <w:instrText xml:space="preserve"> PAGEREF _Toc459366229 \h </w:instrText>
            </w:r>
            <w:r w:rsidR="00FE4D1D">
              <w:rPr>
                <w:webHidden/>
              </w:rPr>
            </w:r>
            <w:r w:rsidR="00FE4D1D">
              <w:rPr>
                <w:webHidden/>
              </w:rPr>
              <w:fldChar w:fldCharType="separate"/>
            </w:r>
            <w:r w:rsidR="006E0370">
              <w:rPr>
                <w:webHidden/>
              </w:rPr>
              <w:t>7</w:t>
            </w:r>
            <w:r w:rsidR="00FE4D1D">
              <w:rPr>
                <w:webHidden/>
              </w:rPr>
              <w:fldChar w:fldCharType="end"/>
            </w:r>
          </w:hyperlink>
        </w:p>
        <w:p w:rsidR="00FE4D1D" w:rsidRDefault="0040786F">
          <w:pPr>
            <w:pStyle w:val="TOC1"/>
            <w:rPr>
              <w:rFonts w:asciiTheme="minorHAnsi" w:eastAsiaTheme="minorEastAsia" w:hAnsiTheme="minorHAnsi" w:cstheme="minorBidi"/>
              <w:kern w:val="0"/>
              <w:sz w:val="22"/>
            </w:rPr>
          </w:pPr>
          <w:hyperlink w:anchor="_Toc459366230" w:history="1">
            <w:r w:rsidR="00FE4D1D" w:rsidRPr="00CD70B4">
              <w:rPr>
                <w:rStyle w:val="Hyperlink"/>
              </w:rPr>
              <w:t>Differences between groups of shiftworkers</w:t>
            </w:r>
            <w:r w:rsidR="00FE4D1D">
              <w:rPr>
                <w:webHidden/>
              </w:rPr>
              <w:tab/>
            </w:r>
            <w:r w:rsidR="00FE4D1D">
              <w:rPr>
                <w:webHidden/>
              </w:rPr>
              <w:fldChar w:fldCharType="begin"/>
            </w:r>
            <w:r w:rsidR="00FE4D1D">
              <w:rPr>
                <w:webHidden/>
              </w:rPr>
              <w:instrText xml:space="preserve"> PAGEREF _Toc459366230 \h </w:instrText>
            </w:r>
            <w:r w:rsidR="00FE4D1D">
              <w:rPr>
                <w:webHidden/>
              </w:rPr>
            </w:r>
            <w:r w:rsidR="00FE4D1D">
              <w:rPr>
                <w:webHidden/>
              </w:rPr>
              <w:fldChar w:fldCharType="separate"/>
            </w:r>
            <w:r w:rsidR="006E0370">
              <w:rPr>
                <w:webHidden/>
              </w:rPr>
              <w:t>8</w:t>
            </w:r>
            <w:r w:rsidR="00FE4D1D">
              <w:rPr>
                <w:webHidden/>
              </w:rPr>
              <w:fldChar w:fldCharType="end"/>
            </w:r>
          </w:hyperlink>
        </w:p>
        <w:p w:rsidR="00FE4D1D" w:rsidRDefault="0040786F">
          <w:pPr>
            <w:pStyle w:val="TOC2"/>
            <w:tabs>
              <w:tab w:val="right" w:leader="dot" w:pos="9736"/>
            </w:tabs>
            <w:rPr>
              <w:rFonts w:asciiTheme="minorHAnsi" w:eastAsiaTheme="minorEastAsia" w:hAnsiTheme="minorHAnsi" w:cstheme="minorBidi"/>
              <w:noProof/>
              <w:kern w:val="0"/>
              <w:sz w:val="22"/>
            </w:rPr>
          </w:pPr>
          <w:hyperlink w:anchor="_Toc459366231" w:history="1">
            <w:r w:rsidR="00FE4D1D" w:rsidRPr="00CD70B4">
              <w:rPr>
                <w:rStyle w:val="Hyperlink"/>
                <w:noProof/>
              </w:rPr>
              <w:t>Occupation</w:t>
            </w:r>
            <w:r w:rsidR="00FE4D1D">
              <w:rPr>
                <w:noProof/>
                <w:webHidden/>
              </w:rPr>
              <w:tab/>
            </w:r>
            <w:r w:rsidR="00FE4D1D">
              <w:rPr>
                <w:noProof/>
                <w:webHidden/>
              </w:rPr>
              <w:fldChar w:fldCharType="begin"/>
            </w:r>
            <w:r w:rsidR="00FE4D1D">
              <w:rPr>
                <w:noProof/>
                <w:webHidden/>
              </w:rPr>
              <w:instrText xml:space="preserve"> PAGEREF _Toc459366231 \h </w:instrText>
            </w:r>
            <w:r w:rsidR="00FE4D1D">
              <w:rPr>
                <w:noProof/>
                <w:webHidden/>
              </w:rPr>
            </w:r>
            <w:r w:rsidR="00FE4D1D">
              <w:rPr>
                <w:noProof/>
                <w:webHidden/>
              </w:rPr>
              <w:fldChar w:fldCharType="separate"/>
            </w:r>
            <w:r w:rsidR="006E0370">
              <w:rPr>
                <w:noProof/>
                <w:webHidden/>
              </w:rPr>
              <w:t>8</w:t>
            </w:r>
            <w:r w:rsidR="00FE4D1D">
              <w:rPr>
                <w:noProof/>
                <w:webHidden/>
              </w:rPr>
              <w:fldChar w:fldCharType="end"/>
            </w:r>
          </w:hyperlink>
        </w:p>
        <w:p w:rsidR="00FE4D1D" w:rsidRDefault="0040786F">
          <w:pPr>
            <w:pStyle w:val="TOC2"/>
            <w:tabs>
              <w:tab w:val="right" w:leader="dot" w:pos="9736"/>
            </w:tabs>
            <w:rPr>
              <w:rFonts w:asciiTheme="minorHAnsi" w:eastAsiaTheme="minorEastAsia" w:hAnsiTheme="minorHAnsi" w:cstheme="minorBidi"/>
              <w:noProof/>
              <w:kern w:val="0"/>
              <w:sz w:val="22"/>
            </w:rPr>
          </w:pPr>
          <w:hyperlink w:anchor="_Toc459366232" w:history="1">
            <w:r w:rsidR="00FE4D1D" w:rsidRPr="00CD70B4">
              <w:rPr>
                <w:rStyle w:val="Hyperlink"/>
                <w:noProof/>
              </w:rPr>
              <w:t>Industry</w:t>
            </w:r>
            <w:r w:rsidR="00FE4D1D">
              <w:rPr>
                <w:noProof/>
                <w:webHidden/>
              </w:rPr>
              <w:tab/>
            </w:r>
            <w:r w:rsidR="00FE4D1D">
              <w:rPr>
                <w:noProof/>
                <w:webHidden/>
              </w:rPr>
              <w:fldChar w:fldCharType="begin"/>
            </w:r>
            <w:r w:rsidR="00FE4D1D">
              <w:rPr>
                <w:noProof/>
                <w:webHidden/>
              </w:rPr>
              <w:instrText xml:space="preserve"> PAGEREF _Toc459366232 \h </w:instrText>
            </w:r>
            <w:r w:rsidR="00FE4D1D">
              <w:rPr>
                <w:noProof/>
                <w:webHidden/>
              </w:rPr>
            </w:r>
            <w:r w:rsidR="00FE4D1D">
              <w:rPr>
                <w:noProof/>
                <w:webHidden/>
              </w:rPr>
              <w:fldChar w:fldCharType="separate"/>
            </w:r>
            <w:r w:rsidR="006E0370">
              <w:rPr>
                <w:noProof/>
                <w:webHidden/>
              </w:rPr>
              <w:t>9</w:t>
            </w:r>
            <w:r w:rsidR="00FE4D1D">
              <w:rPr>
                <w:noProof/>
                <w:webHidden/>
              </w:rPr>
              <w:fldChar w:fldCharType="end"/>
            </w:r>
          </w:hyperlink>
        </w:p>
        <w:p w:rsidR="00FE4D1D" w:rsidRDefault="0040786F">
          <w:pPr>
            <w:pStyle w:val="TOC2"/>
            <w:tabs>
              <w:tab w:val="right" w:leader="dot" w:pos="9736"/>
            </w:tabs>
            <w:rPr>
              <w:rFonts w:asciiTheme="minorHAnsi" w:eastAsiaTheme="minorEastAsia" w:hAnsiTheme="minorHAnsi" w:cstheme="minorBidi"/>
              <w:noProof/>
              <w:kern w:val="0"/>
              <w:sz w:val="22"/>
            </w:rPr>
          </w:pPr>
          <w:hyperlink w:anchor="_Toc459366233" w:history="1">
            <w:r w:rsidR="00FE4D1D" w:rsidRPr="00CD70B4">
              <w:rPr>
                <w:rStyle w:val="Hyperlink"/>
                <w:noProof/>
              </w:rPr>
              <w:t>Jurisdiction</w:t>
            </w:r>
            <w:r w:rsidR="00FE4D1D">
              <w:rPr>
                <w:noProof/>
                <w:webHidden/>
              </w:rPr>
              <w:tab/>
            </w:r>
            <w:r w:rsidR="00FE4D1D">
              <w:rPr>
                <w:noProof/>
                <w:webHidden/>
              </w:rPr>
              <w:fldChar w:fldCharType="begin"/>
            </w:r>
            <w:r w:rsidR="00FE4D1D">
              <w:rPr>
                <w:noProof/>
                <w:webHidden/>
              </w:rPr>
              <w:instrText xml:space="preserve"> PAGEREF _Toc459366233 \h </w:instrText>
            </w:r>
            <w:r w:rsidR="00FE4D1D">
              <w:rPr>
                <w:noProof/>
                <w:webHidden/>
              </w:rPr>
            </w:r>
            <w:r w:rsidR="00FE4D1D">
              <w:rPr>
                <w:noProof/>
                <w:webHidden/>
              </w:rPr>
              <w:fldChar w:fldCharType="separate"/>
            </w:r>
            <w:r w:rsidR="006E0370">
              <w:rPr>
                <w:noProof/>
                <w:webHidden/>
              </w:rPr>
              <w:t>10</w:t>
            </w:r>
            <w:r w:rsidR="00FE4D1D">
              <w:rPr>
                <w:noProof/>
                <w:webHidden/>
              </w:rPr>
              <w:fldChar w:fldCharType="end"/>
            </w:r>
          </w:hyperlink>
        </w:p>
        <w:p w:rsidR="00FE4D1D" w:rsidRDefault="0040786F">
          <w:pPr>
            <w:pStyle w:val="TOC2"/>
            <w:tabs>
              <w:tab w:val="right" w:leader="dot" w:pos="9736"/>
            </w:tabs>
            <w:rPr>
              <w:rFonts w:asciiTheme="minorHAnsi" w:eastAsiaTheme="minorEastAsia" w:hAnsiTheme="minorHAnsi" w:cstheme="minorBidi"/>
              <w:noProof/>
              <w:kern w:val="0"/>
              <w:sz w:val="22"/>
            </w:rPr>
          </w:pPr>
          <w:hyperlink w:anchor="_Toc459366234" w:history="1">
            <w:r w:rsidR="00FE4D1D" w:rsidRPr="00CD70B4">
              <w:rPr>
                <w:rStyle w:val="Hyperlink"/>
                <w:noProof/>
              </w:rPr>
              <w:t>Full-time and part-time status</w:t>
            </w:r>
            <w:r w:rsidR="00FE4D1D">
              <w:rPr>
                <w:noProof/>
                <w:webHidden/>
              </w:rPr>
              <w:tab/>
            </w:r>
            <w:r w:rsidR="00FE4D1D">
              <w:rPr>
                <w:noProof/>
                <w:webHidden/>
              </w:rPr>
              <w:fldChar w:fldCharType="begin"/>
            </w:r>
            <w:r w:rsidR="00FE4D1D">
              <w:rPr>
                <w:noProof/>
                <w:webHidden/>
              </w:rPr>
              <w:instrText xml:space="preserve"> PAGEREF _Toc459366234 \h </w:instrText>
            </w:r>
            <w:r w:rsidR="00FE4D1D">
              <w:rPr>
                <w:noProof/>
                <w:webHidden/>
              </w:rPr>
            </w:r>
            <w:r w:rsidR="00FE4D1D">
              <w:rPr>
                <w:noProof/>
                <w:webHidden/>
              </w:rPr>
              <w:fldChar w:fldCharType="separate"/>
            </w:r>
            <w:r w:rsidR="006E0370">
              <w:rPr>
                <w:noProof/>
                <w:webHidden/>
              </w:rPr>
              <w:t>12</w:t>
            </w:r>
            <w:r w:rsidR="00FE4D1D">
              <w:rPr>
                <w:noProof/>
                <w:webHidden/>
              </w:rPr>
              <w:fldChar w:fldCharType="end"/>
            </w:r>
          </w:hyperlink>
        </w:p>
        <w:p w:rsidR="00FE4D1D" w:rsidRDefault="0040786F">
          <w:pPr>
            <w:pStyle w:val="TOC2"/>
            <w:tabs>
              <w:tab w:val="right" w:leader="dot" w:pos="9736"/>
            </w:tabs>
            <w:rPr>
              <w:rFonts w:asciiTheme="minorHAnsi" w:eastAsiaTheme="minorEastAsia" w:hAnsiTheme="minorHAnsi" w:cstheme="minorBidi"/>
              <w:noProof/>
              <w:kern w:val="0"/>
              <w:sz w:val="22"/>
            </w:rPr>
          </w:pPr>
          <w:hyperlink w:anchor="_Toc459366235" w:history="1">
            <w:r w:rsidR="00FE4D1D" w:rsidRPr="00CD70B4">
              <w:rPr>
                <w:rStyle w:val="Hyperlink"/>
                <w:noProof/>
              </w:rPr>
              <w:t>Sex</w:t>
            </w:r>
            <w:r w:rsidR="00FE4D1D">
              <w:rPr>
                <w:noProof/>
                <w:webHidden/>
              </w:rPr>
              <w:tab/>
            </w:r>
            <w:r w:rsidR="00FE4D1D">
              <w:rPr>
                <w:noProof/>
                <w:webHidden/>
              </w:rPr>
              <w:fldChar w:fldCharType="begin"/>
            </w:r>
            <w:r w:rsidR="00FE4D1D">
              <w:rPr>
                <w:noProof/>
                <w:webHidden/>
              </w:rPr>
              <w:instrText xml:space="preserve"> PAGEREF _Toc459366235 \h </w:instrText>
            </w:r>
            <w:r w:rsidR="00FE4D1D">
              <w:rPr>
                <w:noProof/>
                <w:webHidden/>
              </w:rPr>
            </w:r>
            <w:r w:rsidR="00FE4D1D">
              <w:rPr>
                <w:noProof/>
                <w:webHidden/>
              </w:rPr>
              <w:fldChar w:fldCharType="separate"/>
            </w:r>
            <w:r w:rsidR="006E0370">
              <w:rPr>
                <w:noProof/>
                <w:webHidden/>
              </w:rPr>
              <w:t>12</w:t>
            </w:r>
            <w:r w:rsidR="00FE4D1D">
              <w:rPr>
                <w:noProof/>
                <w:webHidden/>
              </w:rPr>
              <w:fldChar w:fldCharType="end"/>
            </w:r>
          </w:hyperlink>
        </w:p>
        <w:p w:rsidR="00FE4D1D" w:rsidRDefault="0040786F">
          <w:pPr>
            <w:pStyle w:val="TOC2"/>
            <w:tabs>
              <w:tab w:val="right" w:leader="dot" w:pos="9736"/>
            </w:tabs>
            <w:rPr>
              <w:rFonts w:asciiTheme="minorHAnsi" w:eastAsiaTheme="minorEastAsia" w:hAnsiTheme="minorHAnsi" w:cstheme="minorBidi"/>
              <w:noProof/>
              <w:kern w:val="0"/>
              <w:sz w:val="22"/>
            </w:rPr>
          </w:pPr>
          <w:hyperlink w:anchor="_Toc459366236" w:history="1">
            <w:r w:rsidR="00FE4D1D" w:rsidRPr="00CD70B4">
              <w:rPr>
                <w:rStyle w:val="Hyperlink"/>
                <w:noProof/>
              </w:rPr>
              <w:t>Age group</w:t>
            </w:r>
            <w:r w:rsidR="00FE4D1D">
              <w:rPr>
                <w:noProof/>
                <w:webHidden/>
              </w:rPr>
              <w:tab/>
            </w:r>
            <w:r w:rsidR="00FE4D1D">
              <w:rPr>
                <w:noProof/>
                <w:webHidden/>
              </w:rPr>
              <w:fldChar w:fldCharType="begin"/>
            </w:r>
            <w:r w:rsidR="00FE4D1D">
              <w:rPr>
                <w:noProof/>
                <w:webHidden/>
              </w:rPr>
              <w:instrText xml:space="preserve"> PAGEREF _Toc459366236 \h </w:instrText>
            </w:r>
            <w:r w:rsidR="00FE4D1D">
              <w:rPr>
                <w:noProof/>
                <w:webHidden/>
              </w:rPr>
            </w:r>
            <w:r w:rsidR="00FE4D1D">
              <w:rPr>
                <w:noProof/>
                <w:webHidden/>
              </w:rPr>
              <w:fldChar w:fldCharType="separate"/>
            </w:r>
            <w:r w:rsidR="006E0370">
              <w:rPr>
                <w:noProof/>
                <w:webHidden/>
              </w:rPr>
              <w:t>13</w:t>
            </w:r>
            <w:r w:rsidR="00FE4D1D">
              <w:rPr>
                <w:noProof/>
                <w:webHidden/>
              </w:rPr>
              <w:fldChar w:fldCharType="end"/>
            </w:r>
          </w:hyperlink>
        </w:p>
        <w:p w:rsidR="00FE4D1D" w:rsidRDefault="0040786F">
          <w:pPr>
            <w:pStyle w:val="TOC1"/>
            <w:rPr>
              <w:rFonts w:asciiTheme="minorHAnsi" w:eastAsiaTheme="minorEastAsia" w:hAnsiTheme="minorHAnsi" w:cstheme="minorBidi"/>
              <w:kern w:val="0"/>
              <w:sz w:val="22"/>
            </w:rPr>
          </w:pPr>
          <w:hyperlink w:anchor="_Toc459366237" w:history="1">
            <w:r w:rsidR="00FE4D1D" w:rsidRPr="00CD70B4">
              <w:rPr>
                <w:rStyle w:val="Hyperlink"/>
              </w:rPr>
              <w:t>Characteristics and outcomes of work-related injuries</w:t>
            </w:r>
            <w:r w:rsidR="00FE4D1D">
              <w:rPr>
                <w:webHidden/>
              </w:rPr>
              <w:tab/>
            </w:r>
            <w:r w:rsidR="00FE4D1D">
              <w:rPr>
                <w:webHidden/>
              </w:rPr>
              <w:fldChar w:fldCharType="begin"/>
            </w:r>
            <w:r w:rsidR="00FE4D1D">
              <w:rPr>
                <w:webHidden/>
              </w:rPr>
              <w:instrText xml:space="preserve"> PAGEREF _Toc459366237 \h </w:instrText>
            </w:r>
            <w:r w:rsidR="00FE4D1D">
              <w:rPr>
                <w:webHidden/>
              </w:rPr>
            </w:r>
            <w:r w:rsidR="00FE4D1D">
              <w:rPr>
                <w:webHidden/>
              </w:rPr>
              <w:fldChar w:fldCharType="separate"/>
            </w:r>
            <w:r w:rsidR="006E0370">
              <w:rPr>
                <w:webHidden/>
              </w:rPr>
              <w:t>14</w:t>
            </w:r>
            <w:r w:rsidR="00FE4D1D">
              <w:rPr>
                <w:webHidden/>
              </w:rPr>
              <w:fldChar w:fldCharType="end"/>
            </w:r>
          </w:hyperlink>
        </w:p>
        <w:p w:rsidR="00FE4D1D" w:rsidRDefault="0040786F">
          <w:pPr>
            <w:pStyle w:val="TOC2"/>
            <w:tabs>
              <w:tab w:val="right" w:leader="dot" w:pos="9736"/>
            </w:tabs>
            <w:rPr>
              <w:rFonts w:asciiTheme="minorHAnsi" w:eastAsiaTheme="minorEastAsia" w:hAnsiTheme="minorHAnsi" w:cstheme="minorBidi"/>
              <w:noProof/>
              <w:kern w:val="0"/>
              <w:sz w:val="22"/>
            </w:rPr>
          </w:pPr>
          <w:hyperlink w:anchor="_Toc459366238" w:history="1">
            <w:r w:rsidR="00FE4D1D" w:rsidRPr="00CD70B4">
              <w:rPr>
                <w:rStyle w:val="Hyperlink"/>
                <w:noProof/>
              </w:rPr>
              <w:t>Nature of injury</w:t>
            </w:r>
            <w:r w:rsidR="00FE4D1D">
              <w:rPr>
                <w:noProof/>
                <w:webHidden/>
              </w:rPr>
              <w:tab/>
            </w:r>
            <w:r w:rsidR="00FE4D1D">
              <w:rPr>
                <w:noProof/>
                <w:webHidden/>
              </w:rPr>
              <w:fldChar w:fldCharType="begin"/>
            </w:r>
            <w:r w:rsidR="00FE4D1D">
              <w:rPr>
                <w:noProof/>
                <w:webHidden/>
              </w:rPr>
              <w:instrText xml:space="preserve"> PAGEREF _Toc459366238 \h </w:instrText>
            </w:r>
            <w:r w:rsidR="00FE4D1D">
              <w:rPr>
                <w:noProof/>
                <w:webHidden/>
              </w:rPr>
            </w:r>
            <w:r w:rsidR="00FE4D1D">
              <w:rPr>
                <w:noProof/>
                <w:webHidden/>
              </w:rPr>
              <w:fldChar w:fldCharType="separate"/>
            </w:r>
            <w:r w:rsidR="006E0370">
              <w:rPr>
                <w:noProof/>
                <w:webHidden/>
              </w:rPr>
              <w:t>14</w:t>
            </w:r>
            <w:r w:rsidR="00FE4D1D">
              <w:rPr>
                <w:noProof/>
                <w:webHidden/>
              </w:rPr>
              <w:fldChar w:fldCharType="end"/>
            </w:r>
          </w:hyperlink>
        </w:p>
        <w:p w:rsidR="00FE4D1D" w:rsidRDefault="0040786F">
          <w:pPr>
            <w:pStyle w:val="TOC2"/>
            <w:tabs>
              <w:tab w:val="right" w:leader="dot" w:pos="9736"/>
            </w:tabs>
            <w:rPr>
              <w:rFonts w:asciiTheme="minorHAnsi" w:eastAsiaTheme="minorEastAsia" w:hAnsiTheme="minorHAnsi" w:cstheme="minorBidi"/>
              <w:noProof/>
              <w:kern w:val="0"/>
              <w:sz w:val="22"/>
            </w:rPr>
          </w:pPr>
          <w:hyperlink w:anchor="_Toc459366239" w:history="1">
            <w:r w:rsidR="00FE4D1D" w:rsidRPr="00CD70B4">
              <w:rPr>
                <w:rStyle w:val="Hyperlink"/>
                <w:noProof/>
              </w:rPr>
              <w:t>Mechanism of injury</w:t>
            </w:r>
            <w:r w:rsidR="00FE4D1D">
              <w:rPr>
                <w:noProof/>
                <w:webHidden/>
              </w:rPr>
              <w:tab/>
            </w:r>
            <w:r w:rsidR="00FE4D1D">
              <w:rPr>
                <w:noProof/>
                <w:webHidden/>
              </w:rPr>
              <w:fldChar w:fldCharType="begin"/>
            </w:r>
            <w:r w:rsidR="00FE4D1D">
              <w:rPr>
                <w:noProof/>
                <w:webHidden/>
              </w:rPr>
              <w:instrText xml:space="preserve"> PAGEREF _Toc459366239 \h </w:instrText>
            </w:r>
            <w:r w:rsidR="00FE4D1D">
              <w:rPr>
                <w:noProof/>
                <w:webHidden/>
              </w:rPr>
            </w:r>
            <w:r w:rsidR="00FE4D1D">
              <w:rPr>
                <w:noProof/>
                <w:webHidden/>
              </w:rPr>
              <w:fldChar w:fldCharType="separate"/>
            </w:r>
            <w:r w:rsidR="006E0370">
              <w:rPr>
                <w:noProof/>
                <w:webHidden/>
              </w:rPr>
              <w:t>14</w:t>
            </w:r>
            <w:r w:rsidR="00FE4D1D">
              <w:rPr>
                <w:noProof/>
                <w:webHidden/>
              </w:rPr>
              <w:fldChar w:fldCharType="end"/>
            </w:r>
          </w:hyperlink>
        </w:p>
        <w:p w:rsidR="00FE4D1D" w:rsidRDefault="0040786F">
          <w:pPr>
            <w:pStyle w:val="TOC2"/>
            <w:tabs>
              <w:tab w:val="right" w:leader="dot" w:pos="9736"/>
            </w:tabs>
            <w:rPr>
              <w:rFonts w:asciiTheme="minorHAnsi" w:eastAsiaTheme="minorEastAsia" w:hAnsiTheme="minorHAnsi" w:cstheme="minorBidi"/>
              <w:noProof/>
              <w:kern w:val="0"/>
              <w:sz w:val="22"/>
            </w:rPr>
          </w:pPr>
          <w:hyperlink w:anchor="_Toc459366240" w:history="1">
            <w:r w:rsidR="00FE4D1D" w:rsidRPr="00CD70B4">
              <w:rPr>
                <w:rStyle w:val="Hyperlink"/>
                <w:noProof/>
              </w:rPr>
              <w:t>Time lost from work</w:t>
            </w:r>
            <w:r w:rsidR="00FE4D1D">
              <w:rPr>
                <w:noProof/>
                <w:webHidden/>
              </w:rPr>
              <w:tab/>
            </w:r>
            <w:r w:rsidR="00FE4D1D">
              <w:rPr>
                <w:noProof/>
                <w:webHidden/>
              </w:rPr>
              <w:fldChar w:fldCharType="begin"/>
            </w:r>
            <w:r w:rsidR="00FE4D1D">
              <w:rPr>
                <w:noProof/>
                <w:webHidden/>
              </w:rPr>
              <w:instrText xml:space="preserve"> PAGEREF _Toc459366240 \h </w:instrText>
            </w:r>
            <w:r w:rsidR="00FE4D1D">
              <w:rPr>
                <w:noProof/>
                <w:webHidden/>
              </w:rPr>
            </w:r>
            <w:r w:rsidR="00FE4D1D">
              <w:rPr>
                <w:noProof/>
                <w:webHidden/>
              </w:rPr>
              <w:fldChar w:fldCharType="separate"/>
            </w:r>
            <w:r w:rsidR="006E0370">
              <w:rPr>
                <w:noProof/>
                <w:webHidden/>
              </w:rPr>
              <w:t>15</w:t>
            </w:r>
            <w:r w:rsidR="00FE4D1D">
              <w:rPr>
                <w:noProof/>
                <w:webHidden/>
              </w:rPr>
              <w:fldChar w:fldCharType="end"/>
            </w:r>
          </w:hyperlink>
        </w:p>
        <w:p w:rsidR="00FE4D1D" w:rsidRDefault="0040786F">
          <w:pPr>
            <w:pStyle w:val="TOC2"/>
            <w:tabs>
              <w:tab w:val="right" w:leader="dot" w:pos="9736"/>
            </w:tabs>
            <w:rPr>
              <w:rFonts w:asciiTheme="minorHAnsi" w:eastAsiaTheme="minorEastAsia" w:hAnsiTheme="minorHAnsi" w:cstheme="minorBidi"/>
              <w:noProof/>
              <w:kern w:val="0"/>
              <w:sz w:val="22"/>
            </w:rPr>
          </w:pPr>
          <w:hyperlink w:anchor="_Toc459366241" w:history="1">
            <w:r w:rsidR="00FE4D1D" w:rsidRPr="00CD70B4">
              <w:rPr>
                <w:rStyle w:val="Hyperlink"/>
                <w:noProof/>
              </w:rPr>
              <w:t>Duration of employment in job where injury occurred</w:t>
            </w:r>
            <w:r w:rsidR="00FE4D1D">
              <w:rPr>
                <w:noProof/>
                <w:webHidden/>
              </w:rPr>
              <w:tab/>
            </w:r>
            <w:r w:rsidR="00FE4D1D">
              <w:rPr>
                <w:noProof/>
                <w:webHidden/>
              </w:rPr>
              <w:fldChar w:fldCharType="begin"/>
            </w:r>
            <w:r w:rsidR="00FE4D1D">
              <w:rPr>
                <w:noProof/>
                <w:webHidden/>
              </w:rPr>
              <w:instrText xml:space="preserve"> PAGEREF _Toc459366241 \h </w:instrText>
            </w:r>
            <w:r w:rsidR="00FE4D1D">
              <w:rPr>
                <w:noProof/>
                <w:webHidden/>
              </w:rPr>
            </w:r>
            <w:r w:rsidR="00FE4D1D">
              <w:rPr>
                <w:noProof/>
                <w:webHidden/>
              </w:rPr>
              <w:fldChar w:fldCharType="separate"/>
            </w:r>
            <w:r w:rsidR="006E0370">
              <w:rPr>
                <w:noProof/>
                <w:webHidden/>
              </w:rPr>
              <w:t>16</w:t>
            </w:r>
            <w:r w:rsidR="00FE4D1D">
              <w:rPr>
                <w:noProof/>
                <w:webHidden/>
              </w:rPr>
              <w:fldChar w:fldCharType="end"/>
            </w:r>
          </w:hyperlink>
        </w:p>
        <w:p w:rsidR="00FE4D1D" w:rsidRDefault="0040786F">
          <w:pPr>
            <w:pStyle w:val="TOC2"/>
            <w:tabs>
              <w:tab w:val="right" w:leader="dot" w:pos="9736"/>
            </w:tabs>
            <w:rPr>
              <w:rFonts w:asciiTheme="minorHAnsi" w:eastAsiaTheme="minorEastAsia" w:hAnsiTheme="minorHAnsi" w:cstheme="minorBidi"/>
              <w:noProof/>
              <w:kern w:val="0"/>
              <w:sz w:val="22"/>
            </w:rPr>
          </w:pPr>
          <w:hyperlink w:anchor="_Toc459366242" w:history="1">
            <w:r w:rsidR="00FE4D1D" w:rsidRPr="00CD70B4">
              <w:rPr>
                <w:rStyle w:val="Hyperlink"/>
                <w:noProof/>
              </w:rPr>
              <w:t>Whether applied for workers’ compensation</w:t>
            </w:r>
            <w:r w:rsidR="00FE4D1D">
              <w:rPr>
                <w:noProof/>
                <w:webHidden/>
              </w:rPr>
              <w:tab/>
            </w:r>
            <w:r w:rsidR="00FE4D1D">
              <w:rPr>
                <w:noProof/>
                <w:webHidden/>
              </w:rPr>
              <w:fldChar w:fldCharType="begin"/>
            </w:r>
            <w:r w:rsidR="00FE4D1D">
              <w:rPr>
                <w:noProof/>
                <w:webHidden/>
              </w:rPr>
              <w:instrText xml:space="preserve"> PAGEREF _Toc459366242 \h </w:instrText>
            </w:r>
            <w:r w:rsidR="00FE4D1D">
              <w:rPr>
                <w:noProof/>
                <w:webHidden/>
              </w:rPr>
            </w:r>
            <w:r w:rsidR="00FE4D1D">
              <w:rPr>
                <w:noProof/>
                <w:webHidden/>
              </w:rPr>
              <w:fldChar w:fldCharType="separate"/>
            </w:r>
            <w:r w:rsidR="006E0370">
              <w:rPr>
                <w:noProof/>
                <w:webHidden/>
              </w:rPr>
              <w:t>16</w:t>
            </w:r>
            <w:r w:rsidR="00FE4D1D">
              <w:rPr>
                <w:noProof/>
                <w:webHidden/>
              </w:rPr>
              <w:fldChar w:fldCharType="end"/>
            </w:r>
          </w:hyperlink>
        </w:p>
        <w:p w:rsidR="00FE4D1D" w:rsidRDefault="0040786F">
          <w:pPr>
            <w:pStyle w:val="TOC2"/>
            <w:tabs>
              <w:tab w:val="right" w:leader="dot" w:pos="9736"/>
            </w:tabs>
            <w:rPr>
              <w:rFonts w:asciiTheme="minorHAnsi" w:eastAsiaTheme="minorEastAsia" w:hAnsiTheme="minorHAnsi" w:cstheme="minorBidi"/>
              <w:noProof/>
              <w:kern w:val="0"/>
              <w:sz w:val="22"/>
            </w:rPr>
          </w:pPr>
          <w:hyperlink w:anchor="_Toc459366243" w:history="1">
            <w:r w:rsidR="00FE4D1D" w:rsidRPr="00CD70B4">
              <w:rPr>
                <w:rStyle w:val="Hyperlink"/>
                <w:noProof/>
              </w:rPr>
              <w:t>Reasons for not applying for workers’ compensation</w:t>
            </w:r>
            <w:r w:rsidR="00FE4D1D">
              <w:rPr>
                <w:noProof/>
                <w:webHidden/>
              </w:rPr>
              <w:tab/>
            </w:r>
            <w:r w:rsidR="00FE4D1D">
              <w:rPr>
                <w:noProof/>
                <w:webHidden/>
              </w:rPr>
              <w:fldChar w:fldCharType="begin"/>
            </w:r>
            <w:r w:rsidR="00FE4D1D">
              <w:rPr>
                <w:noProof/>
                <w:webHidden/>
              </w:rPr>
              <w:instrText xml:space="preserve"> PAGEREF _Toc459366243 \h </w:instrText>
            </w:r>
            <w:r w:rsidR="00FE4D1D">
              <w:rPr>
                <w:noProof/>
                <w:webHidden/>
              </w:rPr>
            </w:r>
            <w:r w:rsidR="00FE4D1D">
              <w:rPr>
                <w:noProof/>
                <w:webHidden/>
              </w:rPr>
              <w:fldChar w:fldCharType="separate"/>
            </w:r>
            <w:r w:rsidR="006E0370">
              <w:rPr>
                <w:noProof/>
                <w:webHidden/>
              </w:rPr>
              <w:t>17</w:t>
            </w:r>
            <w:r w:rsidR="00FE4D1D">
              <w:rPr>
                <w:noProof/>
                <w:webHidden/>
              </w:rPr>
              <w:fldChar w:fldCharType="end"/>
            </w:r>
          </w:hyperlink>
        </w:p>
        <w:p w:rsidR="00FE4D1D" w:rsidRDefault="0040786F">
          <w:pPr>
            <w:pStyle w:val="TOC2"/>
            <w:tabs>
              <w:tab w:val="right" w:leader="dot" w:pos="9736"/>
            </w:tabs>
            <w:rPr>
              <w:rFonts w:asciiTheme="minorHAnsi" w:eastAsiaTheme="minorEastAsia" w:hAnsiTheme="minorHAnsi" w:cstheme="minorBidi"/>
              <w:noProof/>
              <w:kern w:val="0"/>
              <w:sz w:val="22"/>
            </w:rPr>
          </w:pPr>
          <w:hyperlink w:anchor="_Toc459366244" w:history="1">
            <w:r w:rsidR="00FE4D1D" w:rsidRPr="00CD70B4">
              <w:rPr>
                <w:rStyle w:val="Hyperlink"/>
                <w:noProof/>
              </w:rPr>
              <w:t>Whether received financial assistance</w:t>
            </w:r>
            <w:r w:rsidR="00FE4D1D">
              <w:rPr>
                <w:noProof/>
                <w:webHidden/>
              </w:rPr>
              <w:tab/>
            </w:r>
            <w:r w:rsidR="00FE4D1D">
              <w:rPr>
                <w:noProof/>
                <w:webHidden/>
              </w:rPr>
              <w:fldChar w:fldCharType="begin"/>
            </w:r>
            <w:r w:rsidR="00FE4D1D">
              <w:rPr>
                <w:noProof/>
                <w:webHidden/>
              </w:rPr>
              <w:instrText xml:space="preserve"> PAGEREF _Toc459366244 \h </w:instrText>
            </w:r>
            <w:r w:rsidR="00FE4D1D">
              <w:rPr>
                <w:noProof/>
                <w:webHidden/>
              </w:rPr>
            </w:r>
            <w:r w:rsidR="00FE4D1D">
              <w:rPr>
                <w:noProof/>
                <w:webHidden/>
              </w:rPr>
              <w:fldChar w:fldCharType="separate"/>
            </w:r>
            <w:r w:rsidR="006E0370">
              <w:rPr>
                <w:noProof/>
                <w:webHidden/>
              </w:rPr>
              <w:t>18</w:t>
            </w:r>
            <w:r w:rsidR="00FE4D1D">
              <w:rPr>
                <w:noProof/>
                <w:webHidden/>
              </w:rPr>
              <w:fldChar w:fldCharType="end"/>
            </w:r>
          </w:hyperlink>
        </w:p>
        <w:p w:rsidR="00FE4D1D" w:rsidRDefault="0040786F">
          <w:pPr>
            <w:pStyle w:val="TOC1"/>
            <w:rPr>
              <w:rFonts w:asciiTheme="minorHAnsi" w:eastAsiaTheme="minorEastAsia" w:hAnsiTheme="minorHAnsi" w:cstheme="minorBidi"/>
              <w:kern w:val="0"/>
              <w:sz w:val="22"/>
            </w:rPr>
          </w:pPr>
          <w:hyperlink w:anchor="_Toc459366245" w:history="1">
            <w:r w:rsidR="00FE4D1D" w:rsidRPr="00CD70B4">
              <w:rPr>
                <w:rStyle w:val="Hyperlink"/>
              </w:rPr>
              <w:t>Conclusion</w:t>
            </w:r>
            <w:r w:rsidR="00FE4D1D">
              <w:rPr>
                <w:webHidden/>
              </w:rPr>
              <w:tab/>
            </w:r>
            <w:r w:rsidR="00FE4D1D">
              <w:rPr>
                <w:webHidden/>
              </w:rPr>
              <w:fldChar w:fldCharType="begin"/>
            </w:r>
            <w:r w:rsidR="00FE4D1D">
              <w:rPr>
                <w:webHidden/>
              </w:rPr>
              <w:instrText xml:space="preserve"> PAGEREF _Toc459366245 \h </w:instrText>
            </w:r>
            <w:r w:rsidR="00FE4D1D">
              <w:rPr>
                <w:webHidden/>
              </w:rPr>
            </w:r>
            <w:r w:rsidR="00FE4D1D">
              <w:rPr>
                <w:webHidden/>
              </w:rPr>
              <w:fldChar w:fldCharType="separate"/>
            </w:r>
            <w:r w:rsidR="006E0370">
              <w:rPr>
                <w:webHidden/>
              </w:rPr>
              <w:t>19</w:t>
            </w:r>
            <w:r w:rsidR="00FE4D1D">
              <w:rPr>
                <w:webHidden/>
              </w:rPr>
              <w:fldChar w:fldCharType="end"/>
            </w:r>
          </w:hyperlink>
        </w:p>
        <w:p w:rsidR="00FE4D1D" w:rsidRDefault="0040786F">
          <w:pPr>
            <w:pStyle w:val="TOC1"/>
            <w:rPr>
              <w:rFonts w:asciiTheme="minorHAnsi" w:eastAsiaTheme="minorEastAsia" w:hAnsiTheme="minorHAnsi" w:cstheme="minorBidi"/>
              <w:kern w:val="0"/>
              <w:sz w:val="22"/>
            </w:rPr>
          </w:pPr>
          <w:hyperlink w:anchor="_Toc459366246" w:history="1">
            <w:r w:rsidR="00FE4D1D" w:rsidRPr="00CD70B4">
              <w:rPr>
                <w:rStyle w:val="Hyperlink"/>
              </w:rPr>
              <w:t>Explanatory notes</w:t>
            </w:r>
            <w:r w:rsidR="00FE4D1D">
              <w:rPr>
                <w:webHidden/>
              </w:rPr>
              <w:tab/>
            </w:r>
            <w:r w:rsidR="00FE4D1D">
              <w:rPr>
                <w:webHidden/>
              </w:rPr>
              <w:fldChar w:fldCharType="begin"/>
            </w:r>
            <w:r w:rsidR="00FE4D1D">
              <w:rPr>
                <w:webHidden/>
              </w:rPr>
              <w:instrText xml:space="preserve"> PAGEREF _Toc459366246 \h </w:instrText>
            </w:r>
            <w:r w:rsidR="00FE4D1D">
              <w:rPr>
                <w:webHidden/>
              </w:rPr>
            </w:r>
            <w:r w:rsidR="00FE4D1D">
              <w:rPr>
                <w:webHidden/>
              </w:rPr>
              <w:fldChar w:fldCharType="separate"/>
            </w:r>
            <w:r w:rsidR="006E0370">
              <w:rPr>
                <w:webHidden/>
              </w:rPr>
              <w:t>20</w:t>
            </w:r>
            <w:r w:rsidR="00FE4D1D">
              <w:rPr>
                <w:webHidden/>
              </w:rPr>
              <w:fldChar w:fldCharType="end"/>
            </w:r>
          </w:hyperlink>
        </w:p>
        <w:p w:rsidR="00FE4D1D" w:rsidRDefault="0040786F">
          <w:pPr>
            <w:pStyle w:val="TOC1"/>
            <w:rPr>
              <w:rFonts w:asciiTheme="minorHAnsi" w:eastAsiaTheme="minorEastAsia" w:hAnsiTheme="minorHAnsi" w:cstheme="minorBidi"/>
              <w:kern w:val="0"/>
              <w:sz w:val="22"/>
            </w:rPr>
          </w:pPr>
          <w:hyperlink w:anchor="_Toc459366253" w:history="1">
            <w:r w:rsidR="00FE4D1D" w:rsidRPr="00CD70B4">
              <w:rPr>
                <w:rStyle w:val="Hyperlink"/>
              </w:rPr>
              <w:t>References</w:t>
            </w:r>
            <w:r w:rsidR="00FE4D1D">
              <w:rPr>
                <w:webHidden/>
              </w:rPr>
              <w:tab/>
            </w:r>
            <w:r w:rsidR="00FE4D1D">
              <w:rPr>
                <w:webHidden/>
              </w:rPr>
              <w:fldChar w:fldCharType="begin"/>
            </w:r>
            <w:r w:rsidR="00FE4D1D">
              <w:rPr>
                <w:webHidden/>
              </w:rPr>
              <w:instrText xml:space="preserve"> PAGEREF _Toc459366253 \h </w:instrText>
            </w:r>
            <w:r w:rsidR="00FE4D1D">
              <w:rPr>
                <w:webHidden/>
              </w:rPr>
            </w:r>
            <w:r w:rsidR="00FE4D1D">
              <w:rPr>
                <w:webHidden/>
              </w:rPr>
              <w:fldChar w:fldCharType="separate"/>
            </w:r>
            <w:r w:rsidR="006E0370">
              <w:rPr>
                <w:webHidden/>
              </w:rPr>
              <w:t>21</w:t>
            </w:r>
            <w:r w:rsidR="00FE4D1D">
              <w:rPr>
                <w:webHidden/>
              </w:rPr>
              <w:fldChar w:fldCharType="end"/>
            </w:r>
          </w:hyperlink>
        </w:p>
        <w:p w:rsidR="002529A5" w:rsidRDefault="002529A5" w:rsidP="00BF1489">
          <w:pPr>
            <w:pStyle w:val="TOC1"/>
          </w:pPr>
          <w:r w:rsidRPr="00BE5B5A">
            <w:rPr>
              <w:rStyle w:val="Hyperlink"/>
            </w:rPr>
            <w:fldChar w:fldCharType="end"/>
          </w:r>
        </w:p>
      </w:sdtContent>
    </w:sdt>
    <w:p w:rsidR="002529A5" w:rsidRPr="007F42FF" w:rsidRDefault="002529A5" w:rsidP="00BF1489">
      <w:pPr>
        <w:pStyle w:val="TOC1"/>
        <w:rPr>
          <w:rFonts w:asciiTheme="minorHAnsi" w:eastAsiaTheme="minorEastAsia" w:hAnsiTheme="minorHAnsi" w:cstheme="minorBidi"/>
          <w:kern w:val="0"/>
          <w:sz w:val="22"/>
        </w:rPr>
      </w:pPr>
      <w:r>
        <w:br w:type="page"/>
      </w:r>
    </w:p>
    <w:p w:rsidR="002529A5" w:rsidRDefault="00137748" w:rsidP="002529A5">
      <w:pPr>
        <w:pStyle w:val="Heading1"/>
      </w:pPr>
      <w:bookmarkStart w:id="21" w:name="_Toc440436093"/>
      <w:bookmarkStart w:id="22" w:name="_Toc440442288"/>
      <w:bookmarkStart w:id="23" w:name="_Toc440620257"/>
      <w:bookmarkStart w:id="24" w:name="_Toc440869176"/>
      <w:bookmarkStart w:id="25" w:name="_Toc441038652"/>
      <w:bookmarkStart w:id="26" w:name="_Toc459366222"/>
      <w:r>
        <w:lastRenderedPageBreak/>
        <w:t>A</w:t>
      </w:r>
      <w:r w:rsidR="002529A5">
        <w:t>bbreviations</w:t>
      </w:r>
      <w:r>
        <w:t xml:space="preserve"> and symbols</w:t>
      </w:r>
      <w:bookmarkEnd w:id="21"/>
      <w:bookmarkEnd w:id="22"/>
      <w:bookmarkEnd w:id="23"/>
      <w:bookmarkEnd w:id="24"/>
      <w:bookmarkEnd w:id="25"/>
      <w:bookmarkEnd w:id="26"/>
    </w:p>
    <w:p w:rsidR="00750AE6" w:rsidRDefault="00750AE6" w:rsidP="002529A5">
      <w:r>
        <w:t>ABS</w:t>
      </w:r>
      <w:r>
        <w:tab/>
      </w:r>
      <w:r>
        <w:tab/>
        <w:t>Australian Bureau of Statistics</w:t>
      </w:r>
    </w:p>
    <w:p w:rsidR="00750AE6" w:rsidRDefault="00750AE6" w:rsidP="002529A5">
      <w:r>
        <w:t>MPHS</w:t>
      </w:r>
      <w:r>
        <w:tab/>
      </w:r>
      <w:r>
        <w:tab/>
        <w:t>Multi-Purpose Household Survey</w:t>
      </w:r>
    </w:p>
    <w:p w:rsidR="00750AE6" w:rsidRDefault="00750AE6" w:rsidP="002529A5">
      <w:r>
        <w:t>RSE</w:t>
      </w:r>
      <w:r>
        <w:tab/>
      </w:r>
      <w:r>
        <w:tab/>
        <w:t>relative standard error</w:t>
      </w:r>
    </w:p>
    <w:p w:rsidR="00750AE6" w:rsidRDefault="00750AE6" w:rsidP="002529A5">
      <w:r>
        <w:t>WRIS</w:t>
      </w:r>
      <w:r>
        <w:tab/>
      </w:r>
      <w:r>
        <w:tab/>
        <w:t>Work-Related Injuries Survey</w:t>
      </w:r>
    </w:p>
    <w:p w:rsidR="00E25273" w:rsidRDefault="002529A5" w:rsidP="0035465B">
      <w:pPr>
        <w:ind w:left="1418" w:hanging="1418"/>
      </w:pPr>
      <w:r>
        <w:t xml:space="preserve">* </w:t>
      </w:r>
      <w:r>
        <w:tab/>
      </w:r>
      <w:r w:rsidR="003256DB">
        <w:t xml:space="preserve">estimate should be interpreted with caution because the </w:t>
      </w:r>
      <w:r>
        <w:t>relati</w:t>
      </w:r>
      <w:r w:rsidR="0060221E">
        <w:t xml:space="preserve">ve standard error is between 25 </w:t>
      </w:r>
      <w:r w:rsidR="0035465B">
        <w:t>per cent</w:t>
      </w:r>
      <w:r w:rsidR="0060221E">
        <w:t xml:space="preserve"> and 50 </w:t>
      </w:r>
      <w:r w:rsidR="0035465B">
        <w:t>per cent</w:t>
      </w:r>
    </w:p>
    <w:p w:rsidR="002529A5" w:rsidRDefault="002529A5" w:rsidP="002529A5">
      <w:r>
        <w:br w:type="page"/>
      </w:r>
    </w:p>
    <w:p w:rsidR="002529A5" w:rsidRDefault="002D1CA9" w:rsidP="002529A5">
      <w:pPr>
        <w:pStyle w:val="Heading1"/>
      </w:pPr>
      <w:bookmarkStart w:id="27" w:name="_Toc459366223"/>
      <w:r>
        <w:lastRenderedPageBreak/>
        <w:t>Summary of</w:t>
      </w:r>
      <w:r w:rsidR="00E9481D">
        <w:t xml:space="preserve"> </w:t>
      </w:r>
      <w:r w:rsidR="00636B45">
        <w:t>results</w:t>
      </w:r>
      <w:bookmarkEnd w:id="27"/>
    </w:p>
    <w:p w:rsidR="00AB2CAE" w:rsidRDefault="008879F5" w:rsidP="00AB2CAE">
      <w:r>
        <w:t>Data from a nationally representative survey that was administered in 2013–14 shows that th</w:t>
      </w:r>
      <w:r w:rsidR="00773A36">
        <w:t>e</w:t>
      </w:r>
      <w:r w:rsidR="00E67239">
        <w:t xml:space="preserve"> </w:t>
      </w:r>
      <w:r w:rsidR="0057393C">
        <w:t xml:space="preserve">injury </w:t>
      </w:r>
      <w:r w:rsidR="00B93C9F">
        <w:t>ra</w:t>
      </w:r>
      <w:r w:rsidR="00283631">
        <w:t xml:space="preserve">te </w:t>
      </w:r>
      <w:r w:rsidR="0057393C">
        <w:t xml:space="preserve">for shiftworkers is </w:t>
      </w:r>
      <w:r>
        <w:t xml:space="preserve">significantly higher </w:t>
      </w:r>
      <w:r w:rsidR="0057393C">
        <w:t>than the injury rate for non-shiftworkers</w:t>
      </w:r>
      <w:r>
        <w:t xml:space="preserve">. </w:t>
      </w:r>
      <w:r w:rsidR="00AB2CAE">
        <w:t xml:space="preserve">The </w:t>
      </w:r>
      <w:r w:rsidR="00D92A8C">
        <w:t>injury</w:t>
      </w:r>
      <w:r w:rsidR="00AB2CAE">
        <w:t xml:space="preserve"> rate for shiftworkers (49.9</w:t>
      </w:r>
      <w:r>
        <w:t xml:space="preserve"> </w:t>
      </w:r>
      <w:r w:rsidR="00431BBD">
        <w:t xml:space="preserve">injured workers </w:t>
      </w:r>
      <w:r>
        <w:t>per million hours worked</w:t>
      </w:r>
      <w:r w:rsidR="00AB2CAE">
        <w:t xml:space="preserve">) was more than two times higher than the </w:t>
      </w:r>
      <w:r w:rsidR="00D92A8C" w:rsidRPr="00D92A8C">
        <w:t>injury</w:t>
      </w:r>
      <w:r w:rsidR="00D92A8C">
        <w:t xml:space="preserve"> </w:t>
      </w:r>
      <w:r w:rsidR="00AB2CAE">
        <w:t>ra</w:t>
      </w:r>
      <w:r>
        <w:t xml:space="preserve">te for non-shiftworkers (23.2). </w:t>
      </w:r>
      <w:r w:rsidR="00AB2CAE">
        <w:t xml:space="preserve">Although shiftworkers accounted for only 16 </w:t>
      </w:r>
      <w:r w:rsidR="0035465B">
        <w:t>per cent</w:t>
      </w:r>
      <w:r w:rsidR="00AB2CAE">
        <w:t xml:space="preserve"> of hours worked, they accounted for 30 </w:t>
      </w:r>
      <w:r w:rsidR="0035465B">
        <w:t>per cent</w:t>
      </w:r>
      <w:r w:rsidR="00AB2CAE">
        <w:t xml:space="preserve"> of </w:t>
      </w:r>
      <w:r w:rsidR="00431BBD">
        <w:t>injured workers</w:t>
      </w:r>
      <w:r w:rsidR="00AB2CAE">
        <w:t>.</w:t>
      </w:r>
    </w:p>
    <w:p w:rsidR="00AA675C" w:rsidRDefault="0049393E" w:rsidP="00AA675C">
      <w:r>
        <w:t>Not all groups of shiftworkers have significantly higher injury rates</w:t>
      </w:r>
      <w:r w:rsidR="00A82EE6">
        <w:t>.</w:t>
      </w:r>
      <w:r>
        <w:t xml:space="preserve"> </w:t>
      </w:r>
      <w:r w:rsidR="00AD61B6">
        <w:t xml:space="preserve">Shiftworkers who are machinery operators and drivers have </w:t>
      </w:r>
      <w:r w:rsidR="00D86599">
        <w:t>a significantly lower injury rate</w:t>
      </w:r>
      <w:r w:rsidR="00AD61B6">
        <w:t xml:space="preserve"> than their non-shiftworker counterparts. </w:t>
      </w:r>
      <w:r w:rsidR="00AA675C">
        <w:t xml:space="preserve">There </w:t>
      </w:r>
      <w:r w:rsidR="00457D6A">
        <w:t>are</w:t>
      </w:r>
      <w:r w:rsidR="00AA675C">
        <w:t xml:space="preserve"> no significant differences in the </w:t>
      </w:r>
      <w:r w:rsidR="00A131D3">
        <w:t>injury</w:t>
      </w:r>
      <w:r w:rsidR="00AA675C">
        <w:t xml:space="preserve"> rates of shiftworkers and non-shiftworkers in the following groups:</w:t>
      </w:r>
    </w:p>
    <w:p w:rsidR="00AA675C" w:rsidRDefault="00AA675C" w:rsidP="00AA675C">
      <w:pPr>
        <w:pStyle w:val="ListParagraph"/>
        <w:numPr>
          <w:ilvl w:val="0"/>
          <w:numId w:val="33"/>
        </w:numPr>
      </w:pPr>
      <w:r>
        <w:t xml:space="preserve">Occupation: </w:t>
      </w:r>
      <w:r w:rsidR="00331209">
        <w:t>clerical and administrative workers.</w:t>
      </w:r>
    </w:p>
    <w:p w:rsidR="00AA675C" w:rsidRDefault="00AA675C" w:rsidP="00AA675C">
      <w:pPr>
        <w:pStyle w:val="ListParagraph"/>
        <w:numPr>
          <w:ilvl w:val="0"/>
          <w:numId w:val="33"/>
        </w:numPr>
      </w:pPr>
      <w:r>
        <w:t>Industries: retail trade; transport, postal and warehousing; and health care and social assistance.</w:t>
      </w:r>
    </w:p>
    <w:p w:rsidR="008879F5" w:rsidRDefault="00AA675C" w:rsidP="00AA675C">
      <w:pPr>
        <w:pStyle w:val="ListParagraph"/>
        <w:numPr>
          <w:ilvl w:val="0"/>
          <w:numId w:val="33"/>
        </w:numPr>
      </w:pPr>
      <w:r>
        <w:t>Jurisdiction: Western Australia.</w:t>
      </w:r>
    </w:p>
    <w:p w:rsidR="00757236" w:rsidRDefault="000F7B7A" w:rsidP="00C53787">
      <w:r>
        <w:t>S</w:t>
      </w:r>
      <w:r w:rsidR="00757236">
        <w:t xml:space="preserve">hiftworkers in the following groups </w:t>
      </w:r>
      <w:r w:rsidR="00457D6A">
        <w:t>have</w:t>
      </w:r>
      <w:r w:rsidR="00757236">
        <w:t xml:space="preserve"> significantly higher </w:t>
      </w:r>
      <w:r>
        <w:t xml:space="preserve">injury </w:t>
      </w:r>
      <w:r w:rsidR="00A904EC">
        <w:t xml:space="preserve">rates </w:t>
      </w:r>
      <w:r>
        <w:t>than their non-shiftworker counterparts:</w:t>
      </w:r>
    </w:p>
    <w:p w:rsidR="00757236" w:rsidRDefault="00757236" w:rsidP="00757236">
      <w:pPr>
        <w:pStyle w:val="ListParagraph"/>
        <w:numPr>
          <w:ilvl w:val="0"/>
          <w:numId w:val="34"/>
        </w:numPr>
      </w:pPr>
      <w:r>
        <w:t>Occupations: labourers; community and personal service workers; technicians and trades workers</w:t>
      </w:r>
      <w:r w:rsidR="00A904EC">
        <w:t>; and professionals.</w:t>
      </w:r>
    </w:p>
    <w:p w:rsidR="00757236" w:rsidRDefault="00757236" w:rsidP="00757236">
      <w:pPr>
        <w:pStyle w:val="ListParagraph"/>
        <w:numPr>
          <w:ilvl w:val="0"/>
          <w:numId w:val="34"/>
        </w:numPr>
      </w:pPr>
      <w:r>
        <w:t>Industries: manufacturing; accommodation and food services; and public administration and safety.</w:t>
      </w:r>
    </w:p>
    <w:p w:rsidR="00757236" w:rsidRDefault="00757236" w:rsidP="00757236">
      <w:pPr>
        <w:pStyle w:val="ListParagraph"/>
        <w:numPr>
          <w:ilvl w:val="0"/>
          <w:numId w:val="34"/>
        </w:numPr>
      </w:pPr>
      <w:r>
        <w:t xml:space="preserve">Jurisdictions: </w:t>
      </w:r>
      <w:r w:rsidRPr="00757236">
        <w:t>Tasmania; South Australia; Victoria; New South Wales; and Queensland.</w:t>
      </w:r>
    </w:p>
    <w:p w:rsidR="00757236" w:rsidRDefault="00757236" w:rsidP="00757236">
      <w:pPr>
        <w:pStyle w:val="ListParagraph"/>
        <w:numPr>
          <w:ilvl w:val="0"/>
          <w:numId w:val="34"/>
        </w:numPr>
      </w:pPr>
      <w:r>
        <w:t>Work-time status: full</w:t>
      </w:r>
      <w:r w:rsidR="00FE019E">
        <w:t>-</w:t>
      </w:r>
      <w:r>
        <w:t>time workers; and part-time workers.</w:t>
      </w:r>
    </w:p>
    <w:p w:rsidR="00757236" w:rsidRDefault="00757236" w:rsidP="00757236">
      <w:pPr>
        <w:pStyle w:val="ListParagraph"/>
        <w:numPr>
          <w:ilvl w:val="0"/>
          <w:numId w:val="34"/>
        </w:numPr>
      </w:pPr>
      <w:r>
        <w:t>Sex: female workers; and male workers.</w:t>
      </w:r>
    </w:p>
    <w:p w:rsidR="006E2527" w:rsidRDefault="00003DBE" w:rsidP="0091230D">
      <w:pPr>
        <w:pStyle w:val="ListParagraph"/>
        <w:numPr>
          <w:ilvl w:val="0"/>
          <w:numId w:val="34"/>
        </w:numPr>
      </w:pPr>
      <w:r>
        <w:t>Age group</w:t>
      </w:r>
      <w:r w:rsidR="0049393E">
        <w:t>s</w:t>
      </w:r>
      <w:r>
        <w:t xml:space="preserve">: under 25 years; 25 to </w:t>
      </w:r>
      <w:r w:rsidR="00757236">
        <w:t>54 years; and 55 years and above.</w:t>
      </w:r>
    </w:p>
    <w:p w:rsidR="00C07C31" w:rsidRDefault="00C07C31" w:rsidP="00C53787">
      <w:r>
        <w:t>Compared with non-shiftworkers, a significantly higher percentage of shiftworkers:</w:t>
      </w:r>
    </w:p>
    <w:p w:rsidR="00C07C31" w:rsidRDefault="00C07C31" w:rsidP="0091230D">
      <w:pPr>
        <w:pStyle w:val="ListParagraph"/>
        <w:numPr>
          <w:ilvl w:val="0"/>
          <w:numId w:val="36"/>
        </w:numPr>
      </w:pPr>
      <w:r>
        <w:t>experience burn</w:t>
      </w:r>
      <w:r w:rsidR="007971A6">
        <w:t xml:space="preserve"> injuries</w:t>
      </w:r>
      <w:r>
        <w:t>, and</w:t>
      </w:r>
    </w:p>
    <w:p w:rsidR="00C07C31" w:rsidRDefault="00C07C31" w:rsidP="0091230D">
      <w:pPr>
        <w:pStyle w:val="ListParagraph"/>
        <w:numPr>
          <w:ilvl w:val="0"/>
          <w:numId w:val="36"/>
        </w:numPr>
      </w:pPr>
      <w:r>
        <w:t>do not apply for workers’ compensation because they feel it is inconvenient or requires too much paperwork.</w:t>
      </w:r>
    </w:p>
    <w:p w:rsidR="00C53787" w:rsidRDefault="007433C9" w:rsidP="00C53787">
      <w:r>
        <w:t>T</w:t>
      </w:r>
      <w:r w:rsidR="00A20BBE">
        <w:t>here are no significant differences between shiftworkers and non-shiftworkers in terms of</w:t>
      </w:r>
      <w:r w:rsidR="00C53787">
        <w:t>:</w:t>
      </w:r>
    </w:p>
    <w:p w:rsidR="00C53787" w:rsidRDefault="00C53787" w:rsidP="00C53787">
      <w:pPr>
        <w:pStyle w:val="ListParagraph"/>
        <w:numPr>
          <w:ilvl w:val="0"/>
          <w:numId w:val="27"/>
        </w:numPr>
      </w:pPr>
      <w:r>
        <w:t>the way in which work-related injur</w:t>
      </w:r>
      <w:r w:rsidR="00C931AD">
        <w:t>ies occur</w:t>
      </w:r>
    </w:p>
    <w:p w:rsidR="00C53787" w:rsidRDefault="00C53787" w:rsidP="00C53787">
      <w:pPr>
        <w:pStyle w:val="ListParagraph"/>
        <w:numPr>
          <w:ilvl w:val="0"/>
          <w:numId w:val="27"/>
        </w:numPr>
      </w:pPr>
      <w:r>
        <w:t xml:space="preserve">the amount of time lost from work due to </w:t>
      </w:r>
      <w:r w:rsidR="00C931AD">
        <w:t>work-related injuries</w:t>
      </w:r>
    </w:p>
    <w:p w:rsidR="00F0417D" w:rsidRDefault="00F0417D" w:rsidP="00C53787">
      <w:pPr>
        <w:pStyle w:val="ListParagraph"/>
        <w:numPr>
          <w:ilvl w:val="0"/>
          <w:numId w:val="27"/>
        </w:numPr>
      </w:pPr>
      <w:r>
        <w:t>the duration of employment in the job where injuries occur</w:t>
      </w:r>
    </w:p>
    <w:p w:rsidR="00C53787" w:rsidRDefault="00C931AD" w:rsidP="00C53787">
      <w:pPr>
        <w:pStyle w:val="ListParagraph"/>
        <w:numPr>
          <w:ilvl w:val="0"/>
          <w:numId w:val="27"/>
        </w:numPr>
      </w:pPr>
      <w:r>
        <w:t>whether they apply</w:t>
      </w:r>
      <w:r w:rsidR="00F0417D">
        <w:t xml:space="preserve"> for workers’ compensation</w:t>
      </w:r>
      <w:r w:rsidR="00A904EC">
        <w:t>, and</w:t>
      </w:r>
    </w:p>
    <w:p w:rsidR="00F0417D" w:rsidRDefault="00F0417D" w:rsidP="00F0417D">
      <w:pPr>
        <w:pStyle w:val="ListParagraph"/>
        <w:numPr>
          <w:ilvl w:val="0"/>
          <w:numId w:val="27"/>
        </w:numPr>
      </w:pPr>
      <w:r w:rsidRPr="00F0417D">
        <w:t>whether they receive or do not receive financial assistance for medical expenses or lost income</w:t>
      </w:r>
      <w:r>
        <w:t>.</w:t>
      </w:r>
    </w:p>
    <w:p w:rsidR="00C07C31" w:rsidRDefault="00C07C31" w:rsidP="00C07C31">
      <w:r>
        <w:t>There are no significant differences in the injury rates of:</w:t>
      </w:r>
    </w:p>
    <w:p w:rsidR="00C07C31" w:rsidRDefault="00C07C31" w:rsidP="00C07C31">
      <w:pPr>
        <w:pStyle w:val="ListParagraph"/>
        <w:numPr>
          <w:ilvl w:val="0"/>
          <w:numId w:val="27"/>
        </w:numPr>
      </w:pPr>
      <w:r>
        <w:t>full-time shiftworkers and part-time shiftworkers</w:t>
      </w:r>
    </w:p>
    <w:p w:rsidR="00C07C31" w:rsidRDefault="00C07C31" w:rsidP="00C07C31">
      <w:pPr>
        <w:pStyle w:val="ListParagraph"/>
        <w:numPr>
          <w:ilvl w:val="0"/>
          <w:numId w:val="27"/>
        </w:numPr>
      </w:pPr>
      <w:r>
        <w:t>female shiftworkers and male shiftworkers, and</w:t>
      </w:r>
    </w:p>
    <w:p w:rsidR="00C53787" w:rsidRPr="0022223B" w:rsidRDefault="00C07C31" w:rsidP="00C07C31">
      <w:pPr>
        <w:pStyle w:val="ListParagraph"/>
        <w:numPr>
          <w:ilvl w:val="0"/>
          <w:numId w:val="27"/>
        </w:numPr>
      </w:pPr>
      <w:r>
        <w:t>shiftworkers aged under 25 years, 25 to 54 years and 55 years and above.</w:t>
      </w:r>
      <w:r w:rsidR="00C53787">
        <w:br w:type="page"/>
      </w:r>
    </w:p>
    <w:p w:rsidR="00DF1CC9" w:rsidRDefault="00DF1CC9" w:rsidP="003A743E">
      <w:pPr>
        <w:pStyle w:val="Heading1"/>
      </w:pPr>
      <w:bookmarkStart w:id="28" w:name="_Toc459366224"/>
      <w:r>
        <w:lastRenderedPageBreak/>
        <w:t>Introduction</w:t>
      </w:r>
      <w:bookmarkEnd w:id="28"/>
    </w:p>
    <w:p w:rsidR="00646F14" w:rsidRDefault="00D73DA0" w:rsidP="00842766">
      <w:r>
        <w:t>R</w:t>
      </w:r>
      <w:r w:rsidR="004B7CDB">
        <w:t xml:space="preserve">esearch has shown that shiftworkers </w:t>
      </w:r>
      <w:r w:rsidR="00BC7A6E">
        <w:t xml:space="preserve">have higher </w:t>
      </w:r>
      <w:r w:rsidR="008E2F37">
        <w:t xml:space="preserve">injury </w:t>
      </w:r>
      <w:r w:rsidR="00BC7A6E">
        <w:t xml:space="preserve">rates </w:t>
      </w:r>
      <w:r w:rsidR="007C73B4">
        <w:t xml:space="preserve">and this is confirmed by the findings </w:t>
      </w:r>
      <w:r w:rsidR="00003DBE">
        <w:t>of</w:t>
      </w:r>
      <w:r w:rsidR="007C73B4">
        <w:t xml:space="preserve"> this report. </w:t>
      </w:r>
      <w:r w:rsidR="00C57F21">
        <w:t>The</w:t>
      </w:r>
      <w:r w:rsidR="00BC7A6E">
        <w:t xml:space="preserve"> </w:t>
      </w:r>
      <w:r w:rsidR="007C73B4">
        <w:t xml:space="preserve">aim of this report </w:t>
      </w:r>
      <w:r w:rsidR="00BC7A6E">
        <w:t xml:space="preserve">is to </w:t>
      </w:r>
      <w:r w:rsidR="00C57F21">
        <w:t xml:space="preserve">determine </w:t>
      </w:r>
      <w:r w:rsidR="004F2FD5">
        <w:t xml:space="preserve">whether </w:t>
      </w:r>
      <w:r w:rsidR="0014568A">
        <w:t>the elevated risk</w:t>
      </w:r>
      <w:r>
        <w:t xml:space="preserve"> of shiftwork </w:t>
      </w:r>
      <w:r w:rsidR="00003DBE">
        <w:t>affect</w:t>
      </w:r>
      <w:r w:rsidR="0014568A">
        <w:t>s</w:t>
      </w:r>
      <w:r>
        <w:t xml:space="preserve"> all groups of shiftworkers or only </w:t>
      </w:r>
      <w:r w:rsidR="00CD5207">
        <w:t>particular</w:t>
      </w:r>
      <w:r>
        <w:t xml:space="preserve"> groups of shiftworkers. </w:t>
      </w:r>
      <w:r w:rsidR="007C73B4">
        <w:t xml:space="preserve">This will be achieved by </w:t>
      </w:r>
      <w:r w:rsidR="001E0635">
        <w:t xml:space="preserve">using </w:t>
      </w:r>
      <w:r w:rsidR="007C73B4">
        <w:t xml:space="preserve">statistics from a nationally representative survey to compare specific groups of shiftworkers to their non-shiftworker counterparts. </w:t>
      </w:r>
      <w:r w:rsidR="00646F14">
        <w:t xml:space="preserve">This report also analyses the characteristics and outcomes of work-related </w:t>
      </w:r>
      <w:r w:rsidR="0027076C">
        <w:t>injuries</w:t>
      </w:r>
      <w:r w:rsidR="00646F14">
        <w:t xml:space="preserve"> to determine whether there are </w:t>
      </w:r>
      <w:r w:rsidR="00D375E4">
        <w:t xml:space="preserve">significant </w:t>
      </w:r>
      <w:r w:rsidR="00646F14">
        <w:t>differences between shiftworkers and non-shiftworkers.</w:t>
      </w:r>
    </w:p>
    <w:p w:rsidR="00D73DA0" w:rsidRDefault="00D73DA0" w:rsidP="00D73DA0">
      <w:pPr>
        <w:pStyle w:val="Heading2"/>
      </w:pPr>
      <w:bookmarkStart w:id="29" w:name="_Toc440436096"/>
      <w:bookmarkStart w:id="30" w:name="_Toc440442291"/>
      <w:bookmarkStart w:id="31" w:name="_Toc440620260"/>
      <w:bookmarkStart w:id="32" w:name="_Toc440869179"/>
      <w:bookmarkStart w:id="33" w:name="_Toc441038655"/>
      <w:bookmarkStart w:id="34" w:name="_Toc441043244"/>
      <w:bookmarkStart w:id="35" w:name="_Toc441736124"/>
      <w:bookmarkStart w:id="36" w:name="_Toc443550225"/>
      <w:bookmarkStart w:id="37" w:name="_Toc443550524"/>
      <w:bookmarkStart w:id="38" w:name="_Toc443651435"/>
      <w:bookmarkStart w:id="39" w:name="_Toc444075013"/>
      <w:bookmarkStart w:id="40" w:name="_Toc447701669"/>
      <w:bookmarkStart w:id="41" w:name="_Toc459366225"/>
      <w:r>
        <w:t>Source of data</w:t>
      </w:r>
      <w:bookmarkEnd w:id="29"/>
      <w:bookmarkEnd w:id="30"/>
      <w:bookmarkEnd w:id="31"/>
      <w:bookmarkEnd w:id="32"/>
      <w:bookmarkEnd w:id="33"/>
      <w:bookmarkEnd w:id="34"/>
      <w:bookmarkEnd w:id="35"/>
      <w:bookmarkEnd w:id="36"/>
      <w:bookmarkEnd w:id="37"/>
      <w:bookmarkEnd w:id="38"/>
      <w:bookmarkEnd w:id="39"/>
      <w:bookmarkEnd w:id="40"/>
      <w:bookmarkEnd w:id="41"/>
    </w:p>
    <w:p w:rsidR="00422B50" w:rsidRDefault="00842766" w:rsidP="00842766">
      <w:r>
        <w:t xml:space="preserve">The statistics </w:t>
      </w:r>
      <w:r w:rsidR="00D73DA0">
        <w:t xml:space="preserve">in this report </w:t>
      </w:r>
      <w:r w:rsidR="002E72C3">
        <w:t>are</w:t>
      </w:r>
      <w:r>
        <w:t xml:space="preserve"> from the </w:t>
      </w:r>
      <w:r w:rsidR="00740382">
        <w:t>Work-Related Injuries Survey</w:t>
      </w:r>
      <w:r w:rsidR="000C041E">
        <w:t xml:space="preserve"> </w:t>
      </w:r>
      <w:r w:rsidR="00740382">
        <w:t xml:space="preserve">(WRIS) </w:t>
      </w:r>
      <w:r w:rsidR="00070D95">
        <w:t xml:space="preserve">that was administered </w:t>
      </w:r>
      <w:r>
        <w:t>by the Australian Bureau</w:t>
      </w:r>
      <w:r w:rsidR="00126173">
        <w:t xml:space="preserve"> of Statistics</w:t>
      </w:r>
      <w:r>
        <w:t xml:space="preserve"> </w:t>
      </w:r>
      <w:r w:rsidR="00740382">
        <w:t xml:space="preserve">(ABS) </w:t>
      </w:r>
      <w:r w:rsidR="00070D95">
        <w:t xml:space="preserve">in 2013–14. </w:t>
      </w:r>
      <w:r w:rsidR="00BC7A6E">
        <w:t xml:space="preserve">The </w:t>
      </w:r>
      <w:r w:rsidR="00D73DA0">
        <w:t xml:space="preserve">nationally representative </w:t>
      </w:r>
      <w:r w:rsidR="00BC7A6E">
        <w:t xml:space="preserve">survey </w:t>
      </w:r>
      <w:r w:rsidR="00070D95">
        <w:t xml:space="preserve">sampled people aged 15 years and above who had engaged in work in the preceding 12 months. </w:t>
      </w:r>
      <w:r w:rsidR="008A1668" w:rsidRPr="008A1668">
        <w:t>The ABS completed</w:t>
      </w:r>
      <w:r w:rsidR="008A1668">
        <w:t xml:space="preserve"> 27 300 interviews for the WRIS and </w:t>
      </w:r>
      <w:r w:rsidR="0019045B">
        <w:t>it</w:t>
      </w:r>
      <w:r w:rsidR="00070D95">
        <w:t xml:space="preserve"> weighted </w:t>
      </w:r>
      <w:r w:rsidR="0019045B">
        <w:t xml:space="preserve">the results </w:t>
      </w:r>
      <w:r w:rsidR="00070D95">
        <w:t>to reflect the Australian population.</w:t>
      </w:r>
      <w:r w:rsidR="00422B50">
        <w:t xml:space="preserve"> The </w:t>
      </w:r>
      <w:r w:rsidR="008D6CBE">
        <w:t xml:space="preserve">statistics in this report </w:t>
      </w:r>
      <w:r w:rsidR="00DE2E48">
        <w:t>come from data that was accessed through the ABS’ microdata service.</w:t>
      </w:r>
    </w:p>
    <w:p w:rsidR="007C73B4" w:rsidRDefault="001E0635" w:rsidP="007C73B4">
      <w:r>
        <w:t xml:space="preserve">The statistics on shiftworkers are of survey respondents who stated that they experienced their most recent work-related injury while doing shiftwork. </w:t>
      </w:r>
      <w:r w:rsidR="007C73B4">
        <w:t>The ABS defines shiftwork as “a system of working whereby the daily hours of operation at the place of employment are split into at least two set work periods (shifts) for different groups of workers” (ABS 2012).</w:t>
      </w:r>
    </w:p>
    <w:p w:rsidR="00A5554C" w:rsidRDefault="00A5554C" w:rsidP="004C5C19">
      <w:pPr>
        <w:pStyle w:val="Heading2"/>
      </w:pPr>
      <w:bookmarkStart w:id="42" w:name="_Toc440436097"/>
      <w:bookmarkStart w:id="43" w:name="_Toc440442292"/>
      <w:bookmarkStart w:id="44" w:name="_Toc440620261"/>
      <w:bookmarkStart w:id="45" w:name="_Toc440869180"/>
      <w:bookmarkStart w:id="46" w:name="_Toc441038656"/>
      <w:bookmarkStart w:id="47" w:name="_Toc441043245"/>
      <w:bookmarkStart w:id="48" w:name="_Toc441736125"/>
      <w:bookmarkStart w:id="49" w:name="_Toc443550226"/>
      <w:bookmarkStart w:id="50" w:name="_Toc443550525"/>
      <w:bookmarkStart w:id="51" w:name="_Toc443651436"/>
      <w:bookmarkStart w:id="52" w:name="_Toc444075014"/>
      <w:bookmarkStart w:id="53" w:name="_Toc447701670"/>
      <w:bookmarkStart w:id="54" w:name="_Toc459366226"/>
      <w:r>
        <w:t>Relative standard error</w:t>
      </w:r>
      <w:bookmarkEnd w:id="42"/>
      <w:bookmarkEnd w:id="43"/>
      <w:bookmarkEnd w:id="44"/>
      <w:bookmarkEnd w:id="45"/>
      <w:bookmarkEnd w:id="46"/>
      <w:bookmarkEnd w:id="47"/>
      <w:bookmarkEnd w:id="48"/>
      <w:bookmarkEnd w:id="49"/>
      <w:bookmarkEnd w:id="50"/>
      <w:bookmarkEnd w:id="51"/>
      <w:bookmarkEnd w:id="52"/>
      <w:bookmarkEnd w:id="53"/>
      <w:bookmarkEnd w:id="54"/>
    </w:p>
    <w:p w:rsidR="009B7DF6" w:rsidRDefault="00892DF6" w:rsidP="009B7DF6">
      <w:r>
        <w:t xml:space="preserve">A </w:t>
      </w:r>
      <w:r w:rsidR="00DE2E48">
        <w:t xml:space="preserve">standard error </w:t>
      </w:r>
      <w:r w:rsidR="009B7DF6">
        <w:t xml:space="preserve">is a measure of the variation that occurs when a sample, rather than an entire population, is surveyed. It indicates the extent to which an estimate of a sample varies from the true parameter of the population from which it is drawn. </w:t>
      </w:r>
      <w:r w:rsidR="00DE2E48" w:rsidRPr="00892DF6">
        <w:t>When a standard error is expressed as a percentage of the estimate to which it relates, it is known as a relative standard error (RSE).</w:t>
      </w:r>
      <w:r w:rsidR="00DE2E48">
        <w:t xml:space="preserve"> </w:t>
      </w:r>
      <w:r w:rsidR="00653F89">
        <w:t>In this report, e</w:t>
      </w:r>
      <w:r w:rsidR="009B7DF6">
        <w:t xml:space="preserve">stimates with </w:t>
      </w:r>
      <w:r w:rsidR="00653F89">
        <w:t xml:space="preserve">an RSE between 25 </w:t>
      </w:r>
      <w:r w:rsidR="0035465B">
        <w:t>per cent</w:t>
      </w:r>
      <w:r w:rsidR="00653F89">
        <w:t xml:space="preserve"> and 50 </w:t>
      </w:r>
      <w:r w:rsidR="0035465B">
        <w:t>per cent</w:t>
      </w:r>
      <w:r w:rsidR="00653F89">
        <w:t xml:space="preserve"> are annotated with one asterisk (*) and should be interpreted with caution. </w:t>
      </w:r>
      <w:r w:rsidR="00C40431">
        <w:t xml:space="preserve">Estimates with an RSE above 50 </w:t>
      </w:r>
      <w:r w:rsidR="0035465B">
        <w:t>per cent</w:t>
      </w:r>
      <w:r w:rsidR="00C40431">
        <w:t xml:space="preserve"> are considered too unreliable and are not presented in this report.</w:t>
      </w:r>
    </w:p>
    <w:p w:rsidR="009D2785" w:rsidRDefault="009D2785" w:rsidP="000779C1">
      <w:pPr>
        <w:pStyle w:val="Heading2"/>
      </w:pPr>
      <w:bookmarkStart w:id="55" w:name="_Toc441736127"/>
      <w:bookmarkStart w:id="56" w:name="_Toc443550228"/>
      <w:bookmarkStart w:id="57" w:name="_Toc443550527"/>
      <w:bookmarkStart w:id="58" w:name="_Toc443651438"/>
      <w:bookmarkStart w:id="59" w:name="_Toc444075016"/>
      <w:bookmarkStart w:id="60" w:name="_Toc447701672"/>
      <w:bookmarkStart w:id="61" w:name="_Toc459366227"/>
      <w:r>
        <w:t>T</w:t>
      </w:r>
      <w:r w:rsidRPr="009D2785">
        <w:t xml:space="preserve">ests </w:t>
      </w:r>
      <w:r w:rsidR="0043114B">
        <w:t>of</w:t>
      </w:r>
      <w:r w:rsidRPr="009D2785">
        <w:t xml:space="preserve"> statistical significance</w:t>
      </w:r>
      <w:bookmarkEnd w:id="55"/>
      <w:bookmarkEnd w:id="56"/>
      <w:bookmarkEnd w:id="57"/>
      <w:bookmarkEnd w:id="58"/>
      <w:bookmarkEnd w:id="59"/>
      <w:bookmarkEnd w:id="60"/>
      <w:bookmarkEnd w:id="61"/>
    </w:p>
    <w:p w:rsidR="000538BA" w:rsidRDefault="00CC7EB7" w:rsidP="009B7DF6">
      <w:r>
        <w:t xml:space="preserve">Conventional tests </w:t>
      </w:r>
      <w:r w:rsidR="0043114B">
        <w:t>of</w:t>
      </w:r>
      <w:r>
        <w:t xml:space="preserve"> statistical significance</w:t>
      </w:r>
      <w:r w:rsidR="004864C4">
        <w:t xml:space="preserve"> were</w:t>
      </w:r>
      <w:r>
        <w:t xml:space="preserve"> </w:t>
      </w:r>
      <w:r w:rsidR="0043114B">
        <w:t xml:space="preserve">not suitable </w:t>
      </w:r>
      <w:r>
        <w:t>because the results of the survey were weighted by the ABS</w:t>
      </w:r>
      <w:r w:rsidR="00002E67">
        <w:t xml:space="preserve"> and Safe Work Australia did not have access to the unweighted results</w:t>
      </w:r>
      <w:r>
        <w:t>. Therefore, t</w:t>
      </w:r>
      <w:r w:rsidR="00E733DA">
        <w:t xml:space="preserve">his report relies on </w:t>
      </w:r>
      <w:r w:rsidR="00C72B0A">
        <w:t>84</w:t>
      </w:r>
      <w:r w:rsidR="00E733DA">
        <w:t xml:space="preserve"> </w:t>
      </w:r>
      <w:r w:rsidR="0035465B">
        <w:t>per cent</w:t>
      </w:r>
      <w:r w:rsidR="00E733DA">
        <w:t xml:space="preserve"> confidence intervals </w:t>
      </w:r>
      <w:r w:rsidR="00510258">
        <w:t xml:space="preserve">(indicated by error bars in figures) </w:t>
      </w:r>
      <w:r w:rsidR="00E733DA">
        <w:t xml:space="preserve">to determine whether differences between groups of workers are </w:t>
      </w:r>
      <w:r w:rsidR="008E2F37">
        <w:t xml:space="preserve">statistically </w:t>
      </w:r>
      <w:r w:rsidR="00602676">
        <w:t>significant.</w:t>
      </w:r>
    </w:p>
    <w:p w:rsidR="002A006F" w:rsidRPr="00286C51" w:rsidRDefault="00A678CD">
      <w:r>
        <w:t xml:space="preserve">Eighty-four per cent confidence intervals were chosen because </w:t>
      </w:r>
      <w:r w:rsidR="00A37A8F">
        <w:t xml:space="preserve">tests </w:t>
      </w:r>
      <w:r>
        <w:t>have shown that the overlap or non-overlap of 84 per cent confidence intervals closely mimics the results of conventional statistical tests at a significance level of 0.05 (</w:t>
      </w:r>
      <w:r w:rsidR="000779C1">
        <w:t xml:space="preserve">Hettmansperger and McKean </w:t>
      </w:r>
      <w:r w:rsidR="000779C1" w:rsidRPr="000779C1">
        <w:t>2</w:t>
      </w:r>
      <w:r w:rsidR="000779C1">
        <w:t xml:space="preserve">011; </w:t>
      </w:r>
      <w:r>
        <w:t>MacGregor</w:t>
      </w:r>
      <w:r>
        <w:noBreakHyphen/>
        <w:t xml:space="preserve">Fors and Payton 2013; </w:t>
      </w:r>
      <w:r w:rsidR="00E30C5B" w:rsidRPr="00304EFB">
        <w:t xml:space="preserve">Payton </w:t>
      </w:r>
      <w:r w:rsidR="00E30C5B">
        <w:t xml:space="preserve">et al. </w:t>
      </w:r>
      <w:r w:rsidR="00E30C5B" w:rsidRPr="00304EFB">
        <w:t>2003</w:t>
      </w:r>
      <w:r>
        <w:t>).</w:t>
      </w:r>
      <w:r w:rsidR="00510258">
        <w:t xml:space="preserve"> </w:t>
      </w:r>
      <w:r w:rsidR="00A37A8F">
        <w:t>In this report, d</w:t>
      </w:r>
      <w:r w:rsidR="00E733DA">
        <w:t xml:space="preserve">ifferences between groups are </w:t>
      </w:r>
      <w:r w:rsidR="00463299">
        <w:t xml:space="preserve">statistically </w:t>
      </w:r>
      <w:r w:rsidR="00E733DA">
        <w:t xml:space="preserve">significant if </w:t>
      </w:r>
      <w:r w:rsidR="00510258">
        <w:t xml:space="preserve">84 </w:t>
      </w:r>
      <w:r w:rsidR="0035465B">
        <w:t>per cent</w:t>
      </w:r>
      <w:r w:rsidR="00E733DA">
        <w:t xml:space="preserve"> conf</w:t>
      </w:r>
      <w:r w:rsidR="009D2785">
        <w:t xml:space="preserve">idence intervals do not overlap. </w:t>
      </w:r>
      <w:r w:rsidR="000009EB">
        <w:t>This means there is a high probability that observed differences are due to the characteristics of the groups rather than chance</w:t>
      </w:r>
      <w:r w:rsidR="008B0C16">
        <w:t xml:space="preserve"> variations</w:t>
      </w:r>
      <w:r w:rsidR="000009EB">
        <w:t xml:space="preserve">. </w:t>
      </w:r>
      <w:r w:rsidR="00101F8C" w:rsidRPr="00101F8C">
        <w:t>Differences between groups are not statistically significant if 84 per cen</w:t>
      </w:r>
      <w:bookmarkStart w:id="62" w:name="_Toc434237598"/>
      <w:bookmarkStart w:id="63" w:name="_Toc434238382"/>
      <w:bookmarkStart w:id="64" w:name="_Toc434305219"/>
      <w:bookmarkStart w:id="65" w:name="_Toc435438349"/>
      <w:bookmarkStart w:id="66" w:name="_Toc435452549"/>
      <w:bookmarkStart w:id="67" w:name="_Toc435521830"/>
      <w:bookmarkStart w:id="68" w:name="_Toc437332054"/>
      <w:bookmarkStart w:id="69" w:name="_Toc437584198"/>
      <w:bookmarkStart w:id="70" w:name="_Toc437840024"/>
      <w:bookmarkStart w:id="71" w:name="_Toc440436099"/>
      <w:bookmarkStart w:id="72" w:name="_Toc440442294"/>
      <w:bookmarkStart w:id="73" w:name="_Toc440620263"/>
      <w:bookmarkStart w:id="74" w:name="_Toc440869182"/>
      <w:bookmarkStart w:id="75" w:name="_Toc441038658"/>
      <w:bookmarkStart w:id="76" w:name="_Toc441043247"/>
      <w:r w:rsidR="00101F8C">
        <w:t xml:space="preserve">t confidence intervals overlap. </w:t>
      </w:r>
      <w:r w:rsidR="000009EB">
        <w:t xml:space="preserve">This means there is a high probability that observed differences are due to </w:t>
      </w:r>
      <w:r w:rsidR="008B0C16">
        <w:t>chance variations</w:t>
      </w:r>
      <w:r w:rsidR="000009EB">
        <w:t>.</w:t>
      </w:r>
    </w:p>
    <w:p w:rsidR="009B7DF6" w:rsidRDefault="00FA357A" w:rsidP="009B7DF6">
      <w:pPr>
        <w:pStyle w:val="Heading2"/>
      </w:pPr>
      <w:bookmarkStart w:id="77" w:name="_Toc441736128"/>
      <w:bookmarkStart w:id="78" w:name="_Toc443550229"/>
      <w:bookmarkStart w:id="79" w:name="_Toc443550528"/>
      <w:bookmarkStart w:id="80" w:name="_Toc443651439"/>
      <w:bookmarkStart w:id="81" w:name="_Toc444075017"/>
      <w:bookmarkStart w:id="82" w:name="_Toc447701673"/>
      <w:bookmarkStart w:id="83" w:name="_Toc459366228"/>
      <w:r>
        <w:t>Injury</w:t>
      </w:r>
      <w:r w:rsidR="009B7DF6">
        <w:t xml:space="preserve"> rate</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t>s</w:t>
      </w:r>
      <w:bookmarkEnd w:id="82"/>
      <w:bookmarkEnd w:id="83"/>
    </w:p>
    <w:p w:rsidR="004B7CDB" w:rsidRDefault="008E2F37">
      <w:pPr>
        <w:rPr>
          <w:b/>
          <w:sz w:val="40"/>
          <w:szCs w:val="32"/>
        </w:rPr>
      </w:pPr>
      <w:r>
        <w:t xml:space="preserve">Injury rates </w:t>
      </w:r>
      <w:r w:rsidR="00FA194A">
        <w:t xml:space="preserve">can be based on the number of hours worked or the number of workers employed. All the injury rates in this report are based on the number of hours worked because </w:t>
      </w:r>
      <w:r w:rsidR="0056246D">
        <w:t xml:space="preserve">an hour-based rate </w:t>
      </w:r>
      <w:r w:rsidR="00FA194A">
        <w:t>is a more precise and accurate measure of work health and safety. It is important to account for the number of hours worked because there are considerable differences in the number of hours worked by different groups of workers. The differences in the number of hours worked mean that workers’ exposure to work-related risks vary greatly. An hour-based injury rate accounts for these differences and allows different groups of workers to be accurately compared.</w:t>
      </w:r>
      <w:r w:rsidR="004B7CDB">
        <w:br w:type="page"/>
      </w:r>
    </w:p>
    <w:p w:rsidR="0027076C" w:rsidRDefault="00C53787" w:rsidP="0027076C">
      <w:pPr>
        <w:pStyle w:val="Heading1"/>
      </w:pPr>
      <w:bookmarkStart w:id="84" w:name="_Toc459366229"/>
      <w:r>
        <w:lastRenderedPageBreak/>
        <w:t>Impact of shiftwork on work-related injuries</w:t>
      </w:r>
      <w:bookmarkEnd w:id="84"/>
    </w:p>
    <w:p w:rsidR="000C041E" w:rsidRDefault="00A60DF5" w:rsidP="00740382">
      <w:r>
        <w:t xml:space="preserve">Of the 531 800 workers who experienced a work-related injury in 2013–14, 157 600 were shiftworkers and 374 200 were non-shiftworkers. </w:t>
      </w:r>
      <w:r w:rsidR="009B37D9">
        <w:t xml:space="preserve">The </w:t>
      </w:r>
      <w:r w:rsidR="00D92A8C" w:rsidRPr="00D92A8C">
        <w:t>injury</w:t>
      </w:r>
      <w:r w:rsidR="00D92A8C">
        <w:t xml:space="preserve"> </w:t>
      </w:r>
      <w:r w:rsidR="009B37D9">
        <w:t>rate for shiftworkers (49.9</w:t>
      </w:r>
      <w:r w:rsidR="003049E2">
        <w:t xml:space="preserve"> </w:t>
      </w:r>
      <w:r w:rsidR="00431BBD">
        <w:t>injured workers</w:t>
      </w:r>
      <w:r w:rsidR="003049E2">
        <w:t xml:space="preserve"> per million hours worked</w:t>
      </w:r>
      <w:r w:rsidR="009B37D9">
        <w:t xml:space="preserve">) was more than two times higher than the </w:t>
      </w:r>
      <w:r w:rsidR="00D92A8C" w:rsidRPr="00D92A8C">
        <w:t>injury</w:t>
      </w:r>
      <w:r w:rsidR="00D92A8C">
        <w:t xml:space="preserve"> </w:t>
      </w:r>
      <w:r w:rsidR="009B37D9">
        <w:t>rate for non-shiftworkers (23.2). Although shiftworkers accounted for only 16</w:t>
      </w:r>
      <w:r w:rsidR="000D0198">
        <w:t xml:space="preserve"> </w:t>
      </w:r>
      <w:r w:rsidR="0035465B">
        <w:t>per cent</w:t>
      </w:r>
      <w:r w:rsidR="009B37D9">
        <w:t xml:space="preserve"> of hours worked, they accounted for 30</w:t>
      </w:r>
      <w:r w:rsidR="000D0198">
        <w:t xml:space="preserve"> </w:t>
      </w:r>
      <w:r w:rsidR="0035465B">
        <w:t>per cent</w:t>
      </w:r>
      <w:r w:rsidR="009B37D9">
        <w:t xml:space="preserve"> of </w:t>
      </w:r>
      <w:r w:rsidR="00431BBD">
        <w:t>injured workers</w:t>
      </w:r>
      <w:r w:rsidR="009B37D9">
        <w:t>.</w:t>
      </w:r>
    </w:p>
    <w:p w:rsidR="005B7724" w:rsidRDefault="005B7724" w:rsidP="000A50D3">
      <w:bookmarkStart w:id="85" w:name="_Toc433270889"/>
      <w:bookmarkStart w:id="86" w:name="_Toc433798628"/>
      <w:bookmarkStart w:id="87" w:name="_Toc434238067"/>
      <w:bookmarkStart w:id="88" w:name="_Toc434327013"/>
      <w:bookmarkStart w:id="89" w:name="_Toc434923242"/>
      <w:r w:rsidRPr="009909F4">
        <w:t xml:space="preserve">To determine whether </w:t>
      </w:r>
      <w:r>
        <w:t>the</w:t>
      </w:r>
      <w:r w:rsidR="006B5EB3">
        <w:t xml:space="preserve">re </w:t>
      </w:r>
      <w:r w:rsidR="00003DBE">
        <w:t>is</w:t>
      </w:r>
      <w:r w:rsidR="006B5EB3">
        <w:t xml:space="preserve"> a significant difference in the </w:t>
      </w:r>
      <w:r w:rsidR="00D92A8C" w:rsidRPr="00D92A8C">
        <w:t>injury</w:t>
      </w:r>
      <w:r w:rsidR="00D92A8C">
        <w:t xml:space="preserve"> </w:t>
      </w:r>
      <w:r>
        <w:t xml:space="preserve">rates </w:t>
      </w:r>
      <w:r w:rsidR="006B5EB3">
        <w:t xml:space="preserve">of </w:t>
      </w:r>
      <w:r>
        <w:t>shiftworkers and non-shiftworkers</w:t>
      </w:r>
      <w:r w:rsidRPr="009909F4">
        <w:t xml:space="preserve">, </w:t>
      </w:r>
      <w:r w:rsidR="00E87749">
        <w:t>84 per cent</w:t>
      </w:r>
      <w:r w:rsidRPr="009909F4">
        <w:t xml:space="preserve"> confidence intervals were calculated and are represent</w:t>
      </w:r>
      <w:r>
        <w:t xml:space="preserve">ed by the error bars in figure 1. The results show that the </w:t>
      </w:r>
      <w:r w:rsidR="00D92A8C" w:rsidRPr="00D92A8C">
        <w:t>injury</w:t>
      </w:r>
      <w:r w:rsidR="00D92A8C">
        <w:t xml:space="preserve"> </w:t>
      </w:r>
      <w:r>
        <w:t>rate for shiftworkers (</w:t>
      </w:r>
      <w:r w:rsidR="003E0B2D">
        <w:t>interval of 4</w:t>
      </w:r>
      <w:r w:rsidR="00E87749">
        <w:t>5</w:t>
      </w:r>
      <w:r w:rsidR="003E0B2D">
        <w:t>.2 to 5</w:t>
      </w:r>
      <w:r w:rsidR="00E87749">
        <w:t>4.6</w:t>
      </w:r>
      <w:r>
        <w:t xml:space="preserve">) </w:t>
      </w:r>
      <w:r w:rsidR="00003DBE">
        <w:t>i</w:t>
      </w:r>
      <w:r>
        <w:t xml:space="preserve">s significantly higher than the </w:t>
      </w:r>
      <w:r w:rsidR="00D92A8C" w:rsidRPr="00D92A8C">
        <w:t>injury</w:t>
      </w:r>
      <w:r w:rsidR="00D92A8C">
        <w:t xml:space="preserve"> </w:t>
      </w:r>
      <w:r>
        <w:t>rate for non-shiftworkers (</w:t>
      </w:r>
      <w:r w:rsidR="003E0B2D">
        <w:t xml:space="preserve">interval of </w:t>
      </w:r>
      <w:r w:rsidR="00E87749">
        <w:t>21.6 to 24.7</w:t>
      </w:r>
      <w:r>
        <w:t xml:space="preserve">) and </w:t>
      </w:r>
      <w:r w:rsidR="0082093C">
        <w:t>all workers</w:t>
      </w:r>
      <w:r>
        <w:t xml:space="preserve"> (</w:t>
      </w:r>
      <w:r w:rsidR="00A716ED">
        <w:t>interval of 25</w:t>
      </w:r>
      <w:r w:rsidR="00513A39">
        <w:t>.0</w:t>
      </w:r>
      <w:r w:rsidR="00A716ED">
        <w:t xml:space="preserve"> to </w:t>
      </w:r>
      <w:r w:rsidR="00E87749">
        <w:t>29.3</w:t>
      </w:r>
      <w:r>
        <w:t>).</w:t>
      </w:r>
    </w:p>
    <w:p w:rsidR="006422BE" w:rsidRDefault="006422BE" w:rsidP="006422BE">
      <w:pPr>
        <w:pStyle w:val="Heading5"/>
      </w:pPr>
      <w:bookmarkStart w:id="90" w:name="_Toc447701734"/>
      <w:r>
        <w:t xml:space="preserve">Figure </w:t>
      </w:r>
      <w:fldSimple w:instr=" SEQ Figure \* ARABIC ">
        <w:r w:rsidR="0091230D">
          <w:rPr>
            <w:noProof/>
          </w:rPr>
          <w:t>1</w:t>
        </w:r>
      </w:fldSimple>
      <w:r>
        <w:t xml:space="preserve">: </w:t>
      </w:r>
      <w:r w:rsidR="00D92A8C">
        <w:t>Injury r</w:t>
      </w:r>
      <w:r w:rsidRPr="006422BE">
        <w:t xml:space="preserve">ates and </w:t>
      </w:r>
      <w:r w:rsidR="00E87749">
        <w:t>84 per cent</w:t>
      </w:r>
      <w:r w:rsidR="00D92A8C">
        <w:t xml:space="preserve"> confidence intervals </w:t>
      </w:r>
      <w:r w:rsidRPr="006422BE">
        <w:t>by shiftwork status, 2013–14</w:t>
      </w:r>
      <w:bookmarkEnd w:id="90"/>
    </w:p>
    <w:p w:rsidR="00BF5DF4" w:rsidRDefault="00E87749" w:rsidP="000A50D3">
      <w:r w:rsidRPr="00E87749">
        <w:rPr>
          <w:noProof/>
        </w:rPr>
        <w:t xml:space="preserve"> </w:t>
      </w:r>
      <w:r>
        <w:rPr>
          <w:noProof/>
        </w:rPr>
        <w:drawing>
          <wp:inline distT="0" distB="0" distL="0" distR="0" wp14:anchorId="459CDB3D" wp14:editId="2D938C1A">
            <wp:extent cx="5943600" cy="3496310"/>
            <wp:effectExtent l="0" t="0" r="19050" b="27940"/>
            <wp:docPr id="2" name="Chart 2" descr="the injury rate for shiftworkers (interval of 45.2 to 54.6) is significantly higher than the injury rate for non-shiftworkers (interval of 21.6 to 2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53787" w:rsidRPr="00062A35" w:rsidRDefault="00062A35">
      <w:r>
        <w:t xml:space="preserve">The significantly higher rate of </w:t>
      </w:r>
      <w:r w:rsidR="00D80DFB">
        <w:t xml:space="preserve">injury among </w:t>
      </w:r>
      <w:r>
        <w:t xml:space="preserve">shiftworkers is unsurprising because </w:t>
      </w:r>
      <w:r w:rsidR="00D574BF">
        <w:t xml:space="preserve">the </w:t>
      </w:r>
      <w:r w:rsidR="00D80DFB">
        <w:t>risks associated with</w:t>
      </w:r>
      <w:r w:rsidR="00725BD5">
        <w:t xml:space="preserve"> shiftwork are well documented</w:t>
      </w:r>
      <w:r w:rsidR="00A540EF">
        <w:t xml:space="preserve"> in research. </w:t>
      </w:r>
      <w:r w:rsidR="00B44A06">
        <w:t>In terms of work-related injuries, the most common</w:t>
      </w:r>
      <w:r w:rsidR="00725BD5">
        <w:t>ly cited risk factor is fatigue</w:t>
      </w:r>
      <w:r w:rsidR="00663A0D">
        <w:t xml:space="preserve"> due to </w:t>
      </w:r>
      <w:r w:rsidR="00650C09">
        <w:t xml:space="preserve">insufficient sleep, </w:t>
      </w:r>
      <w:r w:rsidR="00826315">
        <w:t xml:space="preserve">disrupted </w:t>
      </w:r>
      <w:r w:rsidR="00725BD5">
        <w:t>sleep patterns</w:t>
      </w:r>
      <w:r w:rsidR="00650C09">
        <w:t xml:space="preserve"> or </w:t>
      </w:r>
      <w:r w:rsidR="00663A0D">
        <w:t xml:space="preserve">extended </w:t>
      </w:r>
      <w:r w:rsidR="00650C09">
        <w:t>working hours</w:t>
      </w:r>
      <w:r w:rsidR="00D84822">
        <w:t>.</w:t>
      </w:r>
      <w:r w:rsidR="00663A0D">
        <w:t xml:space="preserve"> </w:t>
      </w:r>
      <w:r w:rsidR="006D4670">
        <w:t xml:space="preserve">Studies have found that shiftworkers are at higher risk </w:t>
      </w:r>
      <w:r w:rsidR="00A540EF">
        <w:t xml:space="preserve">of workplace </w:t>
      </w:r>
      <w:r w:rsidR="00D61413">
        <w:t>accidents</w:t>
      </w:r>
      <w:r w:rsidR="00A540EF">
        <w:t xml:space="preserve"> and near-</w:t>
      </w:r>
      <w:r w:rsidR="006D4670">
        <w:t xml:space="preserve">misses </w:t>
      </w:r>
      <w:r w:rsidR="00A540EF">
        <w:t>(</w:t>
      </w:r>
      <w:r w:rsidR="00091C25" w:rsidRPr="00091C25">
        <w:t>Rajaratnam</w:t>
      </w:r>
      <w:r w:rsidR="00091C25">
        <w:t xml:space="preserve"> et al. 2013</w:t>
      </w:r>
      <w:r w:rsidR="00A540EF">
        <w:t>).</w:t>
      </w:r>
      <w:r w:rsidR="00D61413">
        <w:t xml:space="preserve"> In addition, </w:t>
      </w:r>
      <w:r w:rsidR="00D10264">
        <w:t xml:space="preserve">it has been shown that </w:t>
      </w:r>
      <w:r w:rsidR="00D61413">
        <w:t xml:space="preserve">the risk of </w:t>
      </w:r>
      <w:r w:rsidR="00D10264">
        <w:t xml:space="preserve">a </w:t>
      </w:r>
      <w:r w:rsidR="00B659EB">
        <w:t>wo</w:t>
      </w:r>
      <w:r w:rsidR="00D10264">
        <w:t>rkplace accident</w:t>
      </w:r>
      <w:r w:rsidR="00B659EB">
        <w:t xml:space="preserve"> </w:t>
      </w:r>
      <w:r w:rsidR="00D10264">
        <w:t xml:space="preserve">increases </w:t>
      </w:r>
      <w:r w:rsidR="00D61413">
        <w:t>over consecutive shifts</w:t>
      </w:r>
      <w:r w:rsidR="00D10264">
        <w:t xml:space="preserve"> and the increased risk is considerably higher among those who work consecutive</w:t>
      </w:r>
      <w:r w:rsidR="00091C25">
        <w:t xml:space="preserve"> night shifts (</w:t>
      </w:r>
      <w:r w:rsidR="00176CF1" w:rsidRPr="00176CF1">
        <w:t xml:space="preserve">Folkard </w:t>
      </w:r>
      <w:r w:rsidR="00176CF1">
        <w:t xml:space="preserve">and Tucker </w:t>
      </w:r>
      <w:r w:rsidR="00176CF1" w:rsidRPr="00176CF1">
        <w:t>2003</w:t>
      </w:r>
      <w:r w:rsidR="00091C25">
        <w:t>). E</w:t>
      </w:r>
      <w:r w:rsidR="00185209">
        <w:t>pidemiological</w:t>
      </w:r>
      <w:r w:rsidR="001506F6">
        <w:t xml:space="preserve"> evidence indicates that </w:t>
      </w:r>
      <w:r w:rsidR="00F964C1">
        <w:t>shiftwork</w:t>
      </w:r>
      <w:r w:rsidR="006D4670">
        <w:t xml:space="preserve">ers are also at elevated risk of chronic diseases </w:t>
      </w:r>
      <w:r w:rsidR="00546555">
        <w:t>like</w:t>
      </w:r>
      <w:r w:rsidR="006D4670">
        <w:t xml:space="preserve"> breast cancer and cardiovascular </w:t>
      </w:r>
      <w:r w:rsidR="00091C25">
        <w:t>diseases (Wang et al. 2011</w:t>
      </w:r>
      <w:r w:rsidR="006D4670">
        <w:t>).</w:t>
      </w:r>
      <w:r w:rsidR="007A4376">
        <w:t xml:space="preserve"> Chronic diseases are not covered in this report because </w:t>
      </w:r>
      <w:r w:rsidR="006C60FA">
        <w:t xml:space="preserve">the primary </w:t>
      </w:r>
      <w:r w:rsidR="00506EEC">
        <w:t>subject</w:t>
      </w:r>
      <w:r w:rsidR="006C60FA">
        <w:t xml:space="preserve"> of the WRIS was work-related injuries</w:t>
      </w:r>
      <w:r w:rsidR="007A4376">
        <w:t>.</w:t>
      </w:r>
      <w:r w:rsidR="00C53787">
        <w:br w:type="page"/>
      </w:r>
    </w:p>
    <w:p w:rsidR="00C53787" w:rsidRDefault="00C53787" w:rsidP="00C53787">
      <w:pPr>
        <w:pStyle w:val="Heading1"/>
      </w:pPr>
      <w:bookmarkStart w:id="91" w:name="_Toc459366230"/>
      <w:r>
        <w:lastRenderedPageBreak/>
        <w:t>Differences between groups of shiftworkers</w:t>
      </w:r>
      <w:bookmarkEnd w:id="91"/>
    </w:p>
    <w:p w:rsidR="00845163" w:rsidRDefault="00845163" w:rsidP="00845163">
      <w:pPr>
        <w:pStyle w:val="Heading2"/>
      </w:pPr>
      <w:bookmarkStart w:id="92" w:name="_Toc459366231"/>
      <w:r>
        <w:t>Occupation</w:t>
      </w:r>
      <w:bookmarkEnd w:id="92"/>
    </w:p>
    <w:p w:rsidR="00A20BBE" w:rsidRDefault="00845163" w:rsidP="004D366D">
      <w:r>
        <w:t>Although</w:t>
      </w:r>
      <w:r w:rsidR="000B15E0">
        <w:t xml:space="preserve"> </w:t>
      </w:r>
      <w:r w:rsidR="00DE2343">
        <w:t xml:space="preserve">shiftworkers have a significantly higher </w:t>
      </w:r>
      <w:r w:rsidR="00124E5D">
        <w:t>injury rate</w:t>
      </w:r>
      <w:r>
        <w:t xml:space="preserve">, </w:t>
      </w:r>
      <w:r w:rsidR="004D366D">
        <w:t>t</w:t>
      </w:r>
      <w:r w:rsidR="00A20BBE">
        <w:t xml:space="preserve">he results in figure 2 show that </w:t>
      </w:r>
      <w:r w:rsidR="0061058D">
        <w:t xml:space="preserve">shiftworkers who are machinery operators and drivers have </w:t>
      </w:r>
      <w:r w:rsidR="004D366D">
        <w:t>a significantly lower injury rate</w:t>
      </w:r>
      <w:r w:rsidR="0061058D">
        <w:t xml:space="preserve"> than their non-shiftworker counterparts. </w:t>
      </w:r>
      <w:r w:rsidR="004647DC">
        <w:t xml:space="preserve">This makes this occupation unique because there is no other occupation in which shiftworkers have significantly lower injury rates than non-shiftworkers. Among clerical and administrative workers, there </w:t>
      </w:r>
      <w:r w:rsidR="004D366D">
        <w:t>are no significant differences</w:t>
      </w:r>
      <w:r w:rsidR="004647DC">
        <w:t xml:space="preserve"> in the injury rates of shiftworkers and non-shiftworkers. In all other occupations, shiftworkers have significantly higher injury rates than non-shiftworkers.</w:t>
      </w:r>
    </w:p>
    <w:p w:rsidR="00BA7A54" w:rsidRDefault="00BA7A54" w:rsidP="00BA7A54">
      <w:pPr>
        <w:pStyle w:val="Heading5"/>
      </w:pPr>
      <w:bookmarkStart w:id="93" w:name="_Toc447701735"/>
      <w:r>
        <w:t xml:space="preserve">Figure </w:t>
      </w:r>
      <w:fldSimple w:instr=" SEQ Figure \* ARABIC ">
        <w:r w:rsidR="0091230D">
          <w:rPr>
            <w:noProof/>
          </w:rPr>
          <w:t>2</w:t>
        </w:r>
      </w:fldSimple>
      <w:r>
        <w:t xml:space="preserve">: </w:t>
      </w:r>
      <w:r w:rsidR="00D92A8C">
        <w:t>Injury</w:t>
      </w:r>
      <w:r w:rsidR="00F2300F">
        <w:t xml:space="preserve"> r</w:t>
      </w:r>
      <w:r>
        <w:t xml:space="preserve">ates and </w:t>
      </w:r>
      <w:r w:rsidR="00E87749">
        <w:t>84 per cent</w:t>
      </w:r>
      <w:r>
        <w:t xml:space="preserve"> confidence intervals by </w:t>
      </w:r>
      <w:r w:rsidR="00F2300F">
        <w:t xml:space="preserve">shiftwork status and </w:t>
      </w:r>
      <w:r w:rsidR="00FA357A">
        <w:t>occupation, 2013−</w:t>
      </w:r>
      <w:r>
        <w:t>14</w:t>
      </w:r>
      <w:bookmarkEnd w:id="93"/>
    </w:p>
    <w:p w:rsidR="00845163" w:rsidRDefault="0061058D" w:rsidP="00845163">
      <w:r w:rsidRPr="0061058D">
        <w:rPr>
          <w:noProof/>
        </w:rPr>
        <w:t xml:space="preserve"> </w:t>
      </w:r>
      <w:r>
        <w:rPr>
          <w:noProof/>
        </w:rPr>
        <w:drawing>
          <wp:inline distT="0" distB="0" distL="0" distR="0" wp14:anchorId="10728C3A" wp14:editId="157A4B30">
            <wp:extent cx="5943600" cy="3498215"/>
            <wp:effectExtent l="0" t="0" r="19050" b="26035"/>
            <wp:docPr id="3" name="Chart 3" descr="shiftworkers who are machinery operators and drivers have a significantly lower injury rate than their non-shiftworker counterparts"/>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45163" w:rsidRDefault="00845163" w:rsidP="00845163">
      <w:pPr>
        <w:pStyle w:val="Tablefooter"/>
      </w:pPr>
      <w:r>
        <w:t>Occupations</w:t>
      </w:r>
      <w:r w:rsidRPr="0018204F">
        <w:t xml:space="preserve"> with relative standard errors above 50</w:t>
      </w:r>
      <w:r w:rsidR="0035465B">
        <w:t xml:space="preserve"> per cent</w:t>
      </w:r>
      <w:r w:rsidRPr="0018204F">
        <w:t xml:space="preserve"> are excluded</w:t>
      </w:r>
      <w:r w:rsidR="009060A7">
        <w:t>, but are included in “all occupations”</w:t>
      </w:r>
      <w:r>
        <w:t>.</w:t>
      </w:r>
    </w:p>
    <w:p w:rsidR="0003308F" w:rsidRPr="005B5239" w:rsidRDefault="0003308F" w:rsidP="00E72CDA">
      <w:pPr>
        <w:rPr>
          <w:rFonts w:eastAsia="Times New Roman"/>
          <w:kern w:val="0"/>
          <w:szCs w:val="20"/>
        </w:rPr>
      </w:pPr>
      <w:r>
        <w:t xml:space="preserve">Table 1 provides </w:t>
      </w:r>
      <w:r w:rsidRPr="004A1323">
        <w:t>a breakdown of shiftwork</w:t>
      </w:r>
      <w:r>
        <w:t xml:space="preserve">ers in the six </w:t>
      </w:r>
      <w:r w:rsidR="005B5239">
        <w:t>occupations</w:t>
      </w:r>
      <w:r>
        <w:t xml:space="preserve"> above, which collectively </w:t>
      </w:r>
      <w:r w:rsidR="005B5239">
        <w:t>accounted for 81</w:t>
      </w:r>
      <w:r>
        <w:t xml:space="preserve"> per cent of shiftworkers in </w:t>
      </w:r>
      <w:r w:rsidR="00546165">
        <w:t>2013–14</w:t>
      </w:r>
      <w:r>
        <w:t xml:space="preserve">. </w:t>
      </w:r>
      <w:r w:rsidR="00B4626A">
        <w:t xml:space="preserve">Around one in five </w:t>
      </w:r>
      <w:r w:rsidR="005B5239">
        <w:t>(22</w:t>
      </w:r>
      <w:r>
        <w:t xml:space="preserve"> per cent) shiftworkers </w:t>
      </w:r>
      <w:r w:rsidR="005B5239">
        <w:t>were c</w:t>
      </w:r>
      <w:r w:rsidR="005B5239" w:rsidRPr="005B5239">
        <w:t>ommunity and personal service workers</w:t>
      </w:r>
      <w:r w:rsidR="00E72CDA">
        <w:t>, and th</w:t>
      </w:r>
      <w:r w:rsidR="00AA1E74">
        <w:t>ey included carers and aides (29</w:t>
      </w:r>
      <w:r w:rsidR="00E72CDA">
        <w:t xml:space="preserve"> per cent), hospitality workers (27 per cent), and protective service workers (27 per cent). Seventeen per cent of shiftworkers were professionals and the majority (70 per cent) were health professionals.</w:t>
      </w:r>
    </w:p>
    <w:p w:rsidR="0003308F" w:rsidRDefault="0003308F" w:rsidP="00A25AC5">
      <w:pPr>
        <w:pStyle w:val="Heading4"/>
      </w:pPr>
      <w:bookmarkStart w:id="94" w:name="_Toc444075070"/>
      <w:r>
        <w:t xml:space="preserve">Table </w:t>
      </w:r>
      <w:fldSimple w:instr=" SEQ Table \* ARABIC ">
        <w:r w:rsidR="0091230D">
          <w:rPr>
            <w:noProof/>
          </w:rPr>
          <w:t>1</w:t>
        </w:r>
      </w:fldSimple>
      <w:r>
        <w:t xml:space="preserve">: </w:t>
      </w:r>
      <w:r w:rsidRPr="0003308F">
        <w:t xml:space="preserve">Percentage of shiftworkers in Australia by </w:t>
      </w:r>
      <w:r w:rsidR="00C17A1A">
        <w:t>occupation</w:t>
      </w:r>
      <w:r w:rsidRPr="0003308F">
        <w:t>, 2013–14</w:t>
      </w:r>
      <w:bookmarkEnd w:id="94"/>
    </w:p>
    <w:tbl>
      <w:tblPr>
        <w:tblStyle w:val="TableGrid"/>
        <w:tblW w:w="8662" w:type="dxa"/>
        <w:tblInd w:w="108" w:type="dxa"/>
        <w:tblLook w:val="04A0" w:firstRow="1" w:lastRow="0" w:firstColumn="1" w:lastColumn="0" w:noHBand="0" w:noVBand="1"/>
        <w:tblDescription w:val="Table 1"/>
      </w:tblPr>
      <w:tblGrid>
        <w:gridCol w:w="5767"/>
        <w:gridCol w:w="2895"/>
      </w:tblGrid>
      <w:tr w:rsidR="00AA1E74" w:rsidRPr="00AA1E74" w:rsidTr="00AA1E74">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5767" w:type="dxa"/>
            <w:noWrap/>
            <w:hideMark/>
          </w:tcPr>
          <w:p w:rsidR="00AA1E74" w:rsidRPr="00AA1E74" w:rsidRDefault="00AA1E74" w:rsidP="00AA1E74">
            <w:pPr>
              <w:rPr>
                <w:bCs/>
                <w:color w:val="000000"/>
                <w:szCs w:val="20"/>
              </w:rPr>
            </w:pPr>
            <w:r w:rsidRPr="00AA1E74">
              <w:rPr>
                <w:bCs/>
                <w:color w:val="000000"/>
                <w:szCs w:val="20"/>
              </w:rPr>
              <w:t>Occupation</w:t>
            </w:r>
          </w:p>
        </w:tc>
        <w:tc>
          <w:tcPr>
            <w:tcW w:w="2895" w:type="dxa"/>
            <w:noWrap/>
            <w:hideMark/>
          </w:tcPr>
          <w:p w:rsidR="00AA1E74" w:rsidRPr="00AA1E74" w:rsidRDefault="00AA1E74" w:rsidP="00AA1E74">
            <w:pPr>
              <w:cnfStyle w:val="100000000000" w:firstRow="1" w:lastRow="0" w:firstColumn="0" w:lastColumn="0" w:oddVBand="0" w:evenVBand="0" w:oddHBand="0" w:evenHBand="0" w:firstRowFirstColumn="0" w:firstRowLastColumn="0" w:lastRowFirstColumn="0" w:lastRowLastColumn="0"/>
              <w:rPr>
                <w:bCs/>
                <w:color w:val="000000"/>
                <w:szCs w:val="20"/>
              </w:rPr>
            </w:pPr>
            <w:r w:rsidRPr="00AA1E74">
              <w:rPr>
                <w:bCs/>
                <w:color w:val="000000"/>
                <w:szCs w:val="20"/>
              </w:rPr>
              <w:t>Percentage of shiftworkers</w:t>
            </w:r>
          </w:p>
        </w:tc>
      </w:tr>
      <w:tr w:rsidR="00AA1E74" w:rsidRPr="00CB78AC" w:rsidTr="00AA1E74">
        <w:trPr>
          <w:trHeight w:val="255"/>
        </w:trPr>
        <w:tc>
          <w:tcPr>
            <w:cnfStyle w:val="001000000000" w:firstRow="0" w:lastRow="0" w:firstColumn="1" w:lastColumn="0" w:oddVBand="0" w:evenVBand="0" w:oddHBand="0" w:evenHBand="0" w:firstRowFirstColumn="0" w:firstRowLastColumn="0" w:lastRowFirstColumn="0" w:lastRowLastColumn="0"/>
            <w:tcW w:w="5767" w:type="dxa"/>
            <w:noWrap/>
            <w:hideMark/>
          </w:tcPr>
          <w:p w:rsidR="00AA1E74" w:rsidRDefault="00AA1E74" w:rsidP="00AA1E74">
            <w:pPr>
              <w:rPr>
                <w:b/>
                <w:bCs/>
                <w:color w:val="000000"/>
                <w:szCs w:val="20"/>
              </w:rPr>
            </w:pPr>
            <w:r>
              <w:rPr>
                <w:b/>
                <w:bCs/>
                <w:color w:val="000000"/>
                <w:szCs w:val="20"/>
              </w:rPr>
              <w:t>Community and personal service workers</w:t>
            </w:r>
          </w:p>
        </w:tc>
        <w:tc>
          <w:tcPr>
            <w:tcW w:w="2895" w:type="dxa"/>
            <w:noWrap/>
          </w:tcPr>
          <w:p w:rsidR="00AA1E74" w:rsidRDefault="00AA1E74" w:rsidP="00AA1E74">
            <w:pPr>
              <w:cnfStyle w:val="000000000000" w:firstRow="0" w:lastRow="0" w:firstColumn="0" w:lastColumn="0" w:oddVBand="0" w:evenVBand="0" w:oddHBand="0" w:evenHBand="0" w:firstRowFirstColumn="0" w:firstRowLastColumn="0" w:lastRowFirstColumn="0" w:lastRowLastColumn="0"/>
              <w:rPr>
                <w:b/>
                <w:bCs/>
                <w:color w:val="000000"/>
                <w:szCs w:val="20"/>
              </w:rPr>
            </w:pPr>
            <w:r>
              <w:rPr>
                <w:b/>
                <w:bCs/>
                <w:color w:val="000000"/>
                <w:szCs w:val="20"/>
              </w:rPr>
              <w:t>21.8%</w:t>
            </w:r>
          </w:p>
        </w:tc>
      </w:tr>
      <w:tr w:rsidR="00AA1E74" w:rsidRPr="00CB78AC" w:rsidTr="00AA1E74">
        <w:trPr>
          <w:trHeight w:val="255"/>
        </w:trPr>
        <w:tc>
          <w:tcPr>
            <w:cnfStyle w:val="001000000000" w:firstRow="0" w:lastRow="0" w:firstColumn="1" w:lastColumn="0" w:oddVBand="0" w:evenVBand="0" w:oddHBand="0" w:evenHBand="0" w:firstRowFirstColumn="0" w:firstRowLastColumn="0" w:lastRowFirstColumn="0" w:lastRowLastColumn="0"/>
            <w:tcW w:w="5767" w:type="dxa"/>
            <w:noWrap/>
            <w:hideMark/>
          </w:tcPr>
          <w:p w:rsidR="00AA1E74" w:rsidRDefault="00AA1E74" w:rsidP="00AA1E74">
            <w:pPr>
              <w:ind w:firstLineChars="100" w:firstLine="200"/>
              <w:rPr>
                <w:szCs w:val="20"/>
              </w:rPr>
            </w:pPr>
            <w:r>
              <w:rPr>
                <w:szCs w:val="20"/>
              </w:rPr>
              <w:t>Carers and aides</w:t>
            </w:r>
          </w:p>
        </w:tc>
        <w:tc>
          <w:tcPr>
            <w:tcW w:w="2895" w:type="dxa"/>
            <w:noWrap/>
          </w:tcPr>
          <w:p w:rsidR="00AA1E74" w:rsidRDefault="00AA1E74" w:rsidP="00AA1E74">
            <w:pPr>
              <w:cnfStyle w:val="000000000000" w:firstRow="0" w:lastRow="0" w:firstColumn="0" w:lastColumn="0" w:oddVBand="0" w:evenVBand="0" w:oddHBand="0" w:evenHBand="0" w:firstRowFirstColumn="0" w:firstRowLastColumn="0" w:lastRowFirstColumn="0" w:lastRowLastColumn="0"/>
              <w:rPr>
                <w:szCs w:val="20"/>
              </w:rPr>
            </w:pPr>
            <w:r>
              <w:rPr>
                <w:szCs w:val="20"/>
              </w:rPr>
              <w:t>28.5%</w:t>
            </w:r>
          </w:p>
        </w:tc>
      </w:tr>
      <w:tr w:rsidR="00AA1E74" w:rsidRPr="00CB78AC" w:rsidTr="00AA1E74">
        <w:trPr>
          <w:trHeight w:val="255"/>
        </w:trPr>
        <w:tc>
          <w:tcPr>
            <w:cnfStyle w:val="001000000000" w:firstRow="0" w:lastRow="0" w:firstColumn="1" w:lastColumn="0" w:oddVBand="0" w:evenVBand="0" w:oddHBand="0" w:evenHBand="0" w:firstRowFirstColumn="0" w:firstRowLastColumn="0" w:lastRowFirstColumn="0" w:lastRowLastColumn="0"/>
            <w:tcW w:w="5767" w:type="dxa"/>
            <w:noWrap/>
            <w:hideMark/>
          </w:tcPr>
          <w:p w:rsidR="00AA1E74" w:rsidRDefault="00AA1E74" w:rsidP="00AA1E74">
            <w:pPr>
              <w:ind w:firstLineChars="100" w:firstLine="200"/>
              <w:rPr>
                <w:szCs w:val="20"/>
              </w:rPr>
            </w:pPr>
            <w:r>
              <w:rPr>
                <w:szCs w:val="20"/>
              </w:rPr>
              <w:t>Hospitality workers</w:t>
            </w:r>
          </w:p>
        </w:tc>
        <w:tc>
          <w:tcPr>
            <w:tcW w:w="2895" w:type="dxa"/>
            <w:noWrap/>
          </w:tcPr>
          <w:p w:rsidR="00AA1E74" w:rsidRDefault="00AA1E74" w:rsidP="00AA1E74">
            <w:pPr>
              <w:cnfStyle w:val="000000000000" w:firstRow="0" w:lastRow="0" w:firstColumn="0" w:lastColumn="0" w:oddVBand="0" w:evenVBand="0" w:oddHBand="0" w:evenHBand="0" w:firstRowFirstColumn="0" w:firstRowLastColumn="0" w:lastRowFirstColumn="0" w:lastRowLastColumn="0"/>
              <w:rPr>
                <w:szCs w:val="20"/>
              </w:rPr>
            </w:pPr>
            <w:r>
              <w:rPr>
                <w:szCs w:val="20"/>
              </w:rPr>
              <w:t>27.3%</w:t>
            </w:r>
          </w:p>
        </w:tc>
      </w:tr>
      <w:tr w:rsidR="00AA1E74" w:rsidRPr="00CB78AC" w:rsidTr="00AA1E74">
        <w:trPr>
          <w:trHeight w:val="255"/>
        </w:trPr>
        <w:tc>
          <w:tcPr>
            <w:cnfStyle w:val="001000000000" w:firstRow="0" w:lastRow="0" w:firstColumn="1" w:lastColumn="0" w:oddVBand="0" w:evenVBand="0" w:oddHBand="0" w:evenHBand="0" w:firstRowFirstColumn="0" w:firstRowLastColumn="0" w:lastRowFirstColumn="0" w:lastRowLastColumn="0"/>
            <w:tcW w:w="5767" w:type="dxa"/>
            <w:noWrap/>
            <w:hideMark/>
          </w:tcPr>
          <w:p w:rsidR="00AA1E74" w:rsidRDefault="00AA1E74" w:rsidP="00AA1E74">
            <w:pPr>
              <w:ind w:firstLineChars="100" w:firstLine="200"/>
              <w:rPr>
                <w:szCs w:val="20"/>
              </w:rPr>
            </w:pPr>
            <w:r>
              <w:rPr>
                <w:szCs w:val="20"/>
              </w:rPr>
              <w:t>Protective service workers</w:t>
            </w:r>
          </w:p>
        </w:tc>
        <w:tc>
          <w:tcPr>
            <w:tcW w:w="2895" w:type="dxa"/>
            <w:noWrap/>
          </w:tcPr>
          <w:p w:rsidR="00AA1E74" w:rsidRDefault="00AA1E74" w:rsidP="00AA1E74">
            <w:pPr>
              <w:cnfStyle w:val="000000000000" w:firstRow="0" w:lastRow="0" w:firstColumn="0" w:lastColumn="0" w:oddVBand="0" w:evenVBand="0" w:oddHBand="0" w:evenHBand="0" w:firstRowFirstColumn="0" w:firstRowLastColumn="0" w:lastRowFirstColumn="0" w:lastRowLastColumn="0"/>
              <w:rPr>
                <w:szCs w:val="20"/>
              </w:rPr>
            </w:pPr>
            <w:r>
              <w:rPr>
                <w:szCs w:val="20"/>
              </w:rPr>
              <w:t>27.2%</w:t>
            </w:r>
          </w:p>
        </w:tc>
      </w:tr>
      <w:tr w:rsidR="00AA1E74" w:rsidRPr="00CB78AC" w:rsidTr="00AA1E74">
        <w:trPr>
          <w:trHeight w:val="255"/>
        </w:trPr>
        <w:tc>
          <w:tcPr>
            <w:cnfStyle w:val="001000000000" w:firstRow="0" w:lastRow="0" w:firstColumn="1" w:lastColumn="0" w:oddVBand="0" w:evenVBand="0" w:oddHBand="0" w:evenHBand="0" w:firstRowFirstColumn="0" w:firstRowLastColumn="0" w:lastRowFirstColumn="0" w:lastRowLastColumn="0"/>
            <w:tcW w:w="5767" w:type="dxa"/>
            <w:noWrap/>
            <w:hideMark/>
          </w:tcPr>
          <w:p w:rsidR="00AA1E74" w:rsidRDefault="00AA1E74" w:rsidP="00AA1E74">
            <w:pPr>
              <w:ind w:firstLineChars="100" w:firstLine="200"/>
              <w:rPr>
                <w:szCs w:val="20"/>
              </w:rPr>
            </w:pPr>
            <w:r>
              <w:rPr>
                <w:szCs w:val="20"/>
              </w:rPr>
              <w:t>Health and welfare support workers</w:t>
            </w:r>
          </w:p>
        </w:tc>
        <w:tc>
          <w:tcPr>
            <w:tcW w:w="2895" w:type="dxa"/>
            <w:noWrap/>
          </w:tcPr>
          <w:p w:rsidR="00AA1E74" w:rsidRDefault="00AA1E74" w:rsidP="00AA1E74">
            <w:pPr>
              <w:cnfStyle w:val="000000000000" w:firstRow="0" w:lastRow="0" w:firstColumn="0" w:lastColumn="0" w:oddVBand="0" w:evenVBand="0" w:oddHBand="0" w:evenHBand="0" w:firstRowFirstColumn="0" w:firstRowLastColumn="0" w:lastRowFirstColumn="0" w:lastRowLastColumn="0"/>
              <w:rPr>
                <w:szCs w:val="20"/>
              </w:rPr>
            </w:pPr>
            <w:r>
              <w:rPr>
                <w:szCs w:val="20"/>
              </w:rPr>
              <w:t>9.8%</w:t>
            </w:r>
          </w:p>
        </w:tc>
      </w:tr>
      <w:tr w:rsidR="00AA1E74" w:rsidRPr="00CB78AC" w:rsidTr="00AA1E74">
        <w:trPr>
          <w:trHeight w:val="255"/>
        </w:trPr>
        <w:tc>
          <w:tcPr>
            <w:cnfStyle w:val="001000000000" w:firstRow="0" w:lastRow="0" w:firstColumn="1" w:lastColumn="0" w:oddVBand="0" w:evenVBand="0" w:oddHBand="0" w:evenHBand="0" w:firstRowFirstColumn="0" w:firstRowLastColumn="0" w:lastRowFirstColumn="0" w:lastRowLastColumn="0"/>
            <w:tcW w:w="5767" w:type="dxa"/>
            <w:noWrap/>
            <w:hideMark/>
          </w:tcPr>
          <w:p w:rsidR="00AA1E74" w:rsidRDefault="00AA1E74" w:rsidP="00AA1E74">
            <w:pPr>
              <w:ind w:firstLineChars="100" w:firstLine="200"/>
              <w:rPr>
                <w:szCs w:val="20"/>
              </w:rPr>
            </w:pPr>
            <w:r>
              <w:rPr>
                <w:szCs w:val="20"/>
              </w:rPr>
              <w:t>Sports and personal service workers</w:t>
            </w:r>
          </w:p>
        </w:tc>
        <w:tc>
          <w:tcPr>
            <w:tcW w:w="2895" w:type="dxa"/>
            <w:noWrap/>
          </w:tcPr>
          <w:p w:rsidR="00AA1E74" w:rsidRDefault="00AA1E74" w:rsidP="00AA1E74">
            <w:pPr>
              <w:cnfStyle w:val="000000000000" w:firstRow="0" w:lastRow="0" w:firstColumn="0" w:lastColumn="0" w:oddVBand="0" w:evenVBand="0" w:oddHBand="0" w:evenHBand="0" w:firstRowFirstColumn="0" w:firstRowLastColumn="0" w:lastRowFirstColumn="0" w:lastRowLastColumn="0"/>
              <w:rPr>
                <w:szCs w:val="20"/>
              </w:rPr>
            </w:pPr>
            <w:r>
              <w:rPr>
                <w:szCs w:val="20"/>
              </w:rPr>
              <w:t>7.2%</w:t>
            </w:r>
          </w:p>
        </w:tc>
      </w:tr>
      <w:tr w:rsidR="00AA1E74" w:rsidRPr="00CB78AC" w:rsidTr="00AA1E74">
        <w:trPr>
          <w:trHeight w:val="255"/>
        </w:trPr>
        <w:tc>
          <w:tcPr>
            <w:cnfStyle w:val="001000000000" w:firstRow="0" w:lastRow="0" w:firstColumn="1" w:lastColumn="0" w:oddVBand="0" w:evenVBand="0" w:oddHBand="0" w:evenHBand="0" w:firstRowFirstColumn="0" w:firstRowLastColumn="0" w:lastRowFirstColumn="0" w:lastRowLastColumn="0"/>
            <w:tcW w:w="5767" w:type="dxa"/>
            <w:noWrap/>
            <w:hideMark/>
          </w:tcPr>
          <w:p w:rsidR="00AA1E74" w:rsidRDefault="00AA1E74" w:rsidP="00AA1E74">
            <w:pPr>
              <w:rPr>
                <w:b/>
                <w:bCs/>
                <w:color w:val="000000"/>
                <w:szCs w:val="20"/>
              </w:rPr>
            </w:pPr>
            <w:r>
              <w:rPr>
                <w:b/>
                <w:bCs/>
                <w:color w:val="000000"/>
                <w:szCs w:val="20"/>
              </w:rPr>
              <w:t>Professionals</w:t>
            </w:r>
          </w:p>
        </w:tc>
        <w:tc>
          <w:tcPr>
            <w:tcW w:w="2895" w:type="dxa"/>
            <w:noWrap/>
          </w:tcPr>
          <w:p w:rsidR="00AA1E74" w:rsidRDefault="00AA1E74" w:rsidP="00AA1E74">
            <w:pPr>
              <w:cnfStyle w:val="000000000000" w:firstRow="0" w:lastRow="0" w:firstColumn="0" w:lastColumn="0" w:oddVBand="0" w:evenVBand="0" w:oddHBand="0" w:evenHBand="0" w:firstRowFirstColumn="0" w:firstRowLastColumn="0" w:lastRowFirstColumn="0" w:lastRowLastColumn="0"/>
              <w:rPr>
                <w:b/>
                <w:bCs/>
                <w:color w:val="000000"/>
                <w:szCs w:val="20"/>
              </w:rPr>
            </w:pPr>
            <w:r>
              <w:rPr>
                <w:b/>
                <w:bCs/>
                <w:color w:val="000000"/>
                <w:szCs w:val="20"/>
              </w:rPr>
              <w:t>16.9%</w:t>
            </w:r>
          </w:p>
        </w:tc>
      </w:tr>
      <w:tr w:rsidR="00AA1E74" w:rsidRPr="00CB78AC" w:rsidTr="00AA1E74">
        <w:trPr>
          <w:trHeight w:val="255"/>
        </w:trPr>
        <w:tc>
          <w:tcPr>
            <w:cnfStyle w:val="001000000000" w:firstRow="0" w:lastRow="0" w:firstColumn="1" w:lastColumn="0" w:oddVBand="0" w:evenVBand="0" w:oddHBand="0" w:evenHBand="0" w:firstRowFirstColumn="0" w:firstRowLastColumn="0" w:lastRowFirstColumn="0" w:lastRowLastColumn="0"/>
            <w:tcW w:w="5767" w:type="dxa"/>
            <w:noWrap/>
            <w:hideMark/>
          </w:tcPr>
          <w:p w:rsidR="00AA1E74" w:rsidRDefault="00AA1E74" w:rsidP="00AA1E74">
            <w:pPr>
              <w:ind w:firstLineChars="100" w:firstLine="200"/>
              <w:rPr>
                <w:szCs w:val="20"/>
              </w:rPr>
            </w:pPr>
            <w:r>
              <w:rPr>
                <w:szCs w:val="20"/>
              </w:rPr>
              <w:t>Health professionals</w:t>
            </w:r>
          </w:p>
        </w:tc>
        <w:tc>
          <w:tcPr>
            <w:tcW w:w="2895" w:type="dxa"/>
            <w:noWrap/>
          </w:tcPr>
          <w:p w:rsidR="00AA1E74" w:rsidRDefault="00AA1E74" w:rsidP="00AA1E74">
            <w:pPr>
              <w:cnfStyle w:val="000000000000" w:firstRow="0" w:lastRow="0" w:firstColumn="0" w:lastColumn="0" w:oddVBand="0" w:evenVBand="0" w:oddHBand="0" w:evenHBand="0" w:firstRowFirstColumn="0" w:firstRowLastColumn="0" w:lastRowFirstColumn="0" w:lastRowLastColumn="0"/>
              <w:rPr>
                <w:szCs w:val="20"/>
              </w:rPr>
            </w:pPr>
            <w:r>
              <w:rPr>
                <w:szCs w:val="20"/>
              </w:rPr>
              <w:t>70.1%</w:t>
            </w:r>
          </w:p>
        </w:tc>
      </w:tr>
      <w:tr w:rsidR="00AA1E74" w:rsidRPr="00CB78AC" w:rsidTr="00AA1E74">
        <w:trPr>
          <w:trHeight w:val="255"/>
        </w:trPr>
        <w:tc>
          <w:tcPr>
            <w:cnfStyle w:val="001000000000" w:firstRow="0" w:lastRow="0" w:firstColumn="1" w:lastColumn="0" w:oddVBand="0" w:evenVBand="0" w:oddHBand="0" w:evenHBand="0" w:firstRowFirstColumn="0" w:firstRowLastColumn="0" w:lastRowFirstColumn="0" w:lastRowLastColumn="0"/>
            <w:tcW w:w="5767" w:type="dxa"/>
            <w:noWrap/>
            <w:hideMark/>
          </w:tcPr>
          <w:p w:rsidR="00AA1E74" w:rsidRDefault="00AA1E74" w:rsidP="00AA1E74">
            <w:pPr>
              <w:ind w:firstLineChars="100" w:firstLine="200"/>
              <w:rPr>
                <w:szCs w:val="20"/>
              </w:rPr>
            </w:pPr>
            <w:r>
              <w:rPr>
                <w:szCs w:val="20"/>
              </w:rPr>
              <w:t>Design, engineering, science and transport professionals</w:t>
            </w:r>
          </w:p>
        </w:tc>
        <w:tc>
          <w:tcPr>
            <w:tcW w:w="2895" w:type="dxa"/>
            <w:noWrap/>
          </w:tcPr>
          <w:p w:rsidR="00AA1E74" w:rsidRDefault="00AA1E74" w:rsidP="00AA1E74">
            <w:pPr>
              <w:cnfStyle w:val="000000000000" w:firstRow="0" w:lastRow="0" w:firstColumn="0" w:lastColumn="0" w:oddVBand="0" w:evenVBand="0" w:oddHBand="0" w:evenHBand="0" w:firstRowFirstColumn="0" w:firstRowLastColumn="0" w:lastRowFirstColumn="0" w:lastRowLastColumn="0"/>
              <w:rPr>
                <w:szCs w:val="20"/>
              </w:rPr>
            </w:pPr>
            <w:r>
              <w:rPr>
                <w:szCs w:val="20"/>
              </w:rPr>
              <w:t>13.0%</w:t>
            </w:r>
          </w:p>
        </w:tc>
      </w:tr>
      <w:tr w:rsidR="00AA1E74" w:rsidRPr="00CB78AC" w:rsidTr="00AA1E74">
        <w:trPr>
          <w:trHeight w:val="255"/>
        </w:trPr>
        <w:tc>
          <w:tcPr>
            <w:cnfStyle w:val="001000000000" w:firstRow="0" w:lastRow="0" w:firstColumn="1" w:lastColumn="0" w:oddVBand="0" w:evenVBand="0" w:oddHBand="0" w:evenHBand="0" w:firstRowFirstColumn="0" w:firstRowLastColumn="0" w:lastRowFirstColumn="0" w:lastRowLastColumn="0"/>
            <w:tcW w:w="5767" w:type="dxa"/>
            <w:noWrap/>
            <w:hideMark/>
          </w:tcPr>
          <w:p w:rsidR="00AA1E74" w:rsidRDefault="00AA1E74" w:rsidP="00AA1E74">
            <w:pPr>
              <w:ind w:firstLineChars="100" w:firstLine="200"/>
              <w:rPr>
                <w:szCs w:val="20"/>
              </w:rPr>
            </w:pPr>
            <w:r>
              <w:rPr>
                <w:szCs w:val="20"/>
              </w:rPr>
              <w:lastRenderedPageBreak/>
              <w:t>Legal, social and welfare professionals</w:t>
            </w:r>
          </w:p>
        </w:tc>
        <w:tc>
          <w:tcPr>
            <w:tcW w:w="2895" w:type="dxa"/>
            <w:noWrap/>
          </w:tcPr>
          <w:p w:rsidR="00AA1E74" w:rsidRDefault="00AA1E74" w:rsidP="00AA1E74">
            <w:pPr>
              <w:cnfStyle w:val="000000000000" w:firstRow="0" w:lastRow="0" w:firstColumn="0" w:lastColumn="0" w:oddVBand="0" w:evenVBand="0" w:oddHBand="0" w:evenHBand="0" w:firstRowFirstColumn="0" w:firstRowLastColumn="0" w:lastRowFirstColumn="0" w:lastRowLastColumn="0"/>
              <w:rPr>
                <w:szCs w:val="20"/>
              </w:rPr>
            </w:pPr>
            <w:r>
              <w:rPr>
                <w:szCs w:val="20"/>
              </w:rPr>
              <w:t>4.3%</w:t>
            </w:r>
          </w:p>
        </w:tc>
      </w:tr>
      <w:tr w:rsidR="00AA1E74" w:rsidRPr="00CB78AC" w:rsidTr="00AA1E74">
        <w:trPr>
          <w:trHeight w:val="255"/>
        </w:trPr>
        <w:tc>
          <w:tcPr>
            <w:cnfStyle w:val="001000000000" w:firstRow="0" w:lastRow="0" w:firstColumn="1" w:lastColumn="0" w:oddVBand="0" w:evenVBand="0" w:oddHBand="0" w:evenHBand="0" w:firstRowFirstColumn="0" w:firstRowLastColumn="0" w:lastRowFirstColumn="0" w:lastRowLastColumn="0"/>
            <w:tcW w:w="5767" w:type="dxa"/>
            <w:noWrap/>
            <w:hideMark/>
          </w:tcPr>
          <w:p w:rsidR="00AA1E74" w:rsidRDefault="00AA1E74" w:rsidP="00AA1E74">
            <w:pPr>
              <w:rPr>
                <w:b/>
                <w:bCs/>
                <w:color w:val="000000"/>
                <w:szCs w:val="20"/>
              </w:rPr>
            </w:pPr>
            <w:r>
              <w:rPr>
                <w:b/>
                <w:bCs/>
                <w:color w:val="000000"/>
                <w:szCs w:val="20"/>
              </w:rPr>
              <w:t>Labourers</w:t>
            </w:r>
          </w:p>
        </w:tc>
        <w:tc>
          <w:tcPr>
            <w:tcW w:w="2895" w:type="dxa"/>
            <w:noWrap/>
          </w:tcPr>
          <w:p w:rsidR="00AA1E74" w:rsidRDefault="00AA1E74" w:rsidP="00AA1E74">
            <w:pPr>
              <w:cnfStyle w:val="000000000000" w:firstRow="0" w:lastRow="0" w:firstColumn="0" w:lastColumn="0" w:oddVBand="0" w:evenVBand="0" w:oddHBand="0" w:evenHBand="0" w:firstRowFirstColumn="0" w:firstRowLastColumn="0" w:lastRowFirstColumn="0" w:lastRowLastColumn="0"/>
              <w:rPr>
                <w:b/>
                <w:bCs/>
                <w:color w:val="000000"/>
                <w:szCs w:val="20"/>
              </w:rPr>
            </w:pPr>
            <w:r>
              <w:rPr>
                <w:b/>
                <w:bCs/>
                <w:color w:val="000000"/>
                <w:szCs w:val="20"/>
              </w:rPr>
              <w:t>12.9%</w:t>
            </w:r>
          </w:p>
        </w:tc>
      </w:tr>
      <w:tr w:rsidR="00AA1E74" w:rsidRPr="00CB78AC" w:rsidTr="00AA1E74">
        <w:trPr>
          <w:trHeight w:val="255"/>
        </w:trPr>
        <w:tc>
          <w:tcPr>
            <w:cnfStyle w:val="001000000000" w:firstRow="0" w:lastRow="0" w:firstColumn="1" w:lastColumn="0" w:oddVBand="0" w:evenVBand="0" w:oddHBand="0" w:evenHBand="0" w:firstRowFirstColumn="0" w:firstRowLastColumn="0" w:lastRowFirstColumn="0" w:lastRowLastColumn="0"/>
            <w:tcW w:w="5767" w:type="dxa"/>
            <w:noWrap/>
            <w:hideMark/>
          </w:tcPr>
          <w:p w:rsidR="00AA1E74" w:rsidRDefault="00AA1E74" w:rsidP="00AA1E74">
            <w:pPr>
              <w:ind w:firstLineChars="100" w:firstLine="200"/>
              <w:rPr>
                <w:szCs w:val="20"/>
              </w:rPr>
            </w:pPr>
            <w:r>
              <w:rPr>
                <w:szCs w:val="20"/>
              </w:rPr>
              <w:t>Food preparation assistants</w:t>
            </w:r>
          </w:p>
        </w:tc>
        <w:tc>
          <w:tcPr>
            <w:tcW w:w="2895" w:type="dxa"/>
            <w:noWrap/>
          </w:tcPr>
          <w:p w:rsidR="00AA1E74" w:rsidRDefault="00AA1E74" w:rsidP="00AA1E74">
            <w:pPr>
              <w:cnfStyle w:val="000000000000" w:firstRow="0" w:lastRow="0" w:firstColumn="0" w:lastColumn="0" w:oddVBand="0" w:evenVBand="0" w:oddHBand="0" w:evenHBand="0" w:firstRowFirstColumn="0" w:firstRowLastColumn="0" w:lastRowFirstColumn="0" w:lastRowLastColumn="0"/>
              <w:rPr>
                <w:szCs w:val="20"/>
              </w:rPr>
            </w:pPr>
            <w:r>
              <w:rPr>
                <w:szCs w:val="20"/>
              </w:rPr>
              <w:t>31.8%</w:t>
            </w:r>
          </w:p>
        </w:tc>
      </w:tr>
      <w:tr w:rsidR="00AA1E74" w:rsidRPr="00CB78AC" w:rsidTr="00AA1E74">
        <w:trPr>
          <w:trHeight w:val="255"/>
        </w:trPr>
        <w:tc>
          <w:tcPr>
            <w:cnfStyle w:val="001000000000" w:firstRow="0" w:lastRow="0" w:firstColumn="1" w:lastColumn="0" w:oddVBand="0" w:evenVBand="0" w:oddHBand="0" w:evenHBand="0" w:firstRowFirstColumn="0" w:firstRowLastColumn="0" w:lastRowFirstColumn="0" w:lastRowLastColumn="0"/>
            <w:tcW w:w="5767" w:type="dxa"/>
            <w:noWrap/>
            <w:hideMark/>
          </w:tcPr>
          <w:p w:rsidR="00AA1E74" w:rsidRDefault="00AA1E74" w:rsidP="00AA1E74">
            <w:pPr>
              <w:ind w:firstLineChars="100" w:firstLine="200"/>
              <w:rPr>
                <w:szCs w:val="20"/>
              </w:rPr>
            </w:pPr>
            <w:r>
              <w:rPr>
                <w:szCs w:val="20"/>
              </w:rPr>
              <w:t>Cleaners and laundry workers</w:t>
            </w:r>
          </w:p>
        </w:tc>
        <w:tc>
          <w:tcPr>
            <w:tcW w:w="2895" w:type="dxa"/>
            <w:noWrap/>
          </w:tcPr>
          <w:p w:rsidR="00AA1E74" w:rsidRDefault="00AA1E74" w:rsidP="00AA1E74">
            <w:pPr>
              <w:cnfStyle w:val="000000000000" w:firstRow="0" w:lastRow="0" w:firstColumn="0" w:lastColumn="0" w:oddVBand="0" w:evenVBand="0" w:oddHBand="0" w:evenHBand="0" w:firstRowFirstColumn="0" w:firstRowLastColumn="0" w:lastRowFirstColumn="0" w:lastRowLastColumn="0"/>
              <w:rPr>
                <w:szCs w:val="20"/>
              </w:rPr>
            </w:pPr>
            <w:r>
              <w:rPr>
                <w:szCs w:val="20"/>
              </w:rPr>
              <w:t>22.5%</w:t>
            </w:r>
          </w:p>
        </w:tc>
      </w:tr>
      <w:tr w:rsidR="00AA1E74" w:rsidRPr="00CB78AC" w:rsidTr="00AA1E74">
        <w:trPr>
          <w:trHeight w:val="255"/>
        </w:trPr>
        <w:tc>
          <w:tcPr>
            <w:cnfStyle w:val="001000000000" w:firstRow="0" w:lastRow="0" w:firstColumn="1" w:lastColumn="0" w:oddVBand="0" w:evenVBand="0" w:oddHBand="0" w:evenHBand="0" w:firstRowFirstColumn="0" w:firstRowLastColumn="0" w:lastRowFirstColumn="0" w:lastRowLastColumn="0"/>
            <w:tcW w:w="5767" w:type="dxa"/>
            <w:noWrap/>
            <w:hideMark/>
          </w:tcPr>
          <w:p w:rsidR="00AA1E74" w:rsidRDefault="00AA1E74" w:rsidP="00AA1E74">
            <w:pPr>
              <w:ind w:firstLineChars="100" w:firstLine="200"/>
              <w:rPr>
                <w:szCs w:val="20"/>
              </w:rPr>
            </w:pPr>
            <w:r>
              <w:rPr>
                <w:szCs w:val="20"/>
              </w:rPr>
              <w:t>Factory process workers</w:t>
            </w:r>
          </w:p>
        </w:tc>
        <w:tc>
          <w:tcPr>
            <w:tcW w:w="2895" w:type="dxa"/>
            <w:noWrap/>
          </w:tcPr>
          <w:p w:rsidR="00AA1E74" w:rsidRDefault="00AA1E74" w:rsidP="00AA1E74">
            <w:pPr>
              <w:cnfStyle w:val="000000000000" w:firstRow="0" w:lastRow="0" w:firstColumn="0" w:lastColumn="0" w:oddVBand="0" w:evenVBand="0" w:oddHBand="0" w:evenHBand="0" w:firstRowFirstColumn="0" w:firstRowLastColumn="0" w:lastRowFirstColumn="0" w:lastRowLastColumn="0"/>
              <w:rPr>
                <w:szCs w:val="20"/>
              </w:rPr>
            </w:pPr>
            <w:r>
              <w:rPr>
                <w:szCs w:val="20"/>
              </w:rPr>
              <w:t>16.6%</w:t>
            </w:r>
          </w:p>
        </w:tc>
      </w:tr>
      <w:tr w:rsidR="00AA1E74" w:rsidRPr="00CB78AC" w:rsidTr="00AA1E74">
        <w:trPr>
          <w:trHeight w:val="255"/>
        </w:trPr>
        <w:tc>
          <w:tcPr>
            <w:cnfStyle w:val="001000000000" w:firstRow="0" w:lastRow="0" w:firstColumn="1" w:lastColumn="0" w:oddVBand="0" w:evenVBand="0" w:oddHBand="0" w:evenHBand="0" w:firstRowFirstColumn="0" w:firstRowLastColumn="0" w:lastRowFirstColumn="0" w:lastRowLastColumn="0"/>
            <w:tcW w:w="5767" w:type="dxa"/>
            <w:noWrap/>
            <w:hideMark/>
          </w:tcPr>
          <w:p w:rsidR="00AA1E74" w:rsidRDefault="00AA1E74" w:rsidP="00AA1E74">
            <w:pPr>
              <w:rPr>
                <w:b/>
                <w:bCs/>
                <w:color w:val="000000"/>
                <w:szCs w:val="20"/>
              </w:rPr>
            </w:pPr>
            <w:r>
              <w:rPr>
                <w:b/>
                <w:bCs/>
                <w:color w:val="000000"/>
                <w:szCs w:val="20"/>
              </w:rPr>
              <w:t>Machinery operators and drivers</w:t>
            </w:r>
          </w:p>
        </w:tc>
        <w:tc>
          <w:tcPr>
            <w:tcW w:w="2895" w:type="dxa"/>
            <w:noWrap/>
          </w:tcPr>
          <w:p w:rsidR="00AA1E74" w:rsidRDefault="00AA1E74" w:rsidP="00AA1E74">
            <w:pPr>
              <w:cnfStyle w:val="000000000000" w:firstRow="0" w:lastRow="0" w:firstColumn="0" w:lastColumn="0" w:oddVBand="0" w:evenVBand="0" w:oddHBand="0" w:evenHBand="0" w:firstRowFirstColumn="0" w:firstRowLastColumn="0" w:lastRowFirstColumn="0" w:lastRowLastColumn="0"/>
              <w:rPr>
                <w:b/>
                <w:bCs/>
                <w:color w:val="000000"/>
                <w:szCs w:val="20"/>
              </w:rPr>
            </w:pPr>
            <w:r>
              <w:rPr>
                <w:b/>
                <w:bCs/>
                <w:color w:val="000000"/>
                <w:szCs w:val="20"/>
              </w:rPr>
              <w:t>11.6%</w:t>
            </w:r>
          </w:p>
        </w:tc>
      </w:tr>
      <w:tr w:rsidR="00AA1E74" w:rsidRPr="00CB78AC" w:rsidTr="00AA1E74">
        <w:trPr>
          <w:trHeight w:val="255"/>
        </w:trPr>
        <w:tc>
          <w:tcPr>
            <w:cnfStyle w:val="001000000000" w:firstRow="0" w:lastRow="0" w:firstColumn="1" w:lastColumn="0" w:oddVBand="0" w:evenVBand="0" w:oddHBand="0" w:evenHBand="0" w:firstRowFirstColumn="0" w:firstRowLastColumn="0" w:lastRowFirstColumn="0" w:lastRowLastColumn="0"/>
            <w:tcW w:w="5767" w:type="dxa"/>
            <w:noWrap/>
            <w:hideMark/>
          </w:tcPr>
          <w:p w:rsidR="00AA1E74" w:rsidRDefault="00AA1E74" w:rsidP="00AA1E74">
            <w:pPr>
              <w:ind w:firstLineChars="100" w:firstLine="200"/>
              <w:rPr>
                <w:szCs w:val="20"/>
              </w:rPr>
            </w:pPr>
            <w:r>
              <w:rPr>
                <w:szCs w:val="20"/>
              </w:rPr>
              <w:t>Road and rail drivers</w:t>
            </w:r>
          </w:p>
        </w:tc>
        <w:tc>
          <w:tcPr>
            <w:tcW w:w="2895" w:type="dxa"/>
            <w:noWrap/>
          </w:tcPr>
          <w:p w:rsidR="00AA1E74" w:rsidRDefault="00AA1E74" w:rsidP="00AA1E74">
            <w:pPr>
              <w:cnfStyle w:val="000000000000" w:firstRow="0" w:lastRow="0" w:firstColumn="0" w:lastColumn="0" w:oddVBand="0" w:evenVBand="0" w:oddHBand="0" w:evenHBand="0" w:firstRowFirstColumn="0" w:firstRowLastColumn="0" w:lastRowFirstColumn="0" w:lastRowLastColumn="0"/>
              <w:rPr>
                <w:szCs w:val="20"/>
              </w:rPr>
            </w:pPr>
            <w:r>
              <w:rPr>
                <w:szCs w:val="20"/>
              </w:rPr>
              <w:t>38.7%</w:t>
            </w:r>
          </w:p>
        </w:tc>
      </w:tr>
      <w:tr w:rsidR="00AA1E74" w:rsidRPr="00CB78AC" w:rsidTr="00AA1E74">
        <w:trPr>
          <w:trHeight w:val="255"/>
        </w:trPr>
        <w:tc>
          <w:tcPr>
            <w:cnfStyle w:val="001000000000" w:firstRow="0" w:lastRow="0" w:firstColumn="1" w:lastColumn="0" w:oddVBand="0" w:evenVBand="0" w:oddHBand="0" w:evenHBand="0" w:firstRowFirstColumn="0" w:firstRowLastColumn="0" w:lastRowFirstColumn="0" w:lastRowLastColumn="0"/>
            <w:tcW w:w="5767" w:type="dxa"/>
            <w:noWrap/>
            <w:hideMark/>
          </w:tcPr>
          <w:p w:rsidR="00AA1E74" w:rsidRDefault="00AA1E74" w:rsidP="00AA1E74">
            <w:pPr>
              <w:ind w:firstLineChars="100" w:firstLine="200"/>
              <w:rPr>
                <w:szCs w:val="20"/>
              </w:rPr>
            </w:pPr>
            <w:r>
              <w:rPr>
                <w:szCs w:val="20"/>
              </w:rPr>
              <w:t>Machine and stationary plant operators</w:t>
            </w:r>
          </w:p>
        </w:tc>
        <w:tc>
          <w:tcPr>
            <w:tcW w:w="2895" w:type="dxa"/>
            <w:noWrap/>
          </w:tcPr>
          <w:p w:rsidR="00AA1E74" w:rsidRDefault="00AA1E74" w:rsidP="00AA1E74">
            <w:pPr>
              <w:cnfStyle w:val="000000000000" w:firstRow="0" w:lastRow="0" w:firstColumn="0" w:lastColumn="0" w:oddVBand="0" w:evenVBand="0" w:oddHBand="0" w:evenHBand="0" w:firstRowFirstColumn="0" w:firstRowLastColumn="0" w:lastRowFirstColumn="0" w:lastRowLastColumn="0"/>
              <w:rPr>
                <w:szCs w:val="20"/>
              </w:rPr>
            </w:pPr>
            <w:r>
              <w:rPr>
                <w:szCs w:val="20"/>
              </w:rPr>
              <w:t>37.1%</w:t>
            </w:r>
          </w:p>
        </w:tc>
      </w:tr>
      <w:tr w:rsidR="00AA1E74" w:rsidRPr="00CB78AC" w:rsidTr="00AA1E74">
        <w:trPr>
          <w:trHeight w:val="255"/>
        </w:trPr>
        <w:tc>
          <w:tcPr>
            <w:cnfStyle w:val="001000000000" w:firstRow="0" w:lastRow="0" w:firstColumn="1" w:lastColumn="0" w:oddVBand="0" w:evenVBand="0" w:oddHBand="0" w:evenHBand="0" w:firstRowFirstColumn="0" w:firstRowLastColumn="0" w:lastRowFirstColumn="0" w:lastRowLastColumn="0"/>
            <w:tcW w:w="5767" w:type="dxa"/>
            <w:noWrap/>
            <w:hideMark/>
          </w:tcPr>
          <w:p w:rsidR="00AA1E74" w:rsidRDefault="00AA1E74" w:rsidP="00AA1E74">
            <w:pPr>
              <w:ind w:firstLineChars="100" w:firstLine="200"/>
              <w:rPr>
                <w:szCs w:val="20"/>
              </w:rPr>
            </w:pPr>
            <w:r>
              <w:rPr>
                <w:szCs w:val="20"/>
              </w:rPr>
              <w:t>Mobile plant operators</w:t>
            </w:r>
          </w:p>
        </w:tc>
        <w:tc>
          <w:tcPr>
            <w:tcW w:w="2895" w:type="dxa"/>
            <w:noWrap/>
          </w:tcPr>
          <w:p w:rsidR="00AA1E74" w:rsidRDefault="00AA1E74" w:rsidP="00AA1E74">
            <w:pPr>
              <w:cnfStyle w:val="000000000000" w:firstRow="0" w:lastRow="0" w:firstColumn="0" w:lastColumn="0" w:oddVBand="0" w:evenVBand="0" w:oddHBand="0" w:evenHBand="0" w:firstRowFirstColumn="0" w:firstRowLastColumn="0" w:lastRowFirstColumn="0" w:lastRowLastColumn="0"/>
              <w:rPr>
                <w:szCs w:val="20"/>
              </w:rPr>
            </w:pPr>
            <w:r>
              <w:rPr>
                <w:szCs w:val="20"/>
              </w:rPr>
              <w:t>13.8%</w:t>
            </w:r>
          </w:p>
        </w:tc>
      </w:tr>
      <w:tr w:rsidR="00AA1E74" w:rsidRPr="00CB78AC" w:rsidTr="00AA1E74">
        <w:trPr>
          <w:trHeight w:val="255"/>
        </w:trPr>
        <w:tc>
          <w:tcPr>
            <w:cnfStyle w:val="001000000000" w:firstRow="0" w:lastRow="0" w:firstColumn="1" w:lastColumn="0" w:oddVBand="0" w:evenVBand="0" w:oddHBand="0" w:evenHBand="0" w:firstRowFirstColumn="0" w:firstRowLastColumn="0" w:lastRowFirstColumn="0" w:lastRowLastColumn="0"/>
            <w:tcW w:w="5767" w:type="dxa"/>
            <w:noWrap/>
            <w:hideMark/>
          </w:tcPr>
          <w:p w:rsidR="00AA1E74" w:rsidRDefault="00AA1E74" w:rsidP="00AA1E74">
            <w:pPr>
              <w:ind w:firstLineChars="100" w:firstLine="200"/>
              <w:rPr>
                <w:szCs w:val="20"/>
              </w:rPr>
            </w:pPr>
            <w:r>
              <w:rPr>
                <w:szCs w:val="20"/>
              </w:rPr>
              <w:t>Storepersons</w:t>
            </w:r>
          </w:p>
        </w:tc>
        <w:tc>
          <w:tcPr>
            <w:tcW w:w="2895" w:type="dxa"/>
            <w:noWrap/>
          </w:tcPr>
          <w:p w:rsidR="00AA1E74" w:rsidRDefault="00AA1E74" w:rsidP="00AA1E74">
            <w:pPr>
              <w:cnfStyle w:val="000000000000" w:firstRow="0" w:lastRow="0" w:firstColumn="0" w:lastColumn="0" w:oddVBand="0" w:evenVBand="0" w:oddHBand="0" w:evenHBand="0" w:firstRowFirstColumn="0" w:firstRowLastColumn="0" w:lastRowFirstColumn="0" w:lastRowLastColumn="0"/>
              <w:rPr>
                <w:szCs w:val="20"/>
              </w:rPr>
            </w:pPr>
            <w:r>
              <w:rPr>
                <w:szCs w:val="20"/>
              </w:rPr>
              <w:t>10.4%</w:t>
            </w:r>
          </w:p>
        </w:tc>
      </w:tr>
      <w:tr w:rsidR="00AA1E74" w:rsidRPr="00CB78AC" w:rsidTr="00AA1E74">
        <w:trPr>
          <w:trHeight w:val="255"/>
        </w:trPr>
        <w:tc>
          <w:tcPr>
            <w:cnfStyle w:val="001000000000" w:firstRow="0" w:lastRow="0" w:firstColumn="1" w:lastColumn="0" w:oddVBand="0" w:evenVBand="0" w:oddHBand="0" w:evenHBand="0" w:firstRowFirstColumn="0" w:firstRowLastColumn="0" w:lastRowFirstColumn="0" w:lastRowLastColumn="0"/>
            <w:tcW w:w="5767" w:type="dxa"/>
            <w:noWrap/>
            <w:hideMark/>
          </w:tcPr>
          <w:p w:rsidR="00AA1E74" w:rsidRDefault="00AA1E74" w:rsidP="00AA1E74">
            <w:pPr>
              <w:rPr>
                <w:b/>
                <w:bCs/>
                <w:color w:val="000000"/>
                <w:szCs w:val="20"/>
              </w:rPr>
            </w:pPr>
            <w:r>
              <w:rPr>
                <w:b/>
                <w:bCs/>
                <w:color w:val="000000"/>
                <w:szCs w:val="20"/>
              </w:rPr>
              <w:t>Technicians and trades workers</w:t>
            </w:r>
          </w:p>
        </w:tc>
        <w:tc>
          <w:tcPr>
            <w:tcW w:w="2895" w:type="dxa"/>
            <w:noWrap/>
          </w:tcPr>
          <w:p w:rsidR="00AA1E74" w:rsidRDefault="00AA1E74" w:rsidP="00AA1E74">
            <w:pPr>
              <w:cnfStyle w:val="000000000000" w:firstRow="0" w:lastRow="0" w:firstColumn="0" w:lastColumn="0" w:oddVBand="0" w:evenVBand="0" w:oddHBand="0" w:evenHBand="0" w:firstRowFirstColumn="0" w:firstRowLastColumn="0" w:lastRowFirstColumn="0" w:lastRowLastColumn="0"/>
              <w:rPr>
                <w:b/>
                <w:bCs/>
                <w:color w:val="000000"/>
                <w:szCs w:val="20"/>
              </w:rPr>
            </w:pPr>
            <w:r>
              <w:rPr>
                <w:b/>
                <w:bCs/>
                <w:color w:val="000000"/>
                <w:szCs w:val="20"/>
              </w:rPr>
              <w:t>11.1%</w:t>
            </w:r>
          </w:p>
        </w:tc>
      </w:tr>
      <w:tr w:rsidR="00AA1E74" w:rsidRPr="00CB78AC" w:rsidTr="00AA1E74">
        <w:trPr>
          <w:trHeight w:val="255"/>
        </w:trPr>
        <w:tc>
          <w:tcPr>
            <w:cnfStyle w:val="001000000000" w:firstRow="0" w:lastRow="0" w:firstColumn="1" w:lastColumn="0" w:oddVBand="0" w:evenVBand="0" w:oddHBand="0" w:evenHBand="0" w:firstRowFirstColumn="0" w:firstRowLastColumn="0" w:lastRowFirstColumn="0" w:lastRowLastColumn="0"/>
            <w:tcW w:w="5767" w:type="dxa"/>
            <w:noWrap/>
            <w:hideMark/>
          </w:tcPr>
          <w:p w:rsidR="00AA1E74" w:rsidRDefault="00AA1E74" w:rsidP="00AA1E74">
            <w:pPr>
              <w:ind w:firstLineChars="100" w:firstLine="200"/>
              <w:rPr>
                <w:szCs w:val="20"/>
              </w:rPr>
            </w:pPr>
            <w:r>
              <w:rPr>
                <w:szCs w:val="20"/>
              </w:rPr>
              <w:t>Food trades workers</w:t>
            </w:r>
          </w:p>
        </w:tc>
        <w:tc>
          <w:tcPr>
            <w:tcW w:w="2895" w:type="dxa"/>
            <w:noWrap/>
          </w:tcPr>
          <w:p w:rsidR="00AA1E74" w:rsidRDefault="00AA1E74" w:rsidP="00AA1E74">
            <w:pPr>
              <w:cnfStyle w:val="000000000000" w:firstRow="0" w:lastRow="0" w:firstColumn="0" w:lastColumn="0" w:oddVBand="0" w:evenVBand="0" w:oddHBand="0" w:evenHBand="0" w:firstRowFirstColumn="0" w:firstRowLastColumn="0" w:lastRowFirstColumn="0" w:lastRowLastColumn="0"/>
              <w:rPr>
                <w:szCs w:val="20"/>
              </w:rPr>
            </w:pPr>
            <w:r>
              <w:rPr>
                <w:szCs w:val="20"/>
              </w:rPr>
              <w:t>26.7%</w:t>
            </w:r>
          </w:p>
        </w:tc>
      </w:tr>
      <w:tr w:rsidR="00AA1E74" w:rsidRPr="00CB78AC" w:rsidTr="00AA1E74">
        <w:trPr>
          <w:trHeight w:val="255"/>
        </w:trPr>
        <w:tc>
          <w:tcPr>
            <w:cnfStyle w:val="001000000000" w:firstRow="0" w:lastRow="0" w:firstColumn="1" w:lastColumn="0" w:oddVBand="0" w:evenVBand="0" w:oddHBand="0" w:evenHBand="0" w:firstRowFirstColumn="0" w:firstRowLastColumn="0" w:lastRowFirstColumn="0" w:lastRowLastColumn="0"/>
            <w:tcW w:w="5767" w:type="dxa"/>
            <w:noWrap/>
            <w:hideMark/>
          </w:tcPr>
          <w:p w:rsidR="00AA1E74" w:rsidRDefault="00AA1E74" w:rsidP="00AA1E74">
            <w:pPr>
              <w:ind w:firstLineChars="100" w:firstLine="200"/>
              <w:rPr>
                <w:szCs w:val="20"/>
              </w:rPr>
            </w:pPr>
            <w:r>
              <w:rPr>
                <w:szCs w:val="20"/>
              </w:rPr>
              <w:t>Automotive and engineering trades workers</w:t>
            </w:r>
          </w:p>
        </w:tc>
        <w:tc>
          <w:tcPr>
            <w:tcW w:w="2895" w:type="dxa"/>
            <w:noWrap/>
          </w:tcPr>
          <w:p w:rsidR="00AA1E74" w:rsidRDefault="00AA1E74" w:rsidP="00AA1E74">
            <w:pPr>
              <w:cnfStyle w:val="000000000000" w:firstRow="0" w:lastRow="0" w:firstColumn="0" w:lastColumn="0" w:oddVBand="0" w:evenVBand="0" w:oddHBand="0" w:evenHBand="0" w:firstRowFirstColumn="0" w:firstRowLastColumn="0" w:lastRowFirstColumn="0" w:lastRowLastColumn="0"/>
              <w:rPr>
                <w:szCs w:val="20"/>
              </w:rPr>
            </w:pPr>
            <w:r>
              <w:rPr>
                <w:szCs w:val="20"/>
              </w:rPr>
              <w:t>21.6%</w:t>
            </w:r>
          </w:p>
        </w:tc>
      </w:tr>
      <w:tr w:rsidR="00AA1E74" w:rsidRPr="00CB78AC" w:rsidTr="00AA1E74">
        <w:trPr>
          <w:trHeight w:val="255"/>
        </w:trPr>
        <w:tc>
          <w:tcPr>
            <w:cnfStyle w:val="001000000000" w:firstRow="0" w:lastRow="0" w:firstColumn="1" w:lastColumn="0" w:oddVBand="0" w:evenVBand="0" w:oddHBand="0" w:evenHBand="0" w:firstRowFirstColumn="0" w:firstRowLastColumn="0" w:lastRowFirstColumn="0" w:lastRowLastColumn="0"/>
            <w:tcW w:w="5767" w:type="dxa"/>
            <w:noWrap/>
            <w:hideMark/>
          </w:tcPr>
          <w:p w:rsidR="00AA1E74" w:rsidRDefault="00AA1E74" w:rsidP="00AA1E74">
            <w:pPr>
              <w:ind w:firstLineChars="100" w:firstLine="200"/>
              <w:rPr>
                <w:szCs w:val="20"/>
              </w:rPr>
            </w:pPr>
            <w:r>
              <w:rPr>
                <w:szCs w:val="20"/>
              </w:rPr>
              <w:t>Electrotechnology and telecommunications trades workers</w:t>
            </w:r>
          </w:p>
        </w:tc>
        <w:tc>
          <w:tcPr>
            <w:tcW w:w="2895" w:type="dxa"/>
            <w:noWrap/>
          </w:tcPr>
          <w:p w:rsidR="00AA1E74" w:rsidRDefault="00AA1E74" w:rsidP="00AA1E74">
            <w:pPr>
              <w:cnfStyle w:val="000000000000" w:firstRow="0" w:lastRow="0" w:firstColumn="0" w:lastColumn="0" w:oddVBand="0" w:evenVBand="0" w:oddHBand="0" w:evenHBand="0" w:firstRowFirstColumn="0" w:firstRowLastColumn="0" w:lastRowFirstColumn="0" w:lastRowLastColumn="0"/>
              <w:rPr>
                <w:szCs w:val="20"/>
              </w:rPr>
            </w:pPr>
            <w:r>
              <w:rPr>
                <w:szCs w:val="20"/>
              </w:rPr>
              <w:t>15.5%</w:t>
            </w:r>
          </w:p>
        </w:tc>
      </w:tr>
      <w:tr w:rsidR="00AA1E74" w:rsidRPr="00CB78AC" w:rsidTr="00AA1E74">
        <w:trPr>
          <w:trHeight w:val="255"/>
        </w:trPr>
        <w:tc>
          <w:tcPr>
            <w:cnfStyle w:val="001000000000" w:firstRow="0" w:lastRow="0" w:firstColumn="1" w:lastColumn="0" w:oddVBand="0" w:evenVBand="0" w:oddHBand="0" w:evenHBand="0" w:firstRowFirstColumn="0" w:firstRowLastColumn="0" w:lastRowFirstColumn="0" w:lastRowLastColumn="0"/>
            <w:tcW w:w="5767" w:type="dxa"/>
            <w:noWrap/>
            <w:hideMark/>
          </w:tcPr>
          <w:p w:rsidR="00AA1E74" w:rsidRDefault="00AA1E74" w:rsidP="00AA1E74">
            <w:pPr>
              <w:ind w:firstLineChars="100" w:firstLine="200"/>
              <w:rPr>
                <w:szCs w:val="20"/>
              </w:rPr>
            </w:pPr>
            <w:r>
              <w:rPr>
                <w:szCs w:val="20"/>
              </w:rPr>
              <w:t>Engineering, ICT and science technicians</w:t>
            </w:r>
          </w:p>
        </w:tc>
        <w:tc>
          <w:tcPr>
            <w:tcW w:w="2895" w:type="dxa"/>
            <w:noWrap/>
          </w:tcPr>
          <w:p w:rsidR="00AA1E74" w:rsidRDefault="00AA1E74" w:rsidP="00AA1E74">
            <w:pPr>
              <w:cnfStyle w:val="000000000000" w:firstRow="0" w:lastRow="0" w:firstColumn="0" w:lastColumn="0" w:oddVBand="0" w:evenVBand="0" w:oddHBand="0" w:evenHBand="0" w:firstRowFirstColumn="0" w:firstRowLastColumn="0" w:lastRowFirstColumn="0" w:lastRowLastColumn="0"/>
              <w:rPr>
                <w:szCs w:val="20"/>
              </w:rPr>
            </w:pPr>
            <w:r>
              <w:rPr>
                <w:szCs w:val="20"/>
              </w:rPr>
              <w:t>10.9%</w:t>
            </w:r>
          </w:p>
        </w:tc>
      </w:tr>
      <w:tr w:rsidR="00AA1E74" w:rsidRPr="00CB78AC" w:rsidTr="00AA1E74">
        <w:trPr>
          <w:trHeight w:val="255"/>
        </w:trPr>
        <w:tc>
          <w:tcPr>
            <w:cnfStyle w:val="001000000000" w:firstRow="0" w:lastRow="0" w:firstColumn="1" w:lastColumn="0" w:oddVBand="0" w:evenVBand="0" w:oddHBand="0" w:evenHBand="0" w:firstRowFirstColumn="0" w:firstRowLastColumn="0" w:lastRowFirstColumn="0" w:lastRowLastColumn="0"/>
            <w:tcW w:w="5767" w:type="dxa"/>
            <w:noWrap/>
            <w:hideMark/>
          </w:tcPr>
          <w:p w:rsidR="00AA1E74" w:rsidRDefault="00AA1E74" w:rsidP="00AA1E74">
            <w:pPr>
              <w:rPr>
                <w:b/>
                <w:bCs/>
                <w:color w:val="000000"/>
                <w:szCs w:val="20"/>
              </w:rPr>
            </w:pPr>
            <w:r>
              <w:rPr>
                <w:b/>
                <w:bCs/>
                <w:color w:val="000000"/>
                <w:szCs w:val="20"/>
              </w:rPr>
              <w:t>Clerical and administrative workers</w:t>
            </w:r>
          </w:p>
        </w:tc>
        <w:tc>
          <w:tcPr>
            <w:tcW w:w="2895" w:type="dxa"/>
            <w:noWrap/>
          </w:tcPr>
          <w:p w:rsidR="00AA1E74" w:rsidRDefault="00AA1E74" w:rsidP="00AA1E74">
            <w:pPr>
              <w:cnfStyle w:val="000000000000" w:firstRow="0" w:lastRow="0" w:firstColumn="0" w:lastColumn="0" w:oddVBand="0" w:evenVBand="0" w:oddHBand="0" w:evenHBand="0" w:firstRowFirstColumn="0" w:firstRowLastColumn="0" w:lastRowFirstColumn="0" w:lastRowLastColumn="0"/>
              <w:rPr>
                <w:b/>
                <w:bCs/>
                <w:color w:val="000000"/>
                <w:szCs w:val="20"/>
              </w:rPr>
            </w:pPr>
            <w:r>
              <w:rPr>
                <w:b/>
                <w:bCs/>
                <w:color w:val="000000"/>
                <w:szCs w:val="20"/>
              </w:rPr>
              <w:t>6.3%</w:t>
            </w:r>
          </w:p>
        </w:tc>
      </w:tr>
      <w:tr w:rsidR="00AA1E74" w:rsidRPr="00CB78AC" w:rsidTr="00AA1E74">
        <w:trPr>
          <w:trHeight w:val="255"/>
        </w:trPr>
        <w:tc>
          <w:tcPr>
            <w:cnfStyle w:val="001000000000" w:firstRow="0" w:lastRow="0" w:firstColumn="1" w:lastColumn="0" w:oddVBand="0" w:evenVBand="0" w:oddHBand="0" w:evenHBand="0" w:firstRowFirstColumn="0" w:firstRowLastColumn="0" w:lastRowFirstColumn="0" w:lastRowLastColumn="0"/>
            <w:tcW w:w="5767" w:type="dxa"/>
            <w:noWrap/>
          </w:tcPr>
          <w:p w:rsidR="00AA1E74" w:rsidRDefault="00AA1E74" w:rsidP="00AA1E74">
            <w:pPr>
              <w:rPr>
                <w:b/>
                <w:bCs/>
                <w:color w:val="000000"/>
                <w:szCs w:val="20"/>
              </w:rPr>
            </w:pPr>
            <w:r>
              <w:rPr>
                <w:b/>
                <w:bCs/>
                <w:color w:val="000000"/>
                <w:szCs w:val="20"/>
              </w:rPr>
              <w:t>Other occupations</w:t>
            </w:r>
          </w:p>
        </w:tc>
        <w:tc>
          <w:tcPr>
            <w:tcW w:w="2895" w:type="dxa"/>
            <w:noWrap/>
          </w:tcPr>
          <w:p w:rsidR="00AA1E74" w:rsidRDefault="00AA1E74" w:rsidP="00AA1E74">
            <w:pPr>
              <w:cnfStyle w:val="000000000000" w:firstRow="0" w:lastRow="0" w:firstColumn="0" w:lastColumn="0" w:oddVBand="0" w:evenVBand="0" w:oddHBand="0" w:evenHBand="0" w:firstRowFirstColumn="0" w:firstRowLastColumn="0" w:lastRowFirstColumn="0" w:lastRowLastColumn="0"/>
              <w:rPr>
                <w:b/>
                <w:bCs/>
                <w:color w:val="000000"/>
                <w:szCs w:val="20"/>
              </w:rPr>
            </w:pPr>
            <w:r>
              <w:rPr>
                <w:b/>
                <w:bCs/>
                <w:color w:val="000000"/>
                <w:szCs w:val="20"/>
              </w:rPr>
              <w:t>19.4%</w:t>
            </w:r>
          </w:p>
        </w:tc>
      </w:tr>
      <w:tr w:rsidR="00AA1E74" w:rsidRPr="00CB78AC" w:rsidTr="00AA1E74">
        <w:trPr>
          <w:trHeight w:val="255"/>
        </w:trPr>
        <w:tc>
          <w:tcPr>
            <w:cnfStyle w:val="001000000000" w:firstRow="0" w:lastRow="0" w:firstColumn="1" w:lastColumn="0" w:oddVBand="0" w:evenVBand="0" w:oddHBand="0" w:evenHBand="0" w:firstRowFirstColumn="0" w:firstRowLastColumn="0" w:lastRowFirstColumn="0" w:lastRowLastColumn="0"/>
            <w:tcW w:w="5767" w:type="dxa"/>
            <w:noWrap/>
            <w:hideMark/>
          </w:tcPr>
          <w:p w:rsidR="00AA1E74" w:rsidRDefault="00AA1E74" w:rsidP="00AA1E74">
            <w:pPr>
              <w:rPr>
                <w:b/>
                <w:bCs/>
                <w:color w:val="000000"/>
                <w:szCs w:val="20"/>
              </w:rPr>
            </w:pPr>
            <w:r>
              <w:rPr>
                <w:b/>
                <w:bCs/>
                <w:color w:val="000000"/>
                <w:szCs w:val="20"/>
              </w:rPr>
              <w:t>Total</w:t>
            </w:r>
          </w:p>
        </w:tc>
        <w:tc>
          <w:tcPr>
            <w:tcW w:w="2895" w:type="dxa"/>
            <w:noWrap/>
          </w:tcPr>
          <w:p w:rsidR="00AA1E74" w:rsidRDefault="00AA1E74" w:rsidP="00AA1E74">
            <w:pPr>
              <w:cnfStyle w:val="000000000000" w:firstRow="0" w:lastRow="0" w:firstColumn="0" w:lastColumn="0" w:oddVBand="0" w:evenVBand="0" w:oddHBand="0" w:evenHBand="0" w:firstRowFirstColumn="0" w:firstRowLastColumn="0" w:lastRowFirstColumn="0" w:lastRowLastColumn="0"/>
              <w:rPr>
                <w:b/>
                <w:bCs/>
                <w:color w:val="000000"/>
                <w:szCs w:val="20"/>
              </w:rPr>
            </w:pPr>
            <w:r>
              <w:rPr>
                <w:b/>
                <w:bCs/>
                <w:color w:val="000000"/>
                <w:szCs w:val="20"/>
              </w:rPr>
              <w:t>100.0%</w:t>
            </w:r>
          </w:p>
        </w:tc>
      </w:tr>
    </w:tbl>
    <w:p w:rsidR="00845163" w:rsidRDefault="00845163" w:rsidP="00845163">
      <w:pPr>
        <w:pStyle w:val="Heading2"/>
      </w:pPr>
      <w:bookmarkStart w:id="95" w:name="_Toc459366232"/>
      <w:r>
        <w:t>Industry</w:t>
      </w:r>
      <w:bookmarkEnd w:id="95"/>
    </w:p>
    <w:p w:rsidR="00421AD5" w:rsidRDefault="00421AD5">
      <w:r>
        <w:t xml:space="preserve">Although shiftworkers have a significantly higher </w:t>
      </w:r>
      <w:r w:rsidR="00124E5D">
        <w:t>injury rate</w:t>
      </w:r>
      <w:r>
        <w:t xml:space="preserve">, </w:t>
      </w:r>
      <w:r w:rsidR="00C248AB">
        <w:t xml:space="preserve">the results in figure 3 show that </w:t>
      </w:r>
      <w:r w:rsidR="00124E5D">
        <w:t xml:space="preserve">there are no significant differences between </w:t>
      </w:r>
      <w:r>
        <w:t xml:space="preserve">shiftworkers </w:t>
      </w:r>
      <w:r w:rsidR="00C248AB">
        <w:t xml:space="preserve">and non-shiftworkers in three </w:t>
      </w:r>
      <w:r w:rsidR="00500F49">
        <w:t>industries</w:t>
      </w:r>
      <w:r>
        <w:t xml:space="preserve">: </w:t>
      </w:r>
      <w:r w:rsidR="00500F49">
        <w:t>retail trade; transport, postal and warehousing; and health care and social assistance.</w:t>
      </w:r>
    </w:p>
    <w:p w:rsidR="00421AD5" w:rsidRDefault="00421AD5" w:rsidP="00421AD5">
      <w:r>
        <w:t xml:space="preserve">The results in figure </w:t>
      </w:r>
      <w:r w:rsidR="00DC26EE">
        <w:t>3</w:t>
      </w:r>
      <w:r>
        <w:t xml:space="preserve"> also </w:t>
      </w:r>
      <w:r w:rsidR="002F74A5">
        <w:t xml:space="preserve">show that </w:t>
      </w:r>
      <w:r>
        <w:t xml:space="preserve">shiftworkers </w:t>
      </w:r>
      <w:r w:rsidR="005A478C">
        <w:t>have</w:t>
      </w:r>
      <w:r>
        <w:t xml:space="preserve"> significantly higher </w:t>
      </w:r>
      <w:r w:rsidR="00D92A8C">
        <w:t>injury</w:t>
      </w:r>
      <w:r>
        <w:t xml:space="preserve"> rate</w:t>
      </w:r>
      <w:r w:rsidR="00C248AB">
        <w:t xml:space="preserve">s in three industries: </w:t>
      </w:r>
      <w:r w:rsidR="00500F49">
        <w:t>manufacturing; accommodation and food services; and public administration and safety</w:t>
      </w:r>
      <w:r>
        <w:t>.</w:t>
      </w:r>
    </w:p>
    <w:p w:rsidR="00845163" w:rsidRDefault="00845163" w:rsidP="00845163">
      <w:pPr>
        <w:pStyle w:val="Heading5"/>
      </w:pPr>
      <w:bookmarkStart w:id="96" w:name="_Toc447701736"/>
      <w:r>
        <w:t xml:space="preserve">Figure </w:t>
      </w:r>
      <w:fldSimple w:instr=" SEQ Figure \* ARABIC ">
        <w:r w:rsidR="0091230D">
          <w:rPr>
            <w:noProof/>
          </w:rPr>
          <w:t>3</w:t>
        </w:r>
      </w:fldSimple>
      <w:r>
        <w:t xml:space="preserve">: </w:t>
      </w:r>
      <w:r w:rsidR="00D92A8C">
        <w:t>Injury</w:t>
      </w:r>
      <w:r w:rsidR="00F2300F">
        <w:t xml:space="preserve"> r</w:t>
      </w:r>
      <w:r>
        <w:t xml:space="preserve">ates and </w:t>
      </w:r>
      <w:r w:rsidR="00E87749">
        <w:t>84 per cent</w:t>
      </w:r>
      <w:r>
        <w:t xml:space="preserve"> confi</w:t>
      </w:r>
      <w:r w:rsidR="00F2300F">
        <w:t xml:space="preserve">dence intervals </w:t>
      </w:r>
      <w:r>
        <w:t xml:space="preserve">by </w:t>
      </w:r>
      <w:r w:rsidR="00F2300F">
        <w:t xml:space="preserve">shiftwork status and </w:t>
      </w:r>
      <w:r>
        <w:t>industry, 2013–14</w:t>
      </w:r>
      <w:bookmarkEnd w:id="96"/>
    </w:p>
    <w:p w:rsidR="00845163" w:rsidRDefault="00FE359F" w:rsidP="00845163">
      <w:r w:rsidRPr="00FE359F">
        <w:rPr>
          <w:noProof/>
        </w:rPr>
        <w:t xml:space="preserve"> </w:t>
      </w:r>
      <w:r>
        <w:rPr>
          <w:noProof/>
        </w:rPr>
        <w:drawing>
          <wp:inline distT="0" distB="0" distL="0" distR="0" wp14:anchorId="0FA33A2C" wp14:editId="03FB5346">
            <wp:extent cx="5943600" cy="3496310"/>
            <wp:effectExtent l="0" t="0" r="19050" b="27940"/>
            <wp:docPr id="4" name="Chart 4" descr="there are no significant differences in the injury rates of shiftworkers and non-shiftworkers in three industries: retail trade; transport, postal and warehousing; and health care and social assistanc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45163" w:rsidRPr="00910731" w:rsidRDefault="00845163" w:rsidP="00845163">
      <w:pPr>
        <w:pStyle w:val="Tablefooter"/>
      </w:pPr>
      <w:r>
        <w:t>Industries</w:t>
      </w:r>
      <w:r w:rsidRPr="0018204F">
        <w:t xml:space="preserve"> with relative standard errors above 50</w:t>
      </w:r>
      <w:r w:rsidR="0035465B">
        <w:t xml:space="preserve"> per cent</w:t>
      </w:r>
      <w:r w:rsidRPr="0018204F">
        <w:t xml:space="preserve"> are excluded</w:t>
      </w:r>
      <w:r>
        <w:t xml:space="preserve">, but are included in </w:t>
      </w:r>
      <w:r w:rsidR="009060A7">
        <w:t>“all industries”</w:t>
      </w:r>
      <w:r>
        <w:t>.</w:t>
      </w:r>
    </w:p>
    <w:p w:rsidR="00E112D8" w:rsidRDefault="00E112D8" w:rsidP="00E112D8">
      <w:r>
        <w:lastRenderedPageBreak/>
        <w:t xml:space="preserve">Table 2 </w:t>
      </w:r>
      <w:r w:rsidR="00D06CDB">
        <w:t xml:space="preserve">provides </w:t>
      </w:r>
      <w:r w:rsidR="004A1323" w:rsidRPr="004A1323">
        <w:t>a breakdown of shiftwork</w:t>
      </w:r>
      <w:r w:rsidR="004A1323">
        <w:t xml:space="preserve">ers in the six industries above, which collectively employed 77 per cent of shiftworkers in </w:t>
      </w:r>
      <w:r w:rsidR="00546165">
        <w:t>2013–14</w:t>
      </w:r>
      <w:r w:rsidR="004A1323">
        <w:t xml:space="preserve">. </w:t>
      </w:r>
      <w:r w:rsidR="00FE5CCE">
        <w:t>Almost a quarter (23 per cent) of shiftworkers worked in t</w:t>
      </w:r>
      <w:r w:rsidR="00D06CDB">
        <w:t xml:space="preserve">he health care and social assistance industry and most worked in hospitals (46 per cent) and residential care services (25 per cent). Almost </w:t>
      </w:r>
      <w:r w:rsidR="00FE5CCE">
        <w:t xml:space="preserve">one in five shiftworkers (18 per cent) worked </w:t>
      </w:r>
      <w:r w:rsidR="00D06CDB">
        <w:t>in the accommodation and food servic</w:t>
      </w:r>
      <w:r w:rsidR="00ED7202">
        <w:t xml:space="preserve">es industry and the majority </w:t>
      </w:r>
      <w:r w:rsidR="00513A39">
        <w:t>(72</w:t>
      </w:r>
      <w:r w:rsidR="00D06CDB">
        <w:t xml:space="preserve"> per cent) worked in c</w:t>
      </w:r>
      <w:r w:rsidR="00D06CDB" w:rsidRPr="00D06CDB">
        <w:t>afes, restaurants and takeaway food services</w:t>
      </w:r>
      <w:r w:rsidR="00D06CDB">
        <w:t>.</w:t>
      </w:r>
      <w:r w:rsidR="0057120F">
        <w:t xml:space="preserve"> The retail trade industry employed 13 per cent of shiftworkers and </w:t>
      </w:r>
      <w:r w:rsidR="00C17A1A">
        <w:t>just under half (</w:t>
      </w:r>
      <w:r w:rsidR="00961D7B">
        <w:t>45 per cent</w:t>
      </w:r>
      <w:r w:rsidR="00C17A1A">
        <w:t>)</w:t>
      </w:r>
      <w:r w:rsidR="0057120F">
        <w:t xml:space="preserve"> worked in </w:t>
      </w:r>
      <w:r w:rsidR="0057120F">
        <w:rPr>
          <w:rFonts w:eastAsia="Times New Roman"/>
          <w:kern w:val="0"/>
          <w:szCs w:val="20"/>
        </w:rPr>
        <w:t>s</w:t>
      </w:r>
      <w:r w:rsidR="0057120F" w:rsidRPr="00FE5CCE">
        <w:rPr>
          <w:rFonts w:eastAsia="Times New Roman"/>
          <w:kern w:val="0"/>
          <w:szCs w:val="20"/>
        </w:rPr>
        <w:t>upermarket</w:t>
      </w:r>
      <w:r w:rsidR="00C17A1A">
        <w:rPr>
          <w:rFonts w:eastAsia="Times New Roman"/>
          <w:kern w:val="0"/>
          <w:szCs w:val="20"/>
        </w:rPr>
        <w:t>s</w:t>
      </w:r>
      <w:r w:rsidR="0057120F" w:rsidRPr="00FE5CCE">
        <w:rPr>
          <w:rFonts w:eastAsia="Times New Roman"/>
          <w:kern w:val="0"/>
          <w:szCs w:val="20"/>
        </w:rPr>
        <w:t xml:space="preserve"> and grocery stores</w:t>
      </w:r>
      <w:r w:rsidR="0057120F">
        <w:rPr>
          <w:rFonts w:eastAsia="Times New Roman"/>
          <w:kern w:val="0"/>
          <w:szCs w:val="20"/>
        </w:rPr>
        <w:t>.</w:t>
      </w:r>
    </w:p>
    <w:p w:rsidR="00E112D8" w:rsidRDefault="00E112D8" w:rsidP="00A25AC5">
      <w:pPr>
        <w:pStyle w:val="Heading4"/>
      </w:pPr>
      <w:bookmarkStart w:id="97" w:name="_Toc444075071"/>
      <w:r>
        <w:t xml:space="preserve">Table </w:t>
      </w:r>
      <w:fldSimple w:instr=" SEQ Table \* ARABIC ">
        <w:r w:rsidR="0091230D">
          <w:rPr>
            <w:noProof/>
          </w:rPr>
          <w:t>2</w:t>
        </w:r>
      </w:fldSimple>
      <w:r>
        <w:t xml:space="preserve">: Percentage of shiftworkers </w:t>
      </w:r>
      <w:r w:rsidR="00D06CDB">
        <w:t xml:space="preserve">in Australia </w:t>
      </w:r>
      <w:r w:rsidR="00C17A1A">
        <w:t>by industry</w:t>
      </w:r>
      <w:r>
        <w:t>, 2013–14</w:t>
      </w:r>
      <w:bookmarkEnd w:id="97"/>
    </w:p>
    <w:tbl>
      <w:tblPr>
        <w:tblStyle w:val="TableGrid"/>
        <w:tblW w:w="8100" w:type="dxa"/>
        <w:tblInd w:w="108" w:type="dxa"/>
        <w:tblLook w:val="04A0" w:firstRow="1" w:lastRow="0" w:firstColumn="1" w:lastColumn="0" w:noHBand="0" w:noVBand="1"/>
        <w:tblDescription w:val="Table 2"/>
      </w:tblPr>
      <w:tblGrid>
        <w:gridCol w:w="5144"/>
        <w:gridCol w:w="2956"/>
      </w:tblGrid>
      <w:tr w:rsidR="00FE5CCE" w:rsidRPr="00FE5CCE" w:rsidTr="004417A7">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5144" w:type="dxa"/>
            <w:noWrap/>
            <w:hideMark/>
          </w:tcPr>
          <w:p w:rsidR="00FE5CCE" w:rsidRPr="00FE5CCE" w:rsidRDefault="004417A7" w:rsidP="00ED7202">
            <w:pPr>
              <w:rPr>
                <w:rFonts w:eastAsia="Times New Roman"/>
                <w:bCs/>
                <w:color w:val="000000"/>
                <w:kern w:val="0"/>
                <w:szCs w:val="20"/>
              </w:rPr>
            </w:pPr>
            <w:r w:rsidRPr="00FE5CCE">
              <w:rPr>
                <w:rFonts w:eastAsia="Times New Roman"/>
                <w:bCs/>
                <w:color w:val="000000"/>
                <w:kern w:val="0"/>
                <w:szCs w:val="20"/>
              </w:rPr>
              <w:t>Industry</w:t>
            </w:r>
          </w:p>
        </w:tc>
        <w:tc>
          <w:tcPr>
            <w:tcW w:w="2956" w:type="dxa"/>
            <w:noWrap/>
            <w:hideMark/>
          </w:tcPr>
          <w:p w:rsidR="00FE5CCE" w:rsidRPr="00FE5CCE" w:rsidRDefault="00FE5CCE" w:rsidP="004417A7">
            <w:pPr>
              <w:cnfStyle w:val="100000000000" w:firstRow="1" w:lastRow="0" w:firstColumn="0" w:lastColumn="0" w:oddVBand="0" w:evenVBand="0" w:oddHBand="0" w:evenHBand="0" w:firstRowFirstColumn="0" w:firstRowLastColumn="0" w:lastRowFirstColumn="0" w:lastRowLastColumn="0"/>
              <w:rPr>
                <w:rFonts w:eastAsia="Times New Roman"/>
                <w:bCs/>
                <w:color w:val="000000"/>
                <w:kern w:val="0"/>
                <w:szCs w:val="20"/>
              </w:rPr>
            </w:pPr>
            <w:r w:rsidRPr="00FE5CCE">
              <w:rPr>
                <w:rFonts w:eastAsia="Times New Roman"/>
                <w:bCs/>
                <w:color w:val="000000"/>
                <w:kern w:val="0"/>
                <w:szCs w:val="20"/>
              </w:rPr>
              <w:t>Percentage of shiftworkers</w:t>
            </w:r>
          </w:p>
        </w:tc>
      </w:tr>
      <w:tr w:rsidR="004417A7" w:rsidRPr="00340375" w:rsidTr="004417A7">
        <w:trPr>
          <w:trHeight w:val="255"/>
        </w:trPr>
        <w:tc>
          <w:tcPr>
            <w:cnfStyle w:val="001000000000" w:firstRow="0" w:lastRow="0" w:firstColumn="1" w:lastColumn="0" w:oddVBand="0" w:evenVBand="0" w:oddHBand="0" w:evenHBand="0" w:firstRowFirstColumn="0" w:firstRowLastColumn="0" w:lastRowFirstColumn="0" w:lastRowLastColumn="0"/>
            <w:tcW w:w="5144" w:type="dxa"/>
            <w:noWrap/>
            <w:vAlign w:val="bottom"/>
            <w:hideMark/>
          </w:tcPr>
          <w:p w:rsidR="004417A7" w:rsidRDefault="004417A7">
            <w:pPr>
              <w:rPr>
                <w:b/>
                <w:bCs/>
                <w:color w:val="000000"/>
                <w:szCs w:val="20"/>
              </w:rPr>
            </w:pPr>
            <w:r>
              <w:rPr>
                <w:b/>
                <w:bCs/>
                <w:color w:val="000000"/>
                <w:szCs w:val="20"/>
              </w:rPr>
              <w:t>Health care and social assistance</w:t>
            </w:r>
          </w:p>
        </w:tc>
        <w:tc>
          <w:tcPr>
            <w:tcW w:w="2956" w:type="dxa"/>
            <w:noWrap/>
          </w:tcPr>
          <w:p w:rsidR="004417A7" w:rsidRDefault="004417A7" w:rsidP="004417A7">
            <w:pPr>
              <w:cnfStyle w:val="000000000000" w:firstRow="0" w:lastRow="0" w:firstColumn="0" w:lastColumn="0" w:oddVBand="0" w:evenVBand="0" w:oddHBand="0" w:evenHBand="0" w:firstRowFirstColumn="0" w:firstRowLastColumn="0" w:lastRowFirstColumn="0" w:lastRowLastColumn="0"/>
              <w:rPr>
                <w:b/>
                <w:bCs/>
                <w:color w:val="000000"/>
                <w:szCs w:val="20"/>
              </w:rPr>
            </w:pPr>
            <w:r>
              <w:rPr>
                <w:b/>
                <w:bCs/>
                <w:color w:val="000000"/>
                <w:szCs w:val="20"/>
              </w:rPr>
              <w:t>22.7%</w:t>
            </w:r>
          </w:p>
        </w:tc>
      </w:tr>
      <w:tr w:rsidR="004417A7" w:rsidRPr="00340375" w:rsidTr="004417A7">
        <w:trPr>
          <w:trHeight w:val="255"/>
        </w:trPr>
        <w:tc>
          <w:tcPr>
            <w:cnfStyle w:val="001000000000" w:firstRow="0" w:lastRow="0" w:firstColumn="1" w:lastColumn="0" w:oddVBand="0" w:evenVBand="0" w:oddHBand="0" w:evenHBand="0" w:firstRowFirstColumn="0" w:firstRowLastColumn="0" w:lastRowFirstColumn="0" w:lastRowLastColumn="0"/>
            <w:tcW w:w="5144" w:type="dxa"/>
            <w:noWrap/>
            <w:vAlign w:val="bottom"/>
            <w:hideMark/>
          </w:tcPr>
          <w:p w:rsidR="004417A7" w:rsidRDefault="004417A7">
            <w:pPr>
              <w:ind w:firstLineChars="100" w:firstLine="200"/>
              <w:rPr>
                <w:szCs w:val="20"/>
              </w:rPr>
            </w:pPr>
            <w:r>
              <w:rPr>
                <w:szCs w:val="20"/>
              </w:rPr>
              <w:t>Hospitals</w:t>
            </w:r>
          </w:p>
        </w:tc>
        <w:tc>
          <w:tcPr>
            <w:tcW w:w="2956" w:type="dxa"/>
            <w:noWrap/>
          </w:tcPr>
          <w:p w:rsidR="004417A7" w:rsidRDefault="004417A7" w:rsidP="004417A7">
            <w:pPr>
              <w:cnfStyle w:val="000000000000" w:firstRow="0" w:lastRow="0" w:firstColumn="0" w:lastColumn="0" w:oddVBand="0" w:evenVBand="0" w:oddHBand="0" w:evenHBand="0" w:firstRowFirstColumn="0" w:firstRowLastColumn="0" w:lastRowFirstColumn="0" w:lastRowLastColumn="0"/>
              <w:rPr>
                <w:szCs w:val="20"/>
              </w:rPr>
            </w:pPr>
            <w:r>
              <w:rPr>
                <w:szCs w:val="20"/>
              </w:rPr>
              <w:t>45.9%</w:t>
            </w:r>
          </w:p>
        </w:tc>
      </w:tr>
      <w:tr w:rsidR="004417A7" w:rsidRPr="00340375" w:rsidTr="004417A7">
        <w:trPr>
          <w:trHeight w:val="255"/>
        </w:trPr>
        <w:tc>
          <w:tcPr>
            <w:cnfStyle w:val="001000000000" w:firstRow="0" w:lastRow="0" w:firstColumn="1" w:lastColumn="0" w:oddVBand="0" w:evenVBand="0" w:oddHBand="0" w:evenHBand="0" w:firstRowFirstColumn="0" w:firstRowLastColumn="0" w:lastRowFirstColumn="0" w:lastRowLastColumn="0"/>
            <w:tcW w:w="5144" w:type="dxa"/>
            <w:noWrap/>
            <w:vAlign w:val="bottom"/>
            <w:hideMark/>
          </w:tcPr>
          <w:p w:rsidR="004417A7" w:rsidRDefault="004417A7">
            <w:pPr>
              <w:ind w:firstLineChars="100" w:firstLine="200"/>
              <w:rPr>
                <w:szCs w:val="20"/>
              </w:rPr>
            </w:pPr>
            <w:r>
              <w:rPr>
                <w:szCs w:val="20"/>
              </w:rPr>
              <w:t>Residential care services</w:t>
            </w:r>
          </w:p>
        </w:tc>
        <w:tc>
          <w:tcPr>
            <w:tcW w:w="2956" w:type="dxa"/>
            <w:noWrap/>
          </w:tcPr>
          <w:p w:rsidR="004417A7" w:rsidRDefault="004417A7" w:rsidP="004417A7">
            <w:pPr>
              <w:cnfStyle w:val="000000000000" w:firstRow="0" w:lastRow="0" w:firstColumn="0" w:lastColumn="0" w:oddVBand="0" w:evenVBand="0" w:oddHBand="0" w:evenHBand="0" w:firstRowFirstColumn="0" w:firstRowLastColumn="0" w:lastRowFirstColumn="0" w:lastRowLastColumn="0"/>
              <w:rPr>
                <w:szCs w:val="20"/>
              </w:rPr>
            </w:pPr>
            <w:r>
              <w:rPr>
                <w:szCs w:val="20"/>
              </w:rPr>
              <w:t>25.0%</w:t>
            </w:r>
          </w:p>
        </w:tc>
      </w:tr>
      <w:tr w:rsidR="004417A7" w:rsidRPr="00340375" w:rsidTr="004417A7">
        <w:trPr>
          <w:trHeight w:val="255"/>
        </w:trPr>
        <w:tc>
          <w:tcPr>
            <w:cnfStyle w:val="001000000000" w:firstRow="0" w:lastRow="0" w:firstColumn="1" w:lastColumn="0" w:oddVBand="0" w:evenVBand="0" w:oddHBand="0" w:evenHBand="0" w:firstRowFirstColumn="0" w:firstRowLastColumn="0" w:lastRowFirstColumn="0" w:lastRowLastColumn="0"/>
            <w:tcW w:w="5144" w:type="dxa"/>
            <w:noWrap/>
            <w:vAlign w:val="bottom"/>
            <w:hideMark/>
          </w:tcPr>
          <w:p w:rsidR="004417A7" w:rsidRDefault="004417A7">
            <w:pPr>
              <w:ind w:firstLineChars="100" w:firstLine="200"/>
              <w:rPr>
                <w:szCs w:val="20"/>
              </w:rPr>
            </w:pPr>
            <w:r>
              <w:rPr>
                <w:szCs w:val="20"/>
              </w:rPr>
              <w:t>Medical services</w:t>
            </w:r>
          </w:p>
        </w:tc>
        <w:tc>
          <w:tcPr>
            <w:tcW w:w="2956" w:type="dxa"/>
            <w:noWrap/>
          </w:tcPr>
          <w:p w:rsidR="004417A7" w:rsidRDefault="004417A7" w:rsidP="004417A7">
            <w:pPr>
              <w:cnfStyle w:val="000000000000" w:firstRow="0" w:lastRow="0" w:firstColumn="0" w:lastColumn="0" w:oddVBand="0" w:evenVBand="0" w:oddHBand="0" w:evenHBand="0" w:firstRowFirstColumn="0" w:firstRowLastColumn="0" w:lastRowFirstColumn="0" w:lastRowLastColumn="0"/>
              <w:rPr>
                <w:szCs w:val="20"/>
              </w:rPr>
            </w:pPr>
            <w:r>
              <w:rPr>
                <w:szCs w:val="20"/>
              </w:rPr>
              <w:t>4.5%</w:t>
            </w:r>
          </w:p>
        </w:tc>
      </w:tr>
      <w:tr w:rsidR="004417A7" w:rsidRPr="00340375" w:rsidTr="004417A7">
        <w:trPr>
          <w:trHeight w:val="255"/>
        </w:trPr>
        <w:tc>
          <w:tcPr>
            <w:cnfStyle w:val="001000000000" w:firstRow="0" w:lastRow="0" w:firstColumn="1" w:lastColumn="0" w:oddVBand="0" w:evenVBand="0" w:oddHBand="0" w:evenHBand="0" w:firstRowFirstColumn="0" w:firstRowLastColumn="0" w:lastRowFirstColumn="0" w:lastRowLastColumn="0"/>
            <w:tcW w:w="5144" w:type="dxa"/>
            <w:noWrap/>
            <w:vAlign w:val="bottom"/>
            <w:hideMark/>
          </w:tcPr>
          <w:p w:rsidR="004417A7" w:rsidRDefault="004417A7">
            <w:pPr>
              <w:ind w:firstLineChars="100" w:firstLine="200"/>
              <w:rPr>
                <w:szCs w:val="20"/>
              </w:rPr>
            </w:pPr>
            <w:r>
              <w:rPr>
                <w:szCs w:val="20"/>
              </w:rPr>
              <w:t>Medical and other health care services</w:t>
            </w:r>
          </w:p>
        </w:tc>
        <w:tc>
          <w:tcPr>
            <w:tcW w:w="2956" w:type="dxa"/>
            <w:noWrap/>
          </w:tcPr>
          <w:p w:rsidR="004417A7" w:rsidRDefault="004417A7" w:rsidP="004417A7">
            <w:pPr>
              <w:cnfStyle w:val="000000000000" w:firstRow="0" w:lastRow="0" w:firstColumn="0" w:lastColumn="0" w:oddVBand="0" w:evenVBand="0" w:oddHBand="0" w:evenHBand="0" w:firstRowFirstColumn="0" w:firstRowLastColumn="0" w:lastRowFirstColumn="0" w:lastRowLastColumn="0"/>
              <w:rPr>
                <w:szCs w:val="20"/>
              </w:rPr>
            </w:pPr>
            <w:r>
              <w:rPr>
                <w:szCs w:val="20"/>
              </w:rPr>
              <w:t>4.2%</w:t>
            </w:r>
          </w:p>
        </w:tc>
      </w:tr>
      <w:tr w:rsidR="004417A7" w:rsidRPr="00340375" w:rsidTr="004417A7">
        <w:trPr>
          <w:trHeight w:val="255"/>
        </w:trPr>
        <w:tc>
          <w:tcPr>
            <w:cnfStyle w:val="001000000000" w:firstRow="0" w:lastRow="0" w:firstColumn="1" w:lastColumn="0" w:oddVBand="0" w:evenVBand="0" w:oddHBand="0" w:evenHBand="0" w:firstRowFirstColumn="0" w:firstRowLastColumn="0" w:lastRowFirstColumn="0" w:lastRowLastColumn="0"/>
            <w:tcW w:w="5144" w:type="dxa"/>
            <w:noWrap/>
            <w:vAlign w:val="bottom"/>
            <w:hideMark/>
          </w:tcPr>
          <w:p w:rsidR="004417A7" w:rsidRDefault="004417A7">
            <w:pPr>
              <w:rPr>
                <w:b/>
                <w:bCs/>
                <w:color w:val="000000"/>
                <w:szCs w:val="20"/>
              </w:rPr>
            </w:pPr>
            <w:r>
              <w:rPr>
                <w:b/>
                <w:bCs/>
                <w:color w:val="000000"/>
                <w:szCs w:val="20"/>
              </w:rPr>
              <w:t>Accommodation and food services</w:t>
            </w:r>
          </w:p>
        </w:tc>
        <w:tc>
          <w:tcPr>
            <w:tcW w:w="2956" w:type="dxa"/>
            <w:noWrap/>
          </w:tcPr>
          <w:p w:rsidR="004417A7" w:rsidRDefault="004417A7" w:rsidP="004417A7">
            <w:pPr>
              <w:cnfStyle w:val="000000000000" w:firstRow="0" w:lastRow="0" w:firstColumn="0" w:lastColumn="0" w:oddVBand="0" w:evenVBand="0" w:oddHBand="0" w:evenHBand="0" w:firstRowFirstColumn="0" w:firstRowLastColumn="0" w:lastRowFirstColumn="0" w:lastRowLastColumn="0"/>
              <w:rPr>
                <w:b/>
                <w:bCs/>
                <w:color w:val="000000"/>
                <w:szCs w:val="20"/>
              </w:rPr>
            </w:pPr>
            <w:r>
              <w:rPr>
                <w:b/>
                <w:bCs/>
                <w:color w:val="000000"/>
                <w:szCs w:val="20"/>
              </w:rPr>
              <w:t>18.0%</w:t>
            </w:r>
          </w:p>
        </w:tc>
      </w:tr>
      <w:tr w:rsidR="004417A7" w:rsidRPr="00340375" w:rsidTr="004417A7">
        <w:trPr>
          <w:trHeight w:val="255"/>
        </w:trPr>
        <w:tc>
          <w:tcPr>
            <w:cnfStyle w:val="001000000000" w:firstRow="0" w:lastRow="0" w:firstColumn="1" w:lastColumn="0" w:oddVBand="0" w:evenVBand="0" w:oddHBand="0" w:evenHBand="0" w:firstRowFirstColumn="0" w:firstRowLastColumn="0" w:lastRowFirstColumn="0" w:lastRowLastColumn="0"/>
            <w:tcW w:w="5144" w:type="dxa"/>
            <w:noWrap/>
            <w:vAlign w:val="bottom"/>
            <w:hideMark/>
          </w:tcPr>
          <w:p w:rsidR="004417A7" w:rsidRDefault="004417A7">
            <w:pPr>
              <w:ind w:firstLineChars="100" w:firstLine="200"/>
              <w:rPr>
                <w:szCs w:val="20"/>
              </w:rPr>
            </w:pPr>
            <w:r>
              <w:rPr>
                <w:szCs w:val="20"/>
              </w:rPr>
              <w:t>Cafes, restaurants and takeaway food services</w:t>
            </w:r>
          </w:p>
        </w:tc>
        <w:tc>
          <w:tcPr>
            <w:tcW w:w="2956" w:type="dxa"/>
            <w:noWrap/>
          </w:tcPr>
          <w:p w:rsidR="004417A7" w:rsidRDefault="004417A7" w:rsidP="004417A7">
            <w:pPr>
              <w:cnfStyle w:val="000000000000" w:firstRow="0" w:lastRow="0" w:firstColumn="0" w:lastColumn="0" w:oddVBand="0" w:evenVBand="0" w:oddHBand="0" w:evenHBand="0" w:firstRowFirstColumn="0" w:firstRowLastColumn="0" w:lastRowFirstColumn="0" w:lastRowLastColumn="0"/>
              <w:rPr>
                <w:szCs w:val="20"/>
              </w:rPr>
            </w:pPr>
            <w:r>
              <w:rPr>
                <w:szCs w:val="20"/>
              </w:rPr>
              <w:t>71.5%</w:t>
            </w:r>
          </w:p>
        </w:tc>
      </w:tr>
      <w:tr w:rsidR="004417A7" w:rsidRPr="00340375" w:rsidTr="004417A7">
        <w:trPr>
          <w:trHeight w:val="255"/>
        </w:trPr>
        <w:tc>
          <w:tcPr>
            <w:cnfStyle w:val="001000000000" w:firstRow="0" w:lastRow="0" w:firstColumn="1" w:lastColumn="0" w:oddVBand="0" w:evenVBand="0" w:oddHBand="0" w:evenHBand="0" w:firstRowFirstColumn="0" w:firstRowLastColumn="0" w:lastRowFirstColumn="0" w:lastRowLastColumn="0"/>
            <w:tcW w:w="5144" w:type="dxa"/>
            <w:noWrap/>
            <w:vAlign w:val="bottom"/>
            <w:hideMark/>
          </w:tcPr>
          <w:p w:rsidR="004417A7" w:rsidRDefault="004417A7">
            <w:pPr>
              <w:ind w:firstLineChars="100" w:firstLine="200"/>
              <w:rPr>
                <w:szCs w:val="20"/>
              </w:rPr>
            </w:pPr>
            <w:r>
              <w:rPr>
                <w:szCs w:val="20"/>
              </w:rPr>
              <w:t>Clubs (hospitality)</w:t>
            </w:r>
          </w:p>
        </w:tc>
        <w:tc>
          <w:tcPr>
            <w:tcW w:w="2956" w:type="dxa"/>
            <w:noWrap/>
          </w:tcPr>
          <w:p w:rsidR="004417A7" w:rsidRDefault="004417A7" w:rsidP="004417A7">
            <w:pPr>
              <w:cnfStyle w:val="000000000000" w:firstRow="0" w:lastRow="0" w:firstColumn="0" w:lastColumn="0" w:oddVBand="0" w:evenVBand="0" w:oddHBand="0" w:evenHBand="0" w:firstRowFirstColumn="0" w:firstRowLastColumn="0" w:lastRowFirstColumn="0" w:lastRowLastColumn="0"/>
              <w:rPr>
                <w:szCs w:val="20"/>
              </w:rPr>
            </w:pPr>
            <w:r>
              <w:rPr>
                <w:szCs w:val="20"/>
              </w:rPr>
              <w:t>12.1%</w:t>
            </w:r>
          </w:p>
        </w:tc>
      </w:tr>
      <w:tr w:rsidR="004417A7" w:rsidRPr="00340375" w:rsidTr="004417A7">
        <w:trPr>
          <w:trHeight w:val="255"/>
        </w:trPr>
        <w:tc>
          <w:tcPr>
            <w:cnfStyle w:val="001000000000" w:firstRow="0" w:lastRow="0" w:firstColumn="1" w:lastColumn="0" w:oddVBand="0" w:evenVBand="0" w:oddHBand="0" w:evenHBand="0" w:firstRowFirstColumn="0" w:firstRowLastColumn="0" w:lastRowFirstColumn="0" w:lastRowLastColumn="0"/>
            <w:tcW w:w="5144" w:type="dxa"/>
            <w:noWrap/>
            <w:vAlign w:val="bottom"/>
            <w:hideMark/>
          </w:tcPr>
          <w:p w:rsidR="004417A7" w:rsidRDefault="004417A7">
            <w:pPr>
              <w:ind w:firstLineChars="100" w:firstLine="200"/>
              <w:rPr>
                <w:szCs w:val="20"/>
              </w:rPr>
            </w:pPr>
            <w:r>
              <w:rPr>
                <w:szCs w:val="20"/>
              </w:rPr>
              <w:t>Pubs, taverns and bars</w:t>
            </w:r>
          </w:p>
        </w:tc>
        <w:tc>
          <w:tcPr>
            <w:tcW w:w="2956" w:type="dxa"/>
            <w:noWrap/>
          </w:tcPr>
          <w:p w:rsidR="004417A7" w:rsidRDefault="004417A7" w:rsidP="004417A7">
            <w:pPr>
              <w:cnfStyle w:val="000000000000" w:firstRow="0" w:lastRow="0" w:firstColumn="0" w:lastColumn="0" w:oddVBand="0" w:evenVBand="0" w:oddHBand="0" w:evenHBand="0" w:firstRowFirstColumn="0" w:firstRowLastColumn="0" w:lastRowFirstColumn="0" w:lastRowLastColumn="0"/>
              <w:rPr>
                <w:szCs w:val="20"/>
              </w:rPr>
            </w:pPr>
            <w:r>
              <w:rPr>
                <w:szCs w:val="20"/>
              </w:rPr>
              <w:t>10.8%</w:t>
            </w:r>
          </w:p>
        </w:tc>
      </w:tr>
      <w:tr w:rsidR="004417A7" w:rsidRPr="00340375" w:rsidTr="004417A7">
        <w:trPr>
          <w:trHeight w:val="255"/>
        </w:trPr>
        <w:tc>
          <w:tcPr>
            <w:cnfStyle w:val="001000000000" w:firstRow="0" w:lastRow="0" w:firstColumn="1" w:lastColumn="0" w:oddVBand="0" w:evenVBand="0" w:oddHBand="0" w:evenHBand="0" w:firstRowFirstColumn="0" w:firstRowLastColumn="0" w:lastRowFirstColumn="0" w:lastRowLastColumn="0"/>
            <w:tcW w:w="5144" w:type="dxa"/>
            <w:noWrap/>
            <w:vAlign w:val="bottom"/>
            <w:hideMark/>
          </w:tcPr>
          <w:p w:rsidR="004417A7" w:rsidRDefault="004417A7">
            <w:pPr>
              <w:ind w:firstLineChars="100" w:firstLine="200"/>
              <w:rPr>
                <w:szCs w:val="20"/>
              </w:rPr>
            </w:pPr>
            <w:r>
              <w:rPr>
                <w:szCs w:val="20"/>
              </w:rPr>
              <w:t>Accommodation</w:t>
            </w:r>
          </w:p>
        </w:tc>
        <w:tc>
          <w:tcPr>
            <w:tcW w:w="2956" w:type="dxa"/>
            <w:noWrap/>
          </w:tcPr>
          <w:p w:rsidR="004417A7" w:rsidRDefault="004417A7" w:rsidP="004417A7">
            <w:pPr>
              <w:cnfStyle w:val="000000000000" w:firstRow="0" w:lastRow="0" w:firstColumn="0" w:lastColumn="0" w:oddVBand="0" w:evenVBand="0" w:oddHBand="0" w:evenHBand="0" w:firstRowFirstColumn="0" w:firstRowLastColumn="0" w:lastRowFirstColumn="0" w:lastRowLastColumn="0"/>
              <w:rPr>
                <w:szCs w:val="20"/>
              </w:rPr>
            </w:pPr>
            <w:r>
              <w:rPr>
                <w:szCs w:val="20"/>
              </w:rPr>
              <w:t>5.6%</w:t>
            </w:r>
          </w:p>
        </w:tc>
      </w:tr>
      <w:tr w:rsidR="004417A7" w:rsidRPr="00340375" w:rsidTr="004417A7">
        <w:trPr>
          <w:trHeight w:val="255"/>
        </w:trPr>
        <w:tc>
          <w:tcPr>
            <w:cnfStyle w:val="001000000000" w:firstRow="0" w:lastRow="0" w:firstColumn="1" w:lastColumn="0" w:oddVBand="0" w:evenVBand="0" w:oddHBand="0" w:evenHBand="0" w:firstRowFirstColumn="0" w:firstRowLastColumn="0" w:lastRowFirstColumn="0" w:lastRowLastColumn="0"/>
            <w:tcW w:w="5144" w:type="dxa"/>
            <w:noWrap/>
            <w:vAlign w:val="bottom"/>
            <w:hideMark/>
          </w:tcPr>
          <w:p w:rsidR="004417A7" w:rsidRDefault="004417A7">
            <w:pPr>
              <w:rPr>
                <w:b/>
                <w:bCs/>
                <w:color w:val="000000"/>
                <w:szCs w:val="20"/>
              </w:rPr>
            </w:pPr>
            <w:r>
              <w:rPr>
                <w:b/>
                <w:bCs/>
                <w:color w:val="000000"/>
                <w:szCs w:val="20"/>
              </w:rPr>
              <w:t>Retail trade</w:t>
            </w:r>
          </w:p>
        </w:tc>
        <w:tc>
          <w:tcPr>
            <w:tcW w:w="2956" w:type="dxa"/>
            <w:noWrap/>
          </w:tcPr>
          <w:p w:rsidR="004417A7" w:rsidRDefault="004417A7" w:rsidP="004417A7">
            <w:pPr>
              <w:cnfStyle w:val="000000000000" w:firstRow="0" w:lastRow="0" w:firstColumn="0" w:lastColumn="0" w:oddVBand="0" w:evenVBand="0" w:oddHBand="0" w:evenHBand="0" w:firstRowFirstColumn="0" w:firstRowLastColumn="0" w:lastRowFirstColumn="0" w:lastRowLastColumn="0"/>
              <w:rPr>
                <w:b/>
                <w:bCs/>
                <w:color w:val="000000"/>
                <w:szCs w:val="20"/>
              </w:rPr>
            </w:pPr>
            <w:r>
              <w:rPr>
                <w:b/>
                <w:bCs/>
                <w:color w:val="000000"/>
                <w:szCs w:val="20"/>
              </w:rPr>
              <w:t>13.2%</w:t>
            </w:r>
          </w:p>
        </w:tc>
      </w:tr>
      <w:tr w:rsidR="004417A7" w:rsidRPr="00340375" w:rsidTr="004417A7">
        <w:trPr>
          <w:trHeight w:val="255"/>
        </w:trPr>
        <w:tc>
          <w:tcPr>
            <w:cnfStyle w:val="001000000000" w:firstRow="0" w:lastRow="0" w:firstColumn="1" w:lastColumn="0" w:oddVBand="0" w:evenVBand="0" w:oddHBand="0" w:evenHBand="0" w:firstRowFirstColumn="0" w:firstRowLastColumn="0" w:lastRowFirstColumn="0" w:lastRowLastColumn="0"/>
            <w:tcW w:w="5144" w:type="dxa"/>
            <w:noWrap/>
            <w:vAlign w:val="bottom"/>
            <w:hideMark/>
          </w:tcPr>
          <w:p w:rsidR="004417A7" w:rsidRDefault="004417A7">
            <w:pPr>
              <w:ind w:firstLineChars="100" w:firstLine="200"/>
              <w:rPr>
                <w:szCs w:val="20"/>
              </w:rPr>
            </w:pPr>
            <w:r>
              <w:rPr>
                <w:szCs w:val="20"/>
              </w:rPr>
              <w:t>Supermarket and grocery stores</w:t>
            </w:r>
          </w:p>
        </w:tc>
        <w:tc>
          <w:tcPr>
            <w:tcW w:w="2956" w:type="dxa"/>
            <w:noWrap/>
          </w:tcPr>
          <w:p w:rsidR="004417A7" w:rsidRDefault="004417A7" w:rsidP="004417A7">
            <w:pPr>
              <w:cnfStyle w:val="000000000000" w:firstRow="0" w:lastRow="0" w:firstColumn="0" w:lastColumn="0" w:oddVBand="0" w:evenVBand="0" w:oddHBand="0" w:evenHBand="0" w:firstRowFirstColumn="0" w:firstRowLastColumn="0" w:lastRowFirstColumn="0" w:lastRowLastColumn="0"/>
              <w:rPr>
                <w:szCs w:val="20"/>
              </w:rPr>
            </w:pPr>
            <w:r>
              <w:rPr>
                <w:szCs w:val="20"/>
              </w:rPr>
              <w:t>44.9%</w:t>
            </w:r>
          </w:p>
        </w:tc>
      </w:tr>
      <w:tr w:rsidR="004417A7" w:rsidRPr="00340375" w:rsidTr="004417A7">
        <w:trPr>
          <w:trHeight w:val="255"/>
        </w:trPr>
        <w:tc>
          <w:tcPr>
            <w:cnfStyle w:val="001000000000" w:firstRow="0" w:lastRow="0" w:firstColumn="1" w:lastColumn="0" w:oddVBand="0" w:evenVBand="0" w:oddHBand="0" w:evenHBand="0" w:firstRowFirstColumn="0" w:firstRowLastColumn="0" w:lastRowFirstColumn="0" w:lastRowLastColumn="0"/>
            <w:tcW w:w="5144" w:type="dxa"/>
            <w:noWrap/>
            <w:vAlign w:val="bottom"/>
            <w:hideMark/>
          </w:tcPr>
          <w:p w:rsidR="004417A7" w:rsidRDefault="004417A7">
            <w:pPr>
              <w:ind w:firstLineChars="100" w:firstLine="200"/>
              <w:rPr>
                <w:szCs w:val="20"/>
              </w:rPr>
            </w:pPr>
            <w:r>
              <w:rPr>
                <w:szCs w:val="20"/>
              </w:rPr>
              <w:t>Clothing, footwear and personal accessory retailing</w:t>
            </w:r>
          </w:p>
        </w:tc>
        <w:tc>
          <w:tcPr>
            <w:tcW w:w="2956" w:type="dxa"/>
            <w:noWrap/>
          </w:tcPr>
          <w:p w:rsidR="004417A7" w:rsidRDefault="004417A7" w:rsidP="004417A7">
            <w:pPr>
              <w:cnfStyle w:val="000000000000" w:firstRow="0" w:lastRow="0" w:firstColumn="0" w:lastColumn="0" w:oddVBand="0" w:evenVBand="0" w:oddHBand="0" w:evenHBand="0" w:firstRowFirstColumn="0" w:firstRowLastColumn="0" w:lastRowFirstColumn="0" w:lastRowLastColumn="0"/>
              <w:rPr>
                <w:szCs w:val="20"/>
              </w:rPr>
            </w:pPr>
            <w:r>
              <w:rPr>
                <w:szCs w:val="20"/>
              </w:rPr>
              <w:t>9.9%</w:t>
            </w:r>
          </w:p>
        </w:tc>
      </w:tr>
      <w:tr w:rsidR="004417A7" w:rsidRPr="00340375" w:rsidTr="004417A7">
        <w:trPr>
          <w:trHeight w:val="255"/>
        </w:trPr>
        <w:tc>
          <w:tcPr>
            <w:cnfStyle w:val="001000000000" w:firstRow="0" w:lastRow="0" w:firstColumn="1" w:lastColumn="0" w:oddVBand="0" w:evenVBand="0" w:oddHBand="0" w:evenHBand="0" w:firstRowFirstColumn="0" w:firstRowLastColumn="0" w:lastRowFirstColumn="0" w:lastRowLastColumn="0"/>
            <w:tcW w:w="5144" w:type="dxa"/>
            <w:noWrap/>
            <w:vAlign w:val="bottom"/>
            <w:hideMark/>
          </w:tcPr>
          <w:p w:rsidR="004417A7" w:rsidRDefault="004417A7">
            <w:pPr>
              <w:rPr>
                <w:b/>
                <w:bCs/>
                <w:color w:val="000000"/>
                <w:szCs w:val="20"/>
              </w:rPr>
            </w:pPr>
            <w:r>
              <w:rPr>
                <w:b/>
                <w:bCs/>
                <w:color w:val="000000"/>
                <w:szCs w:val="20"/>
              </w:rPr>
              <w:t>Transport, postal and warehousing</w:t>
            </w:r>
          </w:p>
        </w:tc>
        <w:tc>
          <w:tcPr>
            <w:tcW w:w="2956" w:type="dxa"/>
            <w:noWrap/>
          </w:tcPr>
          <w:p w:rsidR="004417A7" w:rsidRDefault="004417A7" w:rsidP="004417A7">
            <w:pPr>
              <w:cnfStyle w:val="000000000000" w:firstRow="0" w:lastRow="0" w:firstColumn="0" w:lastColumn="0" w:oddVBand="0" w:evenVBand="0" w:oddHBand="0" w:evenHBand="0" w:firstRowFirstColumn="0" w:firstRowLastColumn="0" w:lastRowFirstColumn="0" w:lastRowLastColumn="0"/>
              <w:rPr>
                <w:b/>
                <w:bCs/>
                <w:color w:val="000000"/>
                <w:szCs w:val="20"/>
              </w:rPr>
            </w:pPr>
            <w:r>
              <w:rPr>
                <w:b/>
                <w:bCs/>
                <w:color w:val="000000"/>
                <w:szCs w:val="20"/>
              </w:rPr>
              <w:t>9.2%</w:t>
            </w:r>
          </w:p>
        </w:tc>
      </w:tr>
      <w:tr w:rsidR="004417A7" w:rsidRPr="00340375" w:rsidTr="004417A7">
        <w:trPr>
          <w:trHeight w:val="255"/>
        </w:trPr>
        <w:tc>
          <w:tcPr>
            <w:cnfStyle w:val="001000000000" w:firstRow="0" w:lastRow="0" w:firstColumn="1" w:lastColumn="0" w:oddVBand="0" w:evenVBand="0" w:oddHBand="0" w:evenHBand="0" w:firstRowFirstColumn="0" w:firstRowLastColumn="0" w:lastRowFirstColumn="0" w:lastRowLastColumn="0"/>
            <w:tcW w:w="5144" w:type="dxa"/>
            <w:noWrap/>
            <w:vAlign w:val="bottom"/>
            <w:hideMark/>
          </w:tcPr>
          <w:p w:rsidR="004417A7" w:rsidRDefault="004417A7">
            <w:pPr>
              <w:ind w:firstLineChars="100" w:firstLine="200"/>
              <w:rPr>
                <w:szCs w:val="20"/>
              </w:rPr>
            </w:pPr>
            <w:r>
              <w:rPr>
                <w:szCs w:val="20"/>
              </w:rPr>
              <w:t>Road passenger transport</w:t>
            </w:r>
          </w:p>
        </w:tc>
        <w:tc>
          <w:tcPr>
            <w:tcW w:w="2956" w:type="dxa"/>
            <w:noWrap/>
          </w:tcPr>
          <w:p w:rsidR="004417A7" w:rsidRDefault="004417A7" w:rsidP="004417A7">
            <w:pPr>
              <w:cnfStyle w:val="000000000000" w:firstRow="0" w:lastRow="0" w:firstColumn="0" w:lastColumn="0" w:oddVBand="0" w:evenVBand="0" w:oddHBand="0" w:evenHBand="0" w:firstRowFirstColumn="0" w:firstRowLastColumn="0" w:lastRowFirstColumn="0" w:lastRowLastColumn="0"/>
              <w:rPr>
                <w:szCs w:val="20"/>
              </w:rPr>
            </w:pPr>
            <w:r>
              <w:rPr>
                <w:szCs w:val="20"/>
              </w:rPr>
              <w:t>19.9%</w:t>
            </w:r>
          </w:p>
        </w:tc>
      </w:tr>
      <w:tr w:rsidR="004417A7" w:rsidRPr="00340375" w:rsidTr="004417A7">
        <w:trPr>
          <w:trHeight w:val="255"/>
        </w:trPr>
        <w:tc>
          <w:tcPr>
            <w:cnfStyle w:val="001000000000" w:firstRow="0" w:lastRow="0" w:firstColumn="1" w:lastColumn="0" w:oddVBand="0" w:evenVBand="0" w:oddHBand="0" w:evenHBand="0" w:firstRowFirstColumn="0" w:firstRowLastColumn="0" w:lastRowFirstColumn="0" w:lastRowLastColumn="0"/>
            <w:tcW w:w="5144" w:type="dxa"/>
            <w:noWrap/>
            <w:vAlign w:val="bottom"/>
            <w:hideMark/>
          </w:tcPr>
          <w:p w:rsidR="004417A7" w:rsidRDefault="004417A7">
            <w:pPr>
              <w:ind w:firstLineChars="100" w:firstLine="200"/>
              <w:rPr>
                <w:szCs w:val="20"/>
              </w:rPr>
            </w:pPr>
            <w:r>
              <w:rPr>
                <w:szCs w:val="20"/>
              </w:rPr>
              <w:t>Air and space transport</w:t>
            </w:r>
          </w:p>
        </w:tc>
        <w:tc>
          <w:tcPr>
            <w:tcW w:w="2956" w:type="dxa"/>
            <w:noWrap/>
          </w:tcPr>
          <w:p w:rsidR="004417A7" w:rsidRDefault="004417A7" w:rsidP="004417A7">
            <w:pPr>
              <w:cnfStyle w:val="000000000000" w:firstRow="0" w:lastRow="0" w:firstColumn="0" w:lastColumn="0" w:oddVBand="0" w:evenVBand="0" w:oddHBand="0" w:evenHBand="0" w:firstRowFirstColumn="0" w:firstRowLastColumn="0" w:lastRowFirstColumn="0" w:lastRowLastColumn="0"/>
              <w:rPr>
                <w:szCs w:val="20"/>
              </w:rPr>
            </w:pPr>
            <w:r>
              <w:rPr>
                <w:szCs w:val="20"/>
              </w:rPr>
              <w:t>19.6%</w:t>
            </w:r>
          </w:p>
        </w:tc>
      </w:tr>
      <w:tr w:rsidR="004417A7" w:rsidRPr="00340375" w:rsidTr="004417A7">
        <w:trPr>
          <w:trHeight w:val="255"/>
        </w:trPr>
        <w:tc>
          <w:tcPr>
            <w:cnfStyle w:val="001000000000" w:firstRow="0" w:lastRow="0" w:firstColumn="1" w:lastColumn="0" w:oddVBand="0" w:evenVBand="0" w:oddHBand="0" w:evenHBand="0" w:firstRowFirstColumn="0" w:firstRowLastColumn="0" w:lastRowFirstColumn="0" w:lastRowLastColumn="0"/>
            <w:tcW w:w="5144" w:type="dxa"/>
            <w:noWrap/>
            <w:vAlign w:val="bottom"/>
            <w:hideMark/>
          </w:tcPr>
          <w:p w:rsidR="004417A7" w:rsidRDefault="004417A7">
            <w:pPr>
              <w:ind w:firstLineChars="100" w:firstLine="200"/>
              <w:rPr>
                <w:szCs w:val="20"/>
              </w:rPr>
            </w:pPr>
            <w:r>
              <w:rPr>
                <w:szCs w:val="20"/>
              </w:rPr>
              <w:t>Postal and courier pick-up and delivery services</w:t>
            </w:r>
          </w:p>
        </w:tc>
        <w:tc>
          <w:tcPr>
            <w:tcW w:w="2956" w:type="dxa"/>
            <w:noWrap/>
          </w:tcPr>
          <w:p w:rsidR="004417A7" w:rsidRDefault="004417A7" w:rsidP="004417A7">
            <w:pPr>
              <w:cnfStyle w:val="000000000000" w:firstRow="0" w:lastRow="0" w:firstColumn="0" w:lastColumn="0" w:oddVBand="0" w:evenVBand="0" w:oddHBand="0" w:evenHBand="0" w:firstRowFirstColumn="0" w:firstRowLastColumn="0" w:lastRowFirstColumn="0" w:lastRowLastColumn="0"/>
              <w:rPr>
                <w:szCs w:val="20"/>
              </w:rPr>
            </w:pPr>
            <w:r>
              <w:rPr>
                <w:szCs w:val="20"/>
              </w:rPr>
              <w:t>14.4%</w:t>
            </w:r>
          </w:p>
        </w:tc>
      </w:tr>
      <w:tr w:rsidR="004417A7" w:rsidRPr="00340375" w:rsidTr="004417A7">
        <w:trPr>
          <w:trHeight w:val="255"/>
        </w:trPr>
        <w:tc>
          <w:tcPr>
            <w:cnfStyle w:val="001000000000" w:firstRow="0" w:lastRow="0" w:firstColumn="1" w:lastColumn="0" w:oddVBand="0" w:evenVBand="0" w:oddHBand="0" w:evenHBand="0" w:firstRowFirstColumn="0" w:firstRowLastColumn="0" w:lastRowFirstColumn="0" w:lastRowLastColumn="0"/>
            <w:tcW w:w="5144" w:type="dxa"/>
            <w:noWrap/>
            <w:vAlign w:val="bottom"/>
            <w:hideMark/>
          </w:tcPr>
          <w:p w:rsidR="004417A7" w:rsidRDefault="004417A7">
            <w:pPr>
              <w:ind w:firstLineChars="100" w:firstLine="200"/>
              <w:rPr>
                <w:szCs w:val="20"/>
              </w:rPr>
            </w:pPr>
            <w:r>
              <w:rPr>
                <w:szCs w:val="20"/>
              </w:rPr>
              <w:t>Rail transport</w:t>
            </w:r>
          </w:p>
        </w:tc>
        <w:tc>
          <w:tcPr>
            <w:tcW w:w="2956" w:type="dxa"/>
            <w:noWrap/>
          </w:tcPr>
          <w:p w:rsidR="004417A7" w:rsidRDefault="004417A7" w:rsidP="004417A7">
            <w:pPr>
              <w:cnfStyle w:val="000000000000" w:firstRow="0" w:lastRow="0" w:firstColumn="0" w:lastColumn="0" w:oddVBand="0" w:evenVBand="0" w:oddHBand="0" w:evenHBand="0" w:firstRowFirstColumn="0" w:firstRowLastColumn="0" w:lastRowFirstColumn="0" w:lastRowLastColumn="0"/>
              <w:rPr>
                <w:szCs w:val="20"/>
              </w:rPr>
            </w:pPr>
            <w:r>
              <w:rPr>
                <w:szCs w:val="20"/>
              </w:rPr>
              <w:t>8.5%</w:t>
            </w:r>
          </w:p>
        </w:tc>
      </w:tr>
      <w:tr w:rsidR="004417A7" w:rsidRPr="00340375" w:rsidTr="004417A7">
        <w:trPr>
          <w:trHeight w:val="255"/>
        </w:trPr>
        <w:tc>
          <w:tcPr>
            <w:cnfStyle w:val="001000000000" w:firstRow="0" w:lastRow="0" w:firstColumn="1" w:lastColumn="0" w:oddVBand="0" w:evenVBand="0" w:oddHBand="0" w:evenHBand="0" w:firstRowFirstColumn="0" w:firstRowLastColumn="0" w:lastRowFirstColumn="0" w:lastRowLastColumn="0"/>
            <w:tcW w:w="5144" w:type="dxa"/>
            <w:noWrap/>
            <w:vAlign w:val="bottom"/>
            <w:hideMark/>
          </w:tcPr>
          <w:p w:rsidR="004417A7" w:rsidRDefault="004417A7">
            <w:pPr>
              <w:rPr>
                <w:b/>
                <w:bCs/>
                <w:color w:val="000000"/>
                <w:szCs w:val="20"/>
              </w:rPr>
            </w:pPr>
            <w:r>
              <w:rPr>
                <w:b/>
                <w:bCs/>
                <w:color w:val="000000"/>
                <w:szCs w:val="20"/>
              </w:rPr>
              <w:t>Public administration and safety</w:t>
            </w:r>
          </w:p>
        </w:tc>
        <w:tc>
          <w:tcPr>
            <w:tcW w:w="2956" w:type="dxa"/>
            <w:noWrap/>
          </w:tcPr>
          <w:p w:rsidR="004417A7" w:rsidRDefault="004417A7" w:rsidP="004417A7">
            <w:pPr>
              <w:cnfStyle w:val="000000000000" w:firstRow="0" w:lastRow="0" w:firstColumn="0" w:lastColumn="0" w:oddVBand="0" w:evenVBand="0" w:oddHBand="0" w:evenHBand="0" w:firstRowFirstColumn="0" w:firstRowLastColumn="0" w:lastRowFirstColumn="0" w:lastRowLastColumn="0"/>
              <w:rPr>
                <w:b/>
                <w:bCs/>
                <w:color w:val="000000"/>
                <w:szCs w:val="20"/>
              </w:rPr>
            </w:pPr>
            <w:r>
              <w:rPr>
                <w:b/>
                <w:bCs/>
                <w:color w:val="000000"/>
                <w:szCs w:val="20"/>
              </w:rPr>
              <w:t>7.9%</w:t>
            </w:r>
          </w:p>
        </w:tc>
      </w:tr>
      <w:tr w:rsidR="004417A7" w:rsidRPr="00340375" w:rsidTr="004417A7">
        <w:trPr>
          <w:trHeight w:val="255"/>
        </w:trPr>
        <w:tc>
          <w:tcPr>
            <w:cnfStyle w:val="001000000000" w:firstRow="0" w:lastRow="0" w:firstColumn="1" w:lastColumn="0" w:oddVBand="0" w:evenVBand="0" w:oddHBand="0" w:evenHBand="0" w:firstRowFirstColumn="0" w:firstRowLastColumn="0" w:lastRowFirstColumn="0" w:lastRowLastColumn="0"/>
            <w:tcW w:w="5144" w:type="dxa"/>
            <w:noWrap/>
            <w:vAlign w:val="bottom"/>
            <w:hideMark/>
          </w:tcPr>
          <w:p w:rsidR="004417A7" w:rsidRDefault="004417A7">
            <w:pPr>
              <w:ind w:firstLineChars="100" w:firstLine="200"/>
              <w:rPr>
                <w:szCs w:val="20"/>
              </w:rPr>
            </w:pPr>
            <w:r>
              <w:rPr>
                <w:szCs w:val="20"/>
              </w:rPr>
              <w:t>Public order and safety services</w:t>
            </w:r>
          </w:p>
        </w:tc>
        <w:tc>
          <w:tcPr>
            <w:tcW w:w="2956" w:type="dxa"/>
            <w:noWrap/>
          </w:tcPr>
          <w:p w:rsidR="004417A7" w:rsidRDefault="004417A7" w:rsidP="004417A7">
            <w:pPr>
              <w:cnfStyle w:val="000000000000" w:firstRow="0" w:lastRow="0" w:firstColumn="0" w:lastColumn="0" w:oddVBand="0" w:evenVBand="0" w:oddHBand="0" w:evenHBand="0" w:firstRowFirstColumn="0" w:firstRowLastColumn="0" w:lastRowFirstColumn="0" w:lastRowLastColumn="0"/>
              <w:rPr>
                <w:szCs w:val="20"/>
              </w:rPr>
            </w:pPr>
            <w:r>
              <w:rPr>
                <w:szCs w:val="20"/>
              </w:rPr>
              <w:t>76.5%</w:t>
            </w:r>
          </w:p>
        </w:tc>
      </w:tr>
      <w:tr w:rsidR="004417A7" w:rsidRPr="00340375" w:rsidTr="004417A7">
        <w:trPr>
          <w:trHeight w:val="255"/>
        </w:trPr>
        <w:tc>
          <w:tcPr>
            <w:cnfStyle w:val="001000000000" w:firstRow="0" w:lastRow="0" w:firstColumn="1" w:lastColumn="0" w:oddVBand="0" w:evenVBand="0" w:oddHBand="0" w:evenHBand="0" w:firstRowFirstColumn="0" w:firstRowLastColumn="0" w:lastRowFirstColumn="0" w:lastRowLastColumn="0"/>
            <w:tcW w:w="5144" w:type="dxa"/>
            <w:noWrap/>
            <w:vAlign w:val="bottom"/>
            <w:hideMark/>
          </w:tcPr>
          <w:p w:rsidR="004417A7" w:rsidRDefault="004417A7">
            <w:pPr>
              <w:ind w:firstLineChars="100" w:firstLine="200"/>
              <w:rPr>
                <w:szCs w:val="20"/>
              </w:rPr>
            </w:pPr>
            <w:r>
              <w:rPr>
                <w:szCs w:val="20"/>
              </w:rPr>
              <w:t>State government administration</w:t>
            </w:r>
          </w:p>
        </w:tc>
        <w:tc>
          <w:tcPr>
            <w:tcW w:w="2956" w:type="dxa"/>
            <w:noWrap/>
          </w:tcPr>
          <w:p w:rsidR="004417A7" w:rsidRDefault="004417A7" w:rsidP="004417A7">
            <w:pPr>
              <w:cnfStyle w:val="000000000000" w:firstRow="0" w:lastRow="0" w:firstColumn="0" w:lastColumn="0" w:oddVBand="0" w:evenVBand="0" w:oddHBand="0" w:evenHBand="0" w:firstRowFirstColumn="0" w:firstRowLastColumn="0" w:lastRowFirstColumn="0" w:lastRowLastColumn="0"/>
              <w:rPr>
                <w:szCs w:val="20"/>
              </w:rPr>
            </w:pPr>
            <w:r>
              <w:rPr>
                <w:szCs w:val="20"/>
              </w:rPr>
              <w:t>10.0%</w:t>
            </w:r>
          </w:p>
        </w:tc>
      </w:tr>
      <w:tr w:rsidR="004417A7" w:rsidRPr="00340375" w:rsidTr="004417A7">
        <w:trPr>
          <w:trHeight w:val="255"/>
        </w:trPr>
        <w:tc>
          <w:tcPr>
            <w:cnfStyle w:val="001000000000" w:firstRow="0" w:lastRow="0" w:firstColumn="1" w:lastColumn="0" w:oddVBand="0" w:evenVBand="0" w:oddHBand="0" w:evenHBand="0" w:firstRowFirstColumn="0" w:firstRowLastColumn="0" w:lastRowFirstColumn="0" w:lastRowLastColumn="0"/>
            <w:tcW w:w="5144" w:type="dxa"/>
            <w:noWrap/>
            <w:vAlign w:val="bottom"/>
            <w:hideMark/>
          </w:tcPr>
          <w:p w:rsidR="004417A7" w:rsidRDefault="004417A7">
            <w:pPr>
              <w:rPr>
                <w:b/>
                <w:bCs/>
                <w:color w:val="000000"/>
                <w:szCs w:val="20"/>
              </w:rPr>
            </w:pPr>
            <w:r>
              <w:rPr>
                <w:b/>
                <w:bCs/>
                <w:color w:val="000000"/>
                <w:szCs w:val="20"/>
              </w:rPr>
              <w:t>Manufacturing</w:t>
            </w:r>
          </w:p>
        </w:tc>
        <w:tc>
          <w:tcPr>
            <w:tcW w:w="2956" w:type="dxa"/>
            <w:noWrap/>
          </w:tcPr>
          <w:p w:rsidR="004417A7" w:rsidRDefault="004417A7" w:rsidP="004417A7">
            <w:pPr>
              <w:cnfStyle w:val="000000000000" w:firstRow="0" w:lastRow="0" w:firstColumn="0" w:lastColumn="0" w:oddVBand="0" w:evenVBand="0" w:oddHBand="0" w:evenHBand="0" w:firstRowFirstColumn="0" w:firstRowLastColumn="0" w:lastRowFirstColumn="0" w:lastRowLastColumn="0"/>
              <w:rPr>
                <w:b/>
                <w:bCs/>
                <w:color w:val="000000"/>
                <w:szCs w:val="20"/>
              </w:rPr>
            </w:pPr>
            <w:r>
              <w:rPr>
                <w:b/>
                <w:bCs/>
                <w:color w:val="000000"/>
                <w:szCs w:val="20"/>
              </w:rPr>
              <w:t>6.1%</w:t>
            </w:r>
          </w:p>
        </w:tc>
      </w:tr>
      <w:tr w:rsidR="004417A7" w:rsidRPr="00340375" w:rsidTr="004417A7">
        <w:trPr>
          <w:trHeight w:val="255"/>
        </w:trPr>
        <w:tc>
          <w:tcPr>
            <w:cnfStyle w:val="001000000000" w:firstRow="0" w:lastRow="0" w:firstColumn="1" w:lastColumn="0" w:oddVBand="0" w:evenVBand="0" w:oddHBand="0" w:evenHBand="0" w:firstRowFirstColumn="0" w:firstRowLastColumn="0" w:lastRowFirstColumn="0" w:lastRowLastColumn="0"/>
            <w:tcW w:w="5144" w:type="dxa"/>
            <w:noWrap/>
            <w:vAlign w:val="bottom"/>
          </w:tcPr>
          <w:p w:rsidR="004417A7" w:rsidRDefault="0043748E">
            <w:pPr>
              <w:rPr>
                <w:b/>
                <w:bCs/>
                <w:color w:val="000000"/>
                <w:szCs w:val="20"/>
              </w:rPr>
            </w:pPr>
            <w:r>
              <w:rPr>
                <w:b/>
                <w:bCs/>
                <w:color w:val="000000"/>
                <w:szCs w:val="20"/>
              </w:rPr>
              <w:t>Other industries</w:t>
            </w:r>
          </w:p>
        </w:tc>
        <w:tc>
          <w:tcPr>
            <w:tcW w:w="2956" w:type="dxa"/>
            <w:noWrap/>
          </w:tcPr>
          <w:p w:rsidR="004417A7" w:rsidRDefault="0043748E" w:rsidP="004417A7">
            <w:pPr>
              <w:cnfStyle w:val="000000000000" w:firstRow="0" w:lastRow="0" w:firstColumn="0" w:lastColumn="0" w:oddVBand="0" w:evenVBand="0" w:oddHBand="0" w:evenHBand="0" w:firstRowFirstColumn="0" w:firstRowLastColumn="0" w:lastRowFirstColumn="0" w:lastRowLastColumn="0"/>
              <w:rPr>
                <w:b/>
                <w:bCs/>
                <w:color w:val="000000"/>
                <w:szCs w:val="20"/>
              </w:rPr>
            </w:pPr>
            <w:r>
              <w:rPr>
                <w:b/>
                <w:bCs/>
                <w:color w:val="000000"/>
                <w:szCs w:val="20"/>
              </w:rPr>
              <w:t>22.8%</w:t>
            </w:r>
          </w:p>
        </w:tc>
      </w:tr>
      <w:tr w:rsidR="0043748E" w:rsidRPr="00340375" w:rsidTr="0043748E">
        <w:trPr>
          <w:trHeight w:val="255"/>
        </w:trPr>
        <w:tc>
          <w:tcPr>
            <w:cnfStyle w:val="001000000000" w:firstRow="0" w:lastRow="0" w:firstColumn="1" w:lastColumn="0" w:oddVBand="0" w:evenVBand="0" w:oddHBand="0" w:evenHBand="0" w:firstRowFirstColumn="0" w:firstRowLastColumn="0" w:lastRowFirstColumn="0" w:lastRowLastColumn="0"/>
            <w:tcW w:w="5144" w:type="dxa"/>
            <w:noWrap/>
            <w:vAlign w:val="bottom"/>
          </w:tcPr>
          <w:p w:rsidR="0043748E" w:rsidRDefault="0043748E" w:rsidP="005C0245">
            <w:pPr>
              <w:rPr>
                <w:b/>
                <w:bCs/>
                <w:color w:val="000000"/>
                <w:szCs w:val="20"/>
              </w:rPr>
            </w:pPr>
            <w:r>
              <w:rPr>
                <w:b/>
                <w:bCs/>
                <w:color w:val="000000"/>
                <w:szCs w:val="20"/>
              </w:rPr>
              <w:t>Total</w:t>
            </w:r>
          </w:p>
        </w:tc>
        <w:tc>
          <w:tcPr>
            <w:tcW w:w="2956" w:type="dxa"/>
            <w:noWrap/>
          </w:tcPr>
          <w:p w:rsidR="0043748E" w:rsidRDefault="0043748E" w:rsidP="005C0245">
            <w:pPr>
              <w:cnfStyle w:val="000000000000" w:firstRow="0" w:lastRow="0" w:firstColumn="0" w:lastColumn="0" w:oddVBand="0" w:evenVBand="0" w:oddHBand="0" w:evenHBand="0" w:firstRowFirstColumn="0" w:firstRowLastColumn="0" w:lastRowFirstColumn="0" w:lastRowLastColumn="0"/>
              <w:rPr>
                <w:b/>
                <w:bCs/>
                <w:color w:val="000000"/>
                <w:szCs w:val="20"/>
              </w:rPr>
            </w:pPr>
            <w:r>
              <w:rPr>
                <w:b/>
                <w:bCs/>
                <w:color w:val="000000"/>
                <w:szCs w:val="20"/>
              </w:rPr>
              <w:t>100.0%</w:t>
            </w:r>
          </w:p>
        </w:tc>
      </w:tr>
    </w:tbl>
    <w:p w:rsidR="00845163" w:rsidRDefault="00845163" w:rsidP="00845163">
      <w:pPr>
        <w:pStyle w:val="Heading2"/>
      </w:pPr>
      <w:bookmarkStart w:id="98" w:name="_Toc459366233"/>
      <w:r>
        <w:t>Jurisdiction</w:t>
      </w:r>
      <w:bookmarkEnd w:id="98"/>
    </w:p>
    <w:p w:rsidR="00F2300F" w:rsidRDefault="00F2300F" w:rsidP="00F2300F">
      <w:r>
        <w:t xml:space="preserve">Although shiftworkers have a significantly higher </w:t>
      </w:r>
      <w:r w:rsidR="00647DB2">
        <w:t xml:space="preserve">injury rate, </w:t>
      </w:r>
      <w:r w:rsidR="00FE359F">
        <w:t xml:space="preserve">the findings in figure 4 show </w:t>
      </w:r>
      <w:r>
        <w:t xml:space="preserve">that </w:t>
      </w:r>
      <w:r w:rsidR="00647DB2">
        <w:t xml:space="preserve">there </w:t>
      </w:r>
      <w:r w:rsidR="004D366D">
        <w:t>are no significant differences</w:t>
      </w:r>
      <w:r w:rsidR="00647DB2">
        <w:t xml:space="preserve"> between </w:t>
      </w:r>
      <w:r>
        <w:t>shiftworkers</w:t>
      </w:r>
      <w:r w:rsidR="00647DB2">
        <w:t xml:space="preserve"> and non-shiftworkers </w:t>
      </w:r>
      <w:r>
        <w:t>in Western Australia.</w:t>
      </w:r>
      <w:r w:rsidR="00647DB2">
        <w:t xml:space="preserve"> This makes Western Australia unique because shiftworkers in other Australian jurisdictions have significantly higher injury rates than non-shiftworkers.</w:t>
      </w:r>
    </w:p>
    <w:p w:rsidR="00845163" w:rsidRDefault="00845163" w:rsidP="00845163">
      <w:r>
        <w:t xml:space="preserve">The results </w:t>
      </w:r>
      <w:r w:rsidR="009C544C">
        <w:t xml:space="preserve">in figure 4 also </w:t>
      </w:r>
      <w:r>
        <w:t xml:space="preserve">show that the </w:t>
      </w:r>
      <w:r w:rsidR="00D92A8C">
        <w:t>injury</w:t>
      </w:r>
      <w:r>
        <w:t xml:space="preserve"> rate for shiftworkers</w:t>
      </w:r>
      <w:r w:rsidR="00586876">
        <w:t xml:space="preserve"> in Tasmania </w:t>
      </w:r>
      <w:r w:rsidR="002F74A5">
        <w:t>is</w:t>
      </w:r>
      <w:r>
        <w:t xml:space="preserve"> significantly higher than the </w:t>
      </w:r>
      <w:r w:rsidR="00D92A8C">
        <w:t>injury</w:t>
      </w:r>
      <w:r>
        <w:t xml:space="preserve"> rates </w:t>
      </w:r>
      <w:r w:rsidR="00E820C3">
        <w:t>for</w:t>
      </w:r>
      <w:r>
        <w:t xml:space="preserve"> </w:t>
      </w:r>
      <w:r w:rsidR="00DE1AB1">
        <w:t xml:space="preserve">shiftworkers in </w:t>
      </w:r>
      <w:r>
        <w:t>all other jurisdictions except South Australia.</w:t>
      </w:r>
    </w:p>
    <w:p w:rsidR="008A34FE" w:rsidRDefault="008A34FE">
      <w:pPr>
        <w:rPr>
          <w:rFonts w:eastAsiaTheme="majorEastAsia" w:cstheme="majorBidi"/>
          <w:b/>
          <w:bCs/>
          <w:iCs/>
        </w:rPr>
      </w:pPr>
      <w:bookmarkStart w:id="99" w:name="_Toc447701737"/>
      <w:r>
        <w:br w:type="page"/>
      </w:r>
    </w:p>
    <w:p w:rsidR="00845163" w:rsidRDefault="00845163" w:rsidP="00845163">
      <w:pPr>
        <w:pStyle w:val="Heading5"/>
      </w:pPr>
      <w:r>
        <w:lastRenderedPageBreak/>
        <w:t xml:space="preserve">Figure </w:t>
      </w:r>
      <w:fldSimple w:instr=" SEQ Figure \* ARABIC ">
        <w:r w:rsidR="0091230D">
          <w:rPr>
            <w:noProof/>
          </w:rPr>
          <w:t>4</w:t>
        </w:r>
      </w:fldSimple>
      <w:r>
        <w:t xml:space="preserve">: </w:t>
      </w:r>
      <w:r w:rsidR="00D92A8C">
        <w:t>Injury</w:t>
      </w:r>
      <w:r w:rsidR="00F2300F">
        <w:t xml:space="preserve"> r</w:t>
      </w:r>
      <w:r>
        <w:t xml:space="preserve">ates and </w:t>
      </w:r>
      <w:r w:rsidR="00E87749">
        <w:t>84 per cent</w:t>
      </w:r>
      <w:r>
        <w:t xml:space="preserve"> confidence intervals by </w:t>
      </w:r>
      <w:r w:rsidR="00F2300F">
        <w:t xml:space="preserve">shiftwork status and </w:t>
      </w:r>
      <w:r w:rsidR="00FA357A">
        <w:t>jurisdiction, 2013−</w:t>
      </w:r>
      <w:r>
        <w:t>14</w:t>
      </w:r>
      <w:bookmarkEnd w:id="99"/>
    </w:p>
    <w:p w:rsidR="00845163" w:rsidRPr="00160EC3" w:rsidRDefault="00FE359F" w:rsidP="00845163">
      <w:r w:rsidRPr="00FE359F">
        <w:rPr>
          <w:noProof/>
        </w:rPr>
        <w:t xml:space="preserve"> </w:t>
      </w:r>
      <w:r>
        <w:rPr>
          <w:noProof/>
        </w:rPr>
        <w:drawing>
          <wp:inline distT="0" distB="0" distL="0" distR="0" wp14:anchorId="5BB65B20" wp14:editId="7DD2CB63">
            <wp:extent cx="5943600" cy="3494405"/>
            <wp:effectExtent l="0" t="0" r="19050" b="10795"/>
            <wp:docPr id="5" name="Chart 5" descr="there are no significant differences between shiftworkers and non-shiftworkers in Western Australia"/>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45163" w:rsidRDefault="00845163" w:rsidP="00845163">
      <w:pPr>
        <w:pStyle w:val="Tablefooter"/>
      </w:pPr>
      <w:r>
        <w:t xml:space="preserve">Australian Capital Territory and Northern Territory are excluded due to high </w:t>
      </w:r>
      <w:r w:rsidRPr="0018204F">
        <w:t>relative standard errors</w:t>
      </w:r>
      <w:r>
        <w:t xml:space="preserve">. They </w:t>
      </w:r>
      <w:r w:rsidRPr="0018204F">
        <w:t xml:space="preserve">are included in </w:t>
      </w:r>
      <w:r w:rsidR="009060A7">
        <w:t>“Australia”</w:t>
      </w:r>
      <w:r w:rsidRPr="0018204F">
        <w:t>.</w:t>
      </w:r>
    </w:p>
    <w:p w:rsidR="006900B6" w:rsidRDefault="009352C9" w:rsidP="006900B6">
      <w:r>
        <w:t xml:space="preserve">Further analysis was undertaken to determine why there </w:t>
      </w:r>
      <w:r w:rsidR="004D366D">
        <w:t>are no significant differences</w:t>
      </w:r>
      <w:r>
        <w:t xml:space="preserve"> between shiftworkers and non-shiftwo</w:t>
      </w:r>
      <w:r w:rsidR="001742C6">
        <w:t xml:space="preserve">rkers in Western Australia. One factor </w:t>
      </w:r>
      <w:r>
        <w:t>is that</w:t>
      </w:r>
      <w:r w:rsidR="006900B6">
        <w:t xml:space="preserve"> Western Australia has </w:t>
      </w:r>
      <w:r w:rsidR="00F700A3">
        <w:t>the lowest percentage</w:t>
      </w:r>
      <w:r w:rsidR="006900B6">
        <w:t xml:space="preserve"> of shiftworkers </w:t>
      </w:r>
      <w:r w:rsidR="00FC21FE">
        <w:t xml:space="preserve">who are employed </w:t>
      </w:r>
      <w:r w:rsidR="006900B6">
        <w:t xml:space="preserve">in high-risk industries. High-risk industries are the three industries in which shiftworkers have significantly higher </w:t>
      </w:r>
      <w:r w:rsidR="008A34FE">
        <w:t xml:space="preserve">injury </w:t>
      </w:r>
      <w:r w:rsidR="006900B6">
        <w:t>rates than non-</w:t>
      </w:r>
      <w:r w:rsidR="001A7071">
        <w:t>shiftworkers (</w:t>
      </w:r>
      <w:r w:rsidR="00F41487">
        <w:t xml:space="preserve">i.e. </w:t>
      </w:r>
      <w:r w:rsidR="006900B6">
        <w:t>manufacturing, accommodation and food services, and public administration and safety</w:t>
      </w:r>
      <w:r w:rsidR="00F700A3">
        <w:t>)</w:t>
      </w:r>
      <w:r w:rsidR="00AD7D37">
        <w:t>.</w:t>
      </w:r>
      <w:r w:rsidR="00571B04">
        <w:t xml:space="preserve"> </w:t>
      </w:r>
      <w:r w:rsidR="006900B6">
        <w:t xml:space="preserve">As shown in table 3, the percentage of shiftworkers in high-risk industries is 24 per cent </w:t>
      </w:r>
      <w:r w:rsidR="00927A19">
        <w:t>in</w:t>
      </w:r>
      <w:r w:rsidR="006900B6">
        <w:t xml:space="preserve"> Western Australia, while it</w:t>
      </w:r>
      <w:r w:rsidR="00F968C2">
        <w:t xml:space="preserve"> ranges from 31 per cent to 37 per cent</w:t>
      </w:r>
      <w:r w:rsidR="006900B6">
        <w:t xml:space="preserve"> in other </w:t>
      </w:r>
      <w:r w:rsidR="00927A19">
        <w:t xml:space="preserve">Australian </w:t>
      </w:r>
      <w:r w:rsidR="006900B6">
        <w:t>jurisdictions.</w:t>
      </w:r>
    </w:p>
    <w:p w:rsidR="006900B6" w:rsidRDefault="006900B6" w:rsidP="00A25AC5">
      <w:pPr>
        <w:pStyle w:val="Heading4"/>
      </w:pPr>
      <w:bookmarkStart w:id="100" w:name="_Toc444075072"/>
      <w:r>
        <w:t xml:space="preserve">Table </w:t>
      </w:r>
      <w:fldSimple w:instr=" SEQ Table \* ARABIC ">
        <w:r w:rsidR="0091230D">
          <w:rPr>
            <w:noProof/>
          </w:rPr>
          <w:t>3</w:t>
        </w:r>
      </w:fldSimple>
      <w:r>
        <w:t xml:space="preserve">: </w:t>
      </w:r>
      <w:r w:rsidR="00F968C2" w:rsidRPr="00F968C2">
        <w:t xml:space="preserve">Percentage of shiftworkers </w:t>
      </w:r>
      <w:r w:rsidR="00927A19">
        <w:t xml:space="preserve">by </w:t>
      </w:r>
      <w:r w:rsidR="00F968C2" w:rsidRPr="00F968C2">
        <w:t>jurisdiction</w:t>
      </w:r>
      <w:r w:rsidR="00927A19">
        <w:t xml:space="preserve"> and </w:t>
      </w:r>
      <w:r w:rsidR="00F968C2" w:rsidRPr="00F968C2">
        <w:t>risk status</w:t>
      </w:r>
      <w:r>
        <w:t>, 2013–14</w:t>
      </w:r>
      <w:bookmarkEnd w:id="100"/>
    </w:p>
    <w:tbl>
      <w:tblPr>
        <w:tblStyle w:val="TableGrid"/>
        <w:tblW w:w="9976" w:type="dxa"/>
        <w:tblLook w:val="04A0" w:firstRow="1" w:lastRow="0" w:firstColumn="1" w:lastColumn="0" w:noHBand="0" w:noVBand="1"/>
        <w:tblDescription w:val="Table 3"/>
      </w:tblPr>
      <w:tblGrid>
        <w:gridCol w:w="3271"/>
        <w:gridCol w:w="1126"/>
        <w:gridCol w:w="1025"/>
        <w:gridCol w:w="1361"/>
        <w:gridCol w:w="1196"/>
        <w:gridCol w:w="1025"/>
        <w:gridCol w:w="1126"/>
      </w:tblGrid>
      <w:tr w:rsidR="00F968C2" w:rsidRPr="00F700A3" w:rsidTr="006C780E">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3271" w:type="dxa"/>
            <w:noWrap/>
            <w:hideMark/>
          </w:tcPr>
          <w:p w:rsidR="00F968C2" w:rsidRPr="00F700A3" w:rsidRDefault="00F968C2" w:rsidP="00F968C2">
            <w:pPr>
              <w:rPr>
                <w:rFonts w:eastAsia="Times New Roman"/>
                <w:color w:val="000000"/>
                <w:kern w:val="0"/>
                <w:szCs w:val="20"/>
              </w:rPr>
            </w:pPr>
            <w:r w:rsidRPr="00F700A3">
              <w:rPr>
                <w:rFonts w:eastAsia="Times New Roman"/>
                <w:color w:val="000000"/>
                <w:kern w:val="0"/>
                <w:szCs w:val="20"/>
              </w:rPr>
              <w:t>Risk status</w:t>
            </w:r>
          </w:p>
        </w:tc>
        <w:tc>
          <w:tcPr>
            <w:tcW w:w="1126" w:type="dxa"/>
            <w:noWrap/>
            <w:hideMark/>
          </w:tcPr>
          <w:p w:rsidR="00F968C2" w:rsidRPr="00F700A3" w:rsidRDefault="00F968C2" w:rsidP="00F968C2">
            <w:pPr>
              <w:cnfStyle w:val="100000000000" w:firstRow="1" w:lastRow="0" w:firstColumn="0" w:lastColumn="0" w:oddVBand="0" w:evenVBand="0" w:oddHBand="0" w:evenHBand="0" w:firstRowFirstColumn="0" w:firstRowLastColumn="0" w:lastRowFirstColumn="0" w:lastRowLastColumn="0"/>
              <w:rPr>
                <w:rFonts w:eastAsia="Times New Roman"/>
                <w:color w:val="000000"/>
                <w:kern w:val="0"/>
                <w:szCs w:val="20"/>
              </w:rPr>
            </w:pPr>
            <w:r w:rsidRPr="00F700A3">
              <w:rPr>
                <w:rFonts w:eastAsia="Times New Roman"/>
                <w:color w:val="000000"/>
                <w:kern w:val="0"/>
                <w:szCs w:val="20"/>
              </w:rPr>
              <w:t>Western Australia</w:t>
            </w:r>
          </w:p>
        </w:tc>
        <w:tc>
          <w:tcPr>
            <w:tcW w:w="1025" w:type="dxa"/>
            <w:noWrap/>
            <w:hideMark/>
          </w:tcPr>
          <w:p w:rsidR="00F968C2" w:rsidRPr="00F700A3" w:rsidRDefault="00F968C2" w:rsidP="00F968C2">
            <w:pPr>
              <w:cnfStyle w:val="100000000000" w:firstRow="1" w:lastRow="0" w:firstColumn="0" w:lastColumn="0" w:oddVBand="0" w:evenVBand="0" w:oddHBand="0" w:evenHBand="0" w:firstRowFirstColumn="0" w:firstRowLastColumn="0" w:lastRowFirstColumn="0" w:lastRowLastColumn="0"/>
              <w:rPr>
                <w:rFonts w:eastAsia="Times New Roman"/>
                <w:color w:val="000000"/>
                <w:kern w:val="0"/>
                <w:szCs w:val="20"/>
              </w:rPr>
            </w:pPr>
            <w:r w:rsidRPr="00F700A3">
              <w:rPr>
                <w:rFonts w:eastAsia="Times New Roman"/>
                <w:color w:val="000000"/>
                <w:kern w:val="0"/>
                <w:szCs w:val="20"/>
              </w:rPr>
              <w:t>Victoria</w:t>
            </w:r>
          </w:p>
        </w:tc>
        <w:tc>
          <w:tcPr>
            <w:tcW w:w="1207" w:type="dxa"/>
            <w:noWrap/>
            <w:hideMark/>
          </w:tcPr>
          <w:p w:rsidR="00F968C2" w:rsidRPr="00F700A3" w:rsidRDefault="00F968C2" w:rsidP="00F968C2">
            <w:pPr>
              <w:cnfStyle w:val="100000000000" w:firstRow="1" w:lastRow="0" w:firstColumn="0" w:lastColumn="0" w:oddVBand="0" w:evenVBand="0" w:oddHBand="0" w:evenHBand="0" w:firstRowFirstColumn="0" w:firstRowLastColumn="0" w:lastRowFirstColumn="0" w:lastRowLastColumn="0"/>
              <w:rPr>
                <w:rFonts w:eastAsia="Times New Roman"/>
                <w:color w:val="000000"/>
                <w:kern w:val="0"/>
                <w:szCs w:val="20"/>
              </w:rPr>
            </w:pPr>
            <w:r w:rsidRPr="00F700A3">
              <w:rPr>
                <w:rFonts w:eastAsia="Times New Roman"/>
                <w:color w:val="000000"/>
                <w:kern w:val="0"/>
                <w:szCs w:val="20"/>
              </w:rPr>
              <w:t>Queensland</w:t>
            </w:r>
          </w:p>
        </w:tc>
        <w:tc>
          <w:tcPr>
            <w:tcW w:w="1196" w:type="dxa"/>
            <w:noWrap/>
            <w:hideMark/>
          </w:tcPr>
          <w:p w:rsidR="00F968C2" w:rsidRPr="00F700A3" w:rsidRDefault="00F968C2" w:rsidP="00F968C2">
            <w:pPr>
              <w:cnfStyle w:val="100000000000" w:firstRow="1" w:lastRow="0" w:firstColumn="0" w:lastColumn="0" w:oddVBand="0" w:evenVBand="0" w:oddHBand="0" w:evenHBand="0" w:firstRowFirstColumn="0" w:firstRowLastColumn="0" w:lastRowFirstColumn="0" w:lastRowLastColumn="0"/>
              <w:rPr>
                <w:rFonts w:eastAsia="Times New Roman"/>
                <w:color w:val="000000"/>
                <w:kern w:val="0"/>
                <w:szCs w:val="20"/>
              </w:rPr>
            </w:pPr>
            <w:r w:rsidRPr="00F700A3">
              <w:rPr>
                <w:rFonts w:eastAsia="Times New Roman"/>
                <w:color w:val="000000"/>
                <w:kern w:val="0"/>
                <w:szCs w:val="20"/>
              </w:rPr>
              <w:t>Tasmania</w:t>
            </w:r>
          </w:p>
        </w:tc>
        <w:tc>
          <w:tcPr>
            <w:tcW w:w="1025" w:type="dxa"/>
            <w:noWrap/>
            <w:hideMark/>
          </w:tcPr>
          <w:p w:rsidR="00F968C2" w:rsidRPr="00F700A3" w:rsidRDefault="00F968C2" w:rsidP="00F968C2">
            <w:pPr>
              <w:cnfStyle w:val="100000000000" w:firstRow="1" w:lastRow="0" w:firstColumn="0" w:lastColumn="0" w:oddVBand="0" w:evenVBand="0" w:oddHBand="0" w:evenHBand="0" w:firstRowFirstColumn="0" w:firstRowLastColumn="0" w:lastRowFirstColumn="0" w:lastRowLastColumn="0"/>
              <w:rPr>
                <w:rFonts w:eastAsia="Times New Roman"/>
                <w:color w:val="000000"/>
                <w:kern w:val="0"/>
                <w:szCs w:val="20"/>
              </w:rPr>
            </w:pPr>
            <w:r w:rsidRPr="00F700A3">
              <w:rPr>
                <w:rFonts w:eastAsia="Times New Roman"/>
                <w:color w:val="000000"/>
                <w:kern w:val="0"/>
                <w:szCs w:val="20"/>
              </w:rPr>
              <w:t>New South Wales</w:t>
            </w:r>
          </w:p>
        </w:tc>
        <w:tc>
          <w:tcPr>
            <w:tcW w:w="1126" w:type="dxa"/>
            <w:noWrap/>
            <w:hideMark/>
          </w:tcPr>
          <w:p w:rsidR="00F968C2" w:rsidRPr="00F700A3" w:rsidRDefault="00F968C2" w:rsidP="00F968C2">
            <w:pPr>
              <w:cnfStyle w:val="100000000000" w:firstRow="1" w:lastRow="0" w:firstColumn="0" w:lastColumn="0" w:oddVBand="0" w:evenVBand="0" w:oddHBand="0" w:evenHBand="0" w:firstRowFirstColumn="0" w:firstRowLastColumn="0" w:lastRowFirstColumn="0" w:lastRowLastColumn="0"/>
              <w:rPr>
                <w:rFonts w:eastAsia="Times New Roman"/>
                <w:color w:val="000000"/>
                <w:kern w:val="0"/>
                <w:szCs w:val="20"/>
              </w:rPr>
            </w:pPr>
            <w:r w:rsidRPr="00F700A3">
              <w:rPr>
                <w:rFonts w:eastAsia="Times New Roman"/>
                <w:color w:val="000000"/>
                <w:kern w:val="0"/>
                <w:szCs w:val="20"/>
              </w:rPr>
              <w:t>South Australia</w:t>
            </w:r>
          </w:p>
        </w:tc>
      </w:tr>
      <w:tr w:rsidR="00F968C2" w:rsidRPr="00F700A3" w:rsidTr="00F968C2">
        <w:trPr>
          <w:trHeight w:val="255"/>
        </w:trPr>
        <w:tc>
          <w:tcPr>
            <w:cnfStyle w:val="001000000000" w:firstRow="0" w:lastRow="0" w:firstColumn="1" w:lastColumn="0" w:oddVBand="0" w:evenVBand="0" w:oddHBand="0" w:evenHBand="0" w:firstRowFirstColumn="0" w:firstRowLastColumn="0" w:lastRowFirstColumn="0" w:lastRowLastColumn="0"/>
            <w:tcW w:w="3271" w:type="dxa"/>
            <w:noWrap/>
            <w:hideMark/>
          </w:tcPr>
          <w:p w:rsidR="00F968C2" w:rsidRPr="00F700A3" w:rsidRDefault="00F968C2" w:rsidP="00F968C2">
            <w:pPr>
              <w:rPr>
                <w:rFonts w:eastAsia="Times New Roman"/>
                <w:color w:val="000000"/>
                <w:kern w:val="0"/>
                <w:szCs w:val="20"/>
              </w:rPr>
            </w:pPr>
            <w:r w:rsidRPr="00F700A3">
              <w:rPr>
                <w:rFonts w:eastAsia="Times New Roman"/>
                <w:color w:val="000000"/>
                <w:kern w:val="0"/>
                <w:szCs w:val="20"/>
              </w:rPr>
              <w:t>Shiftworkers in high-risk industries</w:t>
            </w:r>
          </w:p>
        </w:tc>
        <w:tc>
          <w:tcPr>
            <w:tcW w:w="1126" w:type="dxa"/>
            <w:noWrap/>
            <w:hideMark/>
          </w:tcPr>
          <w:p w:rsidR="00F968C2" w:rsidRPr="00F700A3" w:rsidRDefault="00F968C2" w:rsidP="00F968C2">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Cs w:val="20"/>
              </w:rPr>
            </w:pPr>
            <w:r w:rsidRPr="00F700A3">
              <w:rPr>
                <w:rFonts w:eastAsia="Times New Roman"/>
                <w:color w:val="000000"/>
                <w:kern w:val="0"/>
                <w:szCs w:val="20"/>
              </w:rPr>
              <w:t>24%</w:t>
            </w:r>
          </w:p>
        </w:tc>
        <w:tc>
          <w:tcPr>
            <w:tcW w:w="1025" w:type="dxa"/>
            <w:noWrap/>
            <w:hideMark/>
          </w:tcPr>
          <w:p w:rsidR="00F968C2" w:rsidRPr="00F700A3" w:rsidRDefault="00F968C2" w:rsidP="00F968C2">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Cs w:val="20"/>
              </w:rPr>
            </w:pPr>
            <w:r w:rsidRPr="00F700A3">
              <w:rPr>
                <w:rFonts w:eastAsia="Times New Roman"/>
                <w:color w:val="000000"/>
                <w:kern w:val="0"/>
                <w:szCs w:val="20"/>
              </w:rPr>
              <w:t>31%</w:t>
            </w:r>
          </w:p>
        </w:tc>
        <w:tc>
          <w:tcPr>
            <w:tcW w:w="1207" w:type="dxa"/>
            <w:noWrap/>
            <w:hideMark/>
          </w:tcPr>
          <w:p w:rsidR="00F968C2" w:rsidRPr="00F700A3" w:rsidRDefault="00F968C2" w:rsidP="00F968C2">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Cs w:val="20"/>
              </w:rPr>
            </w:pPr>
            <w:r w:rsidRPr="00F700A3">
              <w:rPr>
                <w:rFonts w:eastAsia="Times New Roman"/>
                <w:color w:val="000000"/>
                <w:kern w:val="0"/>
                <w:szCs w:val="20"/>
              </w:rPr>
              <w:t>32%</w:t>
            </w:r>
          </w:p>
        </w:tc>
        <w:tc>
          <w:tcPr>
            <w:tcW w:w="1196" w:type="dxa"/>
            <w:noWrap/>
            <w:hideMark/>
          </w:tcPr>
          <w:p w:rsidR="00F968C2" w:rsidRPr="00F700A3" w:rsidRDefault="00F968C2" w:rsidP="00F968C2">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Cs w:val="20"/>
              </w:rPr>
            </w:pPr>
            <w:r w:rsidRPr="00F700A3">
              <w:rPr>
                <w:rFonts w:eastAsia="Times New Roman"/>
                <w:color w:val="000000"/>
                <w:kern w:val="0"/>
                <w:szCs w:val="20"/>
              </w:rPr>
              <w:t>35%</w:t>
            </w:r>
          </w:p>
        </w:tc>
        <w:tc>
          <w:tcPr>
            <w:tcW w:w="1025" w:type="dxa"/>
            <w:noWrap/>
            <w:hideMark/>
          </w:tcPr>
          <w:p w:rsidR="00F968C2" w:rsidRPr="00F700A3" w:rsidRDefault="00F968C2" w:rsidP="00F968C2">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Cs w:val="20"/>
              </w:rPr>
            </w:pPr>
            <w:r w:rsidRPr="00F700A3">
              <w:rPr>
                <w:rFonts w:eastAsia="Times New Roman"/>
                <w:color w:val="000000"/>
                <w:kern w:val="0"/>
                <w:szCs w:val="20"/>
              </w:rPr>
              <w:t>35%</w:t>
            </w:r>
          </w:p>
        </w:tc>
        <w:tc>
          <w:tcPr>
            <w:tcW w:w="1126" w:type="dxa"/>
            <w:noWrap/>
            <w:hideMark/>
          </w:tcPr>
          <w:p w:rsidR="00F968C2" w:rsidRPr="00F700A3" w:rsidRDefault="00F968C2" w:rsidP="00F968C2">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Cs w:val="20"/>
              </w:rPr>
            </w:pPr>
            <w:r w:rsidRPr="00F700A3">
              <w:rPr>
                <w:rFonts w:eastAsia="Times New Roman"/>
                <w:color w:val="000000"/>
                <w:kern w:val="0"/>
                <w:szCs w:val="20"/>
              </w:rPr>
              <w:t>37%</w:t>
            </w:r>
          </w:p>
        </w:tc>
      </w:tr>
      <w:tr w:rsidR="00F968C2" w:rsidRPr="00F700A3" w:rsidTr="00F968C2">
        <w:trPr>
          <w:trHeight w:val="255"/>
        </w:trPr>
        <w:tc>
          <w:tcPr>
            <w:cnfStyle w:val="001000000000" w:firstRow="0" w:lastRow="0" w:firstColumn="1" w:lastColumn="0" w:oddVBand="0" w:evenVBand="0" w:oddHBand="0" w:evenHBand="0" w:firstRowFirstColumn="0" w:firstRowLastColumn="0" w:lastRowFirstColumn="0" w:lastRowLastColumn="0"/>
            <w:tcW w:w="3271" w:type="dxa"/>
            <w:noWrap/>
            <w:hideMark/>
          </w:tcPr>
          <w:p w:rsidR="00F968C2" w:rsidRPr="00F700A3" w:rsidRDefault="00F968C2" w:rsidP="00F968C2">
            <w:pPr>
              <w:rPr>
                <w:rFonts w:eastAsia="Times New Roman"/>
                <w:color w:val="000000"/>
                <w:kern w:val="0"/>
                <w:szCs w:val="20"/>
              </w:rPr>
            </w:pPr>
            <w:r w:rsidRPr="00F700A3">
              <w:rPr>
                <w:rFonts w:eastAsia="Times New Roman"/>
                <w:color w:val="000000"/>
                <w:kern w:val="0"/>
                <w:szCs w:val="20"/>
              </w:rPr>
              <w:t>Shiftworkers in low-risk industries</w:t>
            </w:r>
          </w:p>
        </w:tc>
        <w:tc>
          <w:tcPr>
            <w:tcW w:w="1126" w:type="dxa"/>
            <w:noWrap/>
            <w:hideMark/>
          </w:tcPr>
          <w:p w:rsidR="00F968C2" w:rsidRPr="00F700A3" w:rsidRDefault="00F968C2" w:rsidP="00F968C2">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Cs w:val="20"/>
              </w:rPr>
            </w:pPr>
            <w:r w:rsidRPr="00F700A3">
              <w:rPr>
                <w:rFonts w:eastAsia="Times New Roman"/>
                <w:color w:val="000000"/>
                <w:kern w:val="0"/>
                <w:szCs w:val="20"/>
              </w:rPr>
              <w:t>44%</w:t>
            </w:r>
          </w:p>
        </w:tc>
        <w:tc>
          <w:tcPr>
            <w:tcW w:w="1025" w:type="dxa"/>
            <w:noWrap/>
            <w:hideMark/>
          </w:tcPr>
          <w:p w:rsidR="00F968C2" w:rsidRPr="00F700A3" w:rsidRDefault="00F968C2" w:rsidP="00F968C2">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Cs w:val="20"/>
              </w:rPr>
            </w:pPr>
            <w:r w:rsidRPr="00F700A3">
              <w:rPr>
                <w:rFonts w:eastAsia="Times New Roman"/>
                <w:color w:val="000000"/>
                <w:kern w:val="0"/>
                <w:szCs w:val="20"/>
              </w:rPr>
              <w:t>50%</w:t>
            </w:r>
          </w:p>
        </w:tc>
        <w:tc>
          <w:tcPr>
            <w:tcW w:w="1207" w:type="dxa"/>
            <w:noWrap/>
            <w:hideMark/>
          </w:tcPr>
          <w:p w:rsidR="00F968C2" w:rsidRPr="00F700A3" w:rsidRDefault="00F968C2" w:rsidP="00F968C2">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Cs w:val="20"/>
              </w:rPr>
            </w:pPr>
            <w:r w:rsidRPr="00F700A3">
              <w:rPr>
                <w:rFonts w:eastAsia="Times New Roman"/>
                <w:color w:val="000000"/>
                <w:kern w:val="0"/>
                <w:szCs w:val="20"/>
              </w:rPr>
              <w:t>42%</w:t>
            </w:r>
          </w:p>
        </w:tc>
        <w:tc>
          <w:tcPr>
            <w:tcW w:w="1196" w:type="dxa"/>
            <w:noWrap/>
            <w:hideMark/>
          </w:tcPr>
          <w:p w:rsidR="00F968C2" w:rsidRPr="00F700A3" w:rsidRDefault="00F968C2" w:rsidP="00F968C2">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Cs w:val="20"/>
              </w:rPr>
            </w:pPr>
            <w:r w:rsidRPr="00F700A3">
              <w:rPr>
                <w:rFonts w:eastAsia="Times New Roman"/>
                <w:color w:val="000000"/>
                <w:kern w:val="0"/>
                <w:szCs w:val="20"/>
              </w:rPr>
              <w:t>43%</w:t>
            </w:r>
          </w:p>
        </w:tc>
        <w:tc>
          <w:tcPr>
            <w:tcW w:w="1025" w:type="dxa"/>
            <w:noWrap/>
            <w:hideMark/>
          </w:tcPr>
          <w:p w:rsidR="00F968C2" w:rsidRPr="00F700A3" w:rsidRDefault="00F968C2" w:rsidP="00F968C2">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Cs w:val="20"/>
              </w:rPr>
            </w:pPr>
            <w:r w:rsidRPr="00F700A3">
              <w:rPr>
                <w:rFonts w:eastAsia="Times New Roman"/>
                <w:color w:val="000000"/>
                <w:kern w:val="0"/>
                <w:szCs w:val="20"/>
              </w:rPr>
              <w:t>45%</w:t>
            </w:r>
          </w:p>
        </w:tc>
        <w:tc>
          <w:tcPr>
            <w:tcW w:w="1126" w:type="dxa"/>
            <w:noWrap/>
            <w:hideMark/>
          </w:tcPr>
          <w:p w:rsidR="00F968C2" w:rsidRPr="00F700A3" w:rsidRDefault="00F968C2" w:rsidP="00F968C2">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Cs w:val="20"/>
              </w:rPr>
            </w:pPr>
            <w:r w:rsidRPr="00F700A3">
              <w:rPr>
                <w:rFonts w:eastAsia="Times New Roman"/>
                <w:color w:val="000000"/>
                <w:kern w:val="0"/>
                <w:szCs w:val="20"/>
              </w:rPr>
              <w:t>49%</w:t>
            </w:r>
          </w:p>
        </w:tc>
      </w:tr>
      <w:tr w:rsidR="00F968C2" w:rsidRPr="00F700A3" w:rsidTr="00F968C2">
        <w:trPr>
          <w:trHeight w:val="255"/>
        </w:trPr>
        <w:tc>
          <w:tcPr>
            <w:cnfStyle w:val="001000000000" w:firstRow="0" w:lastRow="0" w:firstColumn="1" w:lastColumn="0" w:oddVBand="0" w:evenVBand="0" w:oddHBand="0" w:evenHBand="0" w:firstRowFirstColumn="0" w:firstRowLastColumn="0" w:lastRowFirstColumn="0" w:lastRowLastColumn="0"/>
            <w:tcW w:w="3271" w:type="dxa"/>
            <w:noWrap/>
            <w:hideMark/>
          </w:tcPr>
          <w:p w:rsidR="00F968C2" w:rsidRPr="00F700A3" w:rsidRDefault="00F968C2" w:rsidP="00F968C2">
            <w:pPr>
              <w:rPr>
                <w:rFonts w:eastAsia="Times New Roman"/>
                <w:color w:val="000000"/>
                <w:kern w:val="0"/>
                <w:szCs w:val="20"/>
              </w:rPr>
            </w:pPr>
            <w:r w:rsidRPr="00F700A3">
              <w:rPr>
                <w:rFonts w:eastAsia="Times New Roman"/>
                <w:color w:val="000000"/>
                <w:kern w:val="0"/>
                <w:szCs w:val="20"/>
              </w:rPr>
              <w:t>Shiftworkers in other industries</w:t>
            </w:r>
          </w:p>
        </w:tc>
        <w:tc>
          <w:tcPr>
            <w:tcW w:w="1126" w:type="dxa"/>
            <w:noWrap/>
            <w:hideMark/>
          </w:tcPr>
          <w:p w:rsidR="00F968C2" w:rsidRPr="00F700A3" w:rsidRDefault="00F968C2" w:rsidP="00F968C2">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Cs w:val="20"/>
              </w:rPr>
            </w:pPr>
            <w:r w:rsidRPr="00F700A3">
              <w:rPr>
                <w:rFonts w:eastAsia="Times New Roman"/>
                <w:color w:val="000000"/>
                <w:kern w:val="0"/>
                <w:szCs w:val="20"/>
              </w:rPr>
              <w:t>32%</w:t>
            </w:r>
          </w:p>
        </w:tc>
        <w:tc>
          <w:tcPr>
            <w:tcW w:w="1025" w:type="dxa"/>
            <w:noWrap/>
            <w:hideMark/>
          </w:tcPr>
          <w:p w:rsidR="00F968C2" w:rsidRPr="00F700A3" w:rsidRDefault="00F968C2" w:rsidP="00F968C2">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Cs w:val="20"/>
              </w:rPr>
            </w:pPr>
            <w:r w:rsidRPr="00F700A3">
              <w:rPr>
                <w:rFonts w:eastAsia="Times New Roman"/>
                <w:color w:val="000000"/>
                <w:kern w:val="0"/>
                <w:szCs w:val="20"/>
              </w:rPr>
              <w:t>19%</w:t>
            </w:r>
          </w:p>
        </w:tc>
        <w:tc>
          <w:tcPr>
            <w:tcW w:w="1207" w:type="dxa"/>
            <w:noWrap/>
            <w:hideMark/>
          </w:tcPr>
          <w:p w:rsidR="00F968C2" w:rsidRPr="00F700A3" w:rsidRDefault="00F968C2" w:rsidP="00F968C2">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Cs w:val="20"/>
              </w:rPr>
            </w:pPr>
            <w:r w:rsidRPr="00F700A3">
              <w:rPr>
                <w:rFonts w:eastAsia="Times New Roman"/>
                <w:color w:val="000000"/>
                <w:kern w:val="0"/>
                <w:szCs w:val="20"/>
              </w:rPr>
              <w:t>26%</w:t>
            </w:r>
          </w:p>
        </w:tc>
        <w:tc>
          <w:tcPr>
            <w:tcW w:w="1196" w:type="dxa"/>
            <w:noWrap/>
            <w:hideMark/>
          </w:tcPr>
          <w:p w:rsidR="00F968C2" w:rsidRPr="00F700A3" w:rsidRDefault="00F968C2" w:rsidP="00F968C2">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Cs w:val="20"/>
              </w:rPr>
            </w:pPr>
            <w:r w:rsidRPr="00F700A3">
              <w:rPr>
                <w:rFonts w:eastAsia="Times New Roman"/>
                <w:color w:val="000000"/>
                <w:kern w:val="0"/>
                <w:szCs w:val="20"/>
              </w:rPr>
              <w:t>22%</w:t>
            </w:r>
          </w:p>
        </w:tc>
        <w:tc>
          <w:tcPr>
            <w:tcW w:w="1025" w:type="dxa"/>
            <w:noWrap/>
            <w:hideMark/>
          </w:tcPr>
          <w:p w:rsidR="00F968C2" w:rsidRPr="00F700A3" w:rsidRDefault="00F968C2" w:rsidP="00F968C2">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Cs w:val="20"/>
              </w:rPr>
            </w:pPr>
            <w:r w:rsidRPr="00F700A3">
              <w:rPr>
                <w:rFonts w:eastAsia="Times New Roman"/>
                <w:color w:val="000000"/>
                <w:kern w:val="0"/>
                <w:szCs w:val="20"/>
              </w:rPr>
              <w:t>20%</w:t>
            </w:r>
          </w:p>
        </w:tc>
        <w:tc>
          <w:tcPr>
            <w:tcW w:w="1126" w:type="dxa"/>
            <w:noWrap/>
            <w:hideMark/>
          </w:tcPr>
          <w:p w:rsidR="00F968C2" w:rsidRPr="00F700A3" w:rsidRDefault="00F968C2" w:rsidP="000820A1">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Cs w:val="20"/>
              </w:rPr>
            </w:pPr>
            <w:r w:rsidRPr="00F700A3">
              <w:rPr>
                <w:rFonts w:eastAsia="Times New Roman"/>
                <w:color w:val="000000"/>
                <w:kern w:val="0"/>
                <w:szCs w:val="20"/>
              </w:rPr>
              <w:t>1</w:t>
            </w:r>
            <w:r w:rsidR="000820A1">
              <w:rPr>
                <w:rFonts w:eastAsia="Times New Roman"/>
                <w:color w:val="000000"/>
                <w:kern w:val="0"/>
                <w:szCs w:val="20"/>
              </w:rPr>
              <w:t>4</w:t>
            </w:r>
            <w:r w:rsidRPr="00F700A3">
              <w:rPr>
                <w:rFonts w:eastAsia="Times New Roman"/>
                <w:color w:val="000000"/>
                <w:kern w:val="0"/>
                <w:szCs w:val="20"/>
              </w:rPr>
              <w:t>%</w:t>
            </w:r>
          </w:p>
        </w:tc>
      </w:tr>
      <w:tr w:rsidR="00F968C2" w:rsidRPr="00B514A4" w:rsidTr="00F968C2">
        <w:trPr>
          <w:trHeight w:val="255"/>
        </w:trPr>
        <w:tc>
          <w:tcPr>
            <w:cnfStyle w:val="001000000000" w:firstRow="0" w:lastRow="0" w:firstColumn="1" w:lastColumn="0" w:oddVBand="0" w:evenVBand="0" w:oddHBand="0" w:evenHBand="0" w:firstRowFirstColumn="0" w:firstRowLastColumn="0" w:lastRowFirstColumn="0" w:lastRowLastColumn="0"/>
            <w:tcW w:w="3271" w:type="dxa"/>
            <w:noWrap/>
            <w:hideMark/>
          </w:tcPr>
          <w:p w:rsidR="00F968C2" w:rsidRPr="00B514A4" w:rsidRDefault="00F968C2" w:rsidP="00F968C2">
            <w:pPr>
              <w:rPr>
                <w:rFonts w:eastAsia="Times New Roman"/>
                <w:b/>
                <w:color w:val="000000"/>
                <w:kern w:val="0"/>
                <w:szCs w:val="20"/>
              </w:rPr>
            </w:pPr>
            <w:r w:rsidRPr="00B514A4">
              <w:rPr>
                <w:rFonts w:eastAsia="Times New Roman"/>
                <w:b/>
                <w:color w:val="000000"/>
                <w:kern w:val="0"/>
                <w:szCs w:val="20"/>
              </w:rPr>
              <w:t>Total</w:t>
            </w:r>
          </w:p>
        </w:tc>
        <w:tc>
          <w:tcPr>
            <w:tcW w:w="1126" w:type="dxa"/>
            <w:noWrap/>
            <w:hideMark/>
          </w:tcPr>
          <w:p w:rsidR="00F968C2" w:rsidRPr="00B514A4" w:rsidRDefault="00F968C2" w:rsidP="00F968C2">
            <w:pPr>
              <w:cnfStyle w:val="000000000000" w:firstRow="0" w:lastRow="0" w:firstColumn="0" w:lastColumn="0" w:oddVBand="0" w:evenVBand="0" w:oddHBand="0" w:evenHBand="0" w:firstRowFirstColumn="0" w:firstRowLastColumn="0" w:lastRowFirstColumn="0" w:lastRowLastColumn="0"/>
              <w:rPr>
                <w:rFonts w:eastAsia="Times New Roman"/>
                <w:b/>
                <w:color w:val="000000"/>
                <w:kern w:val="0"/>
                <w:szCs w:val="20"/>
              </w:rPr>
            </w:pPr>
            <w:r w:rsidRPr="00B514A4">
              <w:rPr>
                <w:rFonts w:eastAsia="Times New Roman"/>
                <w:b/>
                <w:color w:val="000000"/>
                <w:kern w:val="0"/>
                <w:szCs w:val="20"/>
              </w:rPr>
              <w:t>100%</w:t>
            </w:r>
          </w:p>
        </w:tc>
        <w:tc>
          <w:tcPr>
            <w:tcW w:w="1025" w:type="dxa"/>
            <w:noWrap/>
            <w:hideMark/>
          </w:tcPr>
          <w:p w:rsidR="00F968C2" w:rsidRPr="00B514A4" w:rsidRDefault="00F968C2" w:rsidP="00F968C2">
            <w:pPr>
              <w:cnfStyle w:val="000000000000" w:firstRow="0" w:lastRow="0" w:firstColumn="0" w:lastColumn="0" w:oddVBand="0" w:evenVBand="0" w:oddHBand="0" w:evenHBand="0" w:firstRowFirstColumn="0" w:firstRowLastColumn="0" w:lastRowFirstColumn="0" w:lastRowLastColumn="0"/>
              <w:rPr>
                <w:rFonts w:eastAsia="Times New Roman"/>
                <w:b/>
                <w:color w:val="000000"/>
                <w:kern w:val="0"/>
                <w:szCs w:val="20"/>
              </w:rPr>
            </w:pPr>
            <w:r w:rsidRPr="00B514A4">
              <w:rPr>
                <w:rFonts w:eastAsia="Times New Roman"/>
                <w:b/>
                <w:color w:val="000000"/>
                <w:kern w:val="0"/>
                <w:szCs w:val="20"/>
              </w:rPr>
              <w:t>100%</w:t>
            </w:r>
          </w:p>
        </w:tc>
        <w:tc>
          <w:tcPr>
            <w:tcW w:w="1207" w:type="dxa"/>
            <w:noWrap/>
            <w:hideMark/>
          </w:tcPr>
          <w:p w:rsidR="00F968C2" w:rsidRPr="00B514A4" w:rsidRDefault="00F968C2" w:rsidP="00F968C2">
            <w:pPr>
              <w:cnfStyle w:val="000000000000" w:firstRow="0" w:lastRow="0" w:firstColumn="0" w:lastColumn="0" w:oddVBand="0" w:evenVBand="0" w:oddHBand="0" w:evenHBand="0" w:firstRowFirstColumn="0" w:firstRowLastColumn="0" w:lastRowFirstColumn="0" w:lastRowLastColumn="0"/>
              <w:rPr>
                <w:rFonts w:eastAsia="Times New Roman"/>
                <w:b/>
                <w:color w:val="000000"/>
                <w:kern w:val="0"/>
                <w:szCs w:val="20"/>
              </w:rPr>
            </w:pPr>
            <w:r w:rsidRPr="00B514A4">
              <w:rPr>
                <w:rFonts w:eastAsia="Times New Roman"/>
                <w:b/>
                <w:color w:val="000000"/>
                <w:kern w:val="0"/>
                <w:szCs w:val="20"/>
              </w:rPr>
              <w:t>100%</w:t>
            </w:r>
          </w:p>
        </w:tc>
        <w:tc>
          <w:tcPr>
            <w:tcW w:w="1196" w:type="dxa"/>
            <w:noWrap/>
            <w:hideMark/>
          </w:tcPr>
          <w:p w:rsidR="00F968C2" w:rsidRPr="00B514A4" w:rsidRDefault="00F968C2" w:rsidP="00F968C2">
            <w:pPr>
              <w:cnfStyle w:val="000000000000" w:firstRow="0" w:lastRow="0" w:firstColumn="0" w:lastColumn="0" w:oddVBand="0" w:evenVBand="0" w:oddHBand="0" w:evenHBand="0" w:firstRowFirstColumn="0" w:firstRowLastColumn="0" w:lastRowFirstColumn="0" w:lastRowLastColumn="0"/>
              <w:rPr>
                <w:rFonts w:eastAsia="Times New Roman"/>
                <w:b/>
                <w:color w:val="000000"/>
                <w:kern w:val="0"/>
                <w:szCs w:val="20"/>
              </w:rPr>
            </w:pPr>
            <w:r w:rsidRPr="00B514A4">
              <w:rPr>
                <w:rFonts w:eastAsia="Times New Roman"/>
                <w:b/>
                <w:color w:val="000000"/>
                <w:kern w:val="0"/>
                <w:szCs w:val="20"/>
              </w:rPr>
              <w:t>100%</w:t>
            </w:r>
          </w:p>
        </w:tc>
        <w:tc>
          <w:tcPr>
            <w:tcW w:w="1025" w:type="dxa"/>
            <w:noWrap/>
            <w:hideMark/>
          </w:tcPr>
          <w:p w:rsidR="00F968C2" w:rsidRPr="00B514A4" w:rsidRDefault="00F968C2" w:rsidP="00F968C2">
            <w:pPr>
              <w:cnfStyle w:val="000000000000" w:firstRow="0" w:lastRow="0" w:firstColumn="0" w:lastColumn="0" w:oddVBand="0" w:evenVBand="0" w:oddHBand="0" w:evenHBand="0" w:firstRowFirstColumn="0" w:firstRowLastColumn="0" w:lastRowFirstColumn="0" w:lastRowLastColumn="0"/>
              <w:rPr>
                <w:rFonts w:eastAsia="Times New Roman"/>
                <w:b/>
                <w:color w:val="000000"/>
                <w:kern w:val="0"/>
                <w:szCs w:val="20"/>
              </w:rPr>
            </w:pPr>
            <w:r w:rsidRPr="00B514A4">
              <w:rPr>
                <w:rFonts w:eastAsia="Times New Roman"/>
                <w:b/>
                <w:color w:val="000000"/>
                <w:kern w:val="0"/>
                <w:szCs w:val="20"/>
              </w:rPr>
              <w:t>100%</w:t>
            </w:r>
          </w:p>
        </w:tc>
        <w:tc>
          <w:tcPr>
            <w:tcW w:w="1126" w:type="dxa"/>
            <w:noWrap/>
            <w:hideMark/>
          </w:tcPr>
          <w:p w:rsidR="00F968C2" w:rsidRPr="00B514A4" w:rsidRDefault="00F968C2" w:rsidP="00F968C2">
            <w:pPr>
              <w:cnfStyle w:val="000000000000" w:firstRow="0" w:lastRow="0" w:firstColumn="0" w:lastColumn="0" w:oddVBand="0" w:evenVBand="0" w:oddHBand="0" w:evenHBand="0" w:firstRowFirstColumn="0" w:firstRowLastColumn="0" w:lastRowFirstColumn="0" w:lastRowLastColumn="0"/>
              <w:rPr>
                <w:rFonts w:eastAsia="Times New Roman"/>
                <w:b/>
                <w:color w:val="000000"/>
                <w:kern w:val="0"/>
                <w:szCs w:val="20"/>
              </w:rPr>
            </w:pPr>
            <w:r w:rsidRPr="00B514A4">
              <w:rPr>
                <w:rFonts w:eastAsia="Times New Roman"/>
                <w:b/>
                <w:color w:val="000000"/>
                <w:kern w:val="0"/>
                <w:szCs w:val="20"/>
              </w:rPr>
              <w:t>100%</w:t>
            </w:r>
          </w:p>
        </w:tc>
      </w:tr>
    </w:tbl>
    <w:p w:rsidR="006900B6" w:rsidRPr="006900B6" w:rsidRDefault="00E33852" w:rsidP="00F968C2">
      <w:pPr>
        <w:pStyle w:val="Tablefooter"/>
      </w:pPr>
      <w:r>
        <w:t xml:space="preserve">High-risk industries: </w:t>
      </w:r>
      <w:r w:rsidR="00F968C2" w:rsidRPr="00F968C2">
        <w:t xml:space="preserve">industries in which shiftworkers have significantly higher </w:t>
      </w:r>
      <w:r w:rsidR="008A34FE">
        <w:t xml:space="preserve">injury </w:t>
      </w:r>
      <w:r w:rsidR="00F968C2" w:rsidRPr="00F968C2">
        <w:t>rates</w:t>
      </w:r>
      <w:r w:rsidR="00F968C2">
        <w:t xml:space="preserve"> </w:t>
      </w:r>
      <w:r w:rsidR="00F968C2" w:rsidRPr="00F968C2">
        <w:t>than non-shiftworkers</w:t>
      </w:r>
      <w:r w:rsidR="001169DD">
        <w:t xml:space="preserve"> (</w:t>
      </w:r>
      <w:r w:rsidR="00F41487">
        <w:t xml:space="preserve">i.e. </w:t>
      </w:r>
      <w:r w:rsidR="001169DD" w:rsidRPr="001169DD">
        <w:t>manufacturing, accommodation and food services, and public administration and safety</w:t>
      </w:r>
      <w:r w:rsidR="001169DD">
        <w:t>)</w:t>
      </w:r>
      <w:r>
        <w:t xml:space="preserve">. Low-risk industries: </w:t>
      </w:r>
      <w:r w:rsidR="00F968C2" w:rsidRPr="00F968C2">
        <w:t xml:space="preserve">industries in which </w:t>
      </w:r>
      <w:r w:rsidR="00F968C2">
        <w:t xml:space="preserve">there are no significant differences in injury rates of </w:t>
      </w:r>
      <w:r w:rsidR="00F968C2" w:rsidRPr="00F968C2">
        <w:t xml:space="preserve">shiftworkers </w:t>
      </w:r>
      <w:r w:rsidR="00F968C2">
        <w:t xml:space="preserve">and </w:t>
      </w:r>
      <w:r w:rsidR="00F968C2" w:rsidRPr="00F968C2">
        <w:t>non-shiftworkers</w:t>
      </w:r>
      <w:r w:rsidR="001169DD">
        <w:t xml:space="preserve"> (</w:t>
      </w:r>
      <w:r w:rsidR="00F41487">
        <w:t xml:space="preserve">i.e. </w:t>
      </w:r>
      <w:r w:rsidR="001169DD">
        <w:t>health care and social assistance, transport, postal and warehousing, and retail trade)</w:t>
      </w:r>
      <w:r w:rsidR="00F968C2">
        <w:t>.</w:t>
      </w:r>
    </w:p>
    <w:p w:rsidR="008A34FE" w:rsidRDefault="008A34FE">
      <w:pPr>
        <w:rPr>
          <w:b/>
          <w:sz w:val="28"/>
          <w:szCs w:val="28"/>
        </w:rPr>
      </w:pPr>
      <w:r>
        <w:br w:type="page"/>
      </w:r>
    </w:p>
    <w:p w:rsidR="00A77738" w:rsidRDefault="00DB3C3D" w:rsidP="00C1631D">
      <w:pPr>
        <w:pStyle w:val="Heading2"/>
      </w:pPr>
      <w:bookmarkStart w:id="101" w:name="_Toc459366234"/>
      <w:r>
        <w:lastRenderedPageBreak/>
        <w:t>Full-time and</w:t>
      </w:r>
      <w:r w:rsidR="00A77738">
        <w:t xml:space="preserve"> part-time status</w:t>
      </w:r>
      <w:bookmarkEnd w:id="101"/>
    </w:p>
    <w:p w:rsidR="00A77738" w:rsidRDefault="00AD48A9" w:rsidP="00A77738">
      <w:r>
        <w:t>The ABS defines part-time workers as those “</w:t>
      </w:r>
      <w:r w:rsidRPr="00B03D4C">
        <w:t>who usually worked less th</w:t>
      </w:r>
      <w:r>
        <w:t xml:space="preserve">an 35 hours a week in all jobs” (ABS 2012). </w:t>
      </w:r>
      <w:r w:rsidR="00A77738">
        <w:t xml:space="preserve">The results </w:t>
      </w:r>
      <w:r w:rsidR="008A34FE">
        <w:t xml:space="preserve">in figure 5 </w:t>
      </w:r>
      <w:r w:rsidR="00A77738">
        <w:t xml:space="preserve">show that full-time </w:t>
      </w:r>
      <w:r w:rsidR="00EC4483">
        <w:t xml:space="preserve">shiftworkers </w:t>
      </w:r>
      <w:r w:rsidR="00A77738">
        <w:t xml:space="preserve">and part-time shiftworkers </w:t>
      </w:r>
      <w:r w:rsidR="005A478C">
        <w:t>have</w:t>
      </w:r>
      <w:r w:rsidR="00A77738">
        <w:t xml:space="preserve"> significantly higher </w:t>
      </w:r>
      <w:r w:rsidR="00EE15FC">
        <w:t>injury rates</w:t>
      </w:r>
      <w:r w:rsidR="00A77738">
        <w:t xml:space="preserve"> than their non-shiftworker counterparts.</w:t>
      </w:r>
      <w:r w:rsidR="005043D6">
        <w:t xml:space="preserve"> This indicates that </w:t>
      </w:r>
      <w:r w:rsidR="00112AAD">
        <w:t xml:space="preserve">both </w:t>
      </w:r>
      <w:r w:rsidR="005043D6">
        <w:t>full-time shiftworkers and part-time shiftworkers are affected by the risks associated with shiftwork.</w:t>
      </w:r>
    </w:p>
    <w:p w:rsidR="00A77738" w:rsidRDefault="00A77738" w:rsidP="00A77738">
      <w:r>
        <w:t xml:space="preserve">The results in figure 5 also show that </w:t>
      </w:r>
      <w:r w:rsidR="002F74A5">
        <w:t xml:space="preserve">there </w:t>
      </w:r>
      <w:r w:rsidR="004D366D">
        <w:t>are no significant differences</w:t>
      </w:r>
      <w:r>
        <w:t xml:space="preserve"> in the </w:t>
      </w:r>
      <w:r w:rsidR="00D92A8C">
        <w:t>injury</w:t>
      </w:r>
      <w:r>
        <w:t xml:space="preserve"> rates of full-time shiftworkers and part-time shiftworkers.</w:t>
      </w:r>
      <w:r w:rsidR="00A83295">
        <w:t xml:space="preserve"> This indicates that full-time shiftworkers and part-time shiftworkers face similar levels of risk at work.</w:t>
      </w:r>
    </w:p>
    <w:p w:rsidR="00A77738" w:rsidRDefault="00A77738" w:rsidP="00A77738">
      <w:pPr>
        <w:pStyle w:val="Heading5"/>
      </w:pPr>
      <w:bookmarkStart w:id="102" w:name="_Toc447701738"/>
      <w:r>
        <w:t xml:space="preserve">Figure </w:t>
      </w:r>
      <w:fldSimple w:instr=" SEQ Figure \* ARABIC ">
        <w:r w:rsidR="0091230D">
          <w:rPr>
            <w:noProof/>
          </w:rPr>
          <w:t>5</w:t>
        </w:r>
      </w:fldSimple>
      <w:r>
        <w:t xml:space="preserve">: </w:t>
      </w:r>
      <w:r w:rsidR="00D92A8C">
        <w:t>Injury</w:t>
      </w:r>
      <w:r>
        <w:t xml:space="preserve"> rates and </w:t>
      </w:r>
      <w:r w:rsidR="00E87749">
        <w:t>84 per cent</w:t>
      </w:r>
      <w:r>
        <w:t xml:space="preserve"> confidence intervals by shiftwork status and work-time status, 2013–14</w:t>
      </w:r>
      <w:bookmarkEnd w:id="102"/>
    </w:p>
    <w:p w:rsidR="00A77738" w:rsidRPr="00A77738" w:rsidRDefault="005B4447" w:rsidP="00A77738">
      <w:r w:rsidRPr="005B4447">
        <w:rPr>
          <w:noProof/>
        </w:rPr>
        <w:t xml:space="preserve"> </w:t>
      </w:r>
      <w:r>
        <w:rPr>
          <w:noProof/>
        </w:rPr>
        <w:drawing>
          <wp:inline distT="0" distB="0" distL="0" distR="0" wp14:anchorId="1AD1A355" wp14:editId="7773ABD9">
            <wp:extent cx="5943600" cy="3409950"/>
            <wp:effectExtent l="0" t="0" r="19050" b="19050"/>
            <wp:docPr id="6" name="Chart 6" descr="full-time shiftworkers and part-time shiftworkers have significantly higher rates of work-related injury than their non-shiftworker counterparts"/>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B37D9" w:rsidRDefault="009B37D9" w:rsidP="00C1631D">
      <w:pPr>
        <w:pStyle w:val="Heading2"/>
      </w:pPr>
      <w:bookmarkStart w:id="103" w:name="_Toc459366235"/>
      <w:r>
        <w:t>Sex</w:t>
      </w:r>
      <w:bookmarkEnd w:id="103"/>
    </w:p>
    <w:p w:rsidR="00586876" w:rsidRDefault="009060A7" w:rsidP="00C91B69">
      <w:r>
        <w:t xml:space="preserve">The results </w:t>
      </w:r>
      <w:r w:rsidR="008A34FE">
        <w:t xml:space="preserve">in figure 6 </w:t>
      </w:r>
      <w:r>
        <w:t xml:space="preserve">show that </w:t>
      </w:r>
      <w:r w:rsidR="00EC4483">
        <w:t xml:space="preserve">female </w:t>
      </w:r>
      <w:r>
        <w:t xml:space="preserve">shiftworkers </w:t>
      </w:r>
      <w:r w:rsidR="00EC4483">
        <w:t xml:space="preserve">and male shiftworkers </w:t>
      </w:r>
      <w:r w:rsidR="005A478C">
        <w:t>have</w:t>
      </w:r>
      <w:r>
        <w:t xml:space="preserve"> significantly higher </w:t>
      </w:r>
      <w:r w:rsidR="00EE15FC">
        <w:t>injury rates</w:t>
      </w:r>
      <w:r>
        <w:t xml:space="preserve"> than their non-shiftworker counterparts.</w:t>
      </w:r>
      <w:r w:rsidR="005043D6">
        <w:t xml:space="preserve"> </w:t>
      </w:r>
      <w:r w:rsidR="00DB3C3D">
        <w:t xml:space="preserve">This indicates that </w:t>
      </w:r>
      <w:r w:rsidR="005C004C">
        <w:t xml:space="preserve">both </w:t>
      </w:r>
      <w:r w:rsidR="005043D6">
        <w:t>female shiftworkers and male shiftworkers are affected by the risks associated with shiftwork.</w:t>
      </w:r>
    </w:p>
    <w:p w:rsidR="009060A7" w:rsidRDefault="009060A7" w:rsidP="00C91B69">
      <w:r>
        <w:t xml:space="preserve">The results in figure </w:t>
      </w:r>
      <w:r w:rsidR="00AD48A9">
        <w:t>6</w:t>
      </w:r>
      <w:r>
        <w:t xml:space="preserve"> also show that </w:t>
      </w:r>
      <w:r w:rsidR="002F74A5">
        <w:t xml:space="preserve">there </w:t>
      </w:r>
      <w:r w:rsidR="004D366D">
        <w:t>are no significant differences</w:t>
      </w:r>
      <w:r>
        <w:t xml:space="preserve"> in the </w:t>
      </w:r>
      <w:r w:rsidR="00D92A8C">
        <w:t>injury</w:t>
      </w:r>
      <w:r>
        <w:t xml:space="preserve"> rates of female shiftworkers and male shiftworkers.</w:t>
      </w:r>
      <w:r w:rsidR="00EC78EA">
        <w:t xml:space="preserve"> This indicates that </w:t>
      </w:r>
      <w:r w:rsidR="005043D6">
        <w:t>female</w:t>
      </w:r>
      <w:r w:rsidR="00EC78EA">
        <w:t xml:space="preserve"> shiftworkers </w:t>
      </w:r>
      <w:r w:rsidR="005043D6">
        <w:t xml:space="preserve">and </w:t>
      </w:r>
      <w:r w:rsidR="00EC78EA">
        <w:t>male shiftworkers face similar levels of risk at work.</w:t>
      </w:r>
    </w:p>
    <w:p w:rsidR="008A34FE" w:rsidRDefault="008A34FE">
      <w:pPr>
        <w:rPr>
          <w:rFonts w:eastAsiaTheme="majorEastAsia" w:cstheme="majorBidi"/>
          <w:b/>
          <w:bCs/>
          <w:iCs/>
        </w:rPr>
      </w:pPr>
      <w:bookmarkStart w:id="104" w:name="_Toc447701739"/>
      <w:r>
        <w:br w:type="page"/>
      </w:r>
    </w:p>
    <w:p w:rsidR="002B7D7E" w:rsidRDefault="002B7D7E" w:rsidP="002B7D7E">
      <w:pPr>
        <w:pStyle w:val="Heading5"/>
      </w:pPr>
      <w:r>
        <w:lastRenderedPageBreak/>
        <w:t xml:space="preserve">Figure </w:t>
      </w:r>
      <w:fldSimple w:instr=" SEQ Figure \* ARABIC ">
        <w:r w:rsidR="0091230D">
          <w:rPr>
            <w:noProof/>
          </w:rPr>
          <w:t>6</w:t>
        </w:r>
      </w:fldSimple>
      <w:r>
        <w:t xml:space="preserve">: </w:t>
      </w:r>
      <w:r w:rsidR="00D92A8C">
        <w:t>Injury</w:t>
      </w:r>
      <w:r w:rsidR="00D22C49">
        <w:t xml:space="preserve"> r</w:t>
      </w:r>
      <w:r>
        <w:t xml:space="preserve">ates and </w:t>
      </w:r>
      <w:r w:rsidR="00E87749">
        <w:t>84 per cent</w:t>
      </w:r>
      <w:r>
        <w:t xml:space="preserve"> c</w:t>
      </w:r>
      <w:r w:rsidR="00D92A8C">
        <w:t xml:space="preserve">onfidence intervals </w:t>
      </w:r>
      <w:r>
        <w:t xml:space="preserve">by </w:t>
      </w:r>
      <w:r w:rsidR="00D22C49">
        <w:t xml:space="preserve">shiftwork status and </w:t>
      </w:r>
      <w:r>
        <w:t>sex, 2013–14</w:t>
      </w:r>
      <w:bookmarkEnd w:id="104"/>
    </w:p>
    <w:bookmarkEnd w:id="85"/>
    <w:bookmarkEnd w:id="86"/>
    <w:bookmarkEnd w:id="87"/>
    <w:bookmarkEnd w:id="88"/>
    <w:bookmarkEnd w:id="89"/>
    <w:p w:rsidR="00ED1AA2" w:rsidRDefault="00000426" w:rsidP="00ED1AA2">
      <w:r w:rsidRPr="00000426">
        <w:rPr>
          <w:noProof/>
        </w:rPr>
        <w:t xml:space="preserve"> </w:t>
      </w:r>
      <w:r>
        <w:rPr>
          <w:noProof/>
        </w:rPr>
        <w:drawing>
          <wp:inline distT="0" distB="0" distL="0" distR="0" wp14:anchorId="2B9497F9" wp14:editId="7E96F3C2">
            <wp:extent cx="5943600" cy="3190875"/>
            <wp:effectExtent l="0" t="0" r="19050" b="9525"/>
            <wp:docPr id="9" name="Chart 9" descr="female shiftworkers and male shiftworkers have significantly higher rates of work-related injury than their non-shiftworker counterparts"/>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0751E" w:rsidRDefault="009B37D9" w:rsidP="00C1631D">
      <w:pPr>
        <w:pStyle w:val="Heading2"/>
      </w:pPr>
      <w:bookmarkStart w:id="105" w:name="_Toc459366236"/>
      <w:r>
        <w:t>Age group</w:t>
      </w:r>
      <w:bookmarkEnd w:id="105"/>
    </w:p>
    <w:p w:rsidR="008B1B43" w:rsidRDefault="00B54CAC" w:rsidP="008B1B43">
      <w:r>
        <w:t>In order to develop more reliable statistics, shiftworkers were group</w:t>
      </w:r>
      <w:r w:rsidR="00ED1AA2">
        <w:t>ed</w:t>
      </w:r>
      <w:r>
        <w:t xml:space="preserve"> into three broad age groups: under 25 years; 25 to 54 years; and 55 years and above. </w:t>
      </w:r>
      <w:r w:rsidR="008B1B43">
        <w:t xml:space="preserve">The results </w:t>
      </w:r>
      <w:r w:rsidR="008A34FE">
        <w:t xml:space="preserve">in figure 7 </w:t>
      </w:r>
      <w:r w:rsidR="008B1B43">
        <w:t xml:space="preserve">show that shiftworkers in each age group </w:t>
      </w:r>
      <w:r w:rsidR="002F74A5">
        <w:t>have</w:t>
      </w:r>
      <w:r w:rsidR="008B1B43">
        <w:t xml:space="preserve"> significantly higher </w:t>
      </w:r>
      <w:r w:rsidR="00EE15FC">
        <w:t>injury rates</w:t>
      </w:r>
      <w:r w:rsidR="008B1B43">
        <w:t xml:space="preserve"> than their non-shiftworker counterparts.</w:t>
      </w:r>
      <w:r w:rsidR="009C19B6">
        <w:t xml:space="preserve"> This indicates that shiftworkers in the three age groups are affected by the risks associated with shiftwork.</w:t>
      </w:r>
    </w:p>
    <w:p w:rsidR="008B1B43" w:rsidRDefault="00AD48A9" w:rsidP="008B1B43">
      <w:r>
        <w:t>The results in figure 7</w:t>
      </w:r>
      <w:r w:rsidR="008B1B43">
        <w:t xml:space="preserve"> also </w:t>
      </w:r>
      <w:r w:rsidR="002F74A5">
        <w:t>show that there are</w:t>
      </w:r>
      <w:r w:rsidR="008B1B43">
        <w:t xml:space="preserve"> no significant differences in the </w:t>
      </w:r>
      <w:r w:rsidR="00D92A8C">
        <w:t>injury</w:t>
      </w:r>
      <w:r w:rsidR="008B1B43">
        <w:t xml:space="preserve"> rates of shiftw</w:t>
      </w:r>
      <w:r w:rsidR="004474CA">
        <w:t>orkers in the three age groups.</w:t>
      </w:r>
      <w:r w:rsidR="00A83295">
        <w:t xml:space="preserve"> This indicates that shiftworkers in the three age groups face similar levels of risk at work.</w:t>
      </w:r>
    </w:p>
    <w:p w:rsidR="0070447C" w:rsidRDefault="0070447C" w:rsidP="002B7D7E">
      <w:pPr>
        <w:pStyle w:val="Heading5"/>
      </w:pPr>
      <w:bookmarkStart w:id="106" w:name="_Toc447701740"/>
      <w:r>
        <w:t xml:space="preserve">Figure </w:t>
      </w:r>
      <w:fldSimple w:instr=" SEQ Figure \* ARABIC ">
        <w:r w:rsidR="0091230D">
          <w:rPr>
            <w:noProof/>
          </w:rPr>
          <w:t>7</w:t>
        </w:r>
      </w:fldSimple>
      <w:r>
        <w:t xml:space="preserve">: </w:t>
      </w:r>
      <w:r w:rsidR="00D92A8C">
        <w:t>Injury</w:t>
      </w:r>
      <w:r w:rsidR="00D22C49">
        <w:t xml:space="preserve"> rates and </w:t>
      </w:r>
      <w:r w:rsidR="00E87749">
        <w:t>84 per cent</w:t>
      </w:r>
      <w:r w:rsidR="00D22C49">
        <w:t xml:space="preserve"> c</w:t>
      </w:r>
      <w:r w:rsidR="00D92A8C">
        <w:t xml:space="preserve">onfidence intervals </w:t>
      </w:r>
      <w:r w:rsidR="00D22C49">
        <w:t>by shiftwork status and</w:t>
      </w:r>
      <w:r w:rsidR="002B7D7E">
        <w:t xml:space="preserve"> age group, 2013–14</w:t>
      </w:r>
      <w:bookmarkEnd w:id="106"/>
    </w:p>
    <w:p w:rsidR="008A34FE" w:rsidRDefault="005B4447">
      <w:pPr>
        <w:rPr>
          <w:noProof/>
        </w:rPr>
      </w:pPr>
      <w:r w:rsidRPr="005B4447">
        <w:rPr>
          <w:noProof/>
        </w:rPr>
        <w:t xml:space="preserve"> </w:t>
      </w:r>
      <w:r>
        <w:rPr>
          <w:noProof/>
        </w:rPr>
        <w:drawing>
          <wp:inline distT="0" distB="0" distL="0" distR="0" wp14:anchorId="0012648C" wp14:editId="5CA80721">
            <wp:extent cx="5943600" cy="3305175"/>
            <wp:effectExtent l="0" t="0" r="19050" b="9525"/>
            <wp:docPr id="7" name="Chart 7" descr="shiftworkers in each age group have significantly higher rates of work-related injury than their non-shiftworker counterparts"/>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8A34FE">
        <w:rPr>
          <w:noProof/>
        </w:rPr>
        <w:br w:type="page"/>
      </w:r>
    </w:p>
    <w:p w:rsidR="0027076C" w:rsidRDefault="0027076C" w:rsidP="0027076C">
      <w:pPr>
        <w:pStyle w:val="Heading1"/>
      </w:pPr>
      <w:bookmarkStart w:id="107" w:name="_Toc459366237"/>
      <w:r>
        <w:lastRenderedPageBreak/>
        <w:t>Characteristics and outcomes of work-related injuries</w:t>
      </w:r>
      <w:bookmarkEnd w:id="107"/>
    </w:p>
    <w:p w:rsidR="00965F42" w:rsidRDefault="009B37D9" w:rsidP="00C1631D">
      <w:pPr>
        <w:pStyle w:val="Heading2"/>
      </w:pPr>
      <w:bookmarkStart w:id="108" w:name="_Toc459366238"/>
      <w:r>
        <w:t>Nature of injury</w:t>
      </w:r>
      <w:bookmarkEnd w:id="108"/>
    </w:p>
    <w:p w:rsidR="009B37D9" w:rsidRDefault="009B37D9" w:rsidP="00D35F7B">
      <w:r>
        <w:t>The most common injuries among shiftworkers were sprains, strains or dislocations (33</w:t>
      </w:r>
      <w:r w:rsidR="000D0198">
        <w:t xml:space="preserve"> </w:t>
      </w:r>
      <w:r w:rsidR="0035465B">
        <w:t>per cent</w:t>
      </w:r>
      <w:r>
        <w:t>) and chronic joint or muscle conditions (21</w:t>
      </w:r>
      <w:r w:rsidR="000D0198">
        <w:t xml:space="preserve"> </w:t>
      </w:r>
      <w:r w:rsidR="0035465B">
        <w:t>per cent</w:t>
      </w:r>
      <w:r>
        <w:t xml:space="preserve">). Other injuries experienced by shiftworkers were: cuts or open </w:t>
      </w:r>
      <w:r>
        <w:rPr>
          <w:szCs w:val="20"/>
        </w:rPr>
        <w:t>wounds (*</w:t>
      </w:r>
      <w:r w:rsidRPr="007419B5">
        <w:rPr>
          <w:szCs w:val="20"/>
        </w:rPr>
        <w:t>14</w:t>
      </w:r>
      <w:r w:rsidR="000D0198">
        <w:rPr>
          <w:szCs w:val="20"/>
        </w:rPr>
        <w:t xml:space="preserve"> </w:t>
      </w:r>
      <w:r w:rsidR="0035465B">
        <w:rPr>
          <w:szCs w:val="20"/>
        </w:rPr>
        <w:t>per cent</w:t>
      </w:r>
      <w:r w:rsidRPr="007419B5">
        <w:rPr>
          <w:szCs w:val="20"/>
        </w:rPr>
        <w:t>);</w:t>
      </w:r>
      <w:r>
        <w:t xml:space="preserve"> burns (*7</w:t>
      </w:r>
      <w:r w:rsidR="000D0198">
        <w:t xml:space="preserve"> </w:t>
      </w:r>
      <w:r w:rsidR="0035465B">
        <w:t>per cent</w:t>
      </w:r>
      <w:r>
        <w:t>); crushing injuries, internal organ damage or bruising (*7</w:t>
      </w:r>
      <w:r w:rsidR="000D0198">
        <w:t xml:space="preserve"> </w:t>
      </w:r>
      <w:r w:rsidR="0035465B">
        <w:t>per cent</w:t>
      </w:r>
      <w:r>
        <w:t>); fractures or broken bones (*5</w:t>
      </w:r>
      <w:r w:rsidR="000D0198">
        <w:t xml:space="preserve"> </w:t>
      </w:r>
      <w:r w:rsidR="0035465B">
        <w:t>per cent</w:t>
      </w:r>
      <w:r>
        <w:t>); and stress or other mental health conditions (*3</w:t>
      </w:r>
      <w:r w:rsidR="000D0198">
        <w:t xml:space="preserve"> </w:t>
      </w:r>
      <w:r w:rsidR="0035465B">
        <w:t>per cent</w:t>
      </w:r>
      <w:r w:rsidR="00F75DB0">
        <w:t>).</w:t>
      </w:r>
    </w:p>
    <w:p w:rsidR="00000426" w:rsidRDefault="008E5FC7" w:rsidP="00A20BBE">
      <w:r w:rsidRPr="00987131">
        <w:t xml:space="preserve">The </w:t>
      </w:r>
      <w:r w:rsidR="00E87749">
        <w:t>84 per cent</w:t>
      </w:r>
      <w:r w:rsidRPr="00987131">
        <w:t xml:space="preserve"> confidence intervals in figure </w:t>
      </w:r>
      <w:r>
        <w:t>8</w:t>
      </w:r>
      <w:r w:rsidRPr="00987131">
        <w:t xml:space="preserve"> show</w:t>
      </w:r>
      <w:r w:rsidR="00A20BBE">
        <w:t xml:space="preserve"> </w:t>
      </w:r>
      <w:r>
        <w:t>that</w:t>
      </w:r>
      <w:r w:rsidR="00000426">
        <w:t xml:space="preserve"> a significantly higher percentage of shiftworkers experience </w:t>
      </w:r>
      <w:r w:rsidR="007971A6">
        <w:t>burn injuries</w:t>
      </w:r>
      <w:r w:rsidR="003E254D">
        <w:t xml:space="preserve">. </w:t>
      </w:r>
      <w:r w:rsidR="00DD566B">
        <w:t>This is largely because there are occupations</w:t>
      </w:r>
      <w:r w:rsidR="00DD566B" w:rsidRPr="00DD566B">
        <w:t xml:space="preserve"> in which shiftwork is more common and the job</w:t>
      </w:r>
      <w:r w:rsidR="00DD566B">
        <w:t>s undertaken by workers involve</w:t>
      </w:r>
      <w:r w:rsidR="00DD566B" w:rsidRPr="00DD566B">
        <w:t xml:space="preserve"> exposure to heat-related hazards</w:t>
      </w:r>
      <w:r w:rsidR="00DD566B">
        <w:t xml:space="preserve"> (</w:t>
      </w:r>
      <w:r w:rsidR="00B42BD0">
        <w:t xml:space="preserve">examples of these occupations are </w:t>
      </w:r>
      <w:r w:rsidR="00DD566B" w:rsidRPr="00AB47EC">
        <w:t>chefs, kitchenhands, baristas, waiters, firefighters</w:t>
      </w:r>
      <w:r w:rsidR="00DD566B">
        <w:t xml:space="preserve">). Due to this combination of factors, </w:t>
      </w:r>
      <w:r w:rsidR="00452A3E">
        <w:t>a higher percentage of shiftworkers are exposed to heat-</w:t>
      </w:r>
      <w:r w:rsidR="00101F8C">
        <w:t>related hazards</w:t>
      </w:r>
      <w:r w:rsidR="00452A3E">
        <w:t xml:space="preserve">. </w:t>
      </w:r>
      <w:r w:rsidR="00000426">
        <w:t>For other types of injuries, there are no significant differences between shiftworkers and non-shiftworkers.</w:t>
      </w:r>
    </w:p>
    <w:p w:rsidR="00A51FE5" w:rsidRPr="00A51FE5" w:rsidRDefault="00A51FE5" w:rsidP="009B37D9">
      <w:pPr>
        <w:pStyle w:val="Heading5"/>
      </w:pPr>
      <w:bookmarkStart w:id="109" w:name="_Toc447701741"/>
      <w:r>
        <w:t xml:space="preserve">Figure </w:t>
      </w:r>
      <w:fldSimple w:instr=" SEQ Figure \* ARABIC ">
        <w:r w:rsidR="0091230D">
          <w:rPr>
            <w:noProof/>
          </w:rPr>
          <w:t>8</w:t>
        </w:r>
      </w:fldSimple>
      <w:r>
        <w:t>: P</w:t>
      </w:r>
      <w:r w:rsidR="00D86872">
        <w:t xml:space="preserve">ercentages and </w:t>
      </w:r>
      <w:r w:rsidR="00E87749">
        <w:t>84 per cent</w:t>
      </w:r>
      <w:r w:rsidR="002475EA">
        <w:t xml:space="preserve"> confidence intervals</w:t>
      </w:r>
      <w:r w:rsidRPr="008E2EEE">
        <w:t xml:space="preserve"> of injured workers by </w:t>
      </w:r>
      <w:r>
        <w:t xml:space="preserve">shiftwork status and nature of </w:t>
      </w:r>
      <w:r w:rsidR="00046D78">
        <w:t>injury,</w:t>
      </w:r>
      <w:r w:rsidRPr="008E2EEE">
        <w:t xml:space="preserve"> 2013–14</w:t>
      </w:r>
      <w:bookmarkEnd w:id="109"/>
    </w:p>
    <w:p w:rsidR="001C5A4D" w:rsidRDefault="00AC2112" w:rsidP="001C5A4D">
      <w:r w:rsidRPr="00AC2112">
        <w:rPr>
          <w:noProof/>
        </w:rPr>
        <w:t xml:space="preserve"> </w:t>
      </w:r>
      <w:r>
        <w:rPr>
          <w:noProof/>
        </w:rPr>
        <w:drawing>
          <wp:inline distT="0" distB="0" distL="0" distR="0" wp14:anchorId="08DE5C45" wp14:editId="55868407">
            <wp:extent cx="5943600" cy="3496310"/>
            <wp:effectExtent l="0" t="0" r="19050" b="27940"/>
            <wp:docPr id="10" name="Chart 10" descr="a significantly higher percentage of shiftworkers experience burn-related injur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04EAE" w:rsidRDefault="009B37D9" w:rsidP="00C1631D">
      <w:pPr>
        <w:pStyle w:val="Heading2"/>
      </w:pPr>
      <w:bookmarkStart w:id="110" w:name="_Toc459366239"/>
      <w:r>
        <w:t>Mechanism of injury</w:t>
      </w:r>
      <w:bookmarkEnd w:id="110"/>
    </w:p>
    <w:p w:rsidR="009B37D9" w:rsidRDefault="009B37D9" w:rsidP="009B37D9">
      <w:r>
        <w:t>The most common mechanisms of injury among shiftworkers were lifting, pushing, pulling or bending (36</w:t>
      </w:r>
      <w:r w:rsidR="000D0198">
        <w:t xml:space="preserve"> </w:t>
      </w:r>
      <w:r w:rsidR="0035465B">
        <w:t>per cent</w:t>
      </w:r>
      <w:r>
        <w:t>), and hitting, being hit or cut by an object or vehicle (20</w:t>
      </w:r>
      <w:r w:rsidR="000D0198">
        <w:t xml:space="preserve"> </w:t>
      </w:r>
      <w:r w:rsidR="0035465B">
        <w:t>per cent</w:t>
      </w:r>
      <w:r>
        <w:t xml:space="preserve">). Other mechanisms </w:t>
      </w:r>
      <w:r w:rsidR="0040122C">
        <w:t xml:space="preserve">of injury </w:t>
      </w:r>
      <w:r>
        <w:t>among shiftworkers were: slip, trip or stumble (10</w:t>
      </w:r>
      <w:r w:rsidR="000D0198">
        <w:t xml:space="preserve"> </w:t>
      </w:r>
      <w:r w:rsidR="0035465B">
        <w:t>per cent</w:t>
      </w:r>
      <w:r>
        <w:t>); repetitive movement (*9</w:t>
      </w:r>
      <w:r w:rsidR="000D0198">
        <w:t xml:space="preserve"> </w:t>
      </w:r>
      <w:r w:rsidR="0035465B">
        <w:t>per cent</w:t>
      </w:r>
      <w:r>
        <w:t>); vehicle accident or incident (*5</w:t>
      </w:r>
      <w:r w:rsidR="000D0198">
        <w:t xml:space="preserve"> </w:t>
      </w:r>
      <w:r w:rsidR="0035465B">
        <w:t>per cent</w:t>
      </w:r>
      <w:r>
        <w:t>); contact with chemical or substance (*5</w:t>
      </w:r>
      <w:r w:rsidR="000D0198">
        <w:t xml:space="preserve"> </w:t>
      </w:r>
      <w:r w:rsidR="0035465B">
        <w:t>per cent</w:t>
      </w:r>
      <w:r>
        <w:t>); and stress or exposure to stress (*4</w:t>
      </w:r>
      <w:r w:rsidR="000D0198">
        <w:t xml:space="preserve"> </w:t>
      </w:r>
      <w:r w:rsidR="0035465B">
        <w:t>per cent</w:t>
      </w:r>
      <w:r w:rsidR="00F75DB0">
        <w:t>).</w:t>
      </w:r>
      <w:r w:rsidR="00987131">
        <w:t xml:space="preserve"> </w:t>
      </w:r>
      <w:r w:rsidR="00987131" w:rsidRPr="00987131">
        <w:t xml:space="preserve">The </w:t>
      </w:r>
      <w:r w:rsidR="00E87749">
        <w:t>84 per cent</w:t>
      </w:r>
      <w:r w:rsidR="00987131" w:rsidRPr="00987131">
        <w:t xml:space="preserve"> confidence intervals in figure 9 show</w:t>
      </w:r>
      <w:r w:rsidR="00654523">
        <w:t xml:space="preserve"> </w:t>
      </w:r>
      <w:r>
        <w:t>that there are no significant differences between shiftworkers and non-shiftworkers in terms of mechanisms of injury.</w:t>
      </w:r>
    </w:p>
    <w:p w:rsidR="008E5FC7" w:rsidRDefault="008E5FC7">
      <w:pPr>
        <w:rPr>
          <w:rFonts w:eastAsiaTheme="majorEastAsia" w:cstheme="majorBidi"/>
          <w:b/>
          <w:bCs/>
          <w:iCs/>
        </w:rPr>
      </w:pPr>
      <w:r>
        <w:br w:type="page"/>
      </w:r>
    </w:p>
    <w:p w:rsidR="00A51FE5" w:rsidRPr="00A51FE5" w:rsidRDefault="00A51FE5" w:rsidP="009B37D9">
      <w:pPr>
        <w:pStyle w:val="Heading5"/>
      </w:pPr>
      <w:bookmarkStart w:id="111" w:name="_Toc447701742"/>
      <w:r>
        <w:lastRenderedPageBreak/>
        <w:t xml:space="preserve">Figure </w:t>
      </w:r>
      <w:fldSimple w:instr=" SEQ Figure \* ARABIC ">
        <w:r w:rsidR="0091230D">
          <w:rPr>
            <w:noProof/>
          </w:rPr>
          <w:t>9</w:t>
        </w:r>
      </w:fldSimple>
      <w:r>
        <w:t xml:space="preserve">: </w:t>
      </w:r>
      <w:r w:rsidR="00D86872">
        <w:t xml:space="preserve">Percentages and </w:t>
      </w:r>
      <w:r w:rsidR="00E87749">
        <w:t>84 per cent</w:t>
      </w:r>
      <w:r w:rsidR="002475EA">
        <w:t xml:space="preserve"> confidence intervals</w:t>
      </w:r>
      <w:r w:rsidR="002475EA" w:rsidRPr="008E2EEE">
        <w:t xml:space="preserve"> </w:t>
      </w:r>
      <w:r w:rsidRPr="008E2EEE">
        <w:t xml:space="preserve">of injured workers by </w:t>
      </w:r>
      <w:r>
        <w:t>shiftwork status and</w:t>
      </w:r>
      <w:r w:rsidRPr="008E2EEE">
        <w:t xml:space="preserve"> </w:t>
      </w:r>
      <w:r>
        <w:t xml:space="preserve">mechanism of </w:t>
      </w:r>
      <w:r w:rsidR="00046D78">
        <w:t>injury,</w:t>
      </w:r>
      <w:r w:rsidRPr="008E2EEE">
        <w:t xml:space="preserve"> 2013–14</w:t>
      </w:r>
      <w:bookmarkEnd w:id="111"/>
    </w:p>
    <w:p w:rsidR="00C42351" w:rsidRDefault="00434237" w:rsidP="00C42351">
      <w:r w:rsidRPr="00434237">
        <w:rPr>
          <w:noProof/>
        </w:rPr>
        <w:t xml:space="preserve"> </w:t>
      </w:r>
      <w:r>
        <w:rPr>
          <w:noProof/>
        </w:rPr>
        <w:drawing>
          <wp:inline distT="0" distB="0" distL="0" distR="0" wp14:anchorId="41BCB7A1" wp14:editId="7FDD795F">
            <wp:extent cx="5943600" cy="3362325"/>
            <wp:effectExtent l="0" t="0" r="19050" b="9525"/>
            <wp:docPr id="11" name="Chart 11" descr="there are no significant differences between shiftworkers and non-shiftworkers in terms of mechanisms of injury&#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8354D" w:rsidRDefault="009B37D9" w:rsidP="00C1631D">
      <w:pPr>
        <w:pStyle w:val="Heading2"/>
      </w:pPr>
      <w:bookmarkStart w:id="112" w:name="_Toc459366240"/>
      <w:r>
        <w:t>Time lost from work</w:t>
      </w:r>
      <w:bookmarkEnd w:id="112"/>
    </w:p>
    <w:p w:rsidR="009B37D9" w:rsidRPr="00987131" w:rsidRDefault="00D3090A" w:rsidP="009B37D9">
      <w:r>
        <w:t>Forty-two</w:t>
      </w:r>
      <w:r w:rsidR="000D0198">
        <w:t xml:space="preserve"> </w:t>
      </w:r>
      <w:r w:rsidR="0035465B">
        <w:t>per cent</w:t>
      </w:r>
      <w:r>
        <w:t xml:space="preserve"> of</w:t>
      </w:r>
      <w:r w:rsidR="009B37D9">
        <w:t xml:space="preserve"> shiftworkers did not lose any time from work due to their injury. Other absence periods for shiftworkers were: one to four days (22</w:t>
      </w:r>
      <w:r w:rsidR="000D0198">
        <w:t xml:space="preserve"> </w:t>
      </w:r>
      <w:r w:rsidR="0035465B">
        <w:t>per cent</w:t>
      </w:r>
      <w:r w:rsidR="009B37D9">
        <w:t xml:space="preserve">); five to </w:t>
      </w:r>
      <w:r w:rsidR="00F75EE5">
        <w:t>10</w:t>
      </w:r>
      <w:r w:rsidR="009B37D9">
        <w:t xml:space="preserve"> days (13</w:t>
      </w:r>
      <w:r w:rsidR="000D0198">
        <w:t xml:space="preserve"> </w:t>
      </w:r>
      <w:r w:rsidR="0035465B">
        <w:t>per cent</w:t>
      </w:r>
      <w:r w:rsidR="009B37D9">
        <w:t xml:space="preserve">); and more than </w:t>
      </w:r>
      <w:r w:rsidR="00F75EE5">
        <w:t>10</w:t>
      </w:r>
      <w:r w:rsidR="009B37D9">
        <w:t xml:space="preserve"> days (19</w:t>
      </w:r>
      <w:r w:rsidR="000D0198">
        <w:t xml:space="preserve"> </w:t>
      </w:r>
      <w:r w:rsidR="0035465B">
        <w:t>per cent</w:t>
      </w:r>
      <w:r w:rsidR="00963718">
        <w:t>).</w:t>
      </w:r>
      <w:r w:rsidR="00987131">
        <w:t xml:space="preserve"> </w:t>
      </w:r>
      <w:r w:rsidR="00987131" w:rsidRPr="00987131">
        <w:t xml:space="preserve">The </w:t>
      </w:r>
      <w:r w:rsidR="00E87749">
        <w:t>84 per cent</w:t>
      </w:r>
      <w:r w:rsidR="00987131" w:rsidRPr="00987131">
        <w:t xml:space="preserve"> confidence intervals in figure </w:t>
      </w:r>
      <w:r w:rsidR="00987131">
        <w:t>10</w:t>
      </w:r>
      <w:r w:rsidR="00987131" w:rsidRPr="00987131">
        <w:t xml:space="preserve"> show</w:t>
      </w:r>
      <w:r w:rsidR="009B37D9">
        <w:t xml:space="preserve"> that there are no significant differences between shiftworkers and non-shiftworkers in terms of time lost from work.</w:t>
      </w:r>
    </w:p>
    <w:p w:rsidR="00C94E2E" w:rsidRDefault="00A51FE5" w:rsidP="009B37D9">
      <w:pPr>
        <w:pStyle w:val="Heading5"/>
      </w:pPr>
      <w:bookmarkStart w:id="113" w:name="_Toc447701743"/>
      <w:r>
        <w:t xml:space="preserve">Figure </w:t>
      </w:r>
      <w:fldSimple w:instr=" SEQ Figure \* ARABIC ">
        <w:r w:rsidR="0091230D">
          <w:rPr>
            <w:noProof/>
          </w:rPr>
          <w:t>10</w:t>
        </w:r>
      </w:fldSimple>
      <w:r>
        <w:t xml:space="preserve">: </w:t>
      </w:r>
      <w:r w:rsidR="00D86872">
        <w:t xml:space="preserve">Percentages and </w:t>
      </w:r>
      <w:r w:rsidR="00E87749">
        <w:t>84 per cent</w:t>
      </w:r>
      <w:r w:rsidR="002475EA">
        <w:t xml:space="preserve"> confidence intervals</w:t>
      </w:r>
      <w:r w:rsidR="002475EA" w:rsidRPr="008E2EEE">
        <w:t xml:space="preserve"> </w:t>
      </w:r>
      <w:r w:rsidRPr="008E2EEE">
        <w:t xml:space="preserve">of injured workers by </w:t>
      </w:r>
      <w:r>
        <w:t>shiftwork status and</w:t>
      </w:r>
      <w:r w:rsidRPr="008E2EEE">
        <w:t xml:space="preserve"> </w:t>
      </w:r>
      <w:r>
        <w:t>time lost from work</w:t>
      </w:r>
      <w:r w:rsidRPr="008E2EEE">
        <w:t>, 2013–14</w:t>
      </w:r>
      <w:bookmarkEnd w:id="113"/>
    </w:p>
    <w:p w:rsidR="00A51FE5" w:rsidRDefault="00FC4441" w:rsidP="00C42351">
      <w:r w:rsidRPr="00FC4441">
        <w:rPr>
          <w:noProof/>
        </w:rPr>
        <w:t xml:space="preserve"> </w:t>
      </w:r>
      <w:r>
        <w:rPr>
          <w:noProof/>
        </w:rPr>
        <w:drawing>
          <wp:inline distT="0" distB="0" distL="0" distR="0" wp14:anchorId="24D3EFC0" wp14:editId="71A1628D">
            <wp:extent cx="5943600" cy="3390900"/>
            <wp:effectExtent l="0" t="0" r="19050" b="19050"/>
            <wp:docPr id="13" name="Chart 13" descr="there are no significant differences between shiftworkers and non-shiftworkers in terms of time lost from work"/>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07E83" w:rsidRDefault="00A07E83" w:rsidP="00C1631D">
      <w:pPr>
        <w:pStyle w:val="Heading2"/>
      </w:pPr>
      <w:bookmarkStart w:id="114" w:name="_Toc459366241"/>
      <w:r>
        <w:lastRenderedPageBreak/>
        <w:t xml:space="preserve">Duration of employment in job </w:t>
      </w:r>
      <w:r w:rsidR="003F5180">
        <w:t>where</w:t>
      </w:r>
      <w:r w:rsidR="00FE40D1">
        <w:t xml:space="preserve"> </w:t>
      </w:r>
      <w:r>
        <w:t>injury occurred</w:t>
      </w:r>
      <w:bookmarkEnd w:id="114"/>
    </w:p>
    <w:p w:rsidR="00A07E83" w:rsidRDefault="00D15B71" w:rsidP="00A07E83">
      <w:r>
        <w:t xml:space="preserve">Shiftworkers who experienced a work-related injury had been employed in the job </w:t>
      </w:r>
      <w:r w:rsidR="003F5180">
        <w:t>where</w:t>
      </w:r>
      <w:r>
        <w:t xml:space="preserve"> the injury </w:t>
      </w:r>
      <w:r w:rsidR="00FE40D1">
        <w:t>occurred for varying periods of time. The majority (</w:t>
      </w:r>
      <w:r w:rsidR="006201C7">
        <w:t>71 per cent</w:t>
      </w:r>
      <w:r w:rsidR="00FE40D1">
        <w:t xml:space="preserve">) had been employed for </w:t>
      </w:r>
      <w:r w:rsidR="00076545">
        <w:t>over two years, while 29 per</w:t>
      </w:r>
      <w:r w:rsidR="00FB0727">
        <w:t xml:space="preserve"> </w:t>
      </w:r>
      <w:r w:rsidR="00076545">
        <w:t>cent had been employed for less than two years. A more detailed brea</w:t>
      </w:r>
      <w:r w:rsidR="00EA7EA4">
        <w:t xml:space="preserve">kdown </w:t>
      </w:r>
      <w:r w:rsidR="003F5180">
        <w:t xml:space="preserve">of employment periods </w:t>
      </w:r>
      <w:r w:rsidR="00EA7EA4">
        <w:t xml:space="preserve">is provided in figure 11. </w:t>
      </w:r>
      <w:r w:rsidR="006201C7" w:rsidRPr="00987131">
        <w:t xml:space="preserve">The </w:t>
      </w:r>
      <w:r w:rsidR="00E87749">
        <w:t>84 per cent</w:t>
      </w:r>
      <w:r w:rsidR="006201C7" w:rsidRPr="00987131">
        <w:t xml:space="preserve"> confidence intervals in figure </w:t>
      </w:r>
      <w:r w:rsidR="006201C7">
        <w:t>11</w:t>
      </w:r>
      <w:r w:rsidR="006201C7" w:rsidRPr="00987131">
        <w:t xml:space="preserve"> show</w:t>
      </w:r>
      <w:r w:rsidR="006201C7">
        <w:t xml:space="preserve"> that there are no significant differences between shiftworkers and non-shiftworkers in terms of the duration of employment in the job </w:t>
      </w:r>
      <w:r w:rsidR="003F5180">
        <w:t>where</w:t>
      </w:r>
      <w:r w:rsidR="006201C7">
        <w:t xml:space="preserve"> the injury occurred.</w:t>
      </w:r>
    </w:p>
    <w:p w:rsidR="00A07E83" w:rsidRDefault="00A07E83" w:rsidP="00FE40D1">
      <w:pPr>
        <w:pStyle w:val="Heading5"/>
      </w:pPr>
      <w:bookmarkStart w:id="115" w:name="_Toc447701744"/>
      <w:r>
        <w:t xml:space="preserve">Figure </w:t>
      </w:r>
      <w:fldSimple w:instr=" SEQ Figure \* ARABIC ">
        <w:r w:rsidR="0091230D">
          <w:rPr>
            <w:noProof/>
          </w:rPr>
          <w:t>11</w:t>
        </w:r>
      </w:fldSimple>
      <w:r>
        <w:t xml:space="preserve">: </w:t>
      </w:r>
      <w:r w:rsidR="00EA7EA4" w:rsidRPr="00EA7EA4">
        <w:t xml:space="preserve">Percentages and </w:t>
      </w:r>
      <w:r w:rsidR="00E87749">
        <w:t>84 per cent</w:t>
      </w:r>
      <w:r w:rsidR="00EA7EA4" w:rsidRPr="00EA7EA4">
        <w:t xml:space="preserve"> confidence intervals of injured workers by shiftwork status and </w:t>
      </w:r>
      <w:r w:rsidR="00E66B57">
        <w:t xml:space="preserve">duration of employment in job </w:t>
      </w:r>
      <w:r w:rsidR="003F5180">
        <w:t>where</w:t>
      </w:r>
      <w:r w:rsidR="00E66B57">
        <w:t xml:space="preserve"> injury occurred</w:t>
      </w:r>
      <w:r w:rsidR="00EA7EA4" w:rsidRPr="00EA7EA4">
        <w:t>, 2013–14</w:t>
      </w:r>
      <w:bookmarkEnd w:id="115"/>
    </w:p>
    <w:p w:rsidR="00A07E83" w:rsidRPr="00A07E83" w:rsidRDefault="004B5664" w:rsidP="00A07E83">
      <w:r w:rsidRPr="004B5664">
        <w:rPr>
          <w:noProof/>
        </w:rPr>
        <w:t xml:space="preserve"> </w:t>
      </w:r>
      <w:r>
        <w:rPr>
          <w:noProof/>
        </w:rPr>
        <w:drawing>
          <wp:inline distT="0" distB="0" distL="0" distR="0" wp14:anchorId="5D0667AF" wp14:editId="59C49018">
            <wp:extent cx="5943600" cy="3496310"/>
            <wp:effectExtent l="0" t="0" r="19050" b="27940"/>
            <wp:docPr id="14" name="Chart 14" descr="there are no significant differences between shiftworkers and non-shiftworkers in terms of the duration of employment in the job where the injury occurred"/>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8354D" w:rsidRDefault="009B37D9" w:rsidP="00C1631D">
      <w:pPr>
        <w:pStyle w:val="Heading2"/>
      </w:pPr>
      <w:bookmarkStart w:id="116" w:name="_Toc459366242"/>
      <w:r>
        <w:t>Whether applied for workers’ compensation</w:t>
      </w:r>
      <w:bookmarkEnd w:id="116"/>
    </w:p>
    <w:p w:rsidR="009B37D9" w:rsidRDefault="009B37D9">
      <w:pPr>
        <w:rPr>
          <w:rFonts w:eastAsiaTheme="majorEastAsia" w:cstheme="majorBidi"/>
          <w:b/>
          <w:bCs/>
          <w:iCs/>
        </w:rPr>
      </w:pPr>
      <w:r>
        <w:t>The majority (59</w:t>
      </w:r>
      <w:r w:rsidR="000D0198">
        <w:t xml:space="preserve"> </w:t>
      </w:r>
      <w:r w:rsidR="0035465B">
        <w:t>per cent</w:t>
      </w:r>
      <w:r>
        <w:t>) of shiftworkers did not apply for workers’ compensation, while 40</w:t>
      </w:r>
      <w:r w:rsidR="000D0198">
        <w:t xml:space="preserve"> </w:t>
      </w:r>
      <w:r w:rsidR="0035465B">
        <w:t>per cent</w:t>
      </w:r>
      <w:r>
        <w:t xml:space="preserve"> applied and received workers’ compensation. </w:t>
      </w:r>
      <w:r w:rsidR="00987131" w:rsidRPr="00987131">
        <w:t xml:space="preserve">The </w:t>
      </w:r>
      <w:r w:rsidR="00E87749">
        <w:t>84 per cent</w:t>
      </w:r>
      <w:r w:rsidR="00987131" w:rsidRPr="00987131">
        <w:t xml:space="preserve"> confidence intervals in figure </w:t>
      </w:r>
      <w:r w:rsidR="00987131">
        <w:t>1</w:t>
      </w:r>
      <w:r w:rsidR="00F0417D">
        <w:t>2</w:t>
      </w:r>
      <w:r w:rsidR="00987131" w:rsidRPr="00987131">
        <w:t xml:space="preserve"> show</w:t>
      </w:r>
      <w:r w:rsidR="001F40D1">
        <w:t xml:space="preserve"> that</w:t>
      </w:r>
      <w:r>
        <w:t xml:space="preserve"> there are no significant differences between shiftworkers and non-shiftworkers in terms of applying</w:t>
      </w:r>
      <w:r w:rsidR="00827E68">
        <w:t xml:space="preserve"> for</w:t>
      </w:r>
      <w:r>
        <w:t xml:space="preserve"> and receiving workers’ compensation, and not applying for workers’ compensation.</w:t>
      </w:r>
    </w:p>
    <w:p w:rsidR="00F0417D" w:rsidRDefault="00F0417D">
      <w:pPr>
        <w:rPr>
          <w:rFonts w:eastAsiaTheme="majorEastAsia" w:cstheme="majorBidi"/>
          <w:b/>
          <w:bCs/>
          <w:iCs/>
        </w:rPr>
      </w:pPr>
      <w:r>
        <w:br w:type="page"/>
      </w:r>
    </w:p>
    <w:p w:rsidR="008E2EEE" w:rsidRDefault="00A51FE5" w:rsidP="009B37D9">
      <w:pPr>
        <w:pStyle w:val="Heading5"/>
      </w:pPr>
      <w:bookmarkStart w:id="117" w:name="_Toc447701745"/>
      <w:r>
        <w:lastRenderedPageBreak/>
        <w:t xml:space="preserve">Figure </w:t>
      </w:r>
      <w:fldSimple w:instr=" SEQ Figure \* ARABIC ">
        <w:r w:rsidR="0091230D">
          <w:rPr>
            <w:noProof/>
          </w:rPr>
          <w:t>12</w:t>
        </w:r>
      </w:fldSimple>
      <w:r>
        <w:t xml:space="preserve">: </w:t>
      </w:r>
      <w:r w:rsidR="00D86872">
        <w:t xml:space="preserve">Percentages and </w:t>
      </w:r>
      <w:r w:rsidR="00E87749">
        <w:t>84 per cent</w:t>
      </w:r>
      <w:r w:rsidR="002475EA">
        <w:t xml:space="preserve"> confidence intervals</w:t>
      </w:r>
      <w:r w:rsidR="002475EA" w:rsidRPr="008E2EEE">
        <w:t xml:space="preserve"> </w:t>
      </w:r>
      <w:r w:rsidRPr="008E2EEE">
        <w:t xml:space="preserve">of injured workers by </w:t>
      </w:r>
      <w:r>
        <w:t>shiftwork status and</w:t>
      </w:r>
      <w:r w:rsidRPr="008E2EEE">
        <w:t xml:space="preserve"> </w:t>
      </w:r>
      <w:r>
        <w:t>whether applied for workers’ compensation</w:t>
      </w:r>
      <w:r w:rsidRPr="008E2EEE">
        <w:t>, 2013–14</w:t>
      </w:r>
      <w:bookmarkEnd w:id="117"/>
    </w:p>
    <w:p w:rsidR="00A51FE5" w:rsidRDefault="00195FD3" w:rsidP="00C42351">
      <w:r w:rsidRPr="00195FD3">
        <w:rPr>
          <w:noProof/>
        </w:rPr>
        <w:t xml:space="preserve"> </w:t>
      </w:r>
      <w:r>
        <w:rPr>
          <w:noProof/>
        </w:rPr>
        <w:drawing>
          <wp:inline distT="0" distB="0" distL="0" distR="0" wp14:anchorId="22EF6D4B" wp14:editId="5640897F">
            <wp:extent cx="5943600" cy="2857500"/>
            <wp:effectExtent l="0" t="0" r="19050" b="19050"/>
            <wp:docPr id="15" name="Chart 15" descr="there are no significant differences between shiftworkers and non-shiftworkers in terms of applying and receiving workers’ compensation, and not applying for workers’ compens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8354D" w:rsidRDefault="009B37D9" w:rsidP="00C1631D">
      <w:pPr>
        <w:pStyle w:val="Heading2"/>
      </w:pPr>
      <w:bookmarkStart w:id="118" w:name="_Toc459366243"/>
      <w:r>
        <w:t>Reasons for not applying for workers’ compensation</w:t>
      </w:r>
      <w:bookmarkEnd w:id="118"/>
    </w:p>
    <w:p w:rsidR="009B37D9" w:rsidRDefault="009B37D9" w:rsidP="009B37D9">
      <w:r>
        <w:t>Of the shiftworkers who did not apply for workers compensation, 42</w:t>
      </w:r>
      <w:r w:rsidR="000D0198">
        <w:t xml:space="preserve"> </w:t>
      </w:r>
      <w:r w:rsidR="0035465B">
        <w:t>per cent</w:t>
      </w:r>
      <w:r>
        <w:t xml:space="preserve"> did not apply as they felt the injury was minor or they did not consider it necessary to apply. Other shiftworkers gave the following reasons for not applying for workers’ compensation: negative impact on current or future employment (*13</w:t>
      </w:r>
      <w:r w:rsidR="000D0198">
        <w:t xml:space="preserve"> </w:t>
      </w:r>
      <w:r w:rsidR="0035465B">
        <w:t>per cent</w:t>
      </w:r>
      <w:r>
        <w:t>); did not think eligible (*11</w:t>
      </w:r>
      <w:r w:rsidR="000D0198">
        <w:t xml:space="preserve"> </w:t>
      </w:r>
      <w:r w:rsidR="0035465B">
        <w:t>per cent</w:t>
      </w:r>
      <w:r>
        <w:t>); inconvenient or required too much effort or paperwork (*10</w:t>
      </w:r>
      <w:r w:rsidR="000D0198">
        <w:t xml:space="preserve"> </w:t>
      </w:r>
      <w:r w:rsidR="0035465B">
        <w:t>per cent</w:t>
      </w:r>
      <w:r>
        <w:t>); and employer agreed to pay costs (*7</w:t>
      </w:r>
      <w:r w:rsidR="000D0198">
        <w:t xml:space="preserve"> </w:t>
      </w:r>
      <w:r w:rsidR="0035465B">
        <w:t>per cent</w:t>
      </w:r>
      <w:r w:rsidR="00F75DB0">
        <w:t>).</w:t>
      </w:r>
    </w:p>
    <w:p w:rsidR="00C632EE" w:rsidRDefault="008E5FC7" w:rsidP="00A20BBE">
      <w:r w:rsidRPr="00987131">
        <w:t xml:space="preserve">The </w:t>
      </w:r>
      <w:r w:rsidR="00E87749">
        <w:t>84 per cent</w:t>
      </w:r>
      <w:r w:rsidRPr="00987131">
        <w:t xml:space="preserve"> confidence intervals in figure </w:t>
      </w:r>
      <w:r w:rsidR="00F0417D">
        <w:t>13</w:t>
      </w:r>
      <w:r w:rsidRPr="00987131">
        <w:t xml:space="preserve"> show</w:t>
      </w:r>
      <w:r>
        <w:t xml:space="preserve"> that</w:t>
      </w:r>
      <w:r w:rsidR="00846CF4">
        <w:t xml:space="preserve"> a significantly highe</w:t>
      </w:r>
      <w:r w:rsidR="00C632EE">
        <w:t>r percentage of shiftworkers do</w:t>
      </w:r>
      <w:r w:rsidR="00846CF4">
        <w:t xml:space="preserve"> not apply for workers’ compensation because </w:t>
      </w:r>
      <w:r w:rsidR="00C632EE">
        <w:t>they feel it is inconvenient or requires</w:t>
      </w:r>
      <w:r w:rsidR="00846CF4">
        <w:t xml:space="preserve"> too much paperwork.</w:t>
      </w:r>
      <w:r w:rsidR="00C632EE">
        <w:t xml:space="preserve"> </w:t>
      </w:r>
      <w:r w:rsidR="00B052E0">
        <w:t>With regard to the other reasons for not applying for workers’ compensation, there are no significant differences between shiftworkers and non-shiftworkers.</w:t>
      </w:r>
    </w:p>
    <w:p w:rsidR="008E2EEE" w:rsidRDefault="00A51FE5">
      <w:pPr>
        <w:pStyle w:val="Heading5"/>
      </w:pPr>
      <w:bookmarkStart w:id="119" w:name="_Toc447701746"/>
      <w:r>
        <w:t xml:space="preserve">Figure </w:t>
      </w:r>
      <w:fldSimple w:instr=" SEQ Figure \* ARABIC ">
        <w:r w:rsidR="0091230D">
          <w:rPr>
            <w:noProof/>
          </w:rPr>
          <w:t>13</w:t>
        </w:r>
      </w:fldSimple>
      <w:r>
        <w:t xml:space="preserve">: </w:t>
      </w:r>
      <w:r w:rsidR="00D86872">
        <w:t xml:space="preserve">Percentages and </w:t>
      </w:r>
      <w:r w:rsidR="00E87749">
        <w:t>84 per cent</w:t>
      </w:r>
      <w:r w:rsidR="002475EA">
        <w:t xml:space="preserve"> confidence intervals</w:t>
      </w:r>
      <w:r w:rsidR="002475EA" w:rsidRPr="008E2EEE">
        <w:t xml:space="preserve"> </w:t>
      </w:r>
      <w:r w:rsidRPr="008E2EEE">
        <w:t xml:space="preserve">of injured workers by </w:t>
      </w:r>
      <w:r>
        <w:t>shiftwork status and</w:t>
      </w:r>
      <w:r w:rsidRPr="008E2EEE">
        <w:t xml:space="preserve"> </w:t>
      </w:r>
      <w:r>
        <w:t>main reason for not applying for workers’ compensation</w:t>
      </w:r>
      <w:r w:rsidRPr="008E2EEE">
        <w:t>, 2013–14</w:t>
      </w:r>
      <w:bookmarkEnd w:id="119"/>
    </w:p>
    <w:p w:rsidR="00A51FE5" w:rsidRDefault="00195FD3" w:rsidP="00D3090A">
      <w:r w:rsidRPr="00195FD3">
        <w:rPr>
          <w:noProof/>
        </w:rPr>
        <w:t xml:space="preserve"> </w:t>
      </w:r>
      <w:r>
        <w:rPr>
          <w:noProof/>
        </w:rPr>
        <w:drawing>
          <wp:inline distT="0" distB="0" distL="0" distR="0" wp14:anchorId="733A4569" wp14:editId="1D85B4D9">
            <wp:extent cx="5943600" cy="3095625"/>
            <wp:effectExtent l="0" t="0" r="19050" b="9525"/>
            <wp:docPr id="16" name="Chart 16" descr="a significantly higher percentage of shiftworkers do not apply for workers’ compensation because they feel it is inconvenient or requires too much paperwork"/>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B1BF9" w:rsidRDefault="00372AB9" w:rsidP="00DB1BF9">
      <w:pPr>
        <w:pStyle w:val="Heading2"/>
      </w:pPr>
      <w:bookmarkStart w:id="120" w:name="_Toc459366244"/>
      <w:r>
        <w:lastRenderedPageBreak/>
        <w:t>Whether received</w:t>
      </w:r>
      <w:r w:rsidR="00DB1BF9">
        <w:t xml:space="preserve"> financial assistance</w:t>
      </w:r>
      <w:bookmarkEnd w:id="120"/>
    </w:p>
    <w:p w:rsidR="003B718B" w:rsidRDefault="00DB1BF9" w:rsidP="00DB1BF9">
      <w:r>
        <w:t xml:space="preserve">Survey respondents who experienced a work-related injury were asked </w:t>
      </w:r>
      <w:r w:rsidR="00827E68">
        <w:t>whether</w:t>
      </w:r>
      <w:r>
        <w:t xml:space="preserve"> the</w:t>
      </w:r>
      <w:r w:rsidR="003B718B">
        <w:t xml:space="preserve">y received financial assistance for </w:t>
      </w:r>
      <w:r>
        <w:t xml:space="preserve">medical expenses or lost income. </w:t>
      </w:r>
      <w:r w:rsidR="00C47831">
        <w:t>Sources of financial assistance</w:t>
      </w:r>
      <w:r w:rsidR="00691B37">
        <w:t xml:space="preserve"> include workers’ compensation, </w:t>
      </w:r>
      <w:r w:rsidR="00484DB4">
        <w:t>employer</w:t>
      </w:r>
      <w:r w:rsidR="00691B37">
        <w:t>s</w:t>
      </w:r>
      <w:r w:rsidR="00C47831">
        <w:t>, Centrelink, Medicare, health insurance, income insurance, family and friends.</w:t>
      </w:r>
    </w:p>
    <w:p w:rsidR="00DB1BF9" w:rsidRDefault="00372AB9" w:rsidP="00DB1BF9">
      <w:r>
        <w:t>The majority (62</w:t>
      </w:r>
      <w:r w:rsidR="00DB1BF9" w:rsidRPr="00DB1BF9">
        <w:t xml:space="preserve"> per cent) of shiftworkers </w:t>
      </w:r>
      <w:r>
        <w:t>received financial assistance, while 38</w:t>
      </w:r>
      <w:r w:rsidR="00DB1BF9" w:rsidRPr="00DB1BF9">
        <w:t xml:space="preserve"> per cent </w:t>
      </w:r>
      <w:r>
        <w:t>did not receive financial assistance</w:t>
      </w:r>
      <w:r w:rsidR="00DB1BF9" w:rsidRPr="00DB1BF9">
        <w:t xml:space="preserve">. The </w:t>
      </w:r>
      <w:r w:rsidR="00E87749">
        <w:t>84 per cent</w:t>
      </w:r>
      <w:r w:rsidR="00DB1BF9" w:rsidRPr="00DB1BF9">
        <w:t xml:space="preserve"> c</w:t>
      </w:r>
      <w:r>
        <w:t>onfidence intervals in figure 1</w:t>
      </w:r>
      <w:r w:rsidR="00A07E83">
        <w:t>4</w:t>
      </w:r>
      <w:r w:rsidR="00DB1BF9" w:rsidRPr="00DB1BF9">
        <w:t xml:space="preserve"> show that there are no significant differences between shiftworkers and non-shiftworkers in terms of </w:t>
      </w:r>
      <w:r w:rsidR="008761D6">
        <w:t>whether they receive or do not receive financial assistance for medical expenses or lost income</w:t>
      </w:r>
      <w:r w:rsidR="00DB1BF9" w:rsidRPr="00DB1BF9">
        <w:t>.</w:t>
      </w:r>
    </w:p>
    <w:p w:rsidR="00DB1BF9" w:rsidRDefault="00DB1BF9" w:rsidP="00372AB9">
      <w:pPr>
        <w:pStyle w:val="Heading5"/>
      </w:pPr>
      <w:bookmarkStart w:id="121" w:name="_Toc447701747"/>
      <w:r>
        <w:t xml:space="preserve">Figure </w:t>
      </w:r>
      <w:fldSimple w:instr=" SEQ Figure \* ARABIC ">
        <w:r w:rsidR="0091230D">
          <w:rPr>
            <w:noProof/>
          </w:rPr>
          <w:t>14</w:t>
        </w:r>
      </w:fldSimple>
      <w:r>
        <w:t xml:space="preserve">: </w:t>
      </w:r>
      <w:r w:rsidRPr="00DB1BF9">
        <w:t xml:space="preserve">Percentages and </w:t>
      </w:r>
      <w:r w:rsidR="00E87749">
        <w:t>84 per cent</w:t>
      </w:r>
      <w:r w:rsidRPr="00DB1BF9">
        <w:t xml:space="preserve"> confidence intervals of injured workers by shiftwork status and </w:t>
      </w:r>
      <w:r w:rsidR="00372AB9">
        <w:t>wh</w:t>
      </w:r>
      <w:r w:rsidR="00A07E83">
        <w:t>e</w:t>
      </w:r>
      <w:r w:rsidR="00372AB9">
        <w:t>ther received financial assistance</w:t>
      </w:r>
      <w:r w:rsidRPr="00DB1BF9">
        <w:t>, 2013–14</w:t>
      </w:r>
      <w:bookmarkEnd w:id="121"/>
    </w:p>
    <w:p w:rsidR="00DB1BF9" w:rsidRDefault="00825A06" w:rsidP="00DB1BF9">
      <w:r w:rsidRPr="00825A06">
        <w:rPr>
          <w:noProof/>
        </w:rPr>
        <w:t xml:space="preserve"> </w:t>
      </w:r>
      <w:r>
        <w:rPr>
          <w:noProof/>
        </w:rPr>
        <w:drawing>
          <wp:inline distT="0" distB="0" distL="0" distR="0" wp14:anchorId="66D67476" wp14:editId="4C3EAF67">
            <wp:extent cx="5943600" cy="3496310"/>
            <wp:effectExtent l="0" t="0" r="19050" b="27940"/>
            <wp:docPr id="17" name="Chart 17" descr="there are no significant differences between shiftworkers and non-shiftworkers in terms of whether they receive or do not receive financial assistance for medical expenses or lost inco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052E0" w:rsidRDefault="00B052E0">
      <w:pPr>
        <w:rPr>
          <w:b/>
          <w:sz w:val="40"/>
          <w:szCs w:val="32"/>
        </w:rPr>
      </w:pPr>
      <w:r>
        <w:br w:type="page"/>
      </w:r>
    </w:p>
    <w:p w:rsidR="0027076C" w:rsidRDefault="0027076C" w:rsidP="0027076C">
      <w:pPr>
        <w:pStyle w:val="Heading1"/>
      </w:pPr>
      <w:bookmarkStart w:id="122" w:name="_Toc459366245"/>
      <w:r>
        <w:lastRenderedPageBreak/>
        <w:t>Conclusion</w:t>
      </w:r>
      <w:bookmarkEnd w:id="122"/>
    </w:p>
    <w:p w:rsidR="00760BD0" w:rsidRDefault="00F55F4E" w:rsidP="0091230D">
      <w:r>
        <w:t xml:space="preserve">Data </w:t>
      </w:r>
      <w:r w:rsidR="00354113">
        <w:t xml:space="preserve">from </w:t>
      </w:r>
      <w:r>
        <w:t xml:space="preserve">a nationally representative survey shows that </w:t>
      </w:r>
      <w:r w:rsidR="00354113">
        <w:t xml:space="preserve">the </w:t>
      </w:r>
      <w:r w:rsidR="00827E68">
        <w:t xml:space="preserve">injury </w:t>
      </w:r>
      <w:r w:rsidR="00354113">
        <w:t xml:space="preserve">rate </w:t>
      </w:r>
      <w:r w:rsidR="00BC0BDE">
        <w:t xml:space="preserve">for shiftworkers is significantly higher than the injury rate for non-shiftworkers. </w:t>
      </w:r>
      <w:r w:rsidR="00354113">
        <w:t xml:space="preserve">However, </w:t>
      </w:r>
      <w:r w:rsidR="00963718">
        <w:t xml:space="preserve">there are </w:t>
      </w:r>
      <w:r w:rsidR="00354113">
        <w:t xml:space="preserve">groups of shiftworkers </w:t>
      </w:r>
      <w:r w:rsidR="00EA03FA">
        <w:t xml:space="preserve">who </w:t>
      </w:r>
      <w:r w:rsidR="00EA20FB">
        <w:t xml:space="preserve">have injury rates that are </w:t>
      </w:r>
      <w:r w:rsidR="00825A06">
        <w:t xml:space="preserve">either significantly lower </w:t>
      </w:r>
      <w:r w:rsidR="00EA20FB">
        <w:t>than those of their non-shiftworker counterparts or not significantly different from those of their non-shiftworker counterparts</w:t>
      </w:r>
      <w:r w:rsidR="001C0926">
        <w:t>.</w:t>
      </w:r>
    </w:p>
    <w:p w:rsidR="003E349E" w:rsidRDefault="002A61A1" w:rsidP="00F55F4E">
      <w:r>
        <w:t>Th</w:t>
      </w:r>
      <w:r w:rsidR="001C0926">
        <w:t>is</w:t>
      </w:r>
      <w:r>
        <w:t xml:space="preserve"> finding suggest</w:t>
      </w:r>
      <w:r w:rsidR="001C0926">
        <w:t>s</w:t>
      </w:r>
      <w:r>
        <w:t xml:space="preserve"> that there are protective </w:t>
      </w:r>
      <w:r w:rsidR="008A7D4E">
        <w:t>factors</w:t>
      </w:r>
      <w:r>
        <w:t xml:space="preserve"> </w:t>
      </w:r>
      <w:r w:rsidR="001C0926">
        <w:t xml:space="preserve">among </w:t>
      </w:r>
      <w:r w:rsidR="00D0775F">
        <w:t>some</w:t>
      </w:r>
      <w:r w:rsidR="001C0926">
        <w:t xml:space="preserve"> groups of shiftworkers </w:t>
      </w:r>
      <w:r>
        <w:t xml:space="preserve">that </w:t>
      </w:r>
      <w:r w:rsidR="00896747">
        <w:t>reduce the prevalence or severity of risks associated with shiftwork</w:t>
      </w:r>
      <w:r>
        <w:t xml:space="preserve">. </w:t>
      </w:r>
      <w:r w:rsidR="00A60DF5">
        <w:t xml:space="preserve">One possible protective factor is that shiftworkers in </w:t>
      </w:r>
      <w:r w:rsidR="00D0775F">
        <w:t xml:space="preserve">some </w:t>
      </w:r>
      <w:r w:rsidR="006A2C43">
        <w:t>groups</w:t>
      </w:r>
      <w:r w:rsidR="00A60DF5">
        <w:t xml:space="preserve"> undertake less </w:t>
      </w:r>
      <w:r w:rsidR="006A2C43">
        <w:t>risky</w:t>
      </w:r>
      <w:r w:rsidR="00A60DF5">
        <w:t xml:space="preserve"> </w:t>
      </w:r>
      <w:r w:rsidR="006A2C43">
        <w:t>types of work</w:t>
      </w:r>
      <w:r w:rsidR="00A60DF5">
        <w:t xml:space="preserve"> than </w:t>
      </w:r>
      <w:r w:rsidR="006A2C43">
        <w:t>shiftworkers in other groups</w:t>
      </w:r>
      <w:r w:rsidR="00A60DF5">
        <w:t xml:space="preserve">. </w:t>
      </w:r>
      <w:r w:rsidR="0056246D">
        <w:t xml:space="preserve">This is supported by </w:t>
      </w:r>
      <w:r w:rsidR="001C0926">
        <w:t xml:space="preserve">the fact that </w:t>
      </w:r>
      <w:r w:rsidR="00127DF1">
        <w:t>Western Australia</w:t>
      </w:r>
      <w:r w:rsidR="00D0775F">
        <w:t xml:space="preserve">, which is the only Australian jurisdiction in which shiftworkers do not have significantly higher injury rates, </w:t>
      </w:r>
      <w:r w:rsidR="00127DF1">
        <w:t>has the lowest percentage of shiftworkers</w:t>
      </w:r>
      <w:r w:rsidR="00FC21FE">
        <w:t xml:space="preserve"> who are employed</w:t>
      </w:r>
      <w:r w:rsidR="00127DF1">
        <w:t xml:space="preserve"> in high-risk industries.</w:t>
      </w:r>
    </w:p>
    <w:p w:rsidR="00EA03FA" w:rsidRDefault="003E349E" w:rsidP="00F55F4E">
      <w:r>
        <w:t xml:space="preserve">In addition to undertaking less </w:t>
      </w:r>
      <w:r w:rsidR="006A2C43">
        <w:t>risky</w:t>
      </w:r>
      <w:r>
        <w:t xml:space="preserve"> types of work, it is possible that </w:t>
      </w:r>
      <w:r w:rsidR="00782C9B">
        <w:t xml:space="preserve">some </w:t>
      </w:r>
      <w:r w:rsidR="00827E68">
        <w:t xml:space="preserve">groups of </w:t>
      </w:r>
      <w:r>
        <w:t xml:space="preserve">shiftworkers have </w:t>
      </w:r>
      <w:r w:rsidR="008A62AA">
        <w:t>a lower degree of</w:t>
      </w:r>
      <w:r>
        <w:t xml:space="preserve"> exposure to the risk fa</w:t>
      </w:r>
      <w:r w:rsidR="001E415C">
        <w:t>ctors associated with shiftwork</w:t>
      </w:r>
      <w:r w:rsidR="00484022">
        <w:t xml:space="preserve"> </w:t>
      </w:r>
      <w:r w:rsidR="00004712">
        <w:t xml:space="preserve">(e.g. </w:t>
      </w:r>
      <w:r w:rsidR="00484022">
        <w:t>night shiftwork</w:t>
      </w:r>
      <w:r w:rsidR="00004712">
        <w:t>)</w:t>
      </w:r>
      <w:r w:rsidR="00484022">
        <w:t>.</w:t>
      </w:r>
      <w:r w:rsidR="001E415C">
        <w:t xml:space="preserve"> </w:t>
      </w:r>
      <w:r w:rsidR="00C53787">
        <w:t xml:space="preserve">It is important to accurately identify the factors that </w:t>
      </w:r>
      <w:r w:rsidR="00963718">
        <w:t xml:space="preserve">appear to </w:t>
      </w:r>
      <w:r w:rsidR="00C53787">
        <w:t>protect some groups of shiftworkers and this is an area that merits further researc</w:t>
      </w:r>
      <w:r w:rsidR="001B0025">
        <w:t>h. Findings from such research w</w:t>
      </w:r>
      <w:r w:rsidR="00C53787">
        <w:t xml:space="preserve">ould be </w:t>
      </w:r>
      <w:r w:rsidR="001B0025">
        <w:t xml:space="preserve">valuable in </w:t>
      </w:r>
      <w:r w:rsidR="00C53787">
        <w:t>inform</w:t>
      </w:r>
      <w:r w:rsidR="001B0025">
        <w:t>ing</w:t>
      </w:r>
      <w:r w:rsidR="00C53787">
        <w:t xml:space="preserve"> safety strategies that are more effective in reducing </w:t>
      </w:r>
      <w:r w:rsidR="0041362E">
        <w:t xml:space="preserve">the significantly high </w:t>
      </w:r>
      <w:r w:rsidR="00EE15FC">
        <w:t>injury rates</w:t>
      </w:r>
      <w:r w:rsidR="0041362E">
        <w:t xml:space="preserve"> </w:t>
      </w:r>
      <w:r w:rsidR="00004712">
        <w:t xml:space="preserve">among some groups of </w:t>
      </w:r>
      <w:r w:rsidR="00C53787">
        <w:t>shiftworkers.</w:t>
      </w:r>
    </w:p>
    <w:p w:rsidR="00C53787" w:rsidRDefault="00C53787">
      <w:pPr>
        <w:rPr>
          <w:b/>
          <w:sz w:val="40"/>
          <w:szCs w:val="32"/>
        </w:rPr>
      </w:pPr>
      <w:r>
        <w:br w:type="page"/>
      </w:r>
    </w:p>
    <w:p w:rsidR="003F5372" w:rsidRDefault="003F5372" w:rsidP="003A743E">
      <w:pPr>
        <w:pStyle w:val="Heading1"/>
      </w:pPr>
      <w:bookmarkStart w:id="123" w:name="_Toc459366246"/>
      <w:r>
        <w:lastRenderedPageBreak/>
        <w:t>Explanatory notes</w:t>
      </w:r>
      <w:bookmarkEnd w:id="123"/>
    </w:p>
    <w:p w:rsidR="002543DF" w:rsidRDefault="002543DF" w:rsidP="00C85ADD">
      <w:r>
        <w:t xml:space="preserve">Explanatory notes on the </w:t>
      </w:r>
      <w:r w:rsidR="00277D3B">
        <w:t xml:space="preserve">methods of the </w:t>
      </w:r>
      <w:r>
        <w:t xml:space="preserve">WRIS were published by the ABS and are available on </w:t>
      </w:r>
      <w:r w:rsidR="004D37CF">
        <w:t>its</w:t>
      </w:r>
      <w:r>
        <w:t xml:space="preserve"> website (</w:t>
      </w:r>
      <w:hyperlink r:id="rId27" w:history="1">
        <w:r w:rsidR="001C5158" w:rsidRPr="002E2E69">
          <w:rPr>
            <w:rStyle w:val="Hyperlink"/>
          </w:rPr>
          <w:t>http://www.abs.gov.au/ausstats/abs@.nsf/lookup/6324.0explanatory%20notes1jul%202013%20to%20jun%202014?opendocument</w:t>
        </w:r>
      </w:hyperlink>
      <w:r w:rsidR="001C5158">
        <w:t xml:space="preserve">). </w:t>
      </w:r>
      <w:r>
        <w:t xml:space="preserve">The explanatory notes below are in addition to those published by the ABS as they relate to the content </w:t>
      </w:r>
      <w:r w:rsidR="0067351D">
        <w:t>that is specific to</w:t>
      </w:r>
      <w:r>
        <w:t xml:space="preserve"> this report.</w:t>
      </w:r>
    </w:p>
    <w:p w:rsidR="00712753" w:rsidRDefault="00712753" w:rsidP="00712753">
      <w:pPr>
        <w:pStyle w:val="Heading2"/>
      </w:pPr>
      <w:bookmarkStart w:id="124" w:name="_Toc437332066"/>
      <w:bookmarkStart w:id="125" w:name="_Toc437584210"/>
      <w:bookmarkStart w:id="126" w:name="_Toc437840058"/>
      <w:bookmarkStart w:id="127" w:name="_Toc440436122"/>
      <w:bookmarkStart w:id="128" w:name="_Toc440442318"/>
      <w:bookmarkStart w:id="129" w:name="_Toc440620288"/>
      <w:bookmarkStart w:id="130" w:name="_Toc440869207"/>
      <w:bookmarkStart w:id="131" w:name="_Toc441038683"/>
      <w:bookmarkStart w:id="132" w:name="_Toc441043272"/>
      <w:bookmarkStart w:id="133" w:name="_Toc441736145"/>
      <w:bookmarkStart w:id="134" w:name="_Toc443550246"/>
      <w:bookmarkStart w:id="135" w:name="_Toc443550545"/>
      <w:bookmarkStart w:id="136" w:name="_Toc443651456"/>
      <w:bookmarkStart w:id="137" w:name="_Toc444075036"/>
      <w:bookmarkStart w:id="138" w:name="_Toc447701692"/>
      <w:bookmarkStart w:id="139" w:name="_Toc458413199"/>
      <w:bookmarkStart w:id="140" w:name="_Toc458414981"/>
      <w:bookmarkStart w:id="141" w:name="_Toc459358386"/>
      <w:bookmarkStart w:id="142" w:name="_Toc459366247"/>
      <w:bookmarkStart w:id="143" w:name="_Toc437332058"/>
      <w:bookmarkStart w:id="144" w:name="_Toc437584202"/>
      <w:bookmarkStart w:id="145" w:name="_Toc437840050"/>
      <w:bookmarkStart w:id="146" w:name="_Toc440436115"/>
      <w:bookmarkStart w:id="147" w:name="_Toc440442311"/>
      <w:bookmarkStart w:id="148" w:name="_Toc440620280"/>
      <w:bookmarkStart w:id="149" w:name="_Toc440869199"/>
      <w:bookmarkStart w:id="150" w:name="_Toc441038675"/>
      <w:bookmarkStart w:id="151" w:name="_Toc441043264"/>
      <w:r>
        <w:t>Confidence interval</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00FA357A">
        <w:t>s</w:t>
      </w:r>
      <w:bookmarkEnd w:id="138"/>
      <w:bookmarkEnd w:id="139"/>
      <w:bookmarkEnd w:id="140"/>
      <w:bookmarkEnd w:id="141"/>
      <w:bookmarkEnd w:id="142"/>
    </w:p>
    <w:p w:rsidR="00712753" w:rsidRDefault="00712753" w:rsidP="00712753">
      <w:r>
        <w:t xml:space="preserve">In this report, </w:t>
      </w:r>
      <w:r w:rsidR="00E87749">
        <w:t>84 per cent</w:t>
      </w:r>
      <w:r>
        <w:t xml:space="preserve"> confidence intervals were calculated using RSEs that were published by the ABS. The RSEs and their associated estimates were used to calculate standard errors and the standard errors were used to calculate </w:t>
      </w:r>
      <w:r w:rsidR="00E87749">
        <w:t>84 per cent</w:t>
      </w:r>
      <w:r>
        <w:t xml:space="preserve"> confidence intervals. Confidence intervals were not calculated for estimates that had RSEs above 50 </w:t>
      </w:r>
      <w:r w:rsidR="0035465B">
        <w:t>per cent</w:t>
      </w:r>
      <w:r>
        <w:t>.</w:t>
      </w:r>
    </w:p>
    <w:p w:rsidR="003270F2" w:rsidRDefault="003270F2" w:rsidP="00C1631D">
      <w:pPr>
        <w:pStyle w:val="Heading2"/>
      </w:pPr>
      <w:bookmarkStart w:id="152" w:name="_Toc437332059"/>
      <w:bookmarkStart w:id="153" w:name="_Toc437584203"/>
      <w:bookmarkStart w:id="154" w:name="_Toc437840051"/>
      <w:bookmarkStart w:id="155" w:name="_Toc440436116"/>
      <w:bookmarkStart w:id="156" w:name="_Toc440442312"/>
      <w:bookmarkStart w:id="157" w:name="_Toc440620281"/>
      <w:bookmarkStart w:id="158" w:name="_Toc440869200"/>
      <w:bookmarkStart w:id="159" w:name="_Toc441038676"/>
      <w:bookmarkStart w:id="160" w:name="_Toc441043265"/>
      <w:bookmarkStart w:id="161" w:name="_Toc441736147"/>
      <w:bookmarkStart w:id="162" w:name="_Toc443550248"/>
      <w:bookmarkStart w:id="163" w:name="_Toc443550547"/>
      <w:bookmarkStart w:id="164" w:name="_Toc443651458"/>
      <w:bookmarkStart w:id="165" w:name="_Toc444075038"/>
      <w:bookmarkStart w:id="166" w:name="_Toc447701693"/>
      <w:bookmarkStart w:id="167" w:name="_Toc458413200"/>
      <w:bookmarkStart w:id="168" w:name="_Toc458414982"/>
      <w:bookmarkStart w:id="169" w:name="_Toc459358387"/>
      <w:bookmarkStart w:id="170" w:name="_Toc459366248"/>
      <w:bookmarkEnd w:id="143"/>
      <w:bookmarkEnd w:id="144"/>
      <w:bookmarkEnd w:id="145"/>
      <w:bookmarkEnd w:id="146"/>
      <w:bookmarkEnd w:id="147"/>
      <w:bookmarkEnd w:id="148"/>
      <w:bookmarkEnd w:id="149"/>
      <w:bookmarkEnd w:id="150"/>
      <w:bookmarkEnd w:id="151"/>
      <w:r>
        <w:t>Industry</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3270F2" w:rsidRDefault="003270F2" w:rsidP="003270F2">
      <w:r>
        <w:t xml:space="preserve">The </w:t>
      </w:r>
      <w:r w:rsidR="004D37CF">
        <w:t xml:space="preserve">industry of the injured worker </w:t>
      </w:r>
      <w:r>
        <w:t>was coded using the Australian and New Zealand Standard Industrial Classification, 2006 (ABS 2006b).</w:t>
      </w:r>
    </w:p>
    <w:p w:rsidR="00FA357A" w:rsidRDefault="00FA357A" w:rsidP="00FA357A">
      <w:pPr>
        <w:pStyle w:val="Heading2"/>
      </w:pPr>
      <w:bookmarkStart w:id="171" w:name="_Toc441736146"/>
      <w:bookmarkStart w:id="172" w:name="_Toc443550247"/>
      <w:bookmarkStart w:id="173" w:name="_Toc443550546"/>
      <w:bookmarkStart w:id="174" w:name="_Toc443651457"/>
      <w:bookmarkStart w:id="175" w:name="_Toc444075037"/>
      <w:bookmarkStart w:id="176" w:name="_Toc447701694"/>
      <w:bookmarkStart w:id="177" w:name="_Toc458413201"/>
      <w:bookmarkStart w:id="178" w:name="_Toc458414983"/>
      <w:bookmarkStart w:id="179" w:name="_Toc459358388"/>
      <w:bookmarkStart w:id="180" w:name="_Toc459366249"/>
      <w:bookmarkStart w:id="181" w:name="_Toc437584204"/>
      <w:bookmarkStart w:id="182" w:name="_Toc437332060"/>
      <w:bookmarkStart w:id="183" w:name="_Toc437840052"/>
      <w:bookmarkStart w:id="184" w:name="_Toc440436117"/>
      <w:bookmarkStart w:id="185" w:name="_Toc440442313"/>
      <w:bookmarkStart w:id="186" w:name="_Toc440620282"/>
      <w:bookmarkStart w:id="187" w:name="_Toc440869201"/>
      <w:bookmarkStart w:id="188" w:name="_Toc441038677"/>
      <w:bookmarkStart w:id="189" w:name="_Toc441043266"/>
      <w:bookmarkStart w:id="190" w:name="_Toc441736148"/>
      <w:bookmarkStart w:id="191" w:name="_Toc443550249"/>
      <w:bookmarkStart w:id="192" w:name="_Toc443550548"/>
      <w:bookmarkStart w:id="193" w:name="_Toc443651459"/>
      <w:bookmarkStart w:id="194" w:name="_Toc444075039"/>
      <w:r>
        <w:t>Injury rate</w:t>
      </w:r>
      <w:bookmarkEnd w:id="171"/>
      <w:bookmarkEnd w:id="172"/>
      <w:bookmarkEnd w:id="173"/>
      <w:bookmarkEnd w:id="174"/>
      <w:bookmarkEnd w:id="175"/>
      <w:r>
        <w:t>s</w:t>
      </w:r>
      <w:bookmarkEnd w:id="176"/>
      <w:bookmarkEnd w:id="177"/>
      <w:bookmarkEnd w:id="178"/>
      <w:bookmarkEnd w:id="179"/>
      <w:bookmarkEnd w:id="180"/>
    </w:p>
    <w:p w:rsidR="00FA357A" w:rsidRDefault="00FA357A" w:rsidP="00FA357A">
      <w:r>
        <w:t>The number of injured workers per million hours worked was calculated using the following formula: n</w:t>
      </w:r>
      <w:r w:rsidRPr="008B4CA9">
        <w:t xml:space="preserve">umber of </w:t>
      </w:r>
      <w:r>
        <w:t xml:space="preserve">injured workers </w:t>
      </w:r>
      <w:r w:rsidRPr="008B4CA9">
        <w:t xml:space="preserve">/ number of hours worked annually </w:t>
      </w:r>
      <w:r>
        <w:t>by workers x 1 </w:t>
      </w:r>
      <w:r w:rsidRPr="008B4CA9">
        <w:t>000</w:t>
      </w:r>
      <w:r>
        <w:t> </w:t>
      </w:r>
      <w:r w:rsidRPr="008B4CA9">
        <w:t>000</w:t>
      </w:r>
      <w:r>
        <w:t>.</w:t>
      </w:r>
    </w:p>
    <w:p w:rsidR="00FA357A" w:rsidRDefault="00FA357A" w:rsidP="00FA357A">
      <w:r>
        <w:t>Estimates of hours worked were calculated using data from the Multi-Purpose Household Survey (MPHS) that the ABS administered together with the WRIS in 2013–14. The MPHS is a broader survey that is used to develop statisti</w:t>
      </w:r>
      <w:r w:rsidR="0056246D">
        <w:t>cs on the Australian workforce.</w:t>
      </w:r>
    </w:p>
    <w:p w:rsidR="00FA357A" w:rsidRDefault="00FA357A" w:rsidP="00FA357A">
      <w:r>
        <w:t>Respondents to the MPHS were asked to indicate the number of hours they usually work per week in all jobs. For each respondent, an estimate of the number of hours worked in 2013–14 was calculated by multiplying the number of hours usually worked per week by 48 (expected number of working weeks in a financial year after annual leave). For each group of workers, estimates of hours worked in 2013–14 were calculated by aggregating the hours worked by each worker in the group.</w:t>
      </w:r>
    </w:p>
    <w:p w:rsidR="003270F2" w:rsidRDefault="003270F2" w:rsidP="00C1631D">
      <w:pPr>
        <w:pStyle w:val="Heading2"/>
      </w:pPr>
      <w:bookmarkStart w:id="195" w:name="_Toc447701695"/>
      <w:bookmarkStart w:id="196" w:name="_Toc458413202"/>
      <w:bookmarkStart w:id="197" w:name="_Toc458414984"/>
      <w:bookmarkStart w:id="198" w:name="_Toc459358389"/>
      <w:bookmarkStart w:id="199" w:name="_Toc459366250"/>
      <w:r>
        <w:t>Mechanism of injury</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3270F2" w:rsidRDefault="003270F2" w:rsidP="003270F2">
      <w:r>
        <w:t>The mechanism of injury classification was based on the Type of Occurrence Classification System (ASCC 2008) that was developed by Safe Work Australia for coding workers' compensation claims.</w:t>
      </w:r>
    </w:p>
    <w:p w:rsidR="003270F2" w:rsidRDefault="003270F2" w:rsidP="00C1631D">
      <w:pPr>
        <w:pStyle w:val="Heading2"/>
      </w:pPr>
      <w:bookmarkStart w:id="200" w:name="_Toc437584205"/>
      <w:bookmarkStart w:id="201" w:name="_Toc437332061"/>
      <w:bookmarkStart w:id="202" w:name="_Toc437840053"/>
      <w:bookmarkStart w:id="203" w:name="_Toc440436118"/>
      <w:bookmarkStart w:id="204" w:name="_Toc440442314"/>
      <w:bookmarkStart w:id="205" w:name="_Toc440620283"/>
      <w:bookmarkStart w:id="206" w:name="_Toc440869202"/>
      <w:bookmarkStart w:id="207" w:name="_Toc441038678"/>
      <w:bookmarkStart w:id="208" w:name="_Toc441043267"/>
      <w:bookmarkStart w:id="209" w:name="_Toc441736149"/>
      <w:bookmarkStart w:id="210" w:name="_Toc443550250"/>
      <w:bookmarkStart w:id="211" w:name="_Toc443550549"/>
      <w:bookmarkStart w:id="212" w:name="_Toc443651460"/>
      <w:bookmarkStart w:id="213" w:name="_Toc444075040"/>
      <w:bookmarkStart w:id="214" w:name="_Toc447701696"/>
      <w:bookmarkStart w:id="215" w:name="_Toc458413203"/>
      <w:bookmarkStart w:id="216" w:name="_Toc458414985"/>
      <w:bookmarkStart w:id="217" w:name="_Toc459358390"/>
      <w:bookmarkStart w:id="218" w:name="_Toc459366251"/>
      <w:r>
        <w:t>Nature of injury</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270F2" w:rsidRDefault="003270F2" w:rsidP="003270F2">
      <w:r>
        <w:t>The nature of injury classification was based on the Type of Occurrence Classification System (ASCC 2008) that was developed by Safe Work Australia for coding workers' compensation claims.</w:t>
      </w:r>
    </w:p>
    <w:p w:rsidR="003270F2" w:rsidRDefault="003270F2" w:rsidP="00C1631D">
      <w:pPr>
        <w:pStyle w:val="Heading2"/>
      </w:pPr>
      <w:bookmarkStart w:id="219" w:name="_Toc437332062"/>
      <w:bookmarkStart w:id="220" w:name="_Toc437584206"/>
      <w:bookmarkStart w:id="221" w:name="_Toc437840054"/>
      <w:bookmarkStart w:id="222" w:name="_Toc440436119"/>
      <w:bookmarkStart w:id="223" w:name="_Toc440442315"/>
      <w:bookmarkStart w:id="224" w:name="_Toc440620284"/>
      <w:bookmarkStart w:id="225" w:name="_Toc440869203"/>
      <w:bookmarkStart w:id="226" w:name="_Toc441038679"/>
      <w:bookmarkStart w:id="227" w:name="_Toc441043268"/>
      <w:bookmarkStart w:id="228" w:name="_Toc441736150"/>
      <w:bookmarkStart w:id="229" w:name="_Toc443550251"/>
      <w:bookmarkStart w:id="230" w:name="_Toc443550550"/>
      <w:bookmarkStart w:id="231" w:name="_Toc443651461"/>
      <w:bookmarkStart w:id="232" w:name="_Toc444075041"/>
      <w:bookmarkStart w:id="233" w:name="_Toc447701697"/>
      <w:bookmarkStart w:id="234" w:name="_Toc458413204"/>
      <w:bookmarkStart w:id="235" w:name="_Toc458414986"/>
      <w:bookmarkStart w:id="236" w:name="_Toc459358391"/>
      <w:bookmarkStart w:id="237" w:name="_Toc459366252"/>
      <w:r>
        <w:t>Occupation</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3270F2" w:rsidRDefault="003270F2" w:rsidP="003270F2">
      <w:r>
        <w:t>The oc</w:t>
      </w:r>
      <w:r w:rsidR="004D37CF">
        <w:t xml:space="preserve">cupation of the injured worker </w:t>
      </w:r>
      <w:r>
        <w:t>was coded using the Australian and New Zealand Standard Classification of Occupations, First Edition (ABS 2006a).</w:t>
      </w:r>
    </w:p>
    <w:p w:rsidR="00712753" w:rsidRDefault="00712753">
      <w:pPr>
        <w:rPr>
          <w:b/>
          <w:sz w:val="40"/>
          <w:szCs w:val="32"/>
        </w:rPr>
      </w:pPr>
      <w:r>
        <w:br w:type="page"/>
      </w:r>
    </w:p>
    <w:p w:rsidR="00AD1C47" w:rsidRDefault="00AD1C47" w:rsidP="00AD1C47">
      <w:pPr>
        <w:pStyle w:val="Heading1"/>
      </w:pPr>
      <w:bookmarkStart w:id="238" w:name="_Toc459366253"/>
      <w:r>
        <w:lastRenderedPageBreak/>
        <w:t>References</w:t>
      </w:r>
      <w:bookmarkEnd w:id="238"/>
    </w:p>
    <w:p w:rsidR="002B418A" w:rsidRDefault="002B418A" w:rsidP="00AD1C47">
      <w:r>
        <w:t>Australian Bureau of Statistics (ABS) 2012. Working Time Arrangements. ABS catalogue number 6342.0. Canberra: ABS.</w:t>
      </w:r>
      <w:r w:rsidRPr="00FC175E">
        <w:t xml:space="preserve"> </w:t>
      </w:r>
      <w:hyperlink r:id="rId28" w:history="1">
        <w:r w:rsidR="001C5158" w:rsidRPr="002E2E69">
          <w:rPr>
            <w:rStyle w:val="Hyperlink"/>
          </w:rPr>
          <w:t>http://www.abs.gov.au/ausstats/abs@.nsf/lookup/6342.0main+features1november%202012?opendocument</w:t>
        </w:r>
      </w:hyperlink>
    </w:p>
    <w:p w:rsidR="002B418A" w:rsidRDefault="002B418A" w:rsidP="00AD1C47">
      <w:r>
        <w:t xml:space="preserve">Australian Bureau of Statistics (ABS) 2014. Work-Related Injuries. ABS catalogue number 6324.0. Canberra: ABS. </w:t>
      </w:r>
      <w:hyperlink r:id="rId29" w:history="1">
        <w:r w:rsidR="001C5158" w:rsidRPr="002E2E69">
          <w:rPr>
            <w:rStyle w:val="Hyperlink"/>
          </w:rPr>
          <w:t>http://www.abs.gov.au/ausstats/abs@.nsf/lookup/6324.0main+features1jul%202013%20to%20jun%202014?opendocument</w:t>
        </w:r>
      </w:hyperlink>
    </w:p>
    <w:p w:rsidR="002B418A" w:rsidRDefault="002B418A" w:rsidP="00AD1C47">
      <w:r>
        <w:t xml:space="preserve">Australian Bureau of Statistics (ABS) and Statistics New Zealand 2006a. Australian and New Zealand Standard Classification of Occupations, First Edition. ABS catalogue number 1220.0. Canberra: ABS. </w:t>
      </w:r>
      <w:hyperlink r:id="rId30" w:history="1">
        <w:r w:rsidR="001C5158" w:rsidRPr="00240531">
          <w:rPr>
            <w:rStyle w:val="Hyperlink"/>
          </w:rPr>
          <w:t>http://www.abs.gov.au/ausstats/abs@.nsf/allprimarymainfeatures/f6a0bb67c088f217ca2575df001cadc7?opendocument</w:t>
        </w:r>
      </w:hyperlink>
    </w:p>
    <w:p w:rsidR="002B418A" w:rsidRDefault="002B418A" w:rsidP="00AD1C47">
      <w:r>
        <w:t xml:space="preserve">Australian Bureau of Statistics (ABS) and Statistics New Zealand 2006b. Australian and New Zealand Standard Industrial Classification, 2006. ABS catalogue number 1292.0. Canberra: ABS. </w:t>
      </w:r>
      <w:hyperlink r:id="rId31" w:history="1">
        <w:r w:rsidR="001C5158" w:rsidRPr="00240531">
          <w:rPr>
            <w:rStyle w:val="Hyperlink"/>
          </w:rPr>
          <w:t>http://www.abs.gov.au/ausstats/abs@.nsf/allprimarymainfeatures/a77d93484dc49d63ca25712300056842?opendocument</w:t>
        </w:r>
      </w:hyperlink>
    </w:p>
    <w:p w:rsidR="002B418A" w:rsidRDefault="002B418A" w:rsidP="00AD1C47">
      <w:pPr>
        <w:rPr>
          <w:rStyle w:val="Hyperlink"/>
        </w:rPr>
      </w:pPr>
      <w:r>
        <w:t xml:space="preserve">Australian Safety and Compensation Council (ASCC) 2008. Type of Occurrence Classification System, Third Edition, Revision 1. Canberra: ASCC. </w:t>
      </w:r>
      <w:hyperlink r:id="rId32" w:history="1">
        <w:r w:rsidR="001C5158" w:rsidRPr="00240531">
          <w:rPr>
            <w:rStyle w:val="Hyperlink"/>
          </w:rPr>
          <w:t>http://www.safeworkaustralia.gov.au/sites/swa/about/publications/pages/sr20080501toocs3rdeditionrevision</w:t>
        </w:r>
      </w:hyperlink>
    </w:p>
    <w:p w:rsidR="00304EFB" w:rsidRDefault="002C28E6" w:rsidP="004B3D7A">
      <w:r>
        <w:t xml:space="preserve">Folkard S and Tucker P 2003. </w:t>
      </w:r>
      <w:r w:rsidRPr="002C28E6">
        <w:t xml:space="preserve">Shift </w:t>
      </w:r>
      <w:r w:rsidR="002818EC" w:rsidRPr="002C28E6">
        <w:t>Work, Safety, and Productivity</w:t>
      </w:r>
      <w:r w:rsidRPr="002C28E6">
        <w:t>. Occup</w:t>
      </w:r>
      <w:r>
        <w:t>ational</w:t>
      </w:r>
      <w:r w:rsidRPr="002C28E6">
        <w:t xml:space="preserve"> Med</w:t>
      </w:r>
      <w:r>
        <w:t xml:space="preserve">icine, volume </w:t>
      </w:r>
      <w:r w:rsidRPr="002C28E6">
        <w:t>53</w:t>
      </w:r>
      <w:r>
        <w:t>, number 2, page 95–</w:t>
      </w:r>
      <w:r w:rsidRPr="002C28E6">
        <w:t>101</w:t>
      </w:r>
      <w:r>
        <w:t>.</w:t>
      </w:r>
    </w:p>
    <w:p w:rsidR="000779C1" w:rsidRDefault="000779C1" w:rsidP="004B3D7A">
      <w:r w:rsidRPr="000779C1">
        <w:t>Hettmansperger T and McKean J 2</w:t>
      </w:r>
      <w:r>
        <w:t>011</w:t>
      </w:r>
      <w:r w:rsidRPr="000779C1">
        <w:t>. Robust Nonparametric Statistical Methods, Second Edition.</w:t>
      </w:r>
      <w:r>
        <w:t xml:space="preserve"> Florida: CRC Press.</w:t>
      </w:r>
    </w:p>
    <w:p w:rsidR="00BA78A2" w:rsidRDefault="00BA78A2" w:rsidP="004B3D7A">
      <w:r>
        <w:t>MacGregor-Fors I and</w:t>
      </w:r>
      <w:r w:rsidRPr="00BA78A2">
        <w:t xml:space="preserve"> Payton M</w:t>
      </w:r>
      <w:r>
        <w:t xml:space="preserve"> 2013</w:t>
      </w:r>
      <w:r w:rsidRPr="00BA78A2">
        <w:t>. Contrasting Diversity Values: Statistical Inferences Based on Overlapping Confide</w:t>
      </w:r>
      <w:r>
        <w:t xml:space="preserve">nce Intervals. PLOS ONE, volume </w:t>
      </w:r>
      <w:r w:rsidRPr="00BA78A2">
        <w:t>8</w:t>
      </w:r>
      <w:r>
        <w:t>, number 2</w:t>
      </w:r>
      <w:r w:rsidRPr="00BA78A2">
        <w:t>.</w:t>
      </w:r>
    </w:p>
    <w:p w:rsidR="00304EFB" w:rsidRDefault="00532441" w:rsidP="004B3D7A">
      <w:r>
        <w:t>Payton M, Greenstone M</w:t>
      </w:r>
      <w:r w:rsidR="00304EFB" w:rsidRPr="00304EFB">
        <w:t xml:space="preserve"> and Schenker N 2003. Overlapping </w:t>
      </w:r>
      <w:r w:rsidR="008358F7">
        <w:t>Confidence Intervals o</w:t>
      </w:r>
      <w:r w:rsidR="008358F7" w:rsidRPr="00304EFB">
        <w:t xml:space="preserve">r Standard Error Intervals: </w:t>
      </w:r>
      <w:r w:rsidR="00304EFB" w:rsidRPr="00304EFB">
        <w:t xml:space="preserve">What </w:t>
      </w:r>
      <w:r w:rsidR="008358F7">
        <w:t>Do They Mean In Terms o</w:t>
      </w:r>
      <w:r w:rsidR="008358F7" w:rsidRPr="00304EFB">
        <w:t>f Statistical Significance</w:t>
      </w:r>
      <w:r w:rsidR="00304EFB" w:rsidRPr="00304EFB">
        <w:t>? Journal of Insect Science, v</w:t>
      </w:r>
      <w:r w:rsidR="008358F7">
        <w:t>olume 3, number 34</w:t>
      </w:r>
      <w:r w:rsidR="00304EFB" w:rsidRPr="00304EFB">
        <w:t>.</w:t>
      </w:r>
    </w:p>
    <w:p w:rsidR="00750EBE" w:rsidRDefault="00750EBE" w:rsidP="004B3D7A">
      <w:r w:rsidRPr="00750EBE">
        <w:t xml:space="preserve">Rajaratnam </w:t>
      </w:r>
      <w:r>
        <w:t xml:space="preserve">S, </w:t>
      </w:r>
      <w:r w:rsidR="004B3D7A">
        <w:t xml:space="preserve">Howard M and </w:t>
      </w:r>
      <w:r w:rsidR="004B3D7A" w:rsidRPr="004B3D7A">
        <w:t>Grunstein</w:t>
      </w:r>
      <w:r w:rsidRPr="00750EBE">
        <w:t xml:space="preserve"> </w:t>
      </w:r>
      <w:r w:rsidR="004B3D7A">
        <w:t xml:space="preserve">R </w:t>
      </w:r>
      <w:r w:rsidRPr="00750EBE">
        <w:t>2013</w:t>
      </w:r>
      <w:r w:rsidR="004B3D7A">
        <w:t xml:space="preserve">. Sleep Loss and Circadian Disruption in Shift Work: Health Burden and Management. Medical Journal of Australia, volume 199, </w:t>
      </w:r>
      <w:r w:rsidR="00176CF1">
        <w:t xml:space="preserve">number 8, </w:t>
      </w:r>
      <w:r w:rsidR="004B3D7A">
        <w:t>page 12–15.</w:t>
      </w:r>
    </w:p>
    <w:p w:rsidR="00C9544B" w:rsidRDefault="00C9544B" w:rsidP="004B3D7A">
      <w:r>
        <w:t xml:space="preserve">Wang </w:t>
      </w:r>
      <w:r w:rsidR="00176CF1">
        <w:t>X-</w:t>
      </w:r>
      <w:r>
        <w:t xml:space="preserve">S, Armstrong </w:t>
      </w:r>
      <w:r w:rsidR="00176CF1">
        <w:t xml:space="preserve"> M</w:t>
      </w:r>
      <w:r>
        <w:t xml:space="preserve">, Cairns </w:t>
      </w:r>
      <w:r w:rsidR="00176CF1">
        <w:t>B</w:t>
      </w:r>
      <w:r>
        <w:t xml:space="preserve">, Key </w:t>
      </w:r>
      <w:r w:rsidR="00176CF1">
        <w:t>T</w:t>
      </w:r>
      <w:r>
        <w:t xml:space="preserve"> and Travis </w:t>
      </w:r>
      <w:r w:rsidR="00176CF1">
        <w:t>R</w:t>
      </w:r>
      <w:r>
        <w:t xml:space="preserve"> 2011.</w:t>
      </w:r>
      <w:r w:rsidRPr="00C9544B">
        <w:t xml:space="preserve"> Shift </w:t>
      </w:r>
      <w:r w:rsidR="00176CF1" w:rsidRPr="00C9544B">
        <w:t>Work and Chronic Disease: The Epidemiological Evidence</w:t>
      </w:r>
      <w:r w:rsidR="00176CF1">
        <w:t>. Occupational Medicine, volume 61, page 78–89.</w:t>
      </w:r>
    </w:p>
    <w:sectPr w:rsidR="00C9544B" w:rsidSect="00F0417D">
      <w:footerReference w:type="default" r:id="rId33"/>
      <w:pgSz w:w="11906" w:h="16838"/>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C8B" w:rsidRDefault="00147C8B" w:rsidP="00160AF8">
      <w:pPr>
        <w:spacing w:after="0" w:line="240" w:lineRule="auto"/>
      </w:pPr>
      <w:r>
        <w:separator/>
      </w:r>
    </w:p>
  </w:endnote>
  <w:endnote w:type="continuationSeparator" w:id="0">
    <w:p w:rsidR="00147C8B" w:rsidRDefault="00147C8B" w:rsidP="00160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338874"/>
      <w:docPartObj>
        <w:docPartGallery w:val="Page Numbers (Bottom of Page)"/>
        <w:docPartUnique/>
      </w:docPartObj>
    </w:sdtPr>
    <w:sdtEndPr>
      <w:rPr>
        <w:noProof/>
      </w:rPr>
    </w:sdtEndPr>
    <w:sdtContent>
      <w:p w:rsidR="00147C8B" w:rsidRDefault="00147C8B">
        <w:pPr>
          <w:pStyle w:val="Footer"/>
          <w:jc w:val="right"/>
        </w:pPr>
        <w:r>
          <w:fldChar w:fldCharType="begin"/>
        </w:r>
        <w:r>
          <w:instrText xml:space="preserve"> PAGE   \* MERGEFORMAT </w:instrText>
        </w:r>
        <w:r>
          <w:fldChar w:fldCharType="separate"/>
        </w:r>
        <w:r w:rsidR="0040786F">
          <w:rPr>
            <w:noProof/>
          </w:rPr>
          <w:t>11</w:t>
        </w:r>
        <w:r>
          <w:rPr>
            <w:noProof/>
          </w:rPr>
          <w:fldChar w:fldCharType="end"/>
        </w:r>
      </w:p>
    </w:sdtContent>
  </w:sdt>
  <w:p w:rsidR="00147C8B" w:rsidRPr="000B60D9" w:rsidRDefault="00147C8B" w:rsidP="00BF0A68">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C8B" w:rsidRDefault="00147C8B" w:rsidP="00160AF8">
      <w:pPr>
        <w:spacing w:after="0" w:line="240" w:lineRule="auto"/>
      </w:pPr>
      <w:r>
        <w:separator/>
      </w:r>
    </w:p>
  </w:footnote>
  <w:footnote w:type="continuationSeparator" w:id="0">
    <w:p w:rsidR="00147C8B" w:rsidRDefault="00147C8B" w:rsidP="00160A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1773"/>
    <w:multiLevelType w:val="hybridMultilevel"/>
    <w:tmpl w:val="93548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3E728D5"/>
    <w:multiLevelType w:val="hybridMultilevel"/>
    <w:tmpl w:val="24D2D5F2"/>
    <w:lvl w:ilvl="0" w:tplc="25FEFB4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9E22E3A"/>
    <w:multiLevelType w:val="hybridMultilevel"/>
    <w:tmpl w:val="5BFA1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C42493"/>
    <w:multiLevelType w:val="hybridMultilevel"/>
    <w:tmpl w:val="C3BA3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2B4486"/>
    <w:multiLevelType w:val="hybridMultilevel"/>
    <w:tmpl w:val="3036E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EA6667"/>
    <w:multiLevelType w:val="hybridMultilevel"/>
    <w:tmpl w:val="8F24C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7AC30F3"/>
    <w:multiLevelType w:val="hybridMultilevel"/>
    <w:tmpl w:val="23746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9001037"/>
    <w:multiLevelType w:val="hybridMultilevel"/>
    <w:tmpl w:val="71985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2821C5"/>
    <w:multiLevelType w:val="hybridMultilevel"/>
    <w:tmpl w:val="FF38C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94D1787"/>
    <w:multiLevelType w:val="hybridMultilevel"/>
    <w:tmpl w:val="A8903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597C3E"/>
    <w:multiLevelType w:val="hybridMultilevel"/>
    <w:tmpl w:val="4F804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1234DA0"/>
    <w:multiLevelType w:val="hybridMultilevel"/>
    <w:tmpl w:val="6B7E3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1AE2D33"/>
    <w:multiLevelType w:val="hybridMultilevel"/>
    <w:tmpl w:val="6AB4F054"/>
    <w:lvl w:ilvl="0" w:tplc="0C090001">
      <w:start w:val="1"/>
      <w:numFmt w:val="bullet"/>
      <w:lvlText w:val=""/>
      <w:lvlJc w:val="left"/>
      <w:pPr>
        <w:ind w:left="945" w:hanging="360"/>
      </w:pPr>
      <w:rPr>
        <w:rFonts w:ascii="Symbol" w:hAnsi="Symbol" w:hint="default"/>
      </w:rPr>
    </w:lvl>
    <w:lvl w:ilvl="1" w:tplc="0C090003" w:tentative="1">
      <w:start w:val="1"/>
      <w:numFmt w:val="bullet"/>
      <w:lvlText w:val="o"/>
      <w:lvlJc w:val="left"/>
      <w:pPr>
        <w:ind w:left="1665" w:hanging="360"/>
      </w:pPr>
      <w:rPr>
        <w:rFonts w:ascii="Courier New" w:hAnsi="Courier New" w:cs="Courier New" w:hint="default"/>
      </w:rPr>
    </w:lvl>
    <w:lvl w:ilvl="2" w:tplc="0C090005" w:tentative="1">
      <w:start w:val="1"/>
      <w:numFmt w:val="bullet"/>
      <w:lvlText w:val=""/>
      <w:lvlJc w:val="left"/>
      <w:pPr>
        <w:ind w:left="2385" w:hanging="360"/>
      </w:pPr>
      <w:rPr>
        <w:rFonts w:ascii="Wingdings" w:hAnsi="Wingdings" w:hint="default"/>
      </w:rPr>
    </w:lvl>
    <w:lvl w:ilvl="3" w:tplc="0C090001" w:tentative="1">
      <w:start w:val="1"/>
      <w:numFmt w:val="bullet"/>
      <w:lvlText w:val=""/>
      <w:lvlJc w:val="left"/>
      <w:pPr>
        <w:ind w:left="3105" w:hanging="360"/>
      </w:pPr>
      <w:rPr>
        <w:rFonts w:ascii="Symbol" w:hAnsi="Symbol" w:hint="default"/>
      </w:rPr>
    </w:lvl>
    <w:lvl w:ilvl="4" w:tplc="0C090003" w:tentative="1">
      <w:start w:val="1"/>
      <w:numFmt w:val="bullet"/>
      <w:lvlText w:val="o"/>
      <w:lvlJc w:val="left"/>
      <w:pPr>
        <w:ind w:left="3825" w:hanging="360"/>
      </w:pPr>
      <w:rPr>
        <w:rFonts w:ascii="Courier New" w:hAnsi="Courier New" w:cs="Courier New" w:hint="default"/>
      </w:rPr>
    </w:lvl>
    <w:lvl w:ilvl="5" w:tplc="0C090005" w:tentative="1">
      <w:start w:val="1"/>
      <w:numFmt w:val="bullet"/>
      <w:lvlText w:val=""/>
      <w:lvlJc w:val="left"/>
      <w:pPr>
        <w:ind w:left="4545" w:hanging="360"/>
      </w:pPr>
      <w:rPr>
        <w:rFonts w:ascii="Wingdings" w:hAnsi="Wingdings" w:hint="default"/>
      </w:rPr>
    </w:lvl>
    <w:lvl w:ilvl="6" w:tplc="0C090001" w:tentative="1">
      <w:start w:val="1"/>
      <w:numFmt w:val="bullet"/>
      <w:lvlText w:val=""/>
      <w:lvlJc w:val="left"/>
      <w:pPr>
        <w:ind w:left="5265" w:hanging="360"/>
      </w:pPr>
      <w:rPr>
        <w:rFonts w:ascii="Symbol" w:hAnsi="Symbol" w:hint="default"/>
      </w:rPr>
    </w:lvl>
    <w:lvl w:ilvl="7" w:tplc="0C090003" w:tentative="1">
      <w:start w:val="1"/>
      <w:numFmt w:val="bullet"/>
      <w:lvlText w:val="o"/>
      <w:lvlJc w:val="left"/>
      <w:pPr>
        <w:ind w:left="5985" w:hanging="360"/>
      </w:pPr>
      <w:rPr>
        <w:rFonts w:ascii="Courier New" w:hAnsi="Courier New" w:cs="Courier New" w:hint="default"/>
      </w:rPr>
    </w:lvl>
    <w:lvl w:ilvl="8" w:tplc="0C090005" w:tentative="1">
      <w:start w:val="1"/>
      <w:numFmt w:val="bullet"/>
      <w:lvlText w:val=""/>
      <w:lvlJc w:val="left"/>
      <w:pPr>
        <w:ind w:left="6705" w:hanging="360"/>
      </w:pPr>
      <w:rPr>
        <w:rFonts w:ascii="Wingdings" w:hAnsi="Wingdings" w:hint="default"/>
      </w:rPr>
    </w:lvl>
  </w:abstractNum>
  <w:abstractNum w:abstractNumId="13">
    <w:nsid w:val="31BC42C1"/>
    <w:multiLevelType w:val="hybridMultilevel"/>
    <w:tmpl w:val="35846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23854C6"/>
    <w:multiLevelType w:val="hybridMultilevel"/>
    <w:tmpl w:val="CEDA2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7FE5527"/>
    <w:multiLevelType w:val="hybridMultilevel"/>
    <w:tmpl w:val="067AD3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A190A59"/>
    <w:multiLevelType w:val="hybridMultilevel"/>
    <w:tmpl w:val="4290E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D7710F"/>
    <w:multiLevelType w:val="hybridMultilevel"/>
    <w:tmpl w:val="A8040CEC"/>
    <w:lvl w:ilvl="0" w:tplc="4CA82C60">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0536DC5"/>
    <w:multiLevelType w:val="hybridMultilevel"/>
    <w:tmpl w:val="CD98E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48C7F7D"/>
    <w:multiLevelType w:val="hybridMultilevel"/>
    <w:tmpl w:val="5E4CE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B234AFC"/>
    <w:multiLevelType w:val="hybridMultilevel"/>
    <w:tmpl w:val="EC900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2554F5A"/>
    <w:multiLevelType w:val="hybridMultilevel"/>
    <w:tmpl w:val="09E05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3924FE1"/>
    <w:multiLevelType w:val="hybridMultilevel"/>
    <w:tmpl w:val="B5389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E90004A"/>
    <w:multiLevelType w:val="hybridMultilevel"/>
    <w:tmpl w:val="AC724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2BB5F14"/>
    <w:multiLevelType w:val="hybridMultilevel"/>
    <w:tmpl w:val="7A14C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6A2266C"/>
    <w:multiLevelType w:val="hybridMultilevel"/>
    <w:tmpl w:val="15A48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9D31D1C"/>
    <w:multiLevelType w:val="hybridMultilevel"/>
    <w:tmpl w:val="E81E4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1174E61"/>
    <w:multiLevelType w:val="hybridMultilevel"/>
    <w:tmpl w:val="5ABA2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2EB70E6"/>
    <w:multiLevelType w:val="hybridMultilevel"/>
    <w:tmpl w:val="E52C6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9877314"/>
    <w:multiLevelType w:val="hybridMultilevel"/>
    <w:tmpl w:val="A782B60A"/>
    <w:lvl w:ilvl="0" w:tplc="185005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AC77F25"/>
    <w:multiLevelType w:val="hybridMultilevel"/>
    <w:tmpl w:val="45228754"/>
    <w:lvl w:ilvl="0" w:tplc="14B4C0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B356C98"/>
    <w:multiLevelType w:val="hybridMultilevel"/>
    <w:tmpl w:val="7E18E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BA128FE"/>
    <w:multiLevelType w:val="hybridMultilevel"/>
    <w:tmpl w:val="A62EA9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FDF5144"/>
    <w:multiLevelType w:val="hybridMultilevel"/>
    <w:tmpl w:val="E6C48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1"/>
  </w:num>
  <w:num w:numId="4">
    <w:abstractNumId w:val="29"/>
  </w:num>
  <w:num w:numId="5">
    <w:abstractNumId w:val="16"/>
  </w:num>
  <w:num w:numId="6">
    <w:abstractNumId w:val="22"/>
  </w:num>
  <w:num w:numId="7">
    <w:abstractNumId w:val="30"/>
  </w:num>
  <w:num w:numId="8">
    <w:abstractNumId w:val="0"/>
  </w:num>
  <w:num w:numId="9">
    <w:abstractNumId w:val="3"/>
  </w:num>
  <w:num w:numId="10">
    <w:abstractNumId w:val="14"/>
  </w:num>
  <w:num w:numId="11">
    <w:abstractNumId w:val="19"/>
  </w:num>
  <w:num w:numId="12">
    <w:abstractNumId w:val="8"/>
  </w:num>
  <w:num w:numId="13">
    <w:abstractNumId w:val="18"/>
  </w:num>
  <w:num w:numId="14">
    <w:abstractNumId w:val="6"/>
  </w:num>
  <w:num w:numId="15">
    <w:abstractNumId w:val="2"/>
  </w:num>
  <w:num w:numId="16">
    <w:abstractNumId w:val="11"/>
  </w:num>
  <w:num w:numId="17">
    <w:abstractNumId w:val="25"/>
  </w:num>
  <w:num w:numId="18">
    <w:abstractNumId w:val="24"/>
  </w:num>
  <w:num w:numId="19">
    <w:abstractNumId w:val="7"/>
  </w:num>
  <w:num w:numId="20">
    <w:abstractNumId w:val="23"/>
  </w:num>
  <w:num w:numId="21">
    <w:abstractNumId w:val="10"/>
  </w:num>
  <w:num w:numId="22">
    <w:abstractNumId w:val="33"/>
  </w:num>
  <w:num w:numId="23">
    <w:abstractNumId w:val="26"/>
  </w:num>
  <w:num w:numId="24">
    <w:abstractNumId w:val="20"/>
  </w:num>
  <w:num w:numId="25">
    <w:abstractNumId w:val="32"/>
  </w:num>
  <w:num w:numId="26">
    <w:abstractNumId w:val="15"/>
  </w:num>
  <w:num w:numId="27">
    <w:abstractNumId w:val="5"/>
  </w:num>
  <w:num w:numId="28">
    <w:abstractNumId w:val="17"/>
  </w:num>
  <w:num w:numId="29">
    <w:abstractNumId w:val="4"/>
  </w:num>
  <w:num w:numId="30">
    <w:abstractNumId w:val="27"/>
  </w:num>
  <w:num w:numId="31">
    <w:abstractNumId w:val="28"/>
  </w:num>
  <w:num w:numId="32">
    <w:abstractNumId w:val="12"/>
  </w:num>
  <w:num w:numId="33">
    <w:abstractNumId w:val="9"/>
  </w:num>
  <w:num w:numId="34">
    <w:abstractNumId w:val="13"/>
  </w:num>
  <w:num w:numId="35">
    <w:abstractNumId w:val="21"/>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ac576032-131e-40c4-8cda-395b3eef5ceb"/>
  </w:docVars>
  <w:rsids>
    <w:rsidRoot w:val="00DF1CC9"/>
    <w:rsid w:val="00000426"/>
    <w:rsid w:val="000009EB"/>
    <w:rsid w:val="00002BC1"/>
    <w:rsid w:val="00002E67"/>
    <w:rsid w:val="00003DBE"/>
    <w:rsid w:val="00004712"/>
    <w:rsid w:val="00011A7C"/>
    <w:rsid w:val="00012FA8"/>
    <w:rsid w:val="000170ED"/>
    <w:rsid w:val="00025A61"/>
    <w:rsid w:val="00031887"/>
    <w:rsid w:val="0003308F"/>
    <w:rsid w:val="000357DA"/>
    <w:rsid w:val="000445C5"/>
    <w:rsid w:val="00046D78"/>
    <w:rsid w:val="00047452"/>
    <w:rsid w:val="000474FF"/>
    <w:rsid w:val="00047BAD"/>
    <w:rsid w:val="000538BA"/>
    <w:rsid w:val="0005744C"/>
    <w:rsid w:val="00062A35"/>
    <w:rsid w:val="00062FEB"/>
    <w:rsid w:val="00063FB1"/>
    <w:rsid w:val="00067290"/>
    <w:rsid w:val="00070D95"/>
    <w:rsid w:val="00075BF9"/>
    <w:rsid w:val="00076545"/>
    <w:rsid w:val="0007740D"/>
    <w:rsid w:val="000779C1"/>
    <w:rsid w:val="00077DC6"/>
    <w:rsid w:val="0008016E"/>
    <w:rsid w:val="000820A1"/>
    <w:rsid w:val="000868D5"/>
    <w:rsid w:val="000869F4"/>
    <w:rsid w:val="00091086"/>
    <w:rsid w:val="000916C4"/>
    <w:rsid w:val="00091C25"/>
    <w:rsid w:val="00093296"/>
    <w:rsid w:val="00097D1C"/>
    <w:rsid w:val="000A11D4"/>
    <w:rsid w:val="000A16E1"/>
    <w:rsid w:val="000A171D"/>
    <w:rsid w:val="000A2F32"/>
    <w:rsid w:val="000A4E5A"/>
    <w:rsid w:val="000A50D3"/>
    <w:rsid w:val="000B15E0"/>
    <w:rsid w:val="000B43B0"/>
    <w:rsid w:val="000B47E6"/>
    <w:rsid w:val="000B60D9"/>
    <w:rsid w:val="000C041E"/>
    <w:rsid w:val="000C1EE8"/>
    <w:rsid w:val="000C44F9"/>
    <w:rsid w:val="000C4AE1"/>
    <w:rsid w:val="000D0198"/>
    <w:rsid w:val="000D5BAF"/>
    <w:rsid w:val="000F043A"/>
    <w:rsid w:val="000F17C0"/>
    <w:rsid w:val="000F2CC6"/>
    <w:rsid w:val="000F3486"/>
    <w:rsid w:val="000F4175"/>
    <w:rsid w:val="000F464B"/>
    <w:rsid w:val="000F4D56"/>
    <w:rsid w:val="000F4E77"/>
    <w:rsid w:val="000F5799"/>
    <w:rsid w:val="000F6AD4"/>
    <w:rsid w:val="000F723C"/>
    <w:rsid w:val="000F7B7A"/>
    <w:rsid w:val="00101261"/>
    <w:rsid w:val="00101F8C"/>
    <w:rsid w:val="0010411A"/>
    <w:rsid w:val="00104411"/>
    <w:rsid w:val="00104EAE"/>
    <w:rsid w:val="00112AAD"/>
    <w:rsid w:val="00113165"/>
    <w:rsid w:val="00114B42"/>
    <w:rsid w:val="001169DD"/>
    <w:rsid w:val="00122346"/>
    <w:rsid w:val="0012338C"/>
    <w:rsid w:val="0012361E"/>
    <w:rsid w:val="00123D5E"/>
    <w:rsid w:val="00124D41"/>
    <w:rsid w:val="00124E5D"/>
    <w:rsid w:val="00126173"/>
    <w:rsid w:val="00127DF1"/>
    <w:rsid w:val="00130EF3"/>
    <w:rsid w:val="001363F1"/>
    <w:rsid w:val="00137748"/>
    <w:rsid w:val="00142CEB"/>
    <w:rsid w:val="0014568A"/>
    <w:rsid w:val="00146A41"/>
    <w:rsid w:val="00147C8B"/>
    <w:rsid w:val="001506F6"/>
    <w:rsid w:val="00150834"/>
    <w:rsid w:val="0015198D"/>
    <w:rsid w:val="00160AD6"/>
    <w:rsid w:val="00160AF8"/>
    <w:rsid w:val="00160EC3"/>
    <w:rsid w:val="001626B0"/>
    <w:rsid w:val="0016660D"/>
    <w:rsid w:val="00167F2F"/>
    <w:rsid w:val="001742C6"/>
    <w:rsid w:val="00176CF1"/>
    <w:rsid w:val="00176FB9"/>
    <w:rsid w:val="00177D80"/>
    <w:rsid w:val="0018197D"/>
    <w:rsid w:val="0018204F"/>
    <w:rsid w:val="00184B2E"/>
    <w:rsid w:val="00185209"/>
    <w:rsid w:val="0019045B"/>
    <w:rsid w:val="00193B86"/>
    <w:rsid w:val="00193CB9"/>
    <w:rsid w:val="00195E88"/>
    <w:rsid w:val="00195FD3"/>
    <w:rsid w:val="00196D96"/>
    <w:rsid w:val="00197104"/>
    <w:rsid w:val="001A09A5"/>
    <w:rsid w:val="001A2FCF"/>
    <w:rsid w:val="001A3F0C"/>
    <w:rsid w:val="001A4870"/>
    <w:rsid w:val="001A7071"/>
    <w:rsid w:val="001B0025"/>
    <w:rsid w:val="001C0926"/>
    <w:rsid w:val="001C1379"/>
    <w:rsid w:val="001C1569"/>
    <w:rsid w:val="001C5158"/>
    <w:rsid w:val="001C5A4D"/>
    <w:rsid w:val="001C66C9"/>
    <w:rsid w:val="001C6AA0"/>
    <w:rsid w:val="001C74A9"/>
    <w:rsid w:val="001C7E6D"/>
    <w:rsid w:val="001D163B"/>
    <w:rsid w:val="001D3500"/>
    <w:rsid w:val="001D7AD7"/>
    <w:rsid w:val="001D7E75"/>
    <w:rsid w:val="001E0635"/>
    <w:rsid w:val="001E415C"/>
    <w:rsid w:val="001E43B1"/>
    <w:rsid w:val="001E43D3"/>
    <w:rsid w:val="001E53A3"/>
    <w:rsid w:val="001E5429"/>
    <w:rsid w:val="001E6169"/>
    <w:rsid w:val="001F0E02"/>
    <w:rsid w:val="001F2A4F"/>
    <w:rsid w:val="001F40D1"/>
    <w:rsid w:val="001F7B40"/>
    <w:rsid w:val="0020161B"/>
    <w:rsid w:val="0020399D"/>
    <w:rsid w:val="002061E3"/>
    <w:rsid w:val="002068DA"/>
    <w:rsid w:val="00210213"/>
    <w:rsid w:val="0021203D"/>
    <w:rsid w:val="00212383"/>
    <w:rsid w:val="002123BF"/>
    <w:rsid w:val="0021399C"/>
    <w:rsid w:val="00214013"/>
    <w:rsid w:val="00215703"/>
    <w:rsid w:val="002179C2"/>
    <w:rsid w:val="00221588"/>
    <w:rsid w:val="0022223B"/>
    <w:rsid w:val="00223D02"/>
    <w:rsid w:val="00223DF4"/>
    <w:rsid w:val="00232F0F"/>
    <w:rsid w:val="002346B4"/>
    <w:rsid w:val="0023746C"/>
    <w:rsid w:val="00240B99"/>
    <w:rsid w:val="002414A2"/>
    <w:rsid w:val="002432CB"/>
    <w:rsid w:val="00243A79"/>
    <w:rsid w:val="00244128"/>
    <w:rsid w:val="0024427D"/>
    <w:rsid w:val="00245623"/>
    <w:rsid w:val="002475EA"/>
    <w:rsid w:val="002513EF"/>
    <w:rsid w:val="002518CA"/>
    <w:rsid w:val="002529A5"/>
    <w:rsid w:val="00253A29"/>
    <w:rsid w:val="00253C70"/>
    <w:rsid w:val="002543DF"/>
    <w:rsid w:val="00256408"/>
    <w:rsid w:val="002637A3"/>
    <w:rsid w:val="00265FDE"/>
    <w:rsid w:val="0027076C"/>
    <w:rsid w:val="00271AD4"/>
    <w:rsid w:val="00271CF8"/>
    <w:rsid w:val="00274585"/>
    <w:rsid w:val="00277239"/>
    <w:rsid w:val="00277D3B"/>
    <w:rsid w:val="0028122C"/>
    <w:rsid w:val="002818EC"/>
    <w:rsid w:val="00281C3B"/>
    <w:rsid w:val="002824CF"/>
    <w:rsid w:val="00283631"/>
    <w:rsid w:val="00286C51"/>
    <w:rsid w:val="00287A61"/>
    <w:rsid w:val="00290B18"/>
    <w:rsid w:val="00297226"/>
    <w:rsid w:val="00297D60"/>
    <w:rsid w:val="002A006F"/>
    <w:rsid w:val="002A1CDD"/>
    <w:rsid w:val="002A25F0"/>
    <w:rsid w:val="002A2816"/>
    <w:rsid w:val="002A4915"/>
    <w:rsid w:val="002A534F"/>
    <w:rsid w:val="002A607F"/>
    <w:rsid w:val="002A61A1"/>
    <w:rsid w:val="002B2386"/>
    <w:rsid w:val="002B418A"/>
    <w:rsid w:val="002B41A4"/>
    <w:rsid w:val="002B5915"/>
    <w:rsid w:val="002B6853"/>
    <w:rsid w:val="002B6D5F"/>
    <w:rsid w:val="002B79A2"/>
    <w:rsid w:val="002B7D7E"/>
    <w:rsid w:val="002C13AB"/>
    <w:rsid w:val="002C28E6"/>
    <w:rsid w:val="002C72B3"/>
    <w:rsid w:val="002C7CDD"/>
    <w:rsid w:val="002D0472"/>
    <w:rsid w:val="002D1CA9"/>
    <w:rsid w:val="002D2540"/>
    <w:rsid w:val="002D28BE"/>
    <w:rsid w:val="002D3B20"/>
    <w:rsid w:val="002D4D5C"/>
    <w:rsid w:val="002D5638"/>
    <w:rsid w:val="002D619D"/>
    <w:rsid w:val="002E6751"/>
    <w:rsid w:val="002E72C3"/>
    <w:rsid w:val="002E7D30"/>
    <w:rsid w:val="002F1B45"/>
    <w:rsid w:val="002F225B"/>
    <w:rsid w:val="002F3D77"/>
    <w:rsid w:val="002F74A5"/>
    <w:rsid w:val="00301637"/>
    <w:rsid w:val="00302AA1"/>
    <w:rsid w:val="003049E2"/>
    <w:rsid w:val="00304EFB"/>
    <w:rsid w:val="00312329"/>
    <w:rsid w:val="0031347F"/>
    <w:rsid w:val="003145A0"/>
    <w:rsid w:val="0031692D"/>
    <w:rsid w:val="00316C30"/>
    <w:rsid w:val="00317FBC"/>
    <w:rsid w:val="003256DB"/>
    <w:rsid w:val="0032589C"/>
    <w:rsid w:val="003270A2"/>
    <w:rsid w:val="003270F2"/>
    <w:rsid w:val="00330DA8"/>
    <w:rsid w:val="00331209"/>
    <w:rsid w:val="00331B21"/>
    <w:rsid w:val="00331D28"/>
    <w:rsid w:val="0033390A"/>
    <w:rsid w:val="00333E5E"/>
    <w:rsid w:val="0033439B"/>
    <w:rsid w:val="00340375"/>
    <w:rsid w:val="00340763"/>
    <w:rsid w:val="003407A4"/>
    <w:rsid w:val="003411BA"/>
    <w:rsid w:val="00341387"/>
    <w:rsid w:val="00343E6F"/>
    <w:rsid w:val="003442F6"/>
    <w:rsid w:val="0034480E"/>
    <w:rsid w:val="00347537"/>
    <w:rsid w:val="00350C75"/>
    <w:rsid w:val="00350F06"/>
    <w:rsid w:val="00351AF0"/>
    <w:rsid w:val="00354113"/>
    <w:rsid w:val="0035465B"/>
    <w:rsid w:val="00355C03"/>
    <w:rsid w:val="00363B49"/>
    <w:rsid w:val="00363CD2"/>
    <w:rsid w:val="003652B3"/>
    <w:rsid w:val="00372AB9"/>
    <w:rsid w:val="00373B2A"/>
    <w:rsid w:val="003760BE"/>
    <w:rsid w:val="003857A7"/>
    <w:rsid w:val="003867F5"/>
    <w:rsid w:val="00394BEF"/>
    <w:rsid w:val="00395984"/>
    <w:rsid w:val="003961F9"/>
    <w:rsid w:val="00396849"/>
    <w:rsid w:val="00396E05"/>
    <w:rsid w:val="003977D7"/>
    <w:rsid w:val="003A1CAE"/>
    <w:rsid w:val="003A20F7"/>
    <w:rsid w:val="003A5475"/>
    <w:rsid w:val="003A590D"/>
    <w:rsid w:val="003A70E4"/>
    <w:rsid w:val="003A743E"/>
    <w:rsid w:val="003B37C8"/>
    <w:rsid w:val="003B3FD9"/>
    <w:rsid w:val="003B46EB"/>
    <w:rsid w:val="003B4E95"/>
    <w:rsid w:val="003B4FDD"/>
    <w:rsid w:val="003B689E"/>
    <w:rsid w:val="003B718B"/>
    <w:rsid w:val="003C4FCD"/>
    <w:rsid w:val="003C6504"/>
    <w:rsid w:val="003D3CF0"/>
    <w:rsid w:val="003D6776"/>
    <w:rsid w:val="003D74D4"/>
    <w:rsid w:val="003D78E6"/>
    <w:rsid w:val="003E0554"/>
    <w:rsid w:val="003E0B2D"/>
    <w:rsid w:val="003E1514"/>
    <w:rsid w:val="003E254D"/>
    <w:rsid w:val="003E349E"/>
    <w:rsid w:val="003E6356"/>
    <w:rsid w:val="003F2C73"/>
    <w:rsid w:val="003F5180"/>
    <w:rsid w:val="003F5372"/>
    <w:rsid w:val="003F6F70"/>
    <w:rsid w:val="003F776E"/>
    <w:rsid w:val="0040122C"/>
    <w:rsid w:val="00401D69"/>
    <w:rsid w:val="00402731"/>
    <w:rsid w:val="004050B9"/>
    <w:rsid w:val="004051E9"/>
    <w:rsid w:val="004068E2"/>
    <w:rsid w:val="0040786F"/>
    <w:rsid w:val="004105D2"/>
    <w:rsid w:val="0041362E"/>
    <w:rsid w:val="004137F2"/>
    <w:rsid w:val="00416138"/>
    <w:rsid w:val="00416876"/>
    <w:rsid w:val="004218A2"/>
    <w:rsid w:val="00421AD5"/>
    <w:rsid w:val="004222C6"/>
    <w:rsid w:val="00422636"/>
    <w:rsid w:val="00422B50"/>
    <w:rsid w:val="0042523F"/>
    <w:rsid w:val="0042651D"/>
    <w:rsid w:val="004276E2"/>
    <w:rsid w:val="00430158"/>
    <w:rsid w:val="0043114B"/>
    <w:rsid w:val="00431BBD"/>
    <w:rsid w:val="004328AD"/>
    <w:rsid w:val="00434237"/>
    <w:rsid w:val="004353D9"/>
    <w:rsid w:val="0043748E"/>
    <w:rsid w:val="00437845"/>
    <w:rsid w:val="0044034C"/>
    <w:rsid w:val="004417A7"/>
    <w:rsid w:val="004449D4"/>
    <w:rsid w:val="00445DD9"/>
    <w:rsid w:val="004474CA"/>
    <w:rsid w:val="00452A3E"/>
    <w:rsid w:val="004556A6"/>
    <w:rsid w:val="00456BD1"/>
    <w:rsid w:val="00457D6A"/>
    <w:rsid w:val="00462707"/>
    <w:rsid w:val="00462D0D"/>
    <w:rsid w:val="00463299"/>
    <w:rsid w:val="004638DC"/>
    <w:rsid w:val="00463998"/>
    <w:rsid w:val="00464778"/>
    <w:rsid w:val="004647DC"/>
    <w:rsid w:val="00466772"/>
    <w:rsid w:val="0047318B"/>
    <w:rsid w:val="00474806"/>
    <w:rsid w:val="004771BC"/>
    <w:rsid w:val="004775CB"/>
    <w:rsid w:val="0048032A"/>
    <w:rsid w:val="0048368B"/>
    <w:rsid w:val="00484022"/>
    <w:rsid w:val="00484DB4"/>
    <w:rsid w:val="004864C4"/>
    <w:rsid w:val="004912B6"/>
    <w:rsid w:val="00492B78"/>
    <w:rsid w:val="00492F75"/>
    <w:rsid w:val="0049393E"/>
    <w:rsid w:val="00494F2D"/>
    <w:rsid w:val="004953D5"/>
    <w:rsid w:val="004A117E"/>
    <w:rsid w:val="004A1323"/>
    <w:rsid w:val="004A1A8C"/>
    <w:rsid w:val="004A5011"/>
    <w:rsid w:val="004B14F6"/>
    <w:rsid w:val="004B3D7A"/>
    <w:rsid w:val="004B5664"/>
    <w:rsid w:val="004B7CDB"/>
    <w:rsid w:val="004C44B8"/>
    <w:rsid w:val="004C5875"/>
    <w:rsid w:val="004C595E"/>
    <w:rsid w:val="004C5C19"/>
    <w:rsid w:val="004C62F0"/>
    <w:rsid w:val="004C641F"/>
    <w:rsid w:val="004C64E1"/>
    <w:rsid w:val="004D0567"/>
    <w:rsid w:val="004D1B79"/>
    <w:rsid w:val="004D366D"/>
    <w:rsid w:val="004D37CF"/>
    <w:rsid w:val="004D3864"/>
    <w:rsid w:val="004D40F6"/>
    <w:rsid w:val="004D54C2"/>
    <w:rsid w:val="004D6374"/>
    <w:rsid w:val="004E1D96"/>
    <w:rsid w:val="004E6C5D"/>
    <w:rsid w:val="004F21B3"/>
    <w:rsid w:val="004F2FD5"/>
    <w:rsid w:val="004F6DEB"/>
    <w:rsid w:val="00500F49"/>
    <w:rsid w:val="005043D6"/>
    <w:rsid w:val="00505772"/>
    <w:rsid w:val="00506EEC"/>
    <w:rsid w:val="00510258"/>
    <w:rsid w:val="005119F9"/>
    <w:rsid w:val="0051268F"/>
    <w:rsid w:val="00513593"/>
    <w:rsid w:val="00513A39"/>
    <w:rsid w:val="005178C6"/>
    <w:rsid w:val="00517D8A"/>
    <w:rsid w:val="00523852"/>
    <w:rsid w:val="0052634D"/>
    <w:rsid w:val="00527003"/>
    <w:rsid w:val="00530AA6"/>
    <w:rsid w:val="00532441"/>
    <w:rsid w:val="005324D4"/>
    <w:rsid w:val="005339EB"/>
    <w:rsid w:val="00537261"/>
    <w:rsid w:val="005419B1"/>
    <w:rsid w:val="00542507"/>
    <w:rsid w:val="00542B0D"/>
    <w:rsid w:val="00545769"/>
    <w:rsid w:val="00546165"/>
    <w:rsid w:val="00546555"/>
    <w:rsid w:val="00547820"/>
    <w:rsid w:val="00551C3C"/>
    <w:rsid w:val="00557577"/>
    <w:rsid w:val="00560112"/>
    <w:rsid w:val="005617A2"/>
    <w:rsid w:val="0056188A"/>
    <w:rsid w:val="0056246D"/>
    <w:rsid w:val="00564838"/>
    <w:rsid w:val="00564FC1"/>
    <w:rsid w:val="00565217"/>
    <w:rsid w:val="005663AE"/>
    <w:rsid w:val="00566FE6"/>
    <w:rsid w:val="0057073E"/>
    <w:rsid w:val="0057120F"/>
    <w:rsid w:val="00571B04"/>
    <w:rsid w:val="0057393C"/>
    <w:rsid w:val="005741F9"/>
    <w:rsid w:val="00574A02"/>
    <w:rsid w:val="00574A38"/>
    <w:rsid w:val="00576C0F"/>
    <w:rsid w:val="005778F8"/>
    <w:rsid w:val="00577D62"/>
    <w:rsid w:val="00584365"/>
    <w:rsid w:val="00586876"/>
    <w:rsid w:val="00586D3E"/>
    <w:rsid w:val="00590B78"/>
    <w:rsid w:val="005931F2"/>
    <w:rsid w:val="00593BBA"/>
    <w:rsid w:val="00594122"/>
    <w:rsid w:val="005A0244"/>
    <w:rsid w:val="005A0A7F"/>
    <w:rsid w:val="005A1972"/>
    <w:rsid w:val="005A478C"/>
    <w:rsid w:val="005A4A3E"/>
    <w:rsid w:val="005A6B04"/>
    <w:rsid w:val="005B1AFC"/>
    <w:rsid w:val="005B3B43"/>
    <w:rsid w:val="005B3F55"/>
    <w:rsid w:val="005B4447"/>
    <w:rsid w:val="005B5239"/>
    <w:rsid w:val="005B7724"/>
    <w:rsid w:val="005C004C"/>
    <w:rsid w:val="005C0245"/>
    <w:rsid w:val="005C0B6B"/>
    <w:rsid w:val="005C7713"/>
    <w:rsid w:val="005C77FC"/>
    <w:rsid w:val="005D3D16"/>
    <w:rsid w:val="005D4266"/>
    <w:rsid w:val="005E205A"/>
    <w:rsid w:val="005E4814"/>
    <w:rsid w:val="005E57B8"/>
    <w:rsid w:val="005E6DD3"/>
    <w:rsid w:val="005E70D3"/>
    <w:rsid w:val="005F0B95"/>
    <w:rsid w:val="005F0C5B"/>
    <w:rsid w:val="005F4FC3"/>
    <w:rsid w:val="005F6381"/>
    <w:rsid w:val="006006E3"/>
    <w:rsid w:val="0060221E"/>
    <w:rsid w:val="00602676"/>
    <w:rsid w:val="00602B45"/>
    <w:rsid w:val="00605025"/>
    <w:rsid w:val="006072DD"/>
    <w:rsid w:val="00607B7A"/>
    <w:rsid w:val="0061058D"/>
    <w:rsid w:val="00614359"/>
    <w:rsid w:val="006167CC"/>
    <w:rsid w:val="00616E2B"/>
    <w:rsid w:val="006201C7"/>
    <w:rsid w:val="00621668"/>
    <w:rsid w:val="0062237A"/>
    <w:rsid w:val="0062289A"/>
    <w:rsid w:val="00627EA9"/>
    <w:rsid w:val="0063407C"/>
    <w:rsid w:val="00634589"/>
    <w:rsid w:val="006350B3"/>
    <w:rsid w:val="00635FD4"/>
    <w:rsid w:val="00636B45"/>
    <w:rsid w:val="00637BEA"/>
    <w:rsid w:val="006422BE"/>
    <w:rsid w:val="00644EE8"/>
    <w:rsid w:val="00645FC7"/>
    <w:rsid w:val="00646F14"/>
    <w:rsid w:val="00647DB2"/>
    <w:rsid w:val="00650B8F"/>
    <w:rsid w:val="00650C09"/>
    <w:rsid w:val="00651B5A"/>
    <w:rsid w:val="006526EE"/>
    <w:rsid w:val="00653F89"/>
    <w:rsid w:val="00654523"/>
    <w:rsid w:val="00655EF7"/>
    <w:rsid w:val="006576D2"/>
    <w:rsid w:val="00663A0D"/>
    <w:rsid w:val="00665852"/>
    <w:rsid w:val="006711B5"/>
    <w:rsid w:val="00672D2C"/>
    <w:rsid w:val="0067351D"/>
    <w:rsid w:val="006742EF"/>
    <w:rsid w:val="006748CB"/>
    <w:rsid w:val="00674CF9"/>
    <w:rsid w:val="00676C08"/>
    <w:rsid w:val="006777E4"/>
    <w:rsid w:val="00677E48"/>
    <w:rsid w:val="00681982"/>
    <w:rsid w:val="006819E4"/>
    <w:rsid w:val="00683078"/>
    <w:rsid w:val="006846A8"/>
    <w:rsid w:val="00685847"/>
    <w:rsid w:val="00685BF6"/>
    <w:rsid w:val="0068666E"/>
    <w:rsid w:val="006900B6"/>
    <w:rsid w:val="00691B37"/>
    <w:rsid w:val="006936F2"/>
    <w:rsid w:val="0069412E"/>
    <w:rsid w:val="006A2C43"/>
    <w:rsid w:val="006A5BBD"/>
    <w:rsid w:val="006B0327"/>
    <w:rsid w:val="006B16B3"/>
    <w:rsid w:val="006B409F"/>
    <w:rsid w:val="006B5099"/>
    <w:rsid w:val="006B5945"/>
    <w:rsid w:val="006B5EB3"/>
    <w:rsid w:val="006B646E"/>
    <w:rsid w:val="006B6787"/>
    <w:rsid w:val="006C115D"/>
    <w:rsid w:val="006C54F1"/>
    <w:rsid w:val="006C60FA"/>
    <w:rsid w:val="006C780E"/>
    <w:rsid w:val="006D0BF9"/>
    <w:rsid w:val="006D39B0"/>
    <w:rsid w:val="006D3E6B"/>
    <w:rsid w:val="006D4670"/>
    <w:rsid w:val="006D56A2"/>
    <w:rsid w:val="006D6A49"/>
    <w:rsid w:val="006D7656"/>
    <w:rsid w:val="006E0370"/>
    <w:rsid w:val="006E2527"/>
    <w:rsid w:val="006E60A5"/>
    <w:rsid w:val="006F1CD0"/>
    <w:rsid w:val="006F29B5"/>
    <w:rsid w:val="006F54C1"/>
    <w:rsid w:val="006F5588"/>
    <w:rsid w:val="006F75E1"/>
    <w:rsid w:val="006F7D78"/>
    <w:rsid w:val="00701D64"/>
    <w:rsid w:val="0070447C"/>
    <w:rsid w:val="007049E9"/>
    <w:rsid w:val="00704E4B"/>
    <w:rsid w:val="00712753"/>
    <w:rsid w:val="00716275"/>
    <w:rsid w:val="00720BBD"/>
    <w:rsid w:val="00725BD5"/>
    <w:rsid w:val="007260D6"/>
    <w:rsid w:val="00726BDB"/>
    <w:rsid w:val="00730112"/>
    <w:rsid w:val="00731CFE"/>
    <w:rsid w:val="00731DA9"/>
    <w:rsid w:val="00734FBF"/>
    <w:rsid w:val="00735FF2"/>
    <w:rsid w:val="00737C01"/>
    <w:rsid w:val="00740382"/>
    <w:rsid w:val="00740750"/>
    <w:rsid w:val="007419B5"/>
    <w:rsid w:val="007433C9"/>
    <w:rsid w:val="00745FF8"/>
    <w:rsid w:val="00750AE6"/>
    <w:rsid w:val="00750EBE"/>
    <w:rsid w:val="00751AD8"/>
    <w:rsid w:val="007549FC"/>
    <w:rsid w:val="00754BFF"/>
    <w:rsid w:val="007552C5"/>
    <w:rsid w:val="00757236"/>
    <w:rsid w:val="0076050D"/>
    <w:rsid w:val="00760BD0"/>
    <w:rsid w:val="007640BB"/>
    <w:rsid w:val="00773A36"/>
    <w:rsid w:val="00773FC0"/>
    <w:rsid w:val="007802D9"/>
    <w:rsid w:val="00781A05"/>
    <w:rsid w:val="00782C9B"/>
    <w:rsid w:val="007830B4"/>
    <w:rsid w:val="00786232"/>
    <w:rsid w:val="00790D9C"/>
    <w:rsid w:val="0079121C"/>
    <w:rsid w:val="007971A6"/>
    <w:rsid w:val="007A13D1"/>
    <w:rsid w:val="007A4376"/>
    <w:rsid w:val="007B6A5E"/>
    <w:rsid w:val="007B74D8"/>
    <w:rsid w:val="007C3202"/>
    <w:rsid w:val="007C37C6"/>
    <w:rsid w:val="007C403F"/>
    <w:rsid w:val="007C73B4"/>
    <w:rsid w:val="007D20F0"/>
    <w:rsid w:val="007D24A8"/>
    <w:rsid w:val="007D54F7"/>
    <w:rsid w:val="007E0444"/>
    <w:rsid w:val="007E28FA"/>
    <w:rsid w:val="007F09D6"/>
    <w:rsid w:val="007F42FF"/>
    <w:rsid w:val="007F52BD"/>
    <w:rsid w:val="007F66DC"/>
    <w:rsid w:val="007F73E9"/>
    <w:rsid w:val="008000A6"/>
    <w:rsid w:val="00802698"/>
    <w:rsid w:val="00806486"/>
    <w:rsid w:val="00814307"/>
    <w:rsid w:val="00814C86"/>
    <w:rsid w:val="008201F8"/>
    <w:rsid w:val="0082093C"/>
    <w:rsid w:val="008214D9"/>
    <w:rsid w:val="0082162B"/>
    <w:rsid w:val="00823A1E"/>
    <w:rsid w:val="00824F36"/>
    <w:rsid w:val="00825188"/>
    <w:rsid w:val="00825A06"/>
    <w:rsid w:val="00825EB3"/>
    <w:rsid w:val="00826315"/>
    <w:rsid w:val="008263AE"/>
    <w:rsid w:val="00827E68"/>
    <w:rsid w:val="0083431A"/>
    <w:rsid w:val="00834323"/>
    <w:rsid w:val="008358F7"/>
    <w:rsid w:val="00837B0E"/>
    <w:rsid w:val="008413A2"/>
    <w:rsid w:val="0084274B"/>
    <w:rsid w:val="00842766"/>
    <w:rsid w:val="00845163"/>
    <w:rsid w:val="00846CF4"/>
    <w:rsid w:val="00847FB4"/>
    <w:rsid w:val="00851A41"/>
    <w:rsid w:val="00853D30"/>
    <w:rsid w:val="00856869"/>
    <w:rsid w:val="008621AB"/>
    <w:rsid w:val="00863CBC"/>
    <w:rsid w:val="0086405E"/>
    <w:rsid w:val="00866332"/>
    <w:rsid w:val="008718B7"/>
    <w:rsid w:val="00871D91"/>
    <w:rsid w:val="008755EF"/>
    <w:rsid w:val="00876041"/>
    <w:rsid w:val="008761D6"/>
    <w:rsid w:val="00880380"/>
    <w:rsid w:val="00882BE4"/>
    <w:rsid w:val="0088354D"/>
    <w:rsid w:val="00885444"/>
    <w:rsid w:val="00886BC2"/>
    <w:rsid w:val="008879F5"/>
    <w:rsid w:val="008904E3"/>
    <w:rsid w:val="00891B99"/>
    <w:rsid w:val="00891DF5"/>
    <w:rsid w:val="00892DF6"/>
    <w:rsid w:val="008938B3"/>
    <w:rsid w:val="00896747"/>
    <w:rsid w:val="00897847"/>
    <w:rsid w:val="00897F17"/>
    <w:rsid w:val="008A148B"/>
    <w:rsid w:val="008A1668"/>
    <w:rsid w:val="008A34FE"/>
    <w:rsid w:val="008A3FAF"/>
    <w:rsid w:val="008A459D"/>
    <w:rsid w:val="008A4AB5"/>
    <w:rsid w:val="008A5D7D"/>
    <w:rsid w:val="008A5E94"/>
    <w:rsid w:val="008A62AA"/>
    <w:rsid w:val="008A7D4E"/>
    <w:rsid w:val="008B0C16"/>
    <w:rsid w:val="008B1B43"/>
    <w:rsid w:val="008B1E9C"/>
    <w:rsid w:val="008B215D"/>
    <w:rsid w:val="008B4A64"/>
    <w:rsid w:val="008B4CA9"/>
    <w:rsid w:val="008B799A"/>
    <w:rsid w:val="008C10BC"/>
    <w:rsid w:val="008C6B4F"/>
    <w:rsid w:val="008C7AF7"/>
    <w:rsid w:val="008D6CBE"/>
    <w:rsid w:val="008E2AC7"/>
    <w:rsid w:val="008E2EEE"/>
    <w:rsid w:val="008E2F37"/>
    <w:rsid w:val="008E5FC7"/>
    <w:rsid w:val="008E73E8"/>
    <w:rsid w:val="008F05DA"/>
    <w:rsid w:val="0090088A"/>
    <w:rsid w:val="00902122"/>
    <w:rsid w:val="00905FA1"/>
    <w:rsid w:val="009060A7"/>
    <w:rsid w:val="00907D36"/>
    <w:rsid w:val="00910731"/>
    <w:rsid w:val="00912106"/>
    <w:rsid w:val="0091230D"/>
    <w:rsid w:val="00914486"/>
    <w:rsid w:val="00915AD6"/>
    <w:rsid w:val="0091633B"/>
    <w:rsid w:val="00920F51"/>
    <w:rsid w:val="009210A0"/>
    <w:rsid w:val="0092292D"/>
    <w:rsid w:val="00925470"/>
    <w:rsid w:val="00927A19"/>
    <w:rsid w:val="009308A5"/>
    <w:rsid w:val="009312FF"/>
    <w:rsid w:val="00931F89"/>
    <w:rsid w:val="00933A6A"/>
    <w:rsid w:val="009352C9"/>
    <w:rsid w:val="00935749"/>
    <w:rsid w:val="00935A1F"/>
    <w:rsid w:val="00937ECD"/>
    <w:rsid w:val="00950638"/>
    <w:rsid w:val="00953B93"/>
    <w:rsid w:val="00955E03"/>
    <w:rsid w:val="00957116"/>
    <w:rsid w:val="00961D7B"/>
    <w:rsid w:val="00962763"/>
    <w:rsid w:val="00963718"/>
    <w:rsid w:val="00964B9C"/>
    <w:rsid w:val="009655E9"/>
    <w:rsid w:val="00965F42"/>
    <w:rsid w:val="0097134A"/>
    <w:rsid w:val="009800AB"/>
    <w:rsid w:val="00980AF0"/>
    <w:rsid w:val="00982FFE"/>
    <w:rsid w:val="00984B50"/>
    <w:rsid w:val="009859ED"/>
    <w:rsid w:val="00987131"/>
    <w:rsid w:val="009909F4"/>
    <w:rsid w:val="0099234B"/>
    <w:rsid w:val="009964F6"/>
    <w:rsid w:val="00997B22"/>
    <w:rsid w:val="009A4A13"/>
    <w:rsid w:val="009B37D9"/>
    <w:rsid w:val="009B5853"/>
    <w:rsid w:val="009B6806"/>
    <w:rsid w:val="009B787D"/>
    <w:rsid w:val="009B7DF6"/>
    <w:rsid w:val="009C19B6"/>
    <w:rsid w:val="009C3041"/>
    <w:rsid w:val="009C3158"/>
    <w:rsid w:val="009C3773"/>
    <w:rsid w:val="009C4671"/>
    <w:rsid w:val="009C544C"/>
    <w:rsid w:val="009D11D3"/>
    <w:rsid w:val="009D1A7D"/>
    <w:rsid w:val="009D1FBB"/>
    <w:rsid w:val="009D2785"/>
    <w:rsid w:val="009D4F27"/>
    <w:rsid w:val="009D5208"/>
    <w:rsid w:val="009D6B84"/>
    <w:rsid w:val="009D6C4D"/>
    <w:rsid w:val="009D6DEA"/>
    <w:rsid w:val="009E052B"/>
    <w:rsid w:val="009E21E9"/>
    <w:rsid w:val="009E23A9"/>
    <w:rsid w:val="009E24AF"/>
    <w:rsid w:val="009E3C03"/>
    <w:rsid w:val="009E7975"/>
    <w:rsid w:val="009E7E8D"/>
    <w:rsid w:val="009F075F"/>
    <w:rsid w:val="009F0BE8"/>
    <w:rsid w:val="009F0C35"/>
    <w:rsid w:val="009F3E19"/>
    <w:rsid w:val="009F4517"/>
    <w:rsid w:val="00A07E83"/>
    <w:rsid w:val="00A124F4"/>
    <w:rsid w:val="00A131D3"/>
    <w:rsid w:val="00A13ECB"/>
    <w:rsid w:val="00A146ED"/>
    <w:rsid w:val="00A20BBE"/>
    <w:rsid w:val="00A241E3"/>
    <w:rsid w:val="00A25AC5"/>
    <w:rsid w:val="00A26BA0"/>
    <w:rsid w:val="00A26CD3"/>
    <w:rsid w:val="00A33B77"/>
    <w:rsid w:val="00A36DCE"/>
    <w:rsid w:val="00A3782E"/>
    <w:rsid w:val="00A37A8F"/>
    <w:rsid w:val="00A4139E"/>
    <w:rsid w:val="00A4177D"/>
    <w:rsid w:val="00A419C3"/>
    <w:rsid w:val="00A4320A"/>
    <w:rsid w:val="00A4708B"/>
    <w:rsid w:val="00A47BA1"/>
    <w:rsid w:val="00A51FE5"/>
    <w:rsid w:val="00A540EF"/>
    <w:rsid w:val="00A5554C"/>
    <w:rsid w:val="00A55BC8"/>
    <w:rsid w:val="00A60213"/>
    <w:rsid w:val="00A60DF5"/>
    <w:rsid w:val="00A628C4"/>
    <w:rsid w:val="00A63C7C"/>
    <w:rsid w:val="00A678CD"/>
    <w:rsid w:val="00A67A8A"/>
    <w:rsid w:val="00A716ED"/>
    <w:rsid w:val="00A72781"/>
    <w:rsid w:val="00A747C1"/>
    <w:rsid w:val="00A762B9"/>
    <w:rsid w:val="00A77738"/>
    <w:rsid w:val="00A82BFF"/>
    <w:rsid w:val="00A82EE6"/>
    <w:rsid w:val="00A83295"/>
    <w:rsid w:val="00A862F8"/>
    <w:rsid w:val="00A904EC"/>
    <w:rsid w:val="00A908EF"/>
    <w:rsid w:val="00AA1E74"/>
    <w:rsid w:val="00AA1F42"/>
    <w:rsid w:val="00AA56E7"/>
    <w:rsid w:val="00AA675C"/>
    <w:rsid w:val="00AA6ABE"/>
    <w:rsid w:val="00AB2CAE"/>
    <w:rsid w:val="00AB3323"/>
    <w:rsid w:val="00AB47EC"/>
    <w:rsid w:val="00AB6FD0"/>
    <w:rsid w:val="00AC1679"/>
    <w:rsid w:val="00AC2112"/>
    <w:rsid w:val="00AD0573"/>
    <w:rsid w:val="00AD1C47"/>
    <w:rsid w:val="00AD46C1"/>
    <w:rsid w:val="00AD48A9"/>
    <w:rsid w:val="00AD5147"/>
    <w:rsid w:val="00AD5377"/>
    <w:rsid w:val="00AD60DF"/>
    <w:rsid w:val="00AD61B6"/>
    <w:rsid w:val="00AD716C"/>
    <w:rsid w:val="00AD7D37"/>
    <w:rsid w:val="00AE38FC"/>
    <w:rsid w:val="00AE77F6"/>
    <w:rsid w:val="00AE7843"/>
    <w:rsid w:val="00AE7CF9"/>
    <w:rsid w:val="00AF2372"/>
    <w:rsid w:val="00AF247A"/>
    <w:rsid w:val="00AF5804"/>
    <w:rsid w:val="00AF7162"/>
    <w:rsid w:val="00B009CF"/>
    <w:rsid w:val="00B03D4C"/>
    <w:rsid w:val="00B052E0"/>
    <w:rsid w:val="00B07D18"/>
    <w:rsid w:val="00B10928"/>
    <w:rsid w:val="00B12E86"/>
    <w:rsid w:val="00B16E03"/>
    <w:rsid w:val="00B2054D"/>
    <w:rsid w:val="00B31D82"/>
    <w:rsid w:val="00B348F9"/>
    <w:rsid w:val="00B42BD0"/>
    <w:rsid w:val="00B43243"/>
    <w:rsid w:val="00B44872"/>
    <w:rsid w:val="00B44A06"/>
    <w:rsid w:val="00B458A7"/>
    <w:rsid w:val="00B4626A"/>
    <w:rsid w:val="00B514A4"/>
    <w:rsid w:val="00B516C5"/>
    <w:rsid w:val="00B51AE3"/>
    <w:rsid w:val="00B52BE8"/>
    <w:rsid w:val="00B53831"/>
    <w:rsid w:val="00B54CAC"/>
    <w:rsid w:val="00B55536"/>
    <w:rsid w:val="00B56A6D"/>
    <w:rsid w:val="00B6365C"/>
    <w:rsid w:val="00B659EB"/>
    <w:rsid w:val="00B70D12"/>
    <w:rsid w:val="00B71C31"/>
    <w:rsid w:val="00B75241"/>
    <w:rsid w:val="00B75C71"/>
    <w:rsid w:val="00B77103"/>
    <w:rsid w:val="00B80F5B"/>
    <w:rsid w:val="00B82734"/>
    <w:rsid w:val="00B90297"/>
    <w:rsid w:val="00B90749"/>
    <w:rsid w:val="00B92B3C"/>
    <w:rsid w:val="00B93556"/>
    <w:rsid w:val="00B93C8B"/>
    <w:rsid w:val="00B93C9F"/>
    <w:rsid w:val="00B94EDD"/>
    <w:rsid w:val="00B96C55"/>
    <w:rsid w:val="00BA5012"/>
    <w:rsid w:val="00BA6900"/>
    <w:rsid w:val="00BA78A2"/>
    <w:rsid w:val="00BA7A54"/>
    <w:rsid w:val="00BB1D31"/>
    <w:rsid w:val="00BB4CA8"/>
    <w:rsid w:val="00BB5471"/>
    <w:rsid w:val="00BB6D66"/>
    <w:rsid w:val="00BB7D78"/>
    <w:rsid w:val="00BC0BDE"/>
    <w:rsid w:val="00BC18F9"/>
    <w:rsid w:val="00BC4929"/>
    <w:rsid w:val="00BC4E8F"/>
    <w:rsid w:val="00BC6529"/>
    <w:rsid w:val="00BC7A6E"/>
    <w:rsid w:val="00BD198B"/>
    <w:rsid w:val="00BD60B2"/>
    <w:rsid w:val="00BD704D"/>
    <w:rsid w:val="00BE10D5"/>
    <w:rsid w:val="00BE491E"/>
    <w:rsid w:val="00BE5B5A"/>
    <w:rsid w:val="00BE65C1"/>
    <w:rsid w:val="00BE6C24"/>
    <w:rsid w:val="00BF0A68"/>
    <w:rsid w:val="00BF1489"/>
    <w:rsid w:val="00BF2FEC"/>
    <w:rsid w:val="00BF36C6"/>
    <w:rsid w:val="00BF3A67"/>
    <w:rsid w:val="00BF5DF4"/>
    <w:rsid w:val="00BF6571"/>
    <w:rsid w:val="00C01980"/>
    <w:rsid w:val="00C0692A"/>
    <w:rsid w:val="00C0751E"/>
    <w:rsid w:val="00C07C31"/>
    <w:rsid w:val="00C07F19"/>
    <w:rsid w:val="00C1010D"/>
    <w:rsid w:val="00C10543"/>
    <w:rsid w:val="00C11BE9"/>
    <w:rsid w:val="00C13C8A"/>
    <w:rsid w:val="00C14269"/>
    <w:rsid w:val="00C1631D"/>
    <w:rsid w:val="00C17A1A"/>
    <w:rsid w:val="00C2346A"/>
    <w:rsid w:val="00C248AB"/>
    <w:rsid w:val="00C40431"/>
    <w:rsid w:val="00C42351"/>
    <w:rsid w:val="00C44054"/>
    <w:rsid w:val="00C44FF3"/>
    <w:rsid w:val="00C47831"/>
    <w:rsid w:val="00C53787"/>
    <w:rsid w:val="00C5506B"/>
    <w:rsid w:val="00C553FE"/>
    <w:rsid w:val="00C57F21"/>
    <w:rsid w:val="00C610FC"/>
    <w:rsid w:val="00C62F2F"/>
    <w:rsid w:val="00C632EE"/>
    <w:rsid w:val="00C636BF"/>
    <w:rsid w:val="00C63DA9"/>
    <w:rsid w:val="00C72B0A"/>
    <w:rsid w:val="00C737BE"/>
    <w:rsid w:val="00C762EA"/>
    <w:rsid w:val="00C80394"/>
    <w:rsid w:val="00C811F2"/>
    <w:rsid w:val="00C81884"/>
    <w:rsid w:val="00C83002"/>
    <w:rsid w:val="00C85ADD"/>
    <w:rsid w:val="00C860A8"/>
    <w:rsid w:val="00C87404"/>
    <w:rsid w:val="00C87A18"/>
    <w:rsid w:val="00C910BD"/>
    <w:rsid w:val="00C91B69"/>
    <w:rsid w:val="00C931AD"/>
    <w:rsid w:val="00C9470D"/>
    <w:rsid w:val="00C94E2E"/>
    <w:rsid w:val="00C9544B"/>
    <w:rsid w:val="00CA0881"/>
    <w:rsid w:val="00CA2383"/>
    <w:rsid w:val="00CA3C83"/>
    <w:rsid w:val="00CA62E8"/>
    <w:rsid w:val="00CA7CD8"/>
    <w:rsid w:val="00CB1A11"/>
    <w:rsid w:val="00CB247D"/>
    <w:rsid w:val="00CB78AC"/>
    <w:rsid w:val="00CC21E9"/>
    <w:rsid w:val="00CC4673"/>
    <w:rsid w:val="00CC7EB7"/>
    <w:rsid w:val="00CD4C9B"/>
    <w:rsid w:val="00CD5207"/>
    <w:rsid w:val="00CD6AED"/>
    <w:rsid w:val="00CE15F9"/>
    <w:rsid w:val="00CE35FC"/>
    <w:rsid w:val="00CE52A3"/>
    <w:rsid w:val="00CE5AD9"/>
    <w:rsid w:val="00CF2242"/>
    <w:rsid w:val="00CF226F"/>
    <w:rsid w:val="00CF3F7B"/>
    <w:rsid w:val="00CF69AC"/>
    <w:rsid w:val="00D02189"/>
    <w:rsid w:val="00D03D20"/>
    <w:rsid w:val="00D06CDB"/>
    <w:rsid w:val="00D06F97"/>
    <w:rsid w:val="00D0775F"/>
    <w:rsid w:val="00D10264"/>
    <w:rsid w:val="00D12906"/>
    <w:rsid w:val="00D14109"/>
    <w:rsid w:val="00D1431D"/>
    <w:rsid w:val="00D15B71"/>
    <w:rsid w:val="00D20130"/>
    <w:rsid w:val="00D22C49"/>
    <w:rsid w:val="00D2386B"/>
    <w:rsid w:val="00D25990"/>
    <w:rsid w:val="00D2630A"/>
    <w:rsid w:val="00D27395"/>
    <w:rsid w:val="00D3090A"/>
    <w:rsid w:val="00D3144E"/>
    <w:rsid w:val="00D33432"/>
    <w:rsid w:val="00D35723"/>
    <w:rsid w:val="00D35F7B"/>
    <w:rsid w:val="00D3742C"/>
    <w:rsid w:val="00D375E4"/>
    <w:rsid w:val="00D40D7E"/>
    <w:rsid w:val="00D4215B"/>
    <w:rsid w:val="00D44F6B"/>
    <w:rsid w:val="00D452E3"/>
    <w:rsid w:val="00D45EC5"/>
    <w:rsid w:val="00D51B38"/>
    <w:rsid w:val="00D544B4"/>
    <w:rsid w:val="00D55DCC"/>
    <w:rsid w:val="00D574BF"/>
    <w:rsid w:val="00D61413"/>
    <w:rsid w:val="00D63C2B"/>
    <w:rsid w:val="00D71591"/>
    <w:rsid w:val="00D72129"/>
    <w:rsid w:val="00D73CF6"/>
    <w:rsid w:val="00D73DA0"/>
    <w:rsid w:val="00D75707"/>
    <w:rsid w:val="00D75751"/>
    <w:rsid w:val="00D80DFB"/>
    <w:rsid w:val="00D815F0"/>
    <w:rsid w:val="00D82B3C"/>
    <w:rsid w:val="00D82E1E"/>
    <w:rsid w:val="00D83576"/>
    <w:rsid w:val="00D84822"/>
    <w:rsid w:val="00D84BD1"/>
    <w:rsid w:val="00D86599"/>
    <w:rsid w:val="00D86872"/>
    <w:rsid w:val="00D872D1"/>
    <w:rsid w:val="00D90F96"/>
    <w:rsid w:val="00D92A8C"/>
    <w:rsid w:val="00D943FF"/>
    <w:rsid w:val="00DA5630"/>
    <w:rsid w:val="00DB1BF9"/>
    <w:rsid w:val="00DB3C3D"/>
    <w:rsid w:val="00DB3E2B"/>
    <w:rsid w:val="00DB4BBD"/>
    <w:rsid w:val="00DB53C5"/>
    <w:rsid w:val="00DB59C3"/>
    <w:rsid w:val="00DC1804"/>
    <w:rsid w:val="00DC26EE"/>
    <w:rsid w:val="00DC2E7E"/>
    <w:rsid w:val="00DC3C89"/>
    <w:rsid w:val="00DC5AD4"/>
    <w:rsid w:val="00DC7701"/>
    <w:rsid w:val="00DD35E3"/>
    <w:rsid w:val="00DD566B"/>
    <w:rsid w:val="00DD60C0"/>
    <w:rsid w:val="00DD6B66"/>
    <w:rsid w:val="00DD72AD"/>
    <w:rsid w:val="00DD7F62"/>
    <w:rsid w:val="00DE09E1"/>
    <w:rsid w:val="00DE1AB1"/>
    <w:rsid w:val="00DE2343"/>
    <w:rsid w:val="00DE2370"/>
    <w:rsid w:val="00DE2E48"/>
    <w:rsid w:val="00DE6D84"/>
    <w:rsid w:val="00DE7306"/>
    <w:rsid w:val="00DE7519"/>
    <w:rsid w:val="00DE7CBD"/>
    <w:rsid w:val="00DF1A1F"/>
    <w:rsid w:val="00DF1CC9"/>
    <w:rsid w:val="00DF2BF1"/>
    <w:rsid w:val="00DF3AA2"/>
    <w:rsid w:val="00DF6F31"/>
    <w:rsid w:val="00E016F3"/>
    <w:rsid w:val="00E01757"/>
    <w:rsid w:val="00E10711"/>
    <w:rsid w:val="00E112D8"/>
    <w:rsid w:val="00E12EF4"/>
    <w:rsid w:val="00E242FE"/>
    <w:rsid w:val="00E25273"/>
    <w:rsid w:val="00E2796C"/>
    <w:rsid w:val="00E30C5B"/>
    <w:rsid w:val="00E30FC8"/>
    <w:rsid w:val="00E31A08"/>
    <w:rsid w:val="00E320B8"/>
    <w:rsid w:val="00E33852"/>
    <w:rsid w:val="00E340FF"/>
    <w:rsid w:val="00E341FD"/>
    <w:rsid w:val="00E3560A"/>
    <w:rsid w:val="00E36146"/>
    <w:rsid w:val="00E40243"/>
    <w:rsid w:val="00E41D1D"/>
    <w:rsid w:val="00E4246C"/>
    <w:rsid w:val="00E430C4"/>
    <w:rsid w:val="00E4339A"/>
    <w:rsid w:val="00E45153"/>
    <w:rsid w:val="00E50994"/>
    <w:rsid w:val="00E50A5E"/>
    <w:rsid w:val="00E518FE"/>
    <w:rsid w:val="00E5387E"/>
    <w:rsid w:val="00E56E58"/>
    <w:rsid w:val="00E66B57"/>
    <w:rsid w:val="00E67239"/>
    <w:rsid w:val="00E7152A"/>
    <w:rsid w:val="00E71565"/>
    <w:rsid w:val="00E72CDA"/>
    <w:rsid w:val="00E733DA"/>
    <w:rsid w:val="00E75651"/>
    <w:rsid w:val="00E80C3F"/>
    <w:rsid w:val="00E820C3"/>
    <w:rsid w:val="00E8393A"/>
    <w:rsid w:val="00E8517E"/>
    <w:rsid w:val="00E85690"/>
    <w:rsid w:val="00E85829"/>
    <w:rsid w:val="00E87749"/>
    <w:rsid w:val="00E9341D"/>
    <w:rsid w:val="00E9481D"/>
    <w:rsid w:val="00E967E7"/>
    <w:rsid w:val="00E967F3"/>
    <w:rsid w:val="00E9738B"/>
    <w:rsid w:val="00EA03FA"/>
    <w:rsid w:val="00EA20FB"/>
    <w:rsid w:val="00EA24DC"/>
    <w:rsid w:val="00EA32FC"/>
    <w:rsid w:val="00EA652F"/>
    <w:rsid w:val="00EA7EA4"/>
    <w:rsid w:val="00EB06AD"/>
    <w:rsid w:val="00EB1493"/>
    <w:rsid w:val="00EB2338"/>
    <w:rsid w:val="00EB389B"/>
    <w:rsid w:val="00EB49A0"/>
    <w:rsid w:val="00EB4B84"/>
    <w:rsid w:val="00EC139B"/>
    <w:rsid w:val="00EC38C8"/>
    <w:rsid w:val="00EC4483"/>
    <w:rsid w:val="00EC78EA"/>
    <w:rsid w:val="00ED1AA2"/>
    <w:rsid w:val="00ED7202"/>
    <w:rsid w:val="00ED7E45"/>
    <w:rsid w:val="00EE15FC"/>
    <w:rsid w:val="00EE2CCB"/>
    <w:rsid w:val="00EE4958"/>
    <w:rsid w:val="00EE7395"/>
    <w:rsid w:val="00EE7F82"/>
    <w:rsid w:val="00EF4BD1"/>
    <w:rsid w:val="00EF5BA7"/>
    <w:rsid w:val="00EF7F7E"/>
    <w:rsid w:val="00F0305D"/>
    <w:rsid w:val="00F0417D"/>
    <w:rsid w:val="00F057A4"/>
    <w:rsid w:val="00F11839"/>
    <w:rsid w:val="00F12665"/>
    <w:rsid w:val="00F17C0B"/>
    <w:rsid w:val="00F20B57"/>
    <w:rsid w:val="00F21110"/>
    <w:rsid w:val="00F2300F"/>
    <w:rsid w:val="00F23BD3"/>
    <w:rsid w:val="00F41487"/>
    <w:rsid w:val="00F4322A"/>
    <w:rsid w:val="00F51835"/>
    <w:rsid w:val="00F52F4F"/>
    <w:rsid w:val="00F551AE"/>
    <w:rsid w:val="00F55F4E"/>
    <w:rsid w:val="00F565A3"/>
    <w:rsid w:val="00F567E4"/>
    <w:rsid w:val="00F56D34"/>
    <w:rsid w:val="00F60F4B"/>
    <w:rsid w:val="00F61653"/>
    <w:rsid w:val="00F65337"/>
    <w:rsid w:val="00F670BD"/>
    <w:rsid w:val="00F700A3"/>
    <w:rsid w:val="00F75DB0"/>
    <w:rsid w:val="00F75EE5"/>
    <w:rsid w:val="00F75F21"/>
    <w:rsid w:val="00F81589"/>
    <w:rsid w:val="00F8343F"/>
    <w:rsid w:val="00F8498E"/>
    <w:rsid w:val="00F8499C"/>
    <w:rsid w:val="00F91DC9"/>
    <w:rsid w:val="00F9413F"/>
    <w:rsid w:val="00F964C1"/>
    <w:rsid w:val="00F968C2"/>
    <w:rsid w:val="00FA194A"/>
    <w:rsid w:val="00FA357A"/>
    <w:rsid w:val="00FA3DE2"/>
    <w:rsid w:val="00FB0727"/>
    <w:rsid w:val="00FB0B47"/>
    <w:rsid w:val="00FB21A3"/>
    <w:rsid w:val="00FB584E"/>
    <w:rsid w:val="00FB69C1"/>
    <w:rsid w:val="00FC175E"/>
    <w:rsid w:val="00FC21FE"/>
    <w:rsid w:val="00FC399A"/>
    <w:rsid w:val="00FC4441"/>
    <w:rsid w:val="00FC4CEB"/>
    <w:rsid w:val="00FD16BF"/>
    <w:rsid w:val="00FD1AA9"/>
    <w:rsid w:val="00FD274A"/>
    <w:rsid w:val="00FD37A4"/>
    <w:rsid w:val="00FD3921"/>
    <w:rsid w:val="00FD492E"/>
    <w:rsid w:val="00FD5A1C"/>
    <w:rsid w:val="00FD5DB4"/>
    <w:rsid w:val="00FE019E"/>
    <w:rsid w:val="00FE0CBE"/>
    <w:rsid w:val="00FE1C45"/>
    <w:rsid w:val="00FE3056"/>
    <w:rsid w:val="00FE3267"/>
    <w:rsid w:val="00FE359F"/>
    <w:rsid w:val="00FE40D1"/>
    <w:rsid w:val="00FE4D1D"/>
    <w:rsid w:val="00FE51D0"/>
    <w:rsid w:val="00FE5CCE"/>
    <w:rsid w:val="00FF0AD3"/>
    <w:rsid w:val="00FF2986"/>
    <w:rsid w:val="00FF3A49"/>
    <w:rsid w:val="00FF41CA"/>
    <w:rsid w:val="00FF46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kern w:val="22"/>
        <w:sz w:val="22"/>
        <w:szCs w:val="22"/>
        <w:lang w:val="en-AU" w:eastAsia="en-US" w:bidi="ar-SA"/>
      </w:rPr>
    </w:rPrDefault>
    <w:pPrDefault>
      <w:pPr>
        <w:spacing w:after="12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9" w:qFormat="1"/>
    <w:lsdException w:name="heading 3" w:locked="0" w:uiPriority="9" w:qFormat="1"/>
    <w:lsdException w:name="heading 4" w:uiPriority="9"/>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locked="0" w:uiPriority="1"/>
    <w:lsdException w:name="Subtitle" w:uiPriority="11" w:qFormat="1"/>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latentStyles>
  <w:style w:type="paragraph" w:default="1" w:styleId="Normal">
    <w:name w:val="Normal"/>
    <w:unhideWhenUsed/>
    <w:qFormat/>
    <w:rsid w:val="00542507"/>
    <w:rPr>
      <w:rFonts w:eastAsia="SimSun"/>
      <w:sz w:val="20"/>
      <w:lang w:eastAsia="en-AU"/>
    </w:rPr>
  </w:style>
  <w:style w:type="paragraph" w:styleId="Heading1">
    <w:name w:val="heading 1"/>
    <w:basedOn w:val="Normal"/>
    <w:next w:val="Normal"/>
    <w:link w:val="Heading1Char"/>
    <w:autoRedefine/>
    <w:uiPriority w:val="1"/>
    <w:unhideWhenUsed/>
    <w:qFormat/>
    <w:rsid w:val="00D2630A"/>
    <w:pPr>
      <w:spacing w:before="120"/>
      <w:outlineLvl w:val="0"/>
    </w:pPr>
    <w:rPr>
      <w:b/>
      <w:sz w:val="40"/>
      <w:szCs w:val="32"/>
    </w:rPr>
  </w:style>
  <w:style w:type="paragraph" w:styleId="Heading2">
    <w:name w:val="heading 2"/>
    <w:basedOn w:val="Normal"/>
    <w:next w:val="Normal"/>
    <w:link w:val="Heading2Char"/>
    <w:autoRedefine/>
    <w:uiPriority w:val="9"/>
    <w:unhideWhenUsed/>
    <w:qFormat/>
    <w:rsid w:val="00BB7D78"/>
    <w:pPr>
      <w:spacing w:before="120" w:after="60"/>
      <w:outlineLvl w:val="1"/>
    </w:pPr>
    <w:rPr>
      <w:b/>
      <w:sz w:val="28"/>
      <w:szCs w:val="28"/>
    </w:rPr>
  </w:style>
  <w:style w:type="paragraph" w:styleId="Heading3">
    <w:name w:val="heading 3"/>
    <w:basedOn w:val="Normal"/>
    <w:next w:val="Normal"/>
    <w:link w:val="Heading3Char"/>
    <w:autoRedefine/>
    <w:uiPriority w:val="9"/>
    <w:unhideWhenUsed/>
    <w:qFormat/>
    <w:rsid w:val="002B41A4"/>
    <w:pPr>
      <w:spacing w:before="40" w:after="40"/>
      <w:outlineLvl w:val="2"/>
    </w:pPr>
    <w:rPr>
      <w:b/>
      <w:sz w:val="24"/>
    </w:rPr>
  </w:style>
  <w:style w:type="paragraph" w:styleId="Heading4">
    <w:name w:val="heading 4"/>
    <w:aliases w:val="Tables"/>
    <w:basedOn w:val="Normal"/>
    <w:next w:val="Normal"/>
    <w:link w:val="Heading4Char"/>
    <w:autoRedefine/>
    <w:uiPriority w:val="9"/>
    <w:unhideWhenUsed/>
    <w:locked/>
    <w:rsid w:val="004C5875"/>
    <w:pPr>
      <w:spacing w:before="120"/>
      <w:outlineLvl w:val="3"/>
    </w:pPr>
    <w:rPr>
      <w:rFonts w:eastAsiaTheme="majorEastAsia" w:cstheme="majorBidi"/>
      <w:b/>
      <w:bCs/>
      <w:iCs/>
    </w:rPr>
  </w:style>
  <w:style w:type="paragraph" w:styleId="Heading5">
    <w:name w:val="heading 5"/>
    <w:aliases w:val="Figures"/>
    <w:basedOn w:val="Heading4"/>
    <w:next w:val="Normal"/>
    <w:link w:val="Heading5Char"/>
    <w:uiPriority w:val="9"/>
    <w:unhideWhenUsed/>
    <w:qFormat/>
    <w:locked/>
    <w:rsid w:val="009B37D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630A"/>
    <w:rPr>
      <w:rFonts w:eastAsia="SimSun"/>
      <w:b/>
      <w:sz w:val="40"/>
      <w:szCs w:val="32"/>
      <w:lang w:eastAsia="en-AU"/>
    </w:rPr>
  </w:style>
  <w:style w:type="character" w:customStyle="1" w:styleId="Heading2Char">
    <w:name w:val="Heading 2 Char"/>
    <w:basedOn w:val="DefaultParagraphFont"/>
    <w:link w:val="Heading2"/>
    <w:uiPriority w:val="9"/>
    <w:rsid w:val="00BB7D78"/>
    <w:rPr>
      <w:rFonts w:eastAsia="SimSun"/>
      <w:b/>
      <w:sz w:val="28"/>
      <w:szCs w:val="28"/>
      <w:lang w:eastAsia="en-AU"/>
    </w:rPr>
  </w:style>
  <w:style w:type="character" w:customStyle="1" w:styleId="Heading3Char">
    <w:name w:val="Heading 3 Char"/>
    <w:basedOn w:val="DefaultParagraphFont"/>
    <w:link w:val="Heading3"/>
    <w:uiPriority w:val="9"/>
    <w:rsid w:val="002B41A4"/>
    <w:rPr>
      <w:rFonts w:eastAsia="SimSun"/>
      <w:b/>
      <w:sz w:val="24"/>
      <w:lang w:eastAsia="en-AU"/>
    </w:rPr>
  </w:style>
  <w:style w:type="character" w:customStyle="1" w:styleId="Heading4Char">
    <w:name w:val="Heading 4 Char"/>
    <w:aliases w:val="Tables Char"/>
    <w:basedOn w:val="DefaultParagraphFont"/>
    <w:link w:val="Heading4"/>
    <w:uiPriority w:val="9"/>
    <w:rsid w:val="004C5875"/>
    <w:rPr>
      <w:rFonts w:eastAsiaTheme="majorEastAsia" w:cstheme="majorBidi"/>
      <w:b/>
      <w:bCs/>
      <w:iCs/>
      <w:sz w:val="20"/>
      <w:lang w:eastAsia="en-AU"/>
    </w:rPr>
  </w:style>
  <w:style w:type="character" w:customStyle="1" w:styleId="Heading5Char">
    <w:name w:val="Heading 5 Char"/>
    <w:aliases w:val="Figures Char"/>
    <w:basedOn w:val="DefaultParagraphFont"/>
    <w:link w:val="Heading5"/>
    <w:uiPriority w:val="9"/>
    <w:rsid w:val="009B37D9"/>
    <w:rPr>
      <w:rFonts w:eastAsiaTheme="majorEastAsia" w:cstheme="majorBidi"/>
      <w:b/>
      <w:bCs/>
      <w:iCs/>
      <w:sz w:val="20"/>
      <w:lang w:eastAsia="en-AU"/>
    </w:rPr>
  </w:style>
  <w:style w:type="paragraph" w:styleId="BalloonText">
    <w:name w:val="Balloon Text"/>
    <w:basedOn w:val="Normal"/>
    <w:link w:val="BalloonTextChar"/>
    <w:uiPriority w:val="99"/>
    <w:semiHidden/>
    <w:unhideWhenUsed/>
    <w:locked/>
    <w:rsid w:val="00DF1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CC9"/>
    <w:rPr>
      <w:rFonts w:ascii="Tahoma" w:eastAsia="SimSun" w:hAnsi="Tahoma" w:cs="Tahoma"/>
      <w:sz w:val="16"/>
      <w:szCs w:val="16"/>
      <w:lang w:eastAsia="en-AU"/>
    </w:rPr>
  </w:style>
  <w:style w:type="paragraph" w:styleId="ListParagraph">
    <w:name w:val="List Paragraph"/>
    <w:basedOn w:val="Normal"/>
    <w:uiPriority w:val="34"/>
    <w:unhideWhenUsed/>
    <w:qFormat/>
    <w:locked/>
    <w:rsid w:val="008B4CA9"/>
    <w:pPr>
      <w:ind w:left="720"/>
      <w:contextualSpacing/>
    </w:pPr>
  </w:style>
  <w:style w:type="paragraph" w:styleId="TableofFigures">
    <w:name w:val="table of figures"/>
    <w:basedOn w:val="Normal"/>
    <w:next w:val="Normal"/>
    <w:uiPriority w:val="99"/>
    <w:unhideWhenUsed/>
    <w:locked/>
    <w:rsid w:val="006F5588"/>
    <w:pPr>
      <w:spacing w:after="0"/>
    </w:pPr>
  </w:style>
  <w:style w:type="character" w:styleId="Hyperlink">
    <w:name w:val="Hyperlink"/>
    <w:basedOn w:val="DefaultParagraphFont"/>
    <w:uiPriority w:val="99"/>
    <w:unhideWhenUsed/>
    <w:locked/>
    <w:rsid w:val="006F5588"/>
    <w:rPr>
      <w:color w:val="0000FF" w:themeColor="hyperlink"/>
      <w:u w:val="single"/>
    </w:rPr>
  </w:style>
  <w:style w:type="paragraph" w:styleId="TOC1">
    <w:name w:val="toc 1"/>
    <w:basedOn w:val="Normal"/>
    <w:next w:val="Normal"/>
    <w:autoRedefine/>
    <w:uiPriority w:val="39"/>
    <w:unhideWhenUsed/>
    <w:locked/>
    <w:rsid w:val="00BF1489"/>
    <w:pPr>
      <w:tabs>
        <w:tab w:val="right" w:leader="dot" w:pos="9736"/>
      </w:tabs>
      <w:spacing w:after="100"/>
    </w:pPr>
    <w:rPr>
      <w:noProof/>
    </w:rPr>
  </w:style>
  <w:style w:type="table" w:styleId="TableGrid">
    <w:name w:val="Table Grid"/>
    <w:basedOn w:val="TableNormal"/>
    <w:uiPriority w:val="59"/>
    <w:locked/>
    <w:rsid w:val="005B1AFC"/>
    <w:pPr>
      <w:spacing w:after="0" w:line="240" w:lineRule="auto"/>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rPr>
        <w:b/>
      </w:rPr>
    </w:tblStylePr>
    <w:tblStylePr w:type="lastRow">
      <w:rPr>
        <w:b/>
      </w:rPr>
    </w:tblStylePr>
    <w:tblStylePr w:type="firstCol">
      <w:pPr>
        <w:jc w:val="left"/>
      </w:pPr>
      <w:rPr>
        <w:sz w:val="18"/>
      </w:rPr>
    </w:tblStylePr>
  </w:style>
  <w:style w:type="character" w:styleId="FollowedHyperlink">
    <w:name w:val="FollowedHyperlink"/>
    <w:basedOn w:val="DefaultParagraphFont"/>
    <w:uiPriority w:val="99"/>
    <w:semiHidden/>
    <w:unhideWhenUsed/>
    <w:locked/>
    <w:rsid w:val="00AD1C47"/>
    <w:rPr>
      <w:color w:val="800080" w:themeColor="followedHyperlink"/>
      <w:u w:val="single"/>
    </w:rPr>
  </w:style>
  <w:style w:type="paragraph" w:styleId="TOC2">
    <w:name w:val="toc 2"/>
    <w:basedOn w:val="Normal"/>
    <w:next w:val="Normal"/>
    <w:autoRedefine/>
    <w:uiPriority w:val="39"/>
    <w:unhideWhenUsed/>
    <w:locked/>
    <w:rsid w:val="004C62F0"/>
    <w:pPr>
      <w:spacing w:after="100"/>
      <w:ind w:left="200"/>
    </w:pPr>
  </w:style>
  <w:style w:type="paragraph" w:styleId="TOC3">
    <w:name w:val="toc 3"/>
    <w:basedOn w:val="Normal"/>
    <w:next w:val="Normal"/>
    <w:autoRedefine/>
    <w:uiPriority w:val="39"/>
    <w:unhideWhenUsed/>
    <w:locked/>
    <w:rsid w:val="004C62F0"/>
    <w:pPr>
      <w:spacing w:after="100"/>
      <w:ind w:left="400"/>
    </w:pPr>
  </w:style>
  <w:style w:type="paragraph" w:styleId="Header">
    <w:name w:val="header"/>
    <w:basedOn w:val="Normal"/>
    <w:link w:val="HeaderChar"/>
    <w:uiPriority w:val="99"/>
    <w:unhideWhenUsed/>
    <w:locked/>
    <w:rsid w:val="004A11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17E"/>
    <w:rPr>
      <w:rFonts w:eastAsia="SimSun"/>
      <w:sz w:val="20"/>
      <w:lang w:eastAsia="en-AU"/>
    </w:rPr>
  </w:style>
  <w:style w:type="paragraph" w:styleId="Footer">
    <w:name w:val="footer"/>
    <w:basedOn w:val="Normal"/>
    <w:link w:val="FooterChar"/>
    <w:uiPriority w:val="99"/>
    <w:unhideWhenUsed/>
    <w:locked/>
    <w:rsid w:val="004A11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17E"/>
    <w:rPr>
      <w:rFonts w:eastAsia="SimSun"/>
      <w:sz w:val="20"/>
      <w:lang w:eastAsia="en-AU"/>
    </w:rPr>
  </w:style>
  <w:style w:type="paragraph" w:styleId="FootnoteText">
    <w:name w:val="footnote text"/>
    <w:basedOn w:val="Normal"/>
    <w:link w:val="FootnoteTextChar"/>
    <w:uiPriority w:val="99"/>
    <w:semiHidden/>
    <w:unhideWhenUsed/>
    <w:locked/>
    <w:rsid w:val="00AF247A"/>
    <w:pPr>
      <w:spacing w:after="0" w:line="240" w:lineRule="auto"/>
    </w:pPr>
    <w:rPr>
      <w:szCs w:val="20"/>
    </w:rPr>
  </w:style>
  <w:style w:type="character" w:customStyle="1" w:styleId="FootnoteTextChar">
    <w:name w:val="Footnote Text Char"/>
    <w:basedOn w:val="DefaultParagraphFont"/>
    <w:link w:val="FootnoteText"/>
    <w:uiPriority w:val="99"/>
    <w:semiHidden/>
    <w:rsid w:val="00AF247A"/>
    <w:rPr>
      <w:rFonts w:eastAsia="SimSun"/>
      <w:sz w:val="20"/>
      <w:szCs w:val="20"/>
      <w:lang w:eastAsia="en-AU"/>
    </w:rPr>
  </w:style>
  <w:style w:type="character" w:styleId="FootnoteReference">
    <w:name w:val="footnote reference"/>
    <w:basedOn w:val="DefaultParagraphFont"/>
    <w:uiPriority w:val="99"/>
    <w:semiHidden/>
    <w:unhideWhenUsed/>
    <w:locked/>
    <w:rsid w:val="00AF247A"/>
    <w:rPr>
      <w:vertAlign w:val="superscript"/>
    </w:rPr>
  </w:style>
  <w:style w:type="paragraph" w:styleId="Caption">
    <w:name w:val="caption"/>
    <w:basedOn w:val="Normal"/>
    <w:next w:val="Normal"/>
    <w:uiPriority w:val="35"/>
    <w:unhideWhenUsed/>
    <w:qFormat/>
    <w:locked/>
    <w:rsid w:val="00D63C2B"/>
    <w:pPr>
      <w:spacing w:after="200" w:line="240" w:lineRule="auto"/>
    </w:pPr>
    <w:rPr>
      <w:b/>
      <w:bCs/>
      <w:color w:val="4F81BD" w:themeColor="accent1"/>
      <w:sz w:val="18"/>
      <w:szCs w:val="18"/>
    </w:rPr>
  </w:style>
  <w:style w:type="paragraph" w:customStyle="1" w:styleId="Tablefooter">
    <w:name w:val="Table footer"/>
    <w:basedOn w:val="Normal"/>
    <w:qFormat/>
    <w:rsid w:val="007E28FA"/>
    <w:pPr>
      <w:spacing w:before="120"/>
    </w:pPr>
    <w:rPr>
      <w:sz w:val="16"/>
      <w:szCs w:val="16"/>
    </w:rPr>
  </w:style>
  <w:style w:type="character" w:styleId="CommentReference">
    <w:name w:val="annotation reference"/>
    <w:basedOn w:val="DefaultParagraphFont"/>
    <w:uiPriority w:val="99"/>
    <w:semiHidden/>
    <w:unhideWhenUsed/>
    <w:locked/>
    <w:rsid w:val="00627EA9"/>
    <w:rPr>
      <w:sz w:val="16"/>
      <w:szCs w:val="16"/>
    </w:rPr>
  </w:style>
  <w:style w:type="paragraph" w:styleId="CommentText">
    <w:name w:val="annotation text"/>
    <w:basedOn w:val="Normal"/>
    <w:link w:val="CommentTextChar"/>
    <w:uiPriority w:val="99"/>
    <w:semiHidden/>
    <w:unhideWhenUsed/>
    <w:locked/>
    <w:rsid w:val="00627EA9"/>
    <w:pPr>
      <w:spacing w:line="240" w:lineRule="auto"/>
    </w:pPr>
    <w:rPr>
      <w:szCs w:val="20"/>
    </w:rPr>
  </w:style>
  <w:style w:type="character" w:customStyle="1" w:styleId="CommentTextChar">
    <w:name w:val="Comment Text Char"/>
    <w:basedOn w:val="DefaultParagraphFont"/>
    <w:link w:val="CommentText"/>
    <w:uiPriority w:val="99"/>
    <w:semiHidden/>
    <w:rsid w:val="00627EA9"/>
    <w:rPr>
      <w:rFonts w:eastAsia="SimSun"/>
      <w:sz w:val="20"/>
      <w:szCs w:val="20"/>
      <w:lang w:eastAsia="en-AU"/>
    </w:rPr>
  </w:style>
  <w:style w:type="paragraph" w:styleId="CommentSubject">
    <w:name w:val="annotation subject"/>
    <w:basedOn w:val="CommentText"/>
    <w:next w:val="CommentText"/>
    <w:link w:val="CommentSubjectChar"/>
    <w:uiPriority w:val="99"/>
    <w:semiHidden/>
    <w:unhideWhenUsed/>
    <w:locked/>
    <w:rsid w:val="00627EA9"/>
    <w:rPr>
      <w:b/>
      <w:bCs/>
    </w:rPr>
  </w:style>
  <w:style w:type="character" w:customStyle="1" w:styleId="CommentSubjectChar">
    <w:name w:val="Comment Subject Char"/>
    <w:basedOn w:val="CommentTextChar"/>
    <w:link w:val="CommentSubject"/>
    <w:uiPriority w:val="99"/>
    <w:semiHidden/>
    <w:rsid w:val="00627EA9"/>
    <w:rPr>
      <w:rFonts w:eastAsia="SimSun"/>
      <w:b/>
      <w:bCs/>
      <w:sz w:val="20"/>
      <w:szCs w:val="20"/>
      <w:lang w:eastAsia="en-AU"/>
    </w:rPr>
  </w:style>
  <w:style w:type="paragraph" w:customStyle="1" w:styleId="TextBody">
    <w:name w:val="Text (Body)"/>
    <w:basedOn w:val="Normal"/>
    <w:uiPriority w:val="99"/>
    <w:rsid w:val="003D6776"/>
    <w:pPr>
      <w:suppressAutoHyphens/>
      <w:autoSpaceDE w:val="0"/>
      <w:autoSpaceDN w:val="0"/>
      <w:adjustRightInd w:val="0"/>
      <w:spacing w:before="57" w:after="57" w:line="288" w:lineRule="auto"/>
      <w:textAlignment w:val="center"/>
    </w:pPr>
    <w:rPr>
      <w:rFonts w:eastAsiaTheme="minorHAnsi"/>
      <w:color w:val="000000"/>
      <w:kern w:val="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kern w:val="22"/>
        <w:sz w:val="22"/>
        <w:szCs w:val="22"/>
        <w:lang w:val="en-AU" w:eastAsia="en-US" w:bidi="ar-SA"/>
      </w:rPr>
    </w:rPrDefault>
    <w:pPrDefault>
      <w:pPr>
        <w:spacing w:after="12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9" w:qFormat="1"/>
    <w:lsdException w:name="heading 3" w:locked="0" w:uiPriority="9" w:qFormat="1"/>
    <w:lsdException w:name="heading 4" w:uiPriority="9"/>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locked="0" w:uiPriority="1"/>
    <w:lsdException w:name="Subtitle" w:uiPriority="11" w:qFormat="1"/>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latentStyles>
  <w:style w:type="paragraph" w:default="1" w:styleId="Normal">
    <w:name w:val="Normal"/>
    <w:unhideWhenUsed/>
    <w:qFormat/>
    <w:rsid w:val="00542507"/>
    <w:rPr>
      <w:rFonts w:eastAsia="SimSun"/>
      <w:sz w:val="20"/>
      <w:lang w:eastAsia="en-AU"/>
    </w:rPr>
  </w:style>
  <w:style w:type="paragraph" w:styleId="Heading1">
    <w:name w:val="heading 1"/>
    <w:basedOn w:val="Normal"/>
    <w:next w:val="Normal"/>
    <w:link w:val="Heading1Char"/>
    <w:autoRedefine/>
    <w:uiPriority w:val="1"/>
    <w:unhideWhenUsed/>
    <w:qFormat/>
    <w:rsid w:val="00D2630A"/>
    <w:pPr>
      <w:spacing w:before="120"/>
      <w:outlineLvl w:val="0"/>
    </w:pPr>
    <w:rPr>
      <w:b/>
      <w:sz w:val="40"/>
      <w:szCs w:val="32"/>
    </w:rPr>
  </w:style>
  <w:style w:type="paragraph" w:styleId="Heading2">
    <w:name w:val="heading 2"/>
    <w:basedOn w:val="Normal"/>
    <w:next w:val="Normal"/>
    <w:link w:val="Heading2Char"/>
    <w:autoRedefine/>
    <w:uiPriority w:val="9"/>
    <w:unhideWhenUsed/>
    <w:qFormat/>
    <w:rsid w:val="00BB7D78"/>
    <w:pPr>
      <w:spacing w:before="120" w:after="60"/>
      <w:outlineLvl w:val="1"/>
    </w:pPr>
    <w:rPr>
      <w:b/>
      <w:sz w:val="28"/>
      <w:szCs w:val="28"/>
    </w:rPr>
  </w:style>
  <w:style w:type="paragraph" w:styleId="Heading3">
    <w:name w:val="heading 3"/>
    <w:basedOn w:val="Normal"/>
    <w:next w:val="Normal"/>
    <w:link w:val="Heading3Char"/>
    <w:autoRedefine/>
    <w:uiPriority w:val="9"/>
    <w:unhideWhenUsed/>
    <w:qFormat/>
    <w:rsid w:val="002B41A4"/>
    <w:pPr>
      <w:spacing w:before="40" w:after="40"/>
      <w:outlineLvl w:val="2"/>
    </w:pPr>
    <w:rPr>
      <w:b/>
      <w:sz w:val="24"/>
    </w:rPr>
  </w:style>
  <w:style w:type="paragraph" w:styleId="Heading4">
    <w:name w:val="heading 4"/>
    <w:aliases w:val="Tables"/>
    <w:basedOn w:val="Normal"/>
    <w:next w:val="Normal"/>
    <w:link w:val="Heading4Char"/>
    <w:autoRedefine/>
    <w:uiPriority w:val="9"/>
    <w:unhideWhenUsed/>
    <w:locked/>
    <w:rsid w:val="004C5875"/>
    <w:pPr>
      <w:spacing w:before="120"/>
      <w:outlineLvl w:val="3"/>
    </w:pPr>
    <w:rPr>
      <w:rFonts w:eastAsiaTheme="majorEastAsia" w:cstheme="majorBidi"/>
      <w:b/>
      <w:bCs/>
      <w:iCs/>
    </w:rPr>
  </w:style>
  <w:style w:type="paragraph" w:styleId="Heading5">
    <w:name w:val="heading 5"/>
    <w:aliases w:val="Figures"/>
    <w:basedOn w:val="Heading4"/>
    <w:next w:val="Normal"/>
    <w:link w:val="Heading5Char"/>
    <w:uiPriority w:val="9"/>
    <w:unhideWhenUsed/>
    <w:qFormat/>
    <w:locked/>
    <w:rsid w:val="009B37D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630A"/>
    <w:rPr>
      <w:rFonts w:eastAsia="SimSun"/>
      <w:b/>
      <w:sz w:val="40"/>
      <w:szCs w:val="32"/>
      <w:lang w:eastAsia="en-AU"/>
    </w:rPr>
  </w:style>
  <w:style w:type="character" w:customStyle="1" w:styleId="Heading2Char">
    <w:name w:val="Heading 2 Char"/>
    <w:basedOn w:val="DefaultParagraphFont"/>
    <w:link w:val="Heading2"/>
    <w:uiPriority w:val="9"/>
    <w:rsid w:val="00BB7D78"/>
    <w:rPr>
      <w:rFonts w:eastAsia="SimSun"/>
      <w:b/>
      <w:sz w:val="28"/>
      <w:szCs w:val="28"/>
      <w:lang w:eastAsia="en-AU"/>
    </w:rPr>
  </w:style>
  <w:style w:type="character" w:customStyle="1" w:styleId="Heading3Char">
    <w:name w:val="Heading 3 Char"/>
    <w:basedOn w:val="DefaultParagraphFont"/>
    <w:link w:val="Heading3"/>
    <w:uiPriority w:val="9"/>
    <w:rsid w:val="002B41A4"/>
    <w:rPr>
      <w:rFonts w:eastAsia="SimSun"/>
      <w:b/>
      <w:sz w:val="24"/>
      <w:lang w:eastAsia="en-AU"/>
    </w:rPr>
  </w:style>
  <w:style w:type="character" w:customStyle="1" w:styleId="Heading4Char">
    <w:name w:val="Heading 4 Char"/>
    <w:aliases w:val="Tables Char"/>
    <w:basedOn w:val="DefaultParagraphFont"/>
    <w:link w:val="Heading4"/>
    <w:uiPriority w:val="9"/>
    <w:rsid w:val="004C5875"/>
    <w:rPr>
      <w:rFonts w:eastAsiaTheme="majorEastAsia" w:cstheme="majorBidi"/>
      <w:b/>
      <w:bCs/>
      <w:iCs/>
      <w:sz w:val="20"/>
      <w:lang w:eastAsia="en-AU"/>
    </w:rPr>
  </w:style>
  <w:style w:type="character" w:customStyle="1" w:styleId="Heading5Char">
    <w:name w:val="Heading 5 Char"/>
    <w:aliases w:val="Figures Char"/>
    <w:basedOn w:val="DefaultParagraphFont"/>
    <w:link w:val="Heading5"/>
    <w:uiPriority w:val="9"/>
    <w:rsid w:val="009B37D9"/>
    <w:rPr>
      <w:rFonts w:eastAsiaTheme="majorEastAsia" w:cstheme="majorBidi"/>
      <w:b/>
      <w:bCs/>
      <w:iCs/>
      <w:sz w:val="20"/>
      <w:lang w:eastAsia="en-AU"/>
    </w:rPr>
  </w:style>
  <w:style w:type="paragraph" w:styleId="BalloonText">
    <w:name w:val="Balloon Text"/>
    <w:basedOn w:val="Normal"/>
    <w:link w:val="BalloonTextChar"/>
    <w:uiPriority w:val="99"/>
    <w:semiHidden/>
    <w:unhideWhenUsed/>
    <w:locked/>
    <w:rsid w:val="00DF1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CC9"/>
    <w:rPr>
      <w:rFonts w:ascii="Tahoma" w:eastAsia="SimSun" w:hAnsi="Tahoma" w:cs="Tahoma"/>
      <w:sz w:val="16"/>
      <w:szCs w:val="16"/>
      <w:lang w:eastAsia="en-AU"/>
    </w:rPr>
  </w:style>
  <w:style w:type="paragraph" w:styleId="ListParagraph">
    <w:name w:val="List Paragraph"/>
    <w:basedOn w:val="Normal"/>
    <w:uiPriority w:val="34"/>
    <w:unhideWhenUsed/>
    <w:qFormat/>
    <w:locked/>
    <w:rsid w:val="008B4CA9"/>
    <w:pPr>
      <w:ind w:left="720"/>
      <w:contextualSpacing/>
    </w:pPr>
  </w:style>
  <w:style w:type="paragraph" w:styleId="TableofFigures">
    <w:name w:val="table of figures"/>
    <w:basedOn w:val="Normal"/>
    <w:next w:val="Normal"/>
    <w:uiPriority w:val="99"/>
    <w:unhideWhenUsed/>
    <w:locked/>
    <w:rsid w:val="006F5588"/>
    <w:pPr>
      <w:spacing w:after="0"/>
    </w:pPr>
  </w:style>
  <w:style w:type="character" w:styleId="Hyperlink">
    <w:name w:val="Hyperlink"/>
    <w:basedOn w:val="DefaultParagraphFont"/>
    <w:uiPriority w:val="99"/>
    <w:unhideWhenUsed/>
    <w:locked/>
    <w:rsid w:val="006F5588"/>
    <w:rPr>
      <w:color w:val="0000FF" w:themeColor="hyperlink"/>
      <w:u w:val="single"/>
    </w:rPr>
  </w:style>
  <w:style w:type="paragraph" w:styleId="TOC1">
    <w:name w:val="toc 1"/>
    <w:basedOn w:val="Normal"/>
    <w:next w:val="Normal"/>
    <w:autoRedefine/>
    <w:uiPriority w:val="39"/>
    <w:unhideWhenUsed/>
    <w:locked/>
    <w:rsid w:val="00BF1489"/>
    <w:pPr>
      <w:tabs>
        <w:tab w:val="right" w:leader="dot" w:pos="9736"/>
      </w:tabs>
      <w:spacing w:after="100"/>
    </w:pPr>
    <w:rPr>
      <w:noProof/>
    </w:rPr>
  </w:style>
  <w:style w:type="table" w:styleId="TableGrid">
    <w:name w:val="Table Grid"/>
    <w:basedOn w:val="TableNormal"/>
    <w:uiPriority w:val="59"/>
    <w:locked/>
    <w:rsid w:val="005B1AFC"/>
    <w:pPr>
      <w:spacing w:after="0" w:line="240" w:lineRule="auto"/>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rPr>
        <w:b/>
      </w:rPr>
    </w:tblStylePr>
    <w:tblStylePr w:type="lastRow">
      <w:rPr>
        <w:b/>
      </w:rPr>
    </w:tblStylePr>
    <w:tblStylePr w:type="firstCol">
      <w:pPr>
        <w:jc w:val="left"/>
      </w:pPr>
      <w:rPr>
        <w:sz w:val="18"/>
      </w:rPr>
    </w:tblStylePr>
  </w:style>
  <w:style w:type="character" w:styleId="FollowedHyperlink">
    <w:name w:val="FollowedHyperlink"/>
    <w:basedOn w:val="DefaultParagraphFont"/>
    <w:uiPriority w:val="99"/>
    <w:semiHidden/>
    <w:unhideWhenUsed/>
    <w:locked/>
    <w:rsid w:val="00AD1C47"/>
    <w:rPr>
      <w:color w:val="800080" w:themeColor="followedHyperlink"/>
      <w:u w:val="single"/>
    </w:rPr>
  </w:style>
  <w:style w:type="paragraph" w:styleId="TOC2">
    <w:name w:val="toc 2"/>
    <w:basedOn w:val="Normal"/>
    <w:next w:val="Normal"/>
    <w:autoRedefine/>
    <w:uiPriority w:val="39"/>
    <w:unhideWhenUsed/>
    <w:locked/>
    <w:rsid w:val="004C62F0"/>
    <w:pPr>
      <w:spacing w:after="100"/>
      <w:ind w:left="200"/>
    </w:pPr>
  </w:style>
  <w:style w:type="paragraph" w:styleId="TOC3">
    <w:name w:val="toc 3"/>
    <w:basedOn w:val="Normal"/>
    <w:next w:val="Normal"/>
    <w:autoRedefine/>
    <w:uiPriority w:val="39"/>
    <w:unhideWhenUsed/>
    <w:locked/>
    <w:rsid w:val="004C62F0"/>
    <w:pPr>
      <w:spacing w:after="100"/>
      <w:ind w:left="400"/>
    </w:pPr>
  </w:style>
  <w:style w:type="paragraph" w:styleId="Header">
    <w:name w:val="header"/>
    <w:basedOn w:val="Normal"/>
    <w:link w:val="HeaderChar"/>
    <w:uiPriority w:val="99"/>
    <w:unhideWhenUsed/>
    <w:locked/>
    <w:rsid w:val="004A11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17E"/>
    <w:rPr>
      <w:rFonts w:eastAsia="SimSun"/>
      <w:sz w:val="20"/>
      <w:lang w:eastAsia="en-AU"/>
    </w:rPr>
  </w:style>
  <w:style w:type="paragraph" w:styleId="Footer">
    <w:name w:val="footer"/>
    <w:basedOn w:val="Normal"/>
    <w:link w:val="FooterChar"/>
    <w:uiPriority w:val="99"/>
    <w:unhideWhenUsed/>
    <w:locked/>
    <w:rsid w:val="004A11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17E"/>
    <w:rPr>
      <w:rFonts w:eastAsia="SimSun"/>
      <w:sz w:val="20"/>
      <w:lang w:eastAsia="en-AU"/>
    </w:rPr>
  </w:style>
  <w:style w:type="paragraph" w:styleId="FootnoteText">
    <w:name w:val="footnote text"/>
    <w:basedOn w:val="Normal"/>
    <w:link w:val="FootnoteTextChar"/>
    <w:uiPriority w:val="99"/>
    <w:semiHidden/>
    <w:unhideWhenUsed/>
    <w:locked/>
    <w:rsid w:val="00AF247A"/>
    <w:pPr>
      <w:spacing w:after="0" w:line="240" w:lineRule="auto"/>
    </w:pPr>
    <w:rPr>
      <w:szCs w:val="20"/>
    </w:rPr>
  </w:style>
  <w:style w:type="character" w:customStyle="1" w:styleId="FootnoteTextChar">
    <w:name w:val="Footnote Text Char"/>
    <w:basedOn w:val="DefaultParagraphFont"/>
    <w:link w:val="FootnoteText"/>
    <w:uiPriority w:val="99"/>
    <w:semiHidden/>
    <w:rsid w:val="00AF247A"/>
    <w:rPr>
      <w:rFonts w:eastAsia="SimSun"/>
      <w:sz w:val="20"/>
      <w:szCs w:val="20"/>
      <w:lang w:eastAsia="en-AU"/>
    </w:rPr>
  </w:style>
  <w:style w:type="character" w:styleId="FootnoteReference">
    <w:name w:val="footnote reference"/>
    <w:basedOn w:val="DefaultParagraphFont"/>
    <w:uiPriority w:val="99"/>
    <w:semiHidden/>
    <w:unhideWhenUsed/>
    <w:locked/>
    <w:rsid w:val="00AF247A"/>
    <w:rPr>
      <w:vertAlign w:val="superscript"/>
    </w:rPr>
  </w:style>
  <w:style w:type="paragraph" w:styleId="Caption">
    <w:name w:val="caption"/>
    <w:basedOn w:val="Normal"/>
    <w:next w:val="Normal"/>
    <w:uiPriority w:val="35"/>
    <w:unhideWhenUsed/>
    <w:qFormat/>
    <w:locked/>
    <w:rsid w:val="00D63C2B"/>
    <w:pPr>
      <w:spacing w:after="200" w:line="240" w:lineRule="auto"/>
    </w:pPr>
    <w:rPr>
      <w:b/>
      <w:bCs/>
      <w:color w:val="4F81BD" w:themeColor="accent1"/>
      <w:sz w:val="18"/>
      <w:szCs w:val="18"/>
    </w:rPr>
  </w:style>
  <w:style w:type="paragraph" w:customStyle="1" w:styleId="Tablefooter">
    <w:name w:val="Table footer"/>
    <w:basedOn w:val="Normal"/>
    <w:qFormat/>
    <w:rsid w:val="007E28FA"/>
    <w:pPr>
      <w:spacing w:before="120"/>
    </w:pPr>
    <w:rPr>
      <w:sz w:val="16"/>
      <w:szCs w:val="16"/>
    </w:rPr>
  </w:style>
  <w:style w:type="character" w:styleId="CommentReference">
    <w:name w:val="annotation reference"/>
    <w:basedOn w:val="DefaultParagraphFont"/>
    <w:uiPriority w:val="99"/>
    <w:semiHidden/>
    <w:unhideWhenUsed/>
    <w:locked/>
    <w:rsid w:val="00627EA9"/>
    <w:rPr>
      <w:sz w:val="16"/>
      <w:szCs w:val="16"/>
    </w:rPr>
  </w:style>
  <w:style w:type="paragraph" w:styleId="CommentText">
    <w:name w:val="annotation text"/>
    <w:basedOn w:val="Normal"/>
    <w:link w:val="CommentTextChar"/>
    <w:uiPriority w:val="99"/>
    <w:semiHidden/>
    <w:unhideWhenUsed/>
    <w:locked/>
    <w:rsid w:val="00627EA9"/>
    <w:pPr>
      <w:spacing w:line="240" w:lineRule="auto"/>
    </w:pPr>
    <w:rPr>
      <w:szCs w:val="20"/>
    </w:rPr>
  </w:style>
  <w:style w:type="character" w:customStyle="1" w:styleId="CommentTextChar">
    <w:name w:val="Comment Text Char"/>
    <w:basedOn w:val="DefaultParagraphFont"/>
    <w:link w:val="CommentText"/>
    <w:uiPriority w:val="99"/>
    <w:semiHidden/>
    <w:rsid w:val="00627EA9"/>
    <w:rPr>
      <w:rFonts w:eastAsia="SimSun"/>
      <w:sz w:val="20"/>
      <w:szCs w:val="20"/>
      <w:lang w:eastAsia="en-AU"/>
    </w:rPr>
  </w:style>
  <w:style w:type="paragraph" w:styleId="CommentSubject">
    <w:name w:val="annotation subject"/>
    <w:basedOn w:val="CommentText"/>
    <w:next w:val="CommentText"/>
    <w:link w:val="CommentSubjectChar"/>
    <w:uiPriority w:val="99"/>
    <w:semiHidden/>
    <w:unhideWhenUsed/>
    <w:locked/>
    <w:rsid w:val="00627EA9"/>
    <w:rPr>
      <w:b/>
      <w:bCs/>
    </w:rPr>
  </w:style>
  <w:style w:type="character" w:customStyle="1" w:styleId="CommentSubjectChar">
    <w:name w:val="Comment Subject Char"/>
    <w:basedOn w:val="CommentTextChar"/>
    <w:link w:val="CommentSubject"/>
    <w:uiPriority w:val="99"/>
    <w:semiHidden/>
    <w:rsid w:val="00627EA9"/>
    <w:rPr>
      <w:rFonts w:eastAsia="SimSun"/>
      <w:b/>
      <w:bCs/>
      <w:sz w:val="20"/>
      <w:szCs w:val="20"/>
      <w:lang w:eastAsia="en-AU"/>
    </w:rPr>
  </w:style>
  <w:style w:type="paragraph" w:customStyle="1" w:styleId="TextBody">
    <w:name w:val="Text (Body)"/>
    <w:basedOn w:val="Normal"/>
    <w:uiPriority w:val="99"/>
    <w:rsid w:val="003D6776"/>
    <w:pPr>
      <w:suppressAutoHyphens/>
      <w:autoSpaceDE w:val="0"/>
      <w:autoSpaceDN w:val="0"/>
      <w:adjustRightInd w:val="0"/>
      <w:spacing w:before="57" w:after="57" w:line="288" w:lineRule="auto"/>
      <w:textAlignment w:val="center"/>
    </w:pPr>
    <w:rPr>
      <w:rFonts w:eastAsiaTheme="minorHAnsi"/>
      <w:color w:val="000000"/>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4216">
      <w:bodyDiv w:val="1"/>
      <w:marLeft w:val="0"/>
      <w:marRight w:val="0"/>
      <w:marTop w:val="0"/>
      <w:marBottom w:val="0"/>
      <w:divBdr>
        <w:top w:val="none" w:sz="0" w:space="0" w:color="auto"/>
        <w:left w:val="none" w:sz="0" w:space="0" w:color="auto"/>
        <w:bottom w:val="none" w:sz="0" w:space="0" w:color="auto"/>
        <w:right w:val="none" w:sz="0" w:space="0" w:color="auto"/>
      </w:divBdr>
    </w:div>
    <w:div w:id="24328868">
      <w:bodyDiv w:val="1"/>
      <w:marLeft w:val="0"/>
      <w:marRight w:val="0"/>
      <w:marTop w:val="0"/>
      <w:marBottom w:val="0"/>
      <w:divBdr>
        <w:top w:val="none" w:sz="0" w:space="0" w:color="auto"/>
        <w:left w:val="none" w:sz="0" w:space="0" w:color="auto"/>
        <w:bottom w:val="none" w:sz="0" w:space="0" w:color="auto"/>
        <w:right w:val="none" w:sz="0" w:space="0" w:color="auto"/>
      </w:divBdr>
    </w:div>
    <w:div w:id="29888342">
      <w:bodyDiv w:val="1"/>
      <w:marLeft w:val="0"/>
      <w:marRight w:val="0"/>
      <w:marTop w:val="0"/>
      <w:marBottom w:val="0"/>
      <w:divBdr>
        <w:top w:val="none" w:sz="0" w:space="0" w:color="auto"/>
        <w:left w:val="none" w:sz="0" w:space="0" w:color="auto"/>
        <w:bottom w:val="none" w:sz="0" w:space="0" w:color="auto"/>
        <w:right w:val="none" w:sz="0" w:space="0" w:color="auto"/>
      </w:divBdr>
    </w:div>
    <w:div w:id="37821934">
      <w:bodyDiv w:val="1"/>
      <w:marLeft w:val="0"/>
      <w:marRight w:val="0"/>
      <w:marTop w:val="0"/>
      <w:marBottom w:val="0"/>
      <w:divBdr>
        <w:top w:val="none" w:sz="0" w:space="0" w:color="auto"/>
        <w:left w:val="none" w:sz="0" w:space="0" w:color="auto"/>
        <w:bottom w:val="none" w:sz="0" w:space="0" w:color="auto"/>
        <w:right w:val="none" w:sz="0" w:space="0" w:color="auto"/>
      </w:divBdr>
    </w:div>
    <w:div w:id="42944394">
      <w:bodyDiv w:val="1"/>
      <w:marLeft w:val="0"/>
      <w:marRight w:val="0"/>
      <w:marTop w:val="0"/>
      <w:marBottom w:val="0"/>
      <w:divBdr>
        <w:top w:val="none" w:sz="0" w:space="0" w:color="auto"/>
        <w:left w:val="none" w:sz="0" w:space="0" w:color="auto"/>
        <w:bottom w:val="none" w:sz="0" w:space="0" w:color="auto"/>
        <w:right w:val="none" w:sz="0" w:space="0" w:color="auto"/>
      </w:divBdr>
    </w:div>
    <w:div w:id="88429836">
      <w:bodyDiv w:val="1"/>
      <w:marLeft w:val="0"/>
      <w:marRight w:val="0"/>
      <w:marTop w:val="0"/>
      <w:marBottom w:val="0"/>
      <w:divBdr>
        <w:top w:val="none" w:sz="0" w:space="0" w:color="auto"/>
        <w:left w:val="none" w:sz="0" w:space="0" w:color="auto"/>
        <w:bottom w:val="none" w:sz="0" w:space="0" w:color="auto"/>
        <w:right w:val="none" w:sz="0" w:space="0" w:color="auto"/>
      </w:divBdr>
    </w:div>
    <w:div w:id="98959396">
      <w:bodyDiv w:val="1"/>
      <w:marLeft w:val="0"/>
      <w:marRight w:val="0"/>
      <w:marTop w:val="0"/>
      <w:marBottom w:val="0"/>
      <w:divBdr>
        <w:top w:val="none" w:sz="0" w:space="0" w:color="auto"/>
        <w:left w:val="none" w:sz="0" w:space="0" w:color="auto"/>
        <w:bottom w:val="none" w:sz="0" w:space="0" w:color="auto"/>
        <w:right w:val="none" w:sz="0" w:space="0" w:color="auto"/>
      </w:divBdr>
    </w:div>
    <w:div w:id="148060346">
      <w:bodyDiv w:val="1"/>
      <w:marLeft w:val="0"/>
      <w:marRight w:val="0"/>
      <w:marTop w:val="0"/>
      <w:marBottom w:val="0"/>
      <w:divBdr>
        <w:top w:val="none" w:sz="0" w:space="0" w:color="auto"/>
        <w:left w:val="none" w:sz="0" w:space="0" w:color="auto"/>
        <w:bottom w:val="none" w:sz="0" w:space="0" w:color="auto"/>
        <w:right w:val="none" w:sz="0" w:space="0" w:color="auto"/>
      </w:divBdr>
    </w:div>
    <w:div w:id="153302657">
      <w:bodyDiv w:val="1"/>
      <w:marLeft w:val="0"/>
      <w:marRight w:val="0"/>
      <w:marTop w:val="0"/>
      <w:marBottom w:val="0"/>
      <w:divBdr>
        <w:top w:val="none" w:sz="0" w:space="0" w:color="auto"/>
        <w:left w:val="none" w:sz="0" w:space="0" w:color="auto"/>
        <w:bottom w:val="none" w:sz="0" w:space="0" w:color="auto"/>
        <w:right w:val="none" w:sz="0" w:space="0" w:color="auto"/>
      </w:divBdr>
    </w:div>
    <w:div w:id="225991160">
      <w:bodyDiv w:val="1"/>
      <w:marLeft w:val="0"/>
      <w:marRight w:val="0"/>
      <w:marTop w:val="0"/>
      <w:marBottom w:val="0"/>
      <w:divBdr>
        <w:top w:val="none" w:sz="0" w:space="0" w:color="auto"/>
        <w:left w:val="none" w:sz="0" w:space="0" w:color="auto"/>
        <w:bottom w:val="none" w:sz="0" w:space="0" w:color="auto"/>
        <w:right w:val="none" w:sz="0" w:space="0" w:color="auto"/>
      </w:divBdr>
    </w:div>
    <w:div w:id="229049634">
      <w:bodyDiv w:val="1"/>
      <w:marLeft w:val="0"/>
      <w:marRight w:val="0"/>
      <w:marTop w:val="0"/>
      <w:marBottom w:val="0"/>
      <w:divBdr>
        <w:top w:val="none" w:sz="0" w:space="0" w:color="auto"/>
        <w:left w:val="none" w:sz="0" w:space="0" w:color="auto"/>
        <w:bottom w:val="none" w:sz="0" w:space="0" w:color="auto"/>
        <w:right w:val="none" w:sz="0" w:space="0" w:color="auto"/>
      </w:divBdr>
    </w:div>
    <w:div w:id="253780061">
      <w:bodyDiv w:val="1"/>
      <w:marLeft w:val="0"/>
      <w:marRight w:val="0"/>
      <w:marTop w:val="0"/>
      <w:marBottom w:val="0"/>
      <w:divBdr>
        <w:top w:val="none" w:sz="0" w:space="0" w:color="auto"/>
        <w:left w:val="none" w:sz="0" w:space="0" w:color="auto"/>
        <w:bottom w:val="none" w:sz="0" w:space="0" w:color="auto"/>
        <w:right w:val="none" w:sz="0" w:space="0" w:color="auto"/>
      </w:divBdr>
    </w:div>
    <w:div w:id="257566944">
      <w:bodyDiv w:val="1"/>
      <w:marLeft w:val="0"/>
      <w:marRight w:val="0"/>
      <w:marTop w:val="0"/>
      <w:marBottom w:val="0"/>
      <w:divBdr>
        <w:top w:val="none" w:sz="0" w:space="0" w:color="auto"/>
        <w:left w:val="none" w:sz="0" w:space="0" w:color="auto"/>
        <w:bottom w:val="none" w:sz="0" w:space="0" w:color="auto"/>
        <w:right w:val="none" w:sz="0" w:space="0" w:color="auto"/>
      </w:divBdr>
    </w:div>
    <w:div w:id="266625168">
      <w:bodyDiv w:val="1"/>
      <w:marLeft w:val="0"/>
      <w:marRight w:val="0"/>
      <w:marTop w:val="0"/>
      <w:marBottom w:val="0"/>
      <w:divBdr>
        <w:top w:val="none" w:sz="0" w:space="0" w:color="auto"/>
        <w:left w:val="none" w:sz="0" w:space="0" w:color="auto"/>
        <w:bottom w:val="none" w:sz="0" w:space="0" w:color="auto"/>
        <w:right w:val="none" w:sz="0" w:space="0" w:color="auto"/>
      </w:divBdr>
    </w:div>
    <w:div w:id="275910696">
      <w:bodyDiv w:val="1"/>
      <w:marLeft w:val="0"/>
      <w:marRight w:val="0"/>
      <w:marTop w:val="0"/>
      <w:marBottom w:val="0"/>
      <w:divBdr>
        <w:top w:val="none" w:sz="0" w:space="0" w:color="auto"/>
        <w:left w:val="none" w:sz="0" w:space="0" w:color="auto"/>
        <w:bottom w:val="none" w:sz="0" w:space="0" w:color="auto"/>
        <w:right w:val="none" w:sz="0" w:space="0" w:color="auto"/>
      </w:divBdr>
    </w:div>
    <w:div w:id="296372241">
      <w:bodyDiv w:val="1"/>
      <w:marLeft w:val="0"/>
      <w:marRight w:val="0"/>
      <w:marTop w:val="0"/>
      <w:marBottom w:val="0"/>
      <w:divBdr>
        <w:top w:val="none" w:sz="0" w:space="0" w:color="auto"/>
        <w:left w:val="none" w:sz="0" w:space="0" w:color="auto"/>
        <w:bottom w:val="none" w:sz="0" w:space="0" w:color="auto"/>
        <w:right w:val="none" w:sz="0" w:space="0" w:color="auto"/>
      </w:divBdr>
    </w:div>
    <w:div w:id="307053295">
      <w:bodyDiv w:val="1"/>
      <w:marLeft w:val="0"/>
      <w:marRight w:val="0"/>
      <w:marTop w:val="0"/>
      <w:marBottom w:val="0"/>
      <w:divBdr>
        <w:top w:val="none" w:sz="0" w:space="0" w:color="auto"/>
        <w:left w:val="none" w:sz="0" w:space="0" w:color="auto"/>
        <w:bottom w:val="none" w:sz="0" w:space="0" w:color="auto"/>
        <w:right w:val="none" w:sz="0" w:space="0" w:color="auto"/>
      </w:divBdr>
    </w:div>
    <w:div w:id="353191323">
      <w:bodyDiv w:val="1"/>
      <w:marLeft w:val="0"/>
      <w:marRight w:val="0"/>
      <w:marTop w:val="0"/>
      <w:marBottom w:val="0"/>
      <w:divBdr>
        <w:top w:val="none" w:sz="0" w:space="0" w:color="auto"/>
        <w:left w:val="none" w:sz="0" w:space="0" w:color="auto"/>
        <w:bottom w:val="none" w:sz="0" w:space="0" w:color="auto"/>
        <w:right w:val="none" w:sz="0" w:space="0" w:color="auto"/>
      </w:divBdr>
    </w:div>
    <w:div w:id="360597197">
      <w:bodyDiv w:val="1"/>
      <w:marLeft w:val="0"/>
      <w:marRight w:val="0"/>
      <w:marTop w:val="0"/>
      <w:marBottom w:val="0"/>
      <w:divBdr>
        <w:top w:val="none" w:sz="0" w:space="0" w:color="auto"/>
        <w:left w:val="none" w:sz="0" w:space="0" w:color="auto"/>
        <w:bottom w:val="none" w:sz="0" w:space="0" w:color="auto"/>
        <w:right w:val="none" w:sz="0" w:space="0" w:color="auto"/>
      </w:divBdr>
    </w:div>
    <w:div w:id="384334209">
      <w:bodyDiv w:val="1"/>
      <w:marLeft w:val="0"/>
      <w:marRight w:val="0"/>
      <w:marTop w:val="0"/>
      <w:marBottom w:val="0"/>
      <w:divBdr>
        <w:top w:val="none" w:sz="0" w:space="0" w:color="auto"/>
        <w:left w:val="none" w:sz="0" w:space="0" w:color="auto"/>
        <w:bottom w:val="none" w:sz="0" w:space="0" w:color="auto"/>
        <w:right w:val="none" w:sz="0" w:space="0" w:color="auto"/>
      </w:divBdr>
    </w:div>
    <w:div w:id="402026744">
      <w:bodyDiv w:val="1"/>
      <w:marLeft w:val="0"/>
      <w:marRight w:val="0"/>
      <w:marTop w:val="0"/>
      <w:marBottom w:val="0"/>
      <w:divBdr>
        <w:top w:val="none" w:sz="0" w:space="0" w:color="auto"/>
        <w:left w:val="none" w:sz="0" w:space="0" w:color="auto"/>
        <w:bottom w:val="none" w:sz="0" w:space="0" w:color="auto"/>
        <w:right w:val="none" w:sz="0" w:space="0" w:color="auto"/>
      </w:divBdr>
    </w:div>
    <w:div w:id="413429945">
      <w:bodyDiv w:val="1"/>
      <w:marLeft w:val="0"/>
      <w:marRight w:val="0"/>
      <w:marTop w:val="0"/>
      <w:marBottom w:val="0"/>
      <w:divBdr>
        <w:top w:val="none" w:sz="0" w:space="0" w:color="auto"/>
        <w:left w:val="none" w:sz="0" w:space="0" w:color="auto"/>
        <w:bottom w:val="none" w:sz="0" w:space="0" w:color="auto"/>
        <w:right w:val="none" w:sz="0" w:space="0" w:color="auto"/>
      </w:divBdr>
    </w:div>
    <w:div w:id="430049682">
      <w:bodyDiv w:val="1"/>
      <w:marLeft w:val="0"/>
      <w:marRight w:val="0"/>
      <w:marTop w:val="0"/>
      <w:marBottom w:val="0"/>
      <w:divBdr>
        <w:top w:val="none" w:sz="0" w:space="0" w:color="auto"/>
        <w:left w:val="none" w:sz="0" w:space="0" w:color="auto"/>
        <w:bottom w:val="none" w:sz="0" w:space="0" w:color="auto"/>
        <w:right w:val="none" w:sz="0" w:space="0" w:color="auto"/>
      </w:divBdr>
    </w:div>
    <w:div w:id="432164442">
      <w:bodyDiv w:val="1"/>
      <w:marLeft w:val="0"/>
      <w:marRight w:val="0"/>
      <w:marTop w:val="0"/>
      <w:marBottom w:val="0"/>
      <w:divBdr>
        <w:top w:val="none" w:sz="0" w:space="0" w:color="auto"/>
        <w:left w:val="none" w:sz="0" w:space="0" w:color="auto"/>
        <w:bottom w:val="none" w:sz="0" w:space="0" w:color="auto"/>
        <w:right w:val="none" w:sz="0" w:space="0" w:color="auto"/>
      </w:divBdr>
    </w:div>
    <w:div w:id="437989254">
      <w:bodyDiv w:val="1"/>
      <w:marLeft w:val="0"/>
      <w:marRight w:val="0"/>
      <w:marTop w:val="0"/>
      <w:marBottom w:val="0"/>
      <w:divBdr>
        <w:top w:val="none" w:sz="0" w:space="0" w:color="auto"/>
        <w:left w:val="none" w:sz="0" w:space="0" w:color="auto"/>
        <w:bottom w:val="none" w:sz="0" w:space="0" w:color="auto"/>
        <w:right w:val="none" w:sz="0" w:space="0" w:color="auto"/>
      </w:divBdr>
    </w:div>
    <w:div w:id="454104560">
      <w:bodyDiv w:val="1"/>
      <w:marLeft w:val="0"/>
      <w:marRight w:val="0"/>
      <w:marTop w:val="0"/>
      <w:marBottom w:val="0"/>
      <w:divBdr>
        <w:top w:val="none" w:sz="0" w:space="0" w:color="auto"/>
        <w:left w:val="none" w:sz="0" w:space="0" w:color="auto"/>
        <w:bottom w:val="none" w:sz="0" w:space="0" w:color="auto"/>
        <w:right w:val="none" w:sz="0" w:space="0" w:color="auto"/>
      </w:divBdr>
    </w:div>
    <w:div w:id="469329261">
      <w:bodyDiv w:val="1"/>
      <w:marLeft w:val="0"/>
      <w:marRight w:val="0"/>
      <w:marTop w:val="0"/>
      <w:marBottom w:val="0"/>
      <w:divBdr>
        <w:top w:val="none" w:sz="0" w:space="0" w:color="auto"/>
        <w:left w:val="none" w:sz="0" w:space="0" w:color="auto"/>
        <w:bottom w:val="none" w:sz="0" w:space="0" w:color="auto"/>
        <w:right w:val="none" w:sz="0" w:space="0" w:color="auto"/>
      </w:divBdr>
    </w:div>
    <w:div w:id="505170542">
      <w:bodyDiv w:val="1"/>
      <w:marLeft w:val="0"/>
      <w:marRight w:val="0"/>
      <w:marTop w:val="0"/>
      <w:marBottom w:val="0"/>
      <w:divBdr>
        <w:top w:val="none" w:sz="0" w:space="0" w:color="auto"/>
        <w:left w:val="none" w:sz="0" w:space="0" w:color="auto"/>
        <w:bottom w:val="none" w:sz="0" w:space="0" w:color="auto"/>
        <w:right w:val="none" w:sz="0" w:space="0" w:color="auto"/>
      </w:divBdr>
    </w:div>
    <w:div w:id="508375383">
      <w:bodyDiv w:val="1"/>
      <w:marLeft w:val="0"/>
      <w:marRight w:val="0"/>
      <w:marTop w:val="0"/>
      <w:marBottom w:val="0"/>
      <w:divBdr>
        <w:top w:val="none" w:sz="0" w:space="0" w:color="auto"/>
        <w:left w:val="none" w:sz="0" w:space="0" w:color="auto"/>
        <w:bottom w:val="none" w:sz="0" w:space="0" w:color="auto"/>
        <w:right w:val="none" w:sz="0" w:space="0" w:color="auto"/>
      </w:divBdr>
    </w:div>
    <w:div w:id="527914909">
      <w:bodyDiv w:val="1"/>
      <w:marLeft w:val="0"/>
      <w:marRight w:val="0"/>
      <w:marTop w:val="0"/>
      <w:marBottom w:val="0"/>
      <w:divBdr>
        <w:top w:val="none" w:sz="0" w:space="0" w:color="auto"/>
        <w:left w:val="none" w:sz="0" w:space="0" w:color="auto"/>
        <w:bottom w:val="none" w:sz="0" w:space="0" w:color="auto"/>
        <w:right w:val="none" w:sz="0" w:space="0" w:color="auto"/>
      </w:divBdr>
    </w:div>
    <w:div w:id="539514889">
      <w:bodyDiv w:val="1"/>
      <w:marLeft w:val="0"/>
      <w:marRight w:val="0"/>
      <w:marTop w:val="0"/>
      <w:marBottom w:val="0"/>
      <w:divBdr>
        <w:top w:val="none" w:sz="0" w:space="0" w:color="auto"/>
        <w:left w:val="none" w:sz="0" w:space="0" w:color="auto"/>
        <w:bottom w:val="none" w:sz="0" w:space="0" w:color="auto"/>
        <w:right w:val="none" w:sz="0" w:space="0" w:color="auto"/>
      </w:divBdr>
    </w:div>
    <w:div w:id="543639454">
      <w:bodyDiv w:val="1"/>
      <w:marLeft w:val="0"/>
      <w:marRight w:val="0"/>
      <w:marTop w:val="0"/>
      <w:marBottom w:val="0"/>
      <w:divBdr>
        <w:top w:val="none" w:sz="0" w:space="0" w:color="auto"/>
        <w:left w:val="none" w:sz="0" w:space="0" w:color="auto"/>
        <w:bottom w:val="none" w:sz="0" w:space="0" w:color="auto"/>
        <w:right w:val="none" w:sz="0" w:space="0" w:color="auto"/>
      </w:divBdr>
    </w:div>
    <w:div w:id="544802565">
      <w:bodyDiv w:val="1"/>
      <w:marLeft w:val="0"/>
      <w:marRight w:val="0"/>
      <w:marTop w:val="0"/>
      <w:marBottom w:val="0"/>
      <w:divBdr>
        <w:top w:val="none" w:sz="0" w:space="0" w:color="auto"/>
        <w:left w:val="none" w:sz="0" w:space="0" w:color="auto"/>
        <w:bottom w:val="none" w:sz="0" w:space="0" w:color="auto"/>
        <w:right w:val="none" w:sz="0" w:space="0" w:color="auto"/>
      </w:divBdr>
    </w:div>
    <w:div w:id="562713668">
      <w:bodyDiv w:val="1"/>
      <w:marLeft w:val="0"/>
      <w:marRight w:val="0"/>
      <w:marTop w:val="0"/>
      <w:marBottom w:val="0"/>
      <w:divBdr>
        <w:top w:val="none" w:sz="0" w:space="0" w:color="auto"/>
        <w:left w:val="none" w:sz="0" w:space="0" w:color="auto"/>
        <w:bottom w:val="none" w:sz="0" w:space="0" w:color="auto"/>
        <w:right w:val="none" w:sz="0" w:space="0" w:color="auto"/>
      </w:divBdr>
    </w:div>
    <w:div w:id="583297893">
      <w:bodyDiv w:val="1"/>
      <w:marLeft w:val="0"/>
      <w:marRight w:val="0"/>
      <w:marTop w:val="0"/>
      <w:marBottom w:val="0"/>
      <w:divBdr>
        <w:top w:val="none" w:sz="0" w:space="0" w:color="auto"/>
        <w:left w:val="none" w:sz="0" w:space="0" w:color="auto"/>
        <w:bottom w:val="none" w:sz="0" w:space="0" w:color="auto"/>
        <w:right w:val="none" w:sz="0" w:space="0" w:color="auto"/>
      </w:divBdr>
    </w:div>
    <w:div w:id="706179006">
      <w:bodyDiv w:val="1"/>
      <w:marLeft w:val="0"/>
      <w:marRight w:val="0"/>
      <w:marTop w:val="0"/>
      <w:marBottom w:val="0"/>
      <w:divBdr>
        <w:top w:val="none" w:sz="0" w:space="0" w:color="auto"/>
        <w:left w:val="none" w:sz="0" w:space="0" w:color="auto"/>
        <w:bottom w:val="none" w:sz="0" w:space="0" w:color="auto"/>
        <w:right w:val="none" w:sz="0" w:space="0" w:color="auto"/>
      </w:divBdr>
    </w:div>
    <w:div w:id="728268168">
      <w:bodyDiv w:val="1"/>
      <w:marLeft w:val="0"/>
      <w:marRight w:val="0"/>
      <w:marTop w:val="0"/>
      <w:marBottom w:val="0"/>
      <w:divBdr>
        <w:top w:val="none" w:sz="0" w:space="0" w:color="auto"/>
        <w:left w:val="none" w:sz="0" w:space="0" w:color="auto"/>
        <w:bottom w:val="none" w:sz="0" w:space="0" w:color="auto"/>
        <w:right w:val="none" w:sz="0" w:space="0" w:color="auto"/>
      </w:divBdr>
    </w:div>
    <w:div w:id="728310587">
      <w:bodyDiv w:val="1"/>
      <w:marLeft w:val="0"/>
      <w:marRight w:val="0"/>
      <w:marTop w:val="0"/>
      <w:marBottom w:val="0"/>
      <w:divBdr>
        <w:top w:val="none" w:sz="0" w:space="0" w:color="auto"/>
        <w:left w:val="none" w:sz="0" w:space="0" w:color="auto"/>
        <w:bottom w:val="none" w:sz="0" w:space="0" w:color="auto"/>
        <w:right w:val="none" w:sz="0" w:space="0" w:color="auto"/>
      </w:divBdr>
    </w:div>
    <w:div w:id="729420555">
      <w:bodyDiv w:val="1"/>
      <w:marLeft w:val="0"/>
      <w:marRight w:val="0"/>
      <w:marTop w:val="0"/>
      <w:marBottom w:val="0"/>
      <w:divBdr>
        <w:top w:val="none" w:sz="0" w:space="0" w:color="auto"/>
        <w:left w:val="none" w:sz="0" w:space="0" w:color="auto"/>
        <w:bottom w:val="none" w:sz="0" w:space="0" w:color="auto"/>
        <w:right w:val="none" w:sz="0" w:space="0" w:color="auto"/>
      </w:divBdr>
    </w:div>
    <w:div w:id="744106011">
      <w:bodyDiv w:val="1"/>
      <w:marLeft w:val="0"/>
      <w:marRight w:val="0"/>
      <w:marTop w:val="0"/>
      <w:marBottom w:val="0"/>
      <w:divBdr>
        <w:top w:val="none" w:sz="0" w:space="0" w:color="auto"/>
        <w:left w:val="none" w:sz="0" w:space="0" w:color="auto"/>
        <w:bottom w:val="none" w:sz="0" w:space="0" w:color="auto"/>
        <w:right w:val="none" w:sz="0" w:space="0" w:color="auto"/>
      </w:divBdr>
    </w:div>
    <w:div w:id="755060120">
      <w:bodyDiv w:val="1"/>
      <w:marLeft w:val="0"/>
      <w:marRight w:val="0"/>
      <w:marTop w:val="0"/>
      <w:marBottom w:val="0"/>
      <w:divBdr>
        <w:top w:val="none" w:sz="0" w:space="0" w:color="auto"/>
        <w:left w:val="none" w:sz="0" w:space="0" w:color="auto"/>
        <w:bottom w:val="none" w:sz="0" w:space="0" w:color="auto"/>
        <w:right w:val="none" w:sz="0" w:space="0" w:color="auto"/>
      </w:divBdr>
    </w:div>
    <w:div w:id="762803775">
      <w:bodyDiv w:val="1"/>
      <w:marLeft w:val="0"/>
      <w:marRight w:val="0"/>
      <w:marTop w:val="0"/>
      <w:marBottom w:val="0"/>
      <w:divBdr>
        <w:top w:val="none" w:sz="0" w:space="0" w:color="auto"/>
        <w:left w:val="none" w:sz="0" w:space="0" w:color="auto"/>
        <w:bottom w:val="none" w:sz="0" w:space="0" w:color="auto"/>
        <w:right w:val="none" w:sz="0" w:space="0" w:color="auto"/>
      </w:divBdr>
    </w:div>
    <w:div w:id="780992908">
      <w:bodyDiv w:val="1"/>
      <w:marLeft w:val="0"/>
      <w:marRight w:val="0"/>
      <w:marTop w:val="0"/>
      <w:marBottom w:val="0"/>
      <w:divBdr>
        <w:top w:val="none" w:sz="0" w:space="0" w:color="auto"/>
        <w:left w:val="none" w:sz="0" w:space="0" w:color="auto"/>
        <w:bottom w:val="none" w:sz="0" w:space="0" w:color="auto"/>
        <w:right w:val="none" w:sz="0" w:space="0" w:color="auto"/>
      </w:divBdr>
    </w:div>
    <w:div w:id="798032317">
      <w:bodyDiv w:val="1"/>
      <w:marLeft w:val="0"/>
      <w:marRight w:val="0"/>
      <w:marTop w:val="0"/>
      <w:marBottom w:val="0"/>
      <w:divBdr>
        <w:top w:val="none" w:sz="0" w:space="0" w:color="auto"/>
        <w:left w:val="none" w:sz="0" w:space="0" w:color="auto"/>
        <w:bottom w:val="none" w:sz="0" w:space="0" w:color="auto"/>
        <w:right w:val="none" w:sz="0" w:space="0" w:color="auto"/>
      </w:divBdr>
    </w:div>
    <w:div w:id="798493082">
      <w:bodyDiv w:val="1"/>
      <w:marLeft w:val="0"/>
      <w:marRight w:val="0"/>
      <w:marTop w:val="0"/>
      <w:marBottom w:val="0"/>
      <w:divBdr>
        <w:top w:val="none" w:sz="0" w:space="0" w:color="auto"/>
        <w:left w:val="none" w:sz="0" w:space="0" w:color="auto"/>
        <w:bottom w:val="none" w:sz="0" w:space="0" w:color="auto"/>
        <w:right w:val="none" w:sz="0" w:space="0" w:color="auto"/>
      </w:divBdr>
    </w:div>
    <w:div w:id="803279891">
      <w:bodyDiv w:val="1"/>
      <w:marLeft w:val="0"/>
      <w:marRight w:val="0"/>
      <w:marTop w:val="0"/>
      <w:marBottom w:val="0"/>
      <w:divBdr>
        <w:top w:val="none" w:sz="0" w:space="0" w:color="auto"/>
        <w:left w:val="none" w:sz="0" w:space="0" w:color="auto"/>
        <w:bottom w:val="none" w:sz="0" w:space="0" w:color="auto"/>
        <w:right w:val="none" w:sz="0" w:space="0" w:color="auto"/>
      </w:divBdr>
    </w:div>
    <w:div w:id="806320841">
      <w:bodyDiv w:val="1"/>
      <w:marLeft w:val="0"/>
      <w:marRight w:val="0"/>
      <w:marTop w:val="0"/>
      <w:marBottom w:val="0"/>
      <w:divBdr>
        <w:top w:val="none" w:sz="0" w:space="0" w:color="auto"/>
        <w:left w:val="none" w:sz="0" w:space="0" w:color="auto"/>
        <w:bottom w:val="none" w:sz="0" w:space="0" w:color="auto"/>
        <w:right w:val="none" w:sz="0" w:space="0" w:color="auto"/>
      </w:divBdr>
    </w:div>
    <w:div w:id="817303656">
      <w:bodyDiv w:val="1"/>
      <w:marLeft w:val="0"/>
      <w:marRight w:val="0"/>
      <w:marTop w:val="0"/>
      <w:marBottom w:val="0"/>
      <w:divBdr>
        <w:top w:val="none" w:sz="0" w:space="0" w:color="auto"/>
        <w:left w:val="none" w:sz="0" w:space="0" w:color="auto"/>
        <w:bottom w:val="none" w:sz="0" w:space="0" w:color="auto"/>
        <w:right w:val="none" w:sz="0" w:space="0" w:color="auto"/>
      </w:divBdr>
    </w:div>
    <w:div w:id="825900103">
      <w:bodyDiv w:val="1"/>
      <w:marLeft w:val="0"/>
      <w:marRight w:val="0"/>
      <w:marTop w:val="0"/>
      <w:marBottom w:val="0"/>
      <w:divBdr>
        <w:top w:val="none" w:sz="0" w:space="0" w:color="auto"/>
        <w:left w:val="none" w:sz="0" w:space="0" w:color="auto"/>
        <w:bottom w:val="none" w:sz="0" w:space="0" w:color="auto"/>
        <w:right w:val="none" w:sz="0" w:space="0" w:color="auto"/>
      </w:divBdr>
    </w:div>
    <w:div w:id="841508239">
      <w:bodyDiv w:val="1"/>
      <w:marLeft w:val="0"/>
      <w:marRight w:val="0"/>
      <w:marTop w:val="0"/>
      <w:marBottom w:val="0"/>
      <w:divBdr>
        <w:top w:val="none" w:sz="0" w:space="0" w:color="auto"/>
        <w:left w:val="none" w:sz="0" w:space="0" w:color="auto"/>
        <w:bottom w:val="none" w:sz="0" w:space="0" w:color="auto"/>
        <w:right w:val="none" w:sz="0" w:space="0" w:color="auto"/>
      </w:divBdr>
    </w:div>
    <w:div w:id="864637803">
      <w:bodyDiv w:val="1"/>
      <w:marLeft w:val="0"/>
      <w:marRight w:val="0"/>
      <w:marTop w:val="0"/>
      <w:marBottom w:val="0"/>
      <w:divBdr>
        <w:top w:val="none" w:sz="0" w:space="0" w:color="auto"/>
        <w:left w:val="none" w:sz="0" w:space="0" w:color="auto"/>
        <w:bottom w:val="none" w:sz="0" w:space="0" w:color="auto"/>
        <w:right w:val="none" w:sz="0" w:space="0" w:color="auto"/>
      </w:divBdr>
    </w:div>
    <w:div w:id="875657385">
      <w:bodyDiv w:val="1"/>
      <w:marLeft w:val="0"/>
      <w:marRight w:val="0"/>
      <w:marTop w:val="0"/>
      <w:marBottom w:val="0"/>
      <w:divBdr>
        <w:top w:val="none" w:sz="0" w:space="0" w:color="auto"/>
        <w:left w:val="none" w:sz="0" w:space="0" w:color="auto"/>
        <w:bottom w:val="none" w:sz="0" w:space="0" w:color="auto"/>
        <w:right w:val="none" w:sz="0" w:space="0" w:color="auto"/>
      </w:divBdr>
    </w:div>
    <w:div w:id="898250739">
      <w:bodyDiv w:val="1"/>
      <w:marLeft w:val="0"/>
      <w:marRight w:val="0"/>
      <w:marTop w:val="0"/>
      <w:marBottom w:val="0"/>
      <w:divBdr>
        <w:top w:val="none" w:sz="0" w:space="0" w:color="auto"/>
        <w:left w:val="none" w:sz="0" w:space="0" w:color="auto"/>
        <w:bottom w:val="none" w:sz="0" w:space="0" w:color="auto"/>
        <w:right w:val="none" w:sz="0" w:space="0" w:color="auto"/>
      </w:divBdr>
    </w:div>
    <w:div w:id="902451004">
      <w:bodyDiv w:val="1"/>
      <w:marLeft w:val="0"/>
      <w:marRight w:val="0"/>
      <w:marTop w:val="0"/>
      <w:marBottom w:val="0"/>
      <w:divBdr>
        <w:top w:val="none" w:sz="0" w:space="0" w:color="auto"/>
        <w:left w:val="none" w:sz="0" w:space="0" w:color="auto"/>
        <w:bottom w:val="none" w:sz="0" w:space="0" w:color="auto"/>
        <w:right w:val="none" w:sz="0" w:space="0" w:color="auto"/>
      </w:divBdr>
    </w:div>
    <w:div w:id="905602282">
      <w:bodyDiv w:val="1"/>
      <w:marLeft w:val="0"/>
      <w:marRight w:val="0"/>
      <w:marTop w:val="0"/>
      <w:marBottom w:val="0"/>
      <w:divBdr>
        <w:top w:val="none" w:sz="0" w:space="0" w:color="auto"/>
        <w:left w:val="none" w:sz="0" w:space="0" w:color="auto"/>
        <w:bottom w:val="none" w:sz="0" w:space="0" w:color="auto"/>
        <w:right w:val="none" w:sz="0" w:space="0" w:color="auto"/>
      </w:divBdr>
    </w:div>
    <w:div w:id="943416519">
      <w:bodyDiv w:val="1"/>
      <w:marLeft w:val="0"/>
      <w:marRight w:val="0"/>
      <w:marTop w:val="0"/>
      <w:marBottom w:val="0"/>
      <w:divBdr>
        <w:top w:val="none" w:sz="0" w:space="0" w:color="auto"/>
        <w:left w:val="none" w:sz="0" w:space="0" w:color="auto"/>
        <w:bottom w:val="none" w:sz="0" w:space="0" w:color="auto"/>
        <w:right w:val="none" w:sz="0" w:space="0" w:color="auto"/>
      </w:divBdr>
    </w:div>
    <w:div w:id="944382557">
      <w:bodyDiv w:val="1"/>
      <w:marLeft w:val="0"/>
      <w:marRight w:val="0"/>
      <w:marTop w:val="0"/>
      <w:marBottom w:val="0"/>
      <w:divBdr>
        <w:top w:val="none" w:sz="0" w:space="0" w:color="auto"/>
        <w:left w:val="none" w:sz="0" w:space="0" w:color="auto"/>
        <w:bottom w:val="none" w:sz="0" w:space="0" w:color="auto"/>
        <w:right w:val="none" w:sz="0" w:space="0" w:color="auto"/>
      </w:divBdr>
    </w:div>
    <w:div w:id="964166187">
      <w:bodyDiv w:val="1"/>
      <w:marLeft w:val="0"/>
      <w:marRight w:val="0"/>
      <w:marTop w:val="0"/>
      <w:marBottom w:val="0"/>
      <w:divBdr>
        <w:top w:val="none" w:sz="0" w:space="0" w:color="auto"/>
        <w:left w:val="none" w:sz="0" w:space="0" w:color="auto"/>
        <w:bottom w:val="none" w:sz="0" w:space="0" w:color="auto"/>
        <w:right w:val="none" w:sz="0" w:space="0" w:color="auto"/>
      </w:divBdr>
    </w:div>
    <w:div w:id="983699788">
      <w:bodyDiv w:val="1"/>
      <w:marLeft w:val="0"/>
      <w:marRight w:val="0"/>
      <w:marTop w:val="0"/>
      <w:marBottom w:val="0"/>
      <w:divBdr>
        <w:top w:val="none" w:sz="0" w:space="0" w:color="auto"/>
        <w:left w:val="none" w:sz="0" w:space="0" w:color="auto"/>
        <w:bottom w:val="none" w:sz="0" w:space="0" w:color="auto"/>
        <w:right w:val="none" w:sz="0" w:space="0" w:color="auto"/>
      </w:divBdr>
    </w:div>
    <w:div w:id="1008143987">
      <w:bodyDiv w:val="1"/>
      <w:marLeft w:val="0"/>
      <w:marRight w:val="0"/>
      <w:marTop w:val="0"/>
      <w:marBottom w:val="0"/>
      <w:divBdr>
        <w:top w:val="none" w:sz="0" w:space="0" w:color="auto"/>
        <w:left w:val="none" w:sz="0" w:space="0" w:color="auto"/>
        <w:bottom w:val="none" w:sz="0" w:space="0" w:color="auto"/>
        <w:right w:val="none" w:sz="0" w:space="0" w:color="auto"/>
      </w:divBdr>
    </w:div>
    <w:div w:id="1018658245">
      <w:bodyDiv w:val="1"/>
      <w:marLeft w:val="0"/>
      <w:marRight w:val="0"/>
      <w:marTop w:val="0"/>
      <w:marBottom w:val="0"/>
      <w:divBdr>
        <w:top w:val="none" w:sz="0" w:space="0" w:color="auto"/>
        <w:left w:val="none" w:sz="0" w:space="0" w:color="auto"/>
        <w:bottom w:val="none" w:sz="0" w:space="0" w:color="auto"/>
        <w:right w:val="none" w:sz="0" w:space="0" w:color="auto"/>
      </w:divBdr>
    </w:div>
    <w:div w:id="1027368248">
      <w:bodyDiv w:val="1"/>
      <w:marLeft w:val="0"/>
      <w:marRight w:val="0"/>
      <w:marTop w:val="0"/>
      <w:marBottom w:val="0"/>
      <w:divBdr>
        <w:top w:val="none" w:sz="0" w:space="0" w:color="auto"/>
        <w:left w:val="none" w:sz="0" w:space="0" w:color="auto"/>
        <w:bottom w:val="none" w:sz="0" w:space="0" w:color="auto"/>
        <w:right w:val="none" w:sz="0" w:space="0" w:color="auto"/>
      </w:divBdr>
    </w:div>
    <w:div w:id="1062562269">
      <w:bodyDiv w:val="1"/>
      <w:marLeft w:val="0"/>
      <w:marRight w:val="0"/>
      <w:marTop w:val="0"/>
      <w:marBottom w:val="0"/>
      <w:divBdr>
        <w:top w:val="none" w:sz="0" w:space="0" w:color="auto"/>
        <w:left w:val="none" w:sz="0" w:space="0" w:color="auto"/>
        <w:bottom w:val="none" w:sz="0" w:space="0" w:color="auto"/>
        <w:right w:val="none" w:sz="0" w:space="0" w:color="auto"/>
      </w:divBdr>
    </w:div>
    <w:div w:id="1091506583">
      <w:bodyDiv w:val="1"/>
      <w:marLeft w:val="0"/>
      <w:marRight w:val="0"/>
      <w:marTop w:val="0"/>
      <w:marBottom w:val="0"/>
      <w:divBdr>
        <w:top w:val="none" w:sz="0" w:space="0" w:color="auto"/>
        <w:left w:val="none" w:sz="0" w:space="0" w:color="auto"/>
        <w:bottom w:val="none" w:sz="0" w:space="0" w:color="auto"/>
        <w:right w:val="none" w:sz="0" w:space="0" w:color="auto"/>
      </w:divBdr>
    </w:div>
    <w:div w:id="1123185490">
      <w:bodyDiv w:val="1"/>
      <w:marLeft w:val="0"/>
      <w:marRight w:val="0"/>
      <w:marTop w:val="0"/>
      <w:marBottom w:val="0"/>
      <w:divBdr>
        <w:top w:val="none" w:sz="0" w:space="0" w:color="auto"/>
        <w:left w:val="none" w:sz="0" w:space="0" w:color="auto"/>
        <w:bottom w:val="none" w:sz="0" w:space="0" w:color="auto"/>
        <w:right w:val="none" w:sz="0" w:space="0" w:color="auto"/>
      </w:divBdr>
    </w:div>
    <w:div w:id="1125274498">
      <w:bodyDiv w:val="1"/>
      <w:marLeft w:val="0"/>
      <w:marRight w:val="0"/>
      <w:marTop w:val="0"/>
      <w:marBottom w:val="0"/>
      <w:divBdr>
        <w:top w:val="none" w:sz="0" w:space="0" w:color="auto"/>
        <w:left w:val="none" w:sz="0" w:space="0" w:color="auto"/>
        <w:bottom w:val="none" w:sz="0" w:space="0" w:color="auto"/>
        <w:right w:val="none" w:sz="0" w:space="0" w:color="auto"/>
      </w:divBdr>
    </w:div>
    <w:div w:id="1160661693">
      <w:bodyDiv w:val="1"/>
      <w:marLeft w:val="0"/>
      <w:marRight w:val="0"/>
      <w:marTop w:val="0"/>
      <w:marBottom w:val="0"/>
      <w:divBdr>
        <w:top w:val="none" w:sz="0" w:space="0" w:color="auto"/>
        <w:left w:val="none" w:sz="0" w:space="0" w:color="auto"/>
        <w:bottom w:val="none" w:sz="0" w:space="0" w:color="auto"/>
        <w:right w:val="none" w:sz="0" w:space="0" w:color="auto"/>
      </w:divBdr>
    </w:div>
    <w:div w:id="1162888460">
      <w:bodyDiv w:val="1"/>
      <w:marLeft w:val="0"/>
      <w:marRight w:val="0"/>
      <w:marTop w:val="0"/>
      <w:marBottom w:val="0"/>
      <w:divBdr>
        <w:top w:val="none" w:sz="0" w:space="0" w:color="auto"/>
        <w:left w:val="none" w:sz="0" w:space="0" w:color="auto"/>
        <w:bottom w:val="none" w:sz="0" w:space="0" w:color="auto"/>
        <w:right w:val="none" w:sz="0" w:space="0" w:color="auto"/>
      </w:divBdr>
    </w:div>
    <w:div w:id="1190409604">
      <w:bodyDiv w:val="1"/>
      <w:marLeft w:val="0"/>
      <w:marRight w:val="0"/>
      <w:marTop w:val="0"/>
      <w:marBottom w:val="0"/>
      <w:divBdr>
        <w:top w:val="none" w:sz="0" w:space="0" w:color="auto"/>
        <w:left w:val="none" w:sz="0" w:space="0" w:color="auto"/>
        <w:bottom w:val="none" w:sz="0" w:space="0" w:color="auto"/>
        <w:right w:val="none" w:sz="0" w:space="0" w:color="auto"/>
      </w:divBdr>
    </w:div>
    <w:div w:id="1194001695">
      <w:bodyDiv w:val="1"/>
      <w:marLeft w:val="0"/>
      <w:marRight w:val="0"/>
      <w:marTop w:val="0"/>
      <w:marBottom w:val="0"/>
      <w:divBdr>
        <w:top w:val="none" w:sz="0" w:space="0" w:color="auto"/>
        <w:left w:val="none" w:sz="0" w:space="0" w:color="auto"/>
        <w:bottom w:val="none" w:sz="0" w:space="0" w:color="auto"/>
        <w:right w:val="none" w:sz="0" w:space="0" w:color="auto"/>
      </w:divBdr>
    </w:div>
    <w:div w:id="1210536904">
      <w:bodyDiv w:val="1"/>
      <w:marLeft w:val="0"/>
      <w:marRight w:val="0"/>
      <w:marTop w:val="0"/>
      <w:marBottom w:val="0"/>
      <w:divBdr>
        <w:top w:val="none" w:sz="0" w:space="0" w:color="auto"/>
        <w:left w:val="none" w:sz="0" w:space="0" w:color="auto"/>
        <w:bottom w:val="none" w:sz="0" w:space="0" w:color="auto"/>
        <w:right w:val="none" w:sz="0" w:space="0" w:color="auto"/>
      </w:divBdr>
    </w:div>
    <w:div w:id="1219584735">
      <w:bodyDiv w:val="1"/>
      <w:marLeft w:val="0"/>
      <w:marRight w:val="0"/>
      <w:marTop w:val="0"/>
      <w:marBottom w:val="0"/>
      <w:divBdr>
        <w:top w:val="none" w:sz="0" w:space="0" w:color="auto"/>
        <w:left w:val="none" w:sz="0" w:space="0" w:color="auto"/>
        <w:bottom w:val="none" w:sz="0" w:space="0" w:color="auto"/>
        <w:right w:val="none" w:sz="0" w:space="0" w:color="auto"/>
      </w:divBdr>
    </w:div>
    <w:div w:id="1220046219">
      <w:bodyDiv w:val="1"/>
      <w:marLeft w:val="0"/>
      <w:marRight w:val="0"/>
      <w:marTop w:val="0"/>
      <w:marBottom w:val="0"/>
      <w:divBdr>
        <w:top w:val="none" w:sz="0" w:space="0" w:color="auto"/>
        <w:left w:val="none" w:sz="0" w:space="0" w:color="auto"/>
        <w:bottom w:val="none" w:sz="0" w:space="0" w:color="auto"/>
        <w:right w:val="none" w:sz="0" w:space="0" w:color="auto"/>
      </w:divBdr>
    </w:div>
    <w:div w:id="1223717046">
      <w:bodyDiv w:val="1"/>
      <w:marLeft w:val="0"/>
      <w:marRight w:val="0"/>
      <w:marTop w:val="0"/>
      <w:marBottom w:val="0"/>
      <w:divBdr>
        <w:top w:val="none" w:sz="0" w:space="0" w:color="auto"/>
        <w:left w:val="none" w:sz="0" w:space="0" w:color="auto"/>
        <w:bottom w:val="none" w:sz="0" w:space="0" w:color="auto"/>
        <w:right w:val="none" w:sz="0" w:space="0" w:color="auto"/>
      </w:divBdr>
    </w:div>
    <w:div w:id="1234968562">
      <w:bodyDiv w:val="1"/>
      <w:marLeft w:val="0"/>
      <w:marRight w:val="0"/>
      <w:marTop w:val="0"/>
      <w:marBottom w:val="0"/>
      <w:divBdr>
        <w:top w:val="none" w:sz="0" w:space="0" w:color="auto"/>
        <w:left w:val="none" w:sz="0" w:space="0" w:color="auto"/>
        <w:bottom w:val="none" w:sz="0" w:space="0" w:color="auto"/>
        <w:right w:val="none" w:sz="0" w:space="0" w:color="auto"/>
      </w:divBdr>
    </w:div>
    <w:div w:id="1272323934">
      <w:bodyDiv w:val="1"/>
      <w:marLeft w:val="0"/>
      <w:marRight w:val="0"/>
      <w:marTop w:val="0"/>
      <w:marBottom w:val="0"/>
      <w:divBdr>
        <w:top w:val="none" w:sz="0" w:space="0" w:color="auto"/>
        <w:left w:val="none" w:sz="0" w:space="0" w:color="auto"/>
        <w:bottom w:val="none" w:sz="0" w:space="0" w:color="auto"/>
        <w:right w:val="none" w:sz="0" w:space="0" w:color="auto"/>
      </w:divBdr>
    </w:div>
    <w:div w:id="1308121982">
      <w:bodyDiv w:val="1"/>
      <w:marLeft w:val="0"/>
      <w:marRight w:val="0"/>
      <w:marTop w:val="0"/>
      <w:marBottom w:val="0"/>
      <w:divBdr>
        <w:top w:val="none" w:sz="0" w:space="0" w:color="auto"/>
        <w:left w:val="none" w:sz="0" w:space="0" w:color="auto"/>
        <w:bottom w:val="none" w:sz="0" w:space="0" w:color="auto"/>
        <w:right w:val="none" w:sz="0" w:space="0" w:color="auto"/>
      </w:divBdr>
    </w:div>
    <w:div w:id="1325552761">
      <w:bodyDiv w:val="1"/>
      <w:marLeft w:val="0"/>
      <w:marRight w:val="0"/>
      <w:marTop w:val="0"/>
      <w:marBottom w:val="0"/>
      <w:divBdr>
        <w:top w:val="none" w:sz="0" w:space="0" w:color="auto"/>
        <w:left w:val="none" w:sz="0" w:space="0" w:color="auto"/>
        <w:bottom w:val="none" w:sz="0" w:space="0" w:color="auto"/>
        <w:right w:val="none" w:sz="0" w:space="0" w:color="auto"/>
      </w:divBdr>
    </w:div>
    <w:div w:id="1352146852">
      <w:bodyDiv w:val="1"/>
      <w:marLeft w:val="0"/>
      <w:marRight w:val="0"/>
      <w:marTop w:val="0"/>
      <w:marBottom w:val="0"/>
      <w:divBdr>
        <w:top w:val="none" w:sz="0" w:space="0" w:color="auto"/>
        <w:left w:val="none" w:sz="0" w:space="0" w:color="auto"/>
        <w:bottom w:val="none" w:sz="0" w:space="0" w:color="auto"/>
        <w:right w:val="none" w:sz="0" w:space="0" w:color="auto"/>
      </w:divBdr>
    </w:div>
    <w:div w:id="1379430069">
      <w:bodyDiv w:val="1"/>
      <w:marLeft w:val="0"/>
      <w:marRight w:val="0"/>
      <w:marTop w:val="0"/>
      <w:marBottom w:val="0"/>
      <w:divBdr>
        <w:top w:val="none" w:sz="0" w:space="0" w:color="auto"/>
        <w:left w:val="none" w:sz="0" w:space="0" w:color="auto"/>
        <w:bottom w:val="none" w:sz="0" w:space="0" w:color="auto"/>
        <w:right w:val="none" w:sz="0" w:space="0" w:color="auto"/>
      </w:divBdr>
    </w:div>
    <w:div w:id="1382368806">
      <w:bodyDiv w:val="1"/>
      <w:marLeft w:val="0"/>
      <w:marRight w:val="0"/>
      <w:marTop w:val="0"/>
      <w:marBottom w:val="0"/>
      <w:divBdr>
        <w:top w:val="none" w:sz="0" w:space="0" w:color="auto"/>
        <w:left w:val="none" w:sz="0" w:space="0" w:color="auto"/>
        <w:bottom w:val="none" w:sz="0" w:space="0" w:color="auto"/>
        <w:right w:val="none" w:sz="0" w:space="0" w:color="auto"/>
      </w:divBdr>
    </w:div>
    <w:div w:id="1386831343">
      <w:bodyDiv w:val="1"/>
      <w:marLeft w:val="0"/>
      <w:marRight w:val="0"/>
      <w:marTop w:val="0"/>
      <w:marBottom w:val="0"/>
      <w:divBdr>
        <w:top w:val="none" w:sz="0" w:space="0" w:color="auto"/>
        <w:left w:val="none" w:sz="0" w:space="0" w:color="auto"/>
        <w:bottom w:val="none" w:sz="0" w:space="0" w:color="auto"/>
        <w:right w:val="none" w:sz="0" w:space="0" w:color="auto"/>
      </w:divBdr>
    </w:div>
    <w:div w:id="1389036470">
      <w:bodyDiv w:val="1"/>
      <w:marLeft w:val="0"/>
      <w:marRight w:val="0"/>
      <w:marTop w:val="0"/>
      <w:marBottom w:val="0"/>
      <w:divBdr>
        <w:top w:val="none" w:sz="0" w:space="0" w:color="auto"/>
        <w:left w:val="none" w:sz="0" w:space="0" w:color="auto"/>
        <w:bottom w:val="none" w:sz="0" w:space="0" w:color="auto"/>
        <w:right w:val="none" w:sz="0" w:space="0" w:color="auto"/>
      </w:divBdr>
    </w:div>
    <w:div w:id="1398162675">
      <w:bodyDiv w:val="1"/>
      <w:marLeft w:val="0"/>
      <w:marRight w:val="0"/>
      <w:marTop w:val="0"/>
      <w:marBottom w:val="0"/>
      <w:divBdr>
        <w:top w:val="none" w:sz="0" w:space="0" w:color="auto"/>
        <w:left w:val="none" w:sz="0" w:space="0" w:color="auto"/>
        <w:bottom w:val="none" w:sz="0" w:space="0" w:color="auto"/>
        <w:right w:val="none" w:sz="0" w:space="0" w:color="auto"/>
      </w:divBdr>
    </w:div>
    <w:div w:id="1406368430">
      <w:bodyDiv w:val="1"/>
      <w:marLeft w:val="0"/>
      <w:marRight w:val="0"/>
      <w:marTop w:val="0"/>
      <w:marBottom w:val="0"/>
      <w:divBdr>
        <w:top w:val="none" w:sz="0" w:space="0" w:color="auto"/>
        <w:left w:val="none" w:sz="0" w:space="0" w:color="auto"/>
        <w:bottom w:val="none" w:sz="0" w:space="0" w:color="auto"/>
        <w:right w:val="none" w:sz="0" w:space="0" w:color="auto"/>
      </w:divBdr>
    </w:div>
    <w:div w:id="1421872965">
      <w:bodyDiv w:val="1"/>
      <w:marLeft w:val="0"/>
      <w:marRight w:val="0"/>
      <w:marTop w:val="0"/>
      <w:marBottom w:val="0"/>
      <w:divBdr>
        <w:top w:val="none" w:sz="0" w:space="0" w:color="auto"/>
        <w:left w:val="none" w:sz="0" w:space="0" w:color="auto"/>
        <w:bottom w:val="none" w:sz="0" w:space="0" w:color="auto"/>
        <w:right w:val="none" w:sz="0" w:space="0" w:color="auto"/>
      </w:divBdr>
    </w:div>
    <w:div w:id="1431656629">
      <w:bodyDiv w:val="1"/>
      <w:marLeft w:val="0"/>
      <w:marRight w:val="0"/>
      <w:marTop w:val="0"/>
      <w:marBottom w:val="0"/>
      <w:divBdr>
        <w:top w:val="none" w:sz="0" w:space="0" w:color="auto"/>
        <w:left w:val="none" w:sz="0" w:space="0" w:color="auto"/>
        <w:bottom w:val="none" w:sz="0" w:space="0" w:color="auto"/>
        <w:right w:val="none" w:sz="0" w:space="0" w:color="auto"/>
      </w:divBdr>
    </w:div>
    <w:div w:id="1487162270">
      <w:bodyDiv w:val="1"/>
      <w:marLeft w:val="0"/>
      <w:marRight w:val="0"/>
      <w:marTop w:val="0"/>
      <w:marBottom w:val="0"/>
      <w:divBdr>
        <w:top w:val="none" w:sz="0" w:space="0" w:color="auto"/>
        <w:left w:val="none" w:sz="0" w:space="0" w:color="auto"/>
        <w:bottom w:val="none" w:sz="0" w:space="0" w:color="auto"/>
        <w:right w:val="none" w:sz="0" w:space="0" w:color="auto"/>
      </w:divBdr>
    </w:div>
    <w:div w:id="1488133164">
      <w:bodyDiv w:val="1"/>
      <w:marLeft w:val="0"/>
      <w:marRight w:val="0"/>
      <w:marTop w:val="0"/>
      <w:marBottom w:val="0"/>
      <w:divBdr>
        <w:top w:val="none" w:sz="0" w:space="0" w:color="auto"/>
        <w:left w:val="none" w:sz="0" w:space="0" w:color="auto"/>
        <w:bottom w:val="none" w:sz="0" w:space="0" w:color="auto"/>
        <w:right w:val="none" w:sz="0" w:space="0" w:color="auto"/>
      </w:divBdr>
    </w:div>
    <w:div w:id="1489175812">
      <w:bodyDiv w:val="1"/>
      <w:marLeft w:val="0"/>
      <w:marRight w:val="0"/>
      <w:marTop w:val="0"/>
      <w:marBottom w:val="0"/>
      <w:divBdr>
        <w:top w:val="none" w:sz="0" w:space="0" w:color="auto"/>
        <w:left w:val="none" w:sz="0" w:space="0" w:color="auto"/>
        <w:bottom w:val="none" w:sz="0" w:space="0" w:color="auto"/>
        <w:right w:val="none" w:sz="0" w:space="0" w:color="auto"/>
      </w:divBdr>
    </w:div>
    <w:div w:id="1535145536">
      <w:bodyDiv w:val="1"/>
      <w:marLeft w:val="0"/>
      <w:marRight w:val="0"/>
      <w:marTop w:val="0"/>
      <w:marBottom w:val="0"/>
      <w:divBdr>
        <w:top w:val="none" w:sz="0" w:space="0" w:color="auto"/>
        <w:left w:val="none" w:sz="0" w:space="0" w:color="auto"/>
        <w:bottom w:val="none" w:sz="0" w:space="0" w:color="auto"/>
        <w:right w:val="none" w:sz="0" w:space="0" w:color="auto"/>
      </w:divBdr>
    </w:div>
    <w:div w:id="1550603401">
      <w:bodyDiv w:val="1"/>
      <w:marLeft w:val="0"/>
      <w:marRight w:val="0"/>
      <w:marTop w:val="0"/>
      <w:marBottom w:val="0"/>
      <w:divBdr>
        <w:top w:val="none" w:sz="0" w:space="0" w:color="auto"/>
        <w:left w:val="none" w:sz="0" w:space="0" w:color="auto"/>
        <w:bottom w:val="none" w:sz="0" w:space="0" w:color="auto"/>
        <w:right w:val="none" w:sz="0" w:space="0" w:color="auto"/>
      </w:divBdr>
    </w:div>
    <w:div w:id="1554728097">
      <w:bodyDiv w:val="1"/>
      <w:marLeft w:val="0"/>
      <w:marRight w:val="0"/>
      <w:marTop w:val="0"/>
      <w:marBottom w:val="0"/>
      <w:divBdr>
        <w:top w:val="none" w:sz="0" w:space="0" w:color="auto"/>
        <w:left w:val="none" w:sz="0" w:space="0" w:color="auto"/>
        <w:bottom w:val="none" w:sz="0" w:space="0" w:color="auto"/>
        <w:right w:val="none" w:sz="0" w:space="0" w:color="auto"/>
      </w:divBdr>
    </w:div>
    <w:div w:id="1563061045">
      <w:bodyDiv w:val="1"/>
      <w:marLeft w:val="0"/>
      <w:marRight w:val="0"/>
      <w:marTop w:val="0"/>
      <w:marBottom w:val="0"/>
      <w:divBdr>
        <w:top w:val="none" w:sz="0" w:space="0" w:color="auto"/>
        <w:left w:val="none" w:sz="0" w:space="0" w:color="auto"/>
        <w:bottom w:val="none" w:sz="0" w:space="0" w:color="auto"/>
        <w:right w:val="none" w:sz="0" w:space="0" w:color="auto"/>
      </w:divBdr>
    </w:div>
    <w:div w:id="1566137709">
      <w:bodyDiv w:val="1"/>
      <w:marLeft w:val="0"/>
      <w:marRight w:val="0"/>
      <w:marTop w:val="0"/>
      <w:marBottom w:val="0"/>
      <w:divBdr>
        <w:top w:val="none" w:sz="0" w:space="0" w:color="auto"/>
        <w:left w:val="none" w:sz="0" w:space="0" w:color="auto"/>
        <w:bottom w:val="none" w:sz="0" w:space="0" w:color="auto"/>
        <w:right w:val="none" w:sz="0" w:space="0" w:color="auto"/>
      </w:divBdr>
    </w:div>
    <w:div w:id="1567495191">
      <w:bodyDiv w:val="1"/>
      <w:marLeft w:val="0"/>
      <w:marRight w:val="0"/>
      <w:marTop w:val="0"/>
      <w:marBottom w:val="0"/>
      <w:divBdr>
        <w:top w:val="none" w:sz="0" w:space="0" w:color="auto"/>
        <w:left w:val="none" w:sz="0" w:space="0" w:color="auto"/>
        <w:bottom w:val="none" w:sz="0" w:space="0" w:color="auto"/>
        <w:right w:val="none" w:sz="0" w:space="0" w:color="auto"/>
      </w:divBdr>
    </w:div>
    <w:div w:id="1583029159">
      <w:bodyDiv w:val="1"/>
      <w:marLeft w:val="0"/>
      <w:marRight w:val="0"/>
      <w:marTop w:val="0"/>
      <w:marBottom w:val="0"/>
      <w:divBdr>
        <w:top w:val="none" w:sz="0" w:space="0" w:color="auto"/>
        <w:left w:val="none" w:sz="0" w:space="0" w:color="auto"/>
        <w:bottom w:val="none" w:sz="0" w:space="0" w:color="auto"/>
        <w:right w:val="none" w:sz="0" w:space="0" w:color="auto"/>
      </w:divBdr>
    </w:div>
    <w:div w:id="1600409416">
      <w:bodyDiv w:val="1"/>
      <w:marLeft w:val="0"/>
      <w:marRight w:val="0"/>
      <w:marTop w:val="0"/>
      <w:marBottom w:val="0"/>
      <w:divBdr>
        <w:top w:val="none" w:sz="0" w:space="0" w:color="auto"/>
        <w:left w:val="none" w:sz="0" w:space="0" w:color="auto"/>
        <w:bottom w:val="none" w:sz="0" w:space="0" w:color="auto"/>
        <w:right w:val="none" w:sz="0" w:space="0" w:color="auto"/>
      </w:divBdr>
    </w:div>
    <w:div w:id="1613050980">
      <w:bodyDiv w:val="1"/>
      <w:marLeft w:val="0"/>
      <w:marRight w:val="0"/>
      <w:marTop w:val="0"/>
      <w:marBottom w:val="0"/>
      <w:divBdr>
        <w:top w:val="none" w:sz="0" w:space="0" w:color="auto"/>
        <w:left w:val="none" w:sz="0" w:space="0" w:color="auto"/>
        <w:bottom w:val="none" w:sz="0" w:space="0" w:color="auto"/>
        <w:right w:val="none" w:sz="0" w:space="0" w:color="auto"/>
      </w:divBdr>
    </w:div>
    <w:div w:id="1661885266">
      <w:bodyDiv w:val="1"/>
      <w:marLeft w:val="0"/>
      <w:marRight w:val="0"/>
      <w:marTop w:val="0"/>
      <w:marBottom w:val="0"/>
      <w:divBdr>
        <w:top w:val="none" w:sz="0" w:space="0" w:color="auto"/>
        <w:left w:val="none" w:sz="0" w:space="0" w:color="auto"/>
        <w:bottom w:val="none" w:sz="0" w:space="0" w:color="auto"/>
        <w:right w:val="none" w:sz="0" w:space="0" w:color="auto"/>
      </w:divBdr>
    </w:div>
    <w:div w:id="1674071725">
      <w:bodyDiv w:val="1"/>
      <w:marLeft w:val="0"/>
      <w:marRight w:val="0"/>
      <w:marTop w:val="0"/>
      <w:marBottom w:val="0"/>
      <w:divBdr>
        <w:top w:val="none" w:sz="0" w:space="0" w:color="auto"/>
        <w:left w:val="none" w:sz="0" w:space="0" w:color="auto"/>
        <w:bottom w:val="none" w:sz="0" w:space="0" w:color="auto"/>
        <w:right w:val="none" w:sz="0" w:space="0" w:color="auto"/>
      </w:divBdr>
    </w:div>
    <w:div w:id="1696496116">
      <w:bodyDiv w:val="1"/>
      <w:marLeft w:val="0"/>
      <w:marRight w:val="0"/>
      <w:marTop w:val="0"/>
      <w:marBottom w:val="0"/>
      <w:divBdr>
        <w:top w:val="none" w:sz="0" w:space="0" w:color="auto"/>
        <w:left w:val="none" w:sz="0" w:space="0" w:color="auto"/>
        <w:bottom w:val="none" w:sz="0" w:space="0" w:color="auto"/>
        <w:right w:val="none" w:sz="0" w:space="0" w:color="auto"/>
      </w:divBdr>
    </w:div>
    <w:div w:id="1708607010">
      <w:bodyDiv w:val="1"/>
      <w:marLeft w:val="0"/>
      <w:marRight w:val="0"/>
      <w:marTop w:val="0"/>
      <w:marBottom w:val="0"/>
      <w:divBdr>
        <w:top w:val="none" w:sz="0" w:space="0" w:color="auto"/>
        <w:left w:val="none" w:sz="0" w:space="0" w:color="auto"/>
        <w:bottom w:val="none" w:sz="0" w:space="0" w:color="auto"/>
        <w:right w:val="none" w:sz="0" w:space="0" w:color="auto"/>
      </w:divBdr>
    </w:div>
    <w:div w:id="1732191166">
      <w:bodyDiv w:val="1"/>
      <w:marLeft w:val="0"/>
      <w:marRight w:val="0"/>
      <w:marTop w:val="0"/>
      <w:marBottom w:val="0"/>
      <w:divBdr>
        <w:top w:val="none" w:sz="0" w:space="0" w:color="auto"/>
        <w:left w:val="none" w:sz="0" w:space="0" w:color="auto"/>
        <w:bottom w:val="none" w:sz="0" w:space="0" w:color="auto"/>
        <w:right w:val="none" w:sz="0" w:space="0" w:color="auto"/>
      </w:divBdr>
    </w:div>
    <w:div w:id="1781334603">
      <w:bodyDiv w:val="1"/>
      <w:marLeft w:val="0"/>
      <w:marRight w:val="0"/>
      <w:marTop w:val="0"/>
      <w:marBottom w:val="0"/>
      <w:divBdr>
        <w:top w:val="none" w:sz="0" w:space="0" w:color="auto"/>
        <w:left w:val="none" w:sz="0" w:space="0" w:color="auto"/>
        <w:bottom w:val="none" w:sz="0" w:space="0" w:color="auto"/>
        <w:right w:val="none" w:sz="0" w:space="0" w:color="auto"/>
      </w:divBdr>
    </w:div>
    <w:div w:id="1809084777">
      <w:bodyDiv w:val="1"/>
      <w:marLeft w:val="0"/>
      <w:marRight w:val="0"/>
      <w:marTop w:val="0"/>
      <w:marBottom w:val="0"/>
      <w:divBdr>
        <w:top w:val="none" w:sz="0" w:space="0" w:color="auto"/>
        <w:left w:val="none" w:sz="0" w:space="0" w:color="auto"/>
        <w:bottom w:val="none" w:sz="0" w:space="0" w:color="auto"/>
        <w:right w:val="none" w:sz="0" w:space="0" w:color="auto"/>
      </w:divBdr>
    </w:div>
    <w:div w:id="1826699807">
      <w:bodyDiv w:val="1"/>
      <w:marLeft w:val="0"/>
      <w:marRight w:val="0"/>
      <w:marTop w:val="0"/>
      <w:marBottom w:val="0"/>
      <w:divBdr>
        <w:top w:val="none" w:sz="0" w:space="0" w:color="auto"/>
        <w:left w:val="none" w:sz="0" w:space="0" w:color="auto"/>
        <w:bottom w:val="none" w:sz="0" w:space="0" w:color="auto"/>
        <w:right w:val="none" w:sz="0" w:space="0" w:color="auto"/>
      </w:divBdr>
    </w:div>
    <w:div w:id="1827744676">
      <w:bodyDiv w:val="1"/>
      <w:marLeft w:val="0"/>
      <w:marRight w:val="0"/>
      <w:marTop w:val="0"/>
      <w:marBottom w:val="0"/>
      <w:divBdr>
        <w:top w:val="none" w:sz="0" w:space="0" w:color="auto"/>
        <w:left w:val="none" w:sz="0" w:space="0" w:color="auto"/>
        <w:bottom w:val="none" w:sz="0" w:space="0" w:color="auto"/>
        <w:right w:val="none" w:sz="0" w:space="0" w:color="auto"/>
      </w:divBdr>
    </w:div>
    <w:div w:id="1830555272">
      <w:bodyDiv w:val="1"/>
      <w:marLeft w:val="0"/>
      <w:marRight w:val="0"/>
      <w:marTop w:val="0"/>
      <w:marBottom w:val="0"/>
      <w:divBdr>
        <w:top w:val="none" w:sz="0" w:space="0" w:color="auto"/>
        <w:left w:val="none" w:sz="0" w:space="0" w:color="auto"/>
        <w:bottom w:val="none" w:sz="0" w:space="0" w:color="auto"/>
        <w:right w:val="none" w:sz="0" w:space="0" w:color="auto"/>
      </w:divBdr>
    </w:div>
    <w:div w:id="1885288727">
      <w:bodyDiv w:val="1"/>
      <w:marLeft w:val="0"/>
      <w:marRight w:val="0"/>
      <w:marTop w:val="0"/>
      <w:marBottom w:val="0"/>
      <w:divBdr>
        <w:top w:val="none" w:sz="0" w:space="0" w:color="auto"/>
        <w:left w:val="none" w:sz="0" w:space="0" w:color="auto"/>
        <w:bottom w:val="none" w:sz="0" w:space="0" w:color="auto"/>
        <w:right w:val="none" w:sz="0" w:space="0" w:color="auto"/>
      </w:divBdr>
    </w:div>
    <w:div w:id="1947955280">
      <w:bodyDiv w:val="1"/>
      <w:marLeft w:val="0"/>
      <w:marRight w:val="0"/>
      <w:marTop w:val="0"/>
      <w:marBottom w:val="0"/>
      <w:divBdr>
        <w:top w:val="none" w:sz="0" w:space="0" w:color="auto"/>
        <w:left w:val="none" w:sz="0" w:space="0" w:color="auto"/>
        <w:bottom w:val="none" w:sz="0" w:space="0" w:color="auto"/>
        <w:right w:val="none" w:sz="0" w:space="0" w:color="auto"/>
      </w:divBdr>
    </w:div>
    <w:div w:id="1953896432">
      <w:bodyDiv w:val="1"/>
      <w:marLeft w:val="0"/>
      <w:marRight w:val="0"/>
      <w:marTop w:val="0"/>
      <w:marBottom w:val="0"/>
      <w:divBdr>
        <w:top w:val="none" w:sz="0" w:space="0" w:color="auto"/>
        <w:left w:val="none" w:sz="0" w:space="0" w:color="auto"/>
        <w:bottom w:val="none" w:sz="0" w:space="0" w:color="auto"/>
        <w:right w:val="none" w:sz="0" w:space="0" w:color="auto"/>
      </w:divBdr>
    </w:div>
    <w:div w:id="1964655210">
      <w:bodyDiv w:val="1"/>
      <w:marLeft w:val="0"/>
      <w:marRight w:val="0"/>
      <w:marTop w:val="0"/>
      <w:marBottom w:val="0"/>
      <w:divBdr>
        <w:top w:val="none" w:sz="0" w:space="0" w:color="auto"/>
        <w:left w:val="none" w:sz="0" w:space="0" w:color="auto"/>
        <w:bottom w:val="none" w:sz="0" w:space="0" w:color="auto"/>
        <w:right w:val="none" w:sz="0" w:space="0" w:color="auto"/>
      </w:divBdr>
    </w:div>
    <w:div w:id="1968780799">
      <w:bodyDiv w:val="1"/>
      <w:marLeft w:val="0"/>
      <w:marRight w:val="0"/>
      <w:marTop w:val="0"/>
      <w:marBottom w:val="0"/>
      <w:divBdr>
        <w:top w:val="none" w:sz="0" w:space="0" w:color="auto"/>
        <w:left w:val="none" w:sz="0" w:space="0" w:color="auto"/>
        <w:bottom w:val="none" w:sz="0" w:space="0" w:color="auto"/>
        <w:right w:val="none" w:sz="0" w:space="0" w:color="auto"/>
      </w:divBdr>
    </w:div>
    <w:div w:id="1969386696">
      <w:bodyDiv w:val="1"/>
      <w:marLeft w:val="0"/>
      <w:marRight w:val="0"/>
      <w:marTop w:val="0"/>
      <w:marBottom w:val="0"/>
      <w:divBdr>
        <w:top w:val="none" w:sz="0" w:space="0" w:color="auto"/>
        <w:left w:val="none" w:sz="0" w:space="0" w:color="auto"/>
        <w:bottom w:val="none" w:sz="0" w:space="0" w:color="auto"/>
        <w:right w:val="none" w:sz="0" w:space="0" w:color="auto"/>
      </w:divBdr>
    </w:div>
    <w:div w:id="1969892647">
      <w:bodyDiv w:val="1"/>
      <w:marLeft w:val="0"/>
      <w:marRight w:val="0"/>
      <w:marTop w:val="0"/>
      <w:marBottom w:val="0"/>
      <w:divBdr>
        <w:top w:val="none" w:sz="0" w:space="0" w:color="auto"/>
        <w:left w:val="none" w:sz="0" w:space="0" w:color="auto"/>
        <w:bottom w:val="none" w:sz="0" w:space="0" w:color="auto"/>
        <w:right w:val="none" w:sz="0" w:space="0" w:color="auto"/>
      </w:divBdr>
    </w:div>
    <w:div w:id="1985356468">
      <w:bodyDiv w:val="1"/>
      <w:marLeft w:val="0"/>
      <w:marRight w:val="0"/>
      <w:marTop w:val="0"/>
      <w:marBottom w:val="0"/>
      <w:divBdr>
        <w:top w:val="none" w:sz="0" w:space="0" w:color="auto"/>
        <w:left w:val="none" w:sz="0" w:space="0" w:color="auto"/>
        <w:bottom w:val="none" w:sz="0" w:space="0" w:color="auto"/>
        <w:right w:val="none" w:sz="0" w:space="0" w:color="auto"/>
      </w:divBdr>
    </w:div>
    <w:div w:id="2007901816">
      <w:bodyDiv w:val="1"/>
      <w:marLeft w:val="0"/>
      <w:marRight w:val="0"/>
      <w:marTop w:val="0"/>
      <w:marBottom w:val="0"/>
      <w:divBdr>
        <w:top w:val="none" w:sz="0" w:space="0" w:color="auto"/>
        <w:left w:val="none" w:sz="0" w:space="0" w:color="auto"/>
        <w:bottom w:val="none" w:sz="0" w:space="0" w:color="auto"/>
        <w:right w:val="none" w:sz="0" w:space="0" w:color="auto"/>
      </w:divBdr>
    </w:div>
    <w:div w:id="2060398176">
      <w:bodyDiv w:val="1"/>
      <w:marLeft w:val="0"/>
      <w:marRight w:val="0"/>
      <w:marTop w:val="0"/>
      <w:marBottom w:val="0"/>
      <w:divBdr>
        <w:top w:val="none" w:sz="0" w:space="0" w:color="auto"/>
        <w:left w:val="none" w:sz="0" w:space="0" w:color="auto"/>
        <w:bottom w:val="none" w:sz="0" w:space="0" w:color="auto"/>
        <w:right w:val="none" w:sz="0" w:space="0" w:color="auto"/>
      </w:divBdr>
    </w:div>
    <w:div w:id="2062167235">
      <w:bodyDiv w:val="1"/>
      <w:marLeft w:val="0"/>
      <w:marRight w:val="0"/>
      <w:marTop w:val="0"/>
      <w:marBottom w:val="0"/>
      <w:divBdr>
        <w:top w:val="none" w:sz="0" w:space="0" w:color="auto"/>
        <w:left w:val="none" w:sz="0" w:space="0" w:color="auto"/>
        <w:bottom w:val="none" w:sz="0" w:space="0" w:color="auto"/>
        <w:right w:val="none" w:sz="0" w:space="0" w:color="auto"/>
      </w:divBdr>
    </w:div>
    <w:div w:id="2068451382">
      <w:bodyDiv w:val="1"/>
      <w:marLeft w:val="0"/>
      <w:marRight w:val="0"/>
      <w:marTop w:val="0"/>
      <w:marBottom w:val="0"/>
      <w:divBdr>
        <w:top w:val="none" w:sz="0" w:space="0" w:color="auto"/>
        <w:left w:val="none" w:sz="0" w:space="0" w:color="auto"/>
        <w:bottom w:val="none" w:sz="0" w:space="0" w:color="auto"/>
        <w:right w:val="none" w:sz="0" w:space="0" w:color="auto"/>
      </w:divBdr>
    </w:div>
    <w:div w:id="2085491099">
      <w:bodyDiv w:val="1"/>
      <w:marLeft w:val="0"/>
      <w:marRight w:val="0"/>
      <w:marTop w:val="0"/>
      <w:marBottom w:val="0"/>
      <w:divBdr>
        <w:top w:val="none" w:sz="0" w:space="0" w:color="auto"/>
        <w:left w:val="none" w:sz="0" w:space="0" w:color="auto"/>
        <w:bottom w:val="none" w:sz="0" w:space="0" w:color="auto"/>
        <w:right w:val="none" w:sz="0" w:space="0" w:color="auto"/>
      </w:divBdr>
    </w:div>
    <w:div w:id="2088576683">
      <w:bodyDiv w:val="1"/>
      <w:marLeft w:val="0"/>
      <w:marRight w:val="0"/>
      <w:marTop w:val="0"/>
      <w:marBottom w:val="0"/>
      <w:divBdr>
        <w:top w:val="none" w:sz="0" w:space="0" w:color="auto"/>
        <w:left w:val="none" w:sz="0" w:space="0" w:color="auto"/>
        <w:bottom w:val="none" w:sz="0" w:space="0" w:color="auto"/>
        <w:right w:val="none" w:sz="0" w:space="0" w:color="auto"/>
      </w:divBdr>
    </w:div>
    <w:div w:id="2100252105">
      <w:bodyDiv w:val="1"/>
      <w:marLeft w:val="0"/>
      <w:marRight w:val="0"/>
      <w:marTop w:val="0"/>
      <w:marBottom w:val="0"/>
      <w:divBdr>
        <w:top w:val="none" w:sz="0" w:space="0" w:color="auto"/>
        <w:left w:val="none" w:sz="0" w:space="0" w:color="auto"/>
        <w:bottom w:val="none" w:sz="0" w:space="0" w:color="auto"/>
        <w:right w:val="none" w:sz="0" w:space="0" w:color="auto"/>
      </w:divBdr>
    </w:div>
    <w:div w:id="2105564728">
      <w:bodyDiv w:val="1"/>
      <w:marLeft w:val="0"/>
      <w:marRight w:val="0"/>
      <w:marTop w:val="0"/>
      <w:marBottom w:val="0"/>
      <w:divBdr>
        <w:top w:val="none" w:sz="0" w:space="0" w:color="auto"/>
        <w:left w:val="none" w:sz="0" w:space="0" w:color="auto"/>
        <w:bottom w:val="none" w:sz="0" w:space="0" w:color="auto"/>
        <w:right w:val="none" w:sz="0" w:space="0" w:color="auto"/>
      </w:divBdr>
    </w:div>
    <w:div w:id="2112703420">
      <w:bodyDiv w:val="1"/>
      <w:marLeft w:val="0"/>
      <w:marRight w:val="0"/>
      <w:marTop w:val="0"/>
      <w:marBottom w:val="0"/>
      <w:divBdr>
        <w:top w:val="none" w:sz="0" w:space="0" w:color="auto"/>
        <w:left w:val="none" w:sz="0" w:space="0" w:color="auto"/>
        <w:bottom w:val="none" w:sz="0" w:space="0" w:color="auto"/>
        <w:right w:val="none" w:sz="0" w:space="0" w:color="auto"/>
      </w:divBdr>
    </w:div>
    <w:div w:id="2132238877">
      <w:bodyDiv w:val="1"/>
      <w:marLeft w:val="0"/>
      <w:marRight w:val="0"/>
      <w:marTop w:val="0"/>
      <w:marBottom w:val="0"/>
      <w:divBdr>
        <w:top w:val="none" w:sz="0" w:space="0" w:color="auto"/>
        <w:left w:val="none" w:sz="0" w:space="0" w:color="auto"/>
        <w:bottom w:val="none" w:sz="0" w:space="0" w:color="auto"/>
        <w:right w:val="none" w:sz="0" w:space="0" w:color="auto"/>
      </w:divBdr>
    </w:div>
    <w:div w:id="213485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21" Type="http://schemas.openxmlformats.org/officeDocument/2006/relationships/chart" Target="charts/chart9.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opyrightrequests@swa.gov.au"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hyperlink" Target="http://www.abs.gov.au/AUSSTATS/abs@.nsf/Lookup/6324.0Main+Features1JUL%202013%20TO%20JUN%202014?OpenDocu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deed.en" TargetMode="External"/><Relationship Id="rId24" Type="http://schemas.openxmlformats.org/officeDocument/2006/relationships/chart" Target="charts/chart12.xml"/><Relationship Id="rId32" Type="http://schemas.openxmlformats.org/officeDocument/2006/relationships/hyperlink" Target="http://www.safeworkaustralia.gov.au/sites/swa/about/publications/pages/sr20080501toocs3rdeditionrevision" TargetMode="External"/><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hyperlink" Target="http://www.abs.gov.au/AUSSTATS/abs@.nsf/Lookup/6342.0Main+Features1November%202012?OpenDocument" TargetMode="External"/><Relationship Id="rId36" Type="http://schemas.openxmlformats.org/officeDocument/2006/relationships/customXml" Target="../customXml/item2.xml"/><Relationship Id="rId10" Type="http://schemas.openxmlformats.org/officeDocument/2006/relationships/image" Target="media/image2.jpg"/><Relationship Id="rId19" Type="http://schemas.openxmlformats.org/officeDocument/2006/relationships/chart" Target="charts/chart7.xml"/><Relationship Id="rId31" Type="http://schemas.openxmlformats.org/officeDocument/2006/relationships/hyperlink" Target="http://www.abs.gov.au/ausstats/abs@.nsf/allprimarymainfeatures/a77d93484dc49d63ca25712300056842?opendocume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hyperlink" Target="http://www.abs.gov.au/AUSSTATS/abs@.nsf/Lookup/6324.0Explanatory%20Notes1JUL%202013%20TO%20JUN%202014?OpenDocument" TargetMode="External"/><Relationship Id="rId30" Type="http://schemas.openxmlformats.org/officeDocument/2006/relationships/hyperlink" Target="http://www.abs.gov.au/ausstats/abs@.nsf/allprimarymainfeatures/f6a0bb67c088f217ca2575df001cadc7?opendocument" TargetMode="Externa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prodapp\stats_data\Data%20and%20Analysis\Publications\Work%20Related%20Injuries%20Survey\2013-14\shiftworkers\data\shiftwork%20by%20sex.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prodapp\stats_data\Data%20and%20Analysis\Publications\Work%20Related%20Injuries%20Survey\2013-14\shiftworkers\data\shiftwork%20by%20time%20los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prodapp\stats_data\Data%20and%20Analysis\Publications\Work%20Related%20Injuries%20Survey\2013-14\shiftworkers\data\shiftwork%20by%20duration%20of%20employmen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prodapp\stats_data\Data%20and%20Analysis\Publications\Work%20Related%20Injuries%20Survey\2013-14\shiftworkers\data\shiftwork%20by%20whether%20applied%20for%20compensation.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prodapp\stats_data\Data%20and%20Analysis\Publications\Work%20Related%20Injuries%20Survey\2013-14\shiftworkers\data\shiftwork%20by%20reasons%20for%20not%20applying.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prodapp\stats_data\Data%20and%20Analysis\Publications\Work%20Related%20Injuries%20Survey\2013-14\shiftworkers\data\shiftwork%20by%20whether%20received%20financial%20assistanc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prodapp\stats_data\Data%20and%20Analysis\Publications\Work%20Related%20Injuries%20Survey\2013-14\shiftworkers\data\shiftwork%20by%20occupati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prodapp\stats_data\Data%20and%20Analysis\Publications\Work%20Related%20Injuries%20Survey\2013-14\shiftworkers\data\shiftwork%20by%20industr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prodapp\stats_data\Data%20and%20Analysis\Publications\Work%20Related%20Injuries%20Survey\2013-14\shiftworkers\data\shiftwork%20by%20jurisdictio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prodapp\stats_data\Data%20and%20Analysis\Publications\Work%20Related%20Injuries%20Survey\2013-14\shiftworkers\data\shiftwork%20by%20time%20statu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prodapp\stats_data\Data%20and%20Analysis\Publications\Work%20Related%20Injuries%20Survey\2013-14\shiftworkers\data\shiftwork%20by%20sex.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prodapp\stats_data\Data%20and%20Analysis\Publications\Work%20Related%20Injuries%20Survey\2013-14\shiftworkers\data\shiftwork%20by%20age%20group.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prodapp\stats_data\Data%20and%20Analysis\Publications\Work%20Related%20Injuries%20Survey\2013-14\shiftworkers\data\shiftwork%20by%20natur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prodapp\stats_data\Data%20and%20Analysis\Publications\Work%20Related%20Injuries%20Survey\2013-14\shiftworkers\data\shiftwork%20by%20mechanis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68700787401574"/>
          <c:y val="4.6655365995917165E-2"/>
          <c:w val="0.86566076115485568"/>
          <c:h val="0.82331833333333337"/>
        </c:manualLayout>
      </c:layout>
      <c:barChart>
        <c:barDir val="col"/>
        <c:grouping val="clustered"/>
        <c:varyColors val="0"/>
        <c:ser>
          <c:idx val="0"/>
          <c:order val="0"/>
          <c:tx>
            <c:strRef>
              <c:f>'Sheet3 (2)'!$N$2</c:f>
              <c:strCache>
                <c:ptCount val="1"/>
                <c:pt idx="0">
                  <c:v>Rate</c:v>
                </c:pt>
              </c:strCache>
            </c:strRef>
          </c:tx>
          <c:spPr>
            <a:solidFill>
              <a:schemeClr val="accent2"/>
            </a:solidFill>
          </c:spPr>
          <c:invertIfNegative val="0"/>
          <c:dPt>
            <c:idx val="1"/>
            <c:invertIfNegative val="0"/>
            <c:bubble3D val="0"/>
            <c:spPr>
              <a:pattFill prst="pct70">
                <a:fgClr>
                  <a:schemeClr val="accent1"/>
                </a:fgClr>
                <a:bgClr>
                  <a:schemeClr val="bg1"/>
                </a:bgClr>
              </a:pattFill>
            </c:spPr>
          </c:dPt>
          <c:dPt>
            <c:idx val="2"/>
            <c:invertIfNegative val="0"/>
            <c:bubble3D val="0"/>
            <c:spPr>
              <a:pattFill prst="pct70">
                <a:fgClr>
                  <a:schemeClr val="accent1"/>
                </a:fgClr>
                <a:bgClr>
                  <a:schemeClr val="bg1"/>
                </a:bgClr>
              </a:pattFill>
            </c:spPr>
          </c:dPt>
          <c:errBars>
            <c:errBarType val="both"/>
            <c:errValType val="cust"/>
            <c:noEndCap val="0"/>
            <c:plus>
              <c:numRef>
                <c:f>'Sheet3 (2)'!$O$3:$O$10</c:f>
                <c:numCache>
                  <c:formatCode>General</c:formatCode>
                  <c:ptCount val="8"/>
                  <c:pt idx="0">
                    <c:v>4.7238706910732962</c:v>
                  </c:pt>
                  <c:pt idx="1">
                    <c:v>1.5504290885062451</c:v>
                  </c:pt>
                  <c:pt idx="2">
                    <c:v>1.7776156321389729</c:v>
                  </c:pt>
                </c:numCache>
              </c:numRef>
            </c:plus>
            <c:minus>
              <c:numRef>
                <c:f>'Sheet3 (2)'!$O$3:$O$10</c:f>
                <c:numCache>
                  <c:formatCode>General</c:formatCode>
                  <c:ptCount val="8"/>
                  <c:pt idx="0">
                    <c:v>4.7238706910732962</c:v>
                  </c:pt>
                  <c:pt idx="1">
                    <c:v>1.5504290885062451</c:v>
                  </c:pt>
                  <c:pt idx="2">
                    <c:v>1.7776156321389729</c:v>
                  </c:pt>
                </c:numCache>
              </c:numRef>
            </c:minus>
          </c:errBars>
          <c:cat>
            <c:strRef>
              <c:f>'Sheet3 (2)'!$M$3:$M$5</c:f>
              <c:strCache>
                <c:ptCount val="3"/>
                <c:pt idx="0">
                  <c:v>Shiftworkers</c:v>
                </c:pt>
                <c:pt idx="1">
                  <c:v>Non-shiftworkers</c:v>
                </c:pt>
                <c:pt idx="2">
                  <c:v>All workers</c:v>
                </c:pt>
              </c:strCache>
            </c:strRef>
          </c:cat>
          <c:val>
            <c:numRef>
              <c:f>'Sheet3 (2)'!$N$3:$N$5</c:f>
              <c:numCache>
                <c:formatCode>0.0</c:formatCode>
                <c:ptCount val="3"/>
                <c:pt idx="0">
                  <c:v>49.874349845383136</c:v>
                </c:pt>
                <c:pt idx="1">
                  <c:v>23.158095359857565</c:v>
                </c:pt>
                <c:pt idx="2">
                  <c:v>27.482038384645673</c:v>
                </c:pt>
              </c:numCache>
            </c:numRef>
          </c:val>
        </c:ser>
        <c:dLbls>
          <c:showLegendKey val="0"/>
          <c:showVal val="0"/>
          <c:showCatName val="0"/>
          <c:showSerName val="0"/>
          <c:showPercent val="0"/>
          <c:showBubbleSize val="0"/>
        </c:dLbls>
        <c:gapWidth val="150"/>
        <c:axId val="140637696"/>
        <c:axId val="140639616"/>
      </c:barChart>
      <c:catAx>
        <c:axId val="140637696"/>
        <c:scaling>
          <c:orientation val="minMax"/>
        </c:scaling>
        <c:delete val="0"/>
        <c:axPos val="b"/>
        <c:title>
          <c:tx>
            <c:rich>
              <a:bodyPr/>
              <a:lstStyle/>
              <a:p>
                <a:pPr>
                  <a:defRPr/>
                </a:pPr>
                <a:r>
                  <a:rPr lang="en-AU"/>
                  <a:t>Shiftwork</a:t>
                </a:r>
                <a:r>
                  <a:rPr lang="en-AU" baseline="0"/>
                  <a:t> status</a:t>
                </a:r>
                <a:endParaRPr lang="en-AU"/>
              </a:p>
            </c:rich>
          </c:tx>
          <c:layout>
            <c:manualLayout>
              <c:xMode val="edge"/>
              <c:yMode val="edge"/>
              <c:x val="0.48724673202614377"/>
              <c:y val="0.94566805555555555"/>
            </c:manualLayout>
          </c:layout>
          <c:overlay val="0"/>
        </c:title>
        <c:majorTickMark val="none"/>
        <c:minorTickMark val="out"/>
        <c:tickLblPos val="nextTo"/>
        <c:txPr>
          <a:bodyPr/>
          <a:lstStyle/>
          <a:p>
            <a:pPr algn="ctr">
              <a:defRPr/>
            </a:pPr>
            <a:endParaRPr lang="en-US"/>
          </a:p>
        </c:txPr>
        <c:crossAx val="140639616"/>
        <c:crosses val="autoZero"/>
        <c:auto val="1"/>
        <c:lblAlgn val="ctr"/>
        <c:lblOffset val="100"/>
        <c:noMultiLvlLbl val="0"/>
      </c:catAx>
      <c:valAx>
        <c:axId val="140639616"/>
        <c:scaling>
          <c:orientation val="minMax"/>
        </c:scaling>
        <c:delete val="0"/>
        <c:axPos val="l"/>
        <c:majorGridlines/>
        <c:title>
          <c:tx>
            <c:rich>
              <a:bodyPr rot="-5400000" vert="horz"/>
              <a:lstStyle/>
              <a:p>
                <a:pPr>
                  <a:defRPr/>
                </a:pPr>
                <a:r>
                  <a:rPr lang="en-AU"/>
                  <a:t>Injured</a:t>
                </a:r>
                <a:r>
                  <a:rPr lang="en-AU" baseline="0"/>
                  <a:t> </a:t>
                </a:r>
                <a:r>
                  <a:rPr lang="en-AU"/>
                  <a:t>workers</a:t>
                </a:r>
                <a:r>
                  <a:rPr lang="en-AU" baseline="0"/>
                  <a:t> per million hours worked</a:t>
                </a:r>
                <a:endParaRPr lang="en-AU"/>
              </a:p>
            </c:rich>
          </c:tx>
          <c:layout>
            <c:manualLayout>
              <c:xMode val="edge"/>
              <c:yMode val="edge"/>
              <c:x val="1.9308169934640521E-2"/>
              <c:y val="0.17026250000000001"/>
            </c:manualLayout>
          </c:layout>
          <c:overlay val="0"/>
        </c:title>
        <c:numFmt formatCode="0" sourceLinked="0"/>
        <c:majorTickMark val="out"/>
        <c:minorTickMark val="none"/>
        <c:tickLblPos val="nextTo"/>
        <c:crossAx val="140637696"/>
        <c:crosses val="autoZero"/>
        <c:crossBetween val="between"/>
      </c:valAx>
    </c:plotArea>
    <c:plotVisOnly val="1"/>
    <c:dispBlanksAs val="gap"/>
    <c:showDLblsOverMax val="0"/>
  </c:chart>
  <c:txPr>
    <a:bodyPr/>
    <a:lstStyle/>
    <a:p>
      <a:pPr algn="ctr">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1493333333333332"/>
          <c:y val="4.0072859744990891E-2"/>
          <c:w val="0.55212336601307177"/>
          <c:h val="0.83366854733709472"/>
        </c:manualLayout>
      </c:layout>
      <c:barChart>
        <c:barDir val="bar"/>
        <c:grouping val="clustered"/>
        <c:varyColors val="0"/>
        <c:ser>
          <c:idx val="0"/>
          <c:order val="0"/>
          <c:tx>
            <c:strRef>
              <c:f>Sheet2!$N$2</c:f>
              <c:strCache>
                <c:ptCount val="1"/>
                <c:pt idx="0">
                  <c:v>Non-shiftworkers</c:v>
                </c:pt>
              </c:strCache>
            </c:strRef>
          </c:tx>
          <c:spPr>
            <a:pattFill prst="pct70">
              <a:fgClr>
                <a:schemeClr val="accent1"/>
              </a:fgClr>
              <a:bgClr>
                <a:schemeClr val="bg1"/>
              </a:bgClr>
            </a:pattFill>
          </c:spPr>
          <c:invertIfNegative val="0"/>
          <c:errBars>
            <c:errBarType val="both"/>
            <c:errValType val="cust"/>
            <c:noEndCap val="0"/>
            <c:plus>
              <c:numRef>
                <c:f>Sheet2!$O$3:$O$7</c:f>
                <c:numCache>
                  <c:formatCode>General</c:formatCode>
                  <c:ptCount val="5"/>
                  <c:pt idx="0">
                    <c:v>1.002830039377825E-2</c:v>
                  </c:pt>
                  <c:pt idx="1">
                    <c:v>2.8934632866258976E-2</c:v>
                  </c:pt>
                  <c:pt idx="2">
                    <c:v>3.3190339763626696E-2</c:v>
                  </c:pt>
                  <c:pt idx="3">
                    <c:v>3.3900937478064351E-2</c:v>
                  </c:pt>
                  <c:pt idx="4">
                    <c:v>5.2341881171496941E-2</c:v>
                  </c:pt>
                </c:numCache>
              </c:numRef>
            </c:plus>
            <c:minus>
              <c:numRef>
                <c:f>Sheet2!$O$3:$O$7</c:f>
                <c:numCache>
                  <c:formatCode>General</c:formatCode>
                  <c:ptCount val="5"/>
                  <c:pt idx="0">
                    <c:v>1.002830039377825E-2</c:v>
                  </c:pt>
                  <c:pt idx="1">
                    <c:v>2.8934632866258976E-2</c:v>
                  </c:pt>
                  <c:pt idx="2">
                    <c:v>3.3190339763626696E-2</c:v>
                  </c:pt>
                  <c:pt idx="3">
                    <c:v>3.3900937478064351E-2</c:v>
                  </c:pt>
                  <c:pt idx="4">
                    <c:v>5.2341881171496941E-2</c:v>
                  </c:pt>
                </c:numCache>
              </c:numRef>
            </c:minus>
          </c:errBars>
          <c:cat>
            <c:strRef>
              <c:f>Sheet2!$K$3:$K$7</c:f>
              <c:strCache>
                <c:ptCount val="5"/>
                <c:pt idx="0">
                  <c:v>Had not returned to work at time of survey</c:v>
                </c:pt>
                <c:pt idx="1">
                  <c:v>More than 10 days</c:v>
                </c:pt>
                <c:pt idx="2">
                  <c:v>5 to 10 days</c:v>
                </c:pt>
                <c:pt idx="3">
                  <c:v>1 to 4 days</c:v>
                </c:pt>
                <c:pt idx="4">
                  <c:v>None</c:v>
                </c:pt>
              </c:strCache>
            </c:strRef>
          </c:cat>
          <c:val>
            <c:numRef>
              <c:f>Sheet2!$N$3:$N$7</c:f>
              <c:numCache>
                <c:formatCode>0.0%</c:formatCode>
                <c:ptCount val="5"/>
                <c:pt idx="0">
                  <c:v>2.6322786492954005E-2</c:v>
                </c:pt>
                <c:pt idx="1">
                  <c:v>0.16883807498005851</c:v>
                </c:pt>
                <c:pt idx="2">
                  <c:v>0.10449348577505983</c:v>
                </c:pt>
                <c:pt idx="3">
                  <c:v>0.24169103961712315</c:v>
                </c:pt>
                <c:pt idx="4">
                  <c:v>0.37942036692369052</c:v>
                </c:pt>
              </c:numCache>
            </c:numRef>
          </c:val>
        </c:ser>
        <c:ser>
          <c:idx val="4"/>
          <c:order val="1"/>
          <c:tx>
            <c:strRef>
              <c:f>Sheet2!$L$2</c:f>
              <c:strCache>
                <c:ptCount val="1"/>
                <c:pt idx="0">
                  <c:v>Shiftworkers</c:v>
                </c:pt>
              </c:strCache>
            </c:strRef>
          </c:tx>
          <c:spPr>
            <a:solidFill>
              <a:schemeClr val="accent2"/>
            </a:solidFill>
          </c:spPr>
          <c:invertIfNegative val="0"/>
          <c:errBars>
            <c:errBarType val="both"/>
            <c:errValType val="cust"/>
            <c:noEndCap val="0"/>
            <c:plus>
              <c:numRef>
                <c:f>Sheet2!$M$3:$M$7</c:f>
                <c:numCache>
                  <c:formatCode>General</c:formatCode>
                  <c:ptCount val="5"/>
                  <c:pt idx="0">
                    <c:v>9.7898338577721827E-3</c:v>
                  </c:pt>
                  <c:pt idx="1">
                    <c:v>4.6775852240402767E-2</c:v>
                  </c:pt>
                  <c:pt idx="2">
                    <c:v>3.7452921394587786E-2</c:v>
                  </c:pt>
                  <c:pt idx="3">
                    <c:v>6.6987280204531138E-2</c:v>
                  </c:pt>
                  <c:pt idx="4">
                    <c:v>5.7611581407174324E-2</c:v>
                  </c:pt>
                </c:numCache>
              </c:numRef>
            </c:plus>
            <c:minus>
              <c:numRef>
                <c:f>Sheet2!$M$3:$M$7</c:f>
                <c:numCache>
                  <c:formatCode>General</c:formatCode>
                  <c:ptCount val="5"/>
                  <c:pt idx="0">
                    <c:v>9.7898338577721827E-3</c:v>
                  </c:pt>
                  <c:pt idx="1">
                    <c:v>4.6775852240402767E-2</c:v>
                  </c:pt>
                  <c:pt idx="2">
                    <c:v>3.7452921394587786E-2</c:v>
                  </c:pt>
                  <c:pt idx="3">
                    <c:v>6.6987280204531138E-2</c:v>
                  </c:pt>
                  <c:pt idx="4">
                    <c:v>5.7611581407174324E-2</c:v>
                  </c:pt>
                </c:numCache>
              </c:numRef>
            </c:minus>
          </c:errBars>
          <c:cat>
            <c:strRef>
              <c:f>Sheet2!$K$3:$K$7</c:f>
              <c:strCache>
                <c:ptCount val="5"/>
                <c:pt idx="0">
                  <c:v>Had not returned to work at time of survey</c:v>
                </c:pt>
                <c:pt idx="1">
                  <c:v>More than 10 days</c:v>
                </c:pt>
                <c:pt idx="2">
                  <c:v>5 to 10 days</c:v>
                </c:pt>
                <c:pt idx="3">
                  <c:v>1 to 4 days</c:v>
                </c:pt>
                <c:pt idx="4">
                  <c:v>None</c:v>
                </c:pt>
              </c:strCache>
            </c:strRef>
          </c:cat>
          <c:val>
            <c:numRef>
              <c:f>Sheet2!$L$3:$L$7</c:f>
              <c:numCache>
                <c:formatCode>0.0%</c:formatCode>
                <c:ptCount val="5"/>
                <c:pt idx="0">
                  <c:v>1.5733165512901194E-2</c:v>
                </c:pt>
                <c:pt idx="1">
                  <c:v>0.19194461925739459</c:v>
                </c:pt>
                <c:pt idx="2">
                  <c:v>0.12460667086217747</c:v>
                </c:pt>
                <c:pt idx="3">
                  <c:v>0.2171176840780365</c:v>
                </c:pt>
                <c:pt idx="4">
                  <c:v>0.41787287602265577</c:v>
                </c:pt>
              </c:numCache>
            </c:numRef>
          </c:val>
        </c:ser>
        <c:dLbls>
          <c:showLegendKey val="0"/>
          <c:showVal val="0"/>
          <c:showCatName val="0"/>
          <c:showSerName val="0"/>
          <c:showPercent val="0"/>
          <c:showBubbleSize val="0"/>
        </c:dLbls>
        <c:gapWidth val="150"/>
        <c:axId val="176686976"/>
        <c:axId val="176693248"/>
      </c:barChart>
      <c:catAx>
        <c:axId val="176686976"/>
        <c:scaling>
          <c:orientation val="minMax"/>
        </c:scaling>
        <c:delete val="0"/>
        <c:axPos val="l"/>
        <c:title>
          <c:tx>
            <c:rich>
              <a:bodyPr rot="-5400000" vert="horz"/>
              <a:lstStyle/>
              <a:p>
                <a:pPr algn="ctr" rtl="0">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rPr>
                  <a:t>Time lost from work</a:t>
                </a:r>
              </a:p>
            </c:rich>
          </c:tx>
          <c:layout>
            <c:manualLayout>
              <c:xMode val="edge"/>
              <c:yMode val="edge"/>
              <c:x val="1.334248366013072E-2"/>
              <c:y val="0.34077249999999998"/>
            </c:manualLayout>
          </c:layout>
          <c:overlay val="0"/>
        </c:title>
        <c:majorTickMark val="none"/>
        <c:minorTickMark val="out"/>
        <c:tickLblPos val="nextTo"/>
        <c:crossAx val="176693248"/>
        <c:crosses val="autoZero"/>
        <c:auto val="1"/>
        <c:lblAlgn val="ctr"/>
        <c:lblOffset val="100"/>
        <c:noMultiLvlLbl val="0"/>
      </c:catAx>
      <c:valAx>
        <c:axId val="176693248"/>
        <c:scaling>
          <c:orientation val="minMax"/>
          <c:max val="0.5"/>
        </c:scaling>
        <c:delete val="0"/>
        <c:axPos val="b"/>
        <c:majorGridlines/>
        <c:title>
          <c:tx>
            <c:rich>
              <a:bodyPr/>
              <a:lstStyle/>
              <a:p>
                <a:pPr algn="ctr">
                  <a:defRPr/>
                </a:pPr>
                <a:r>
                  <a:rPr lang="en-AU"/>
                  <a:t>Percentage of injured workers</a:t>
                </a:r>
              </a:p>
            </c:rich>
          </c:tx>
          <c:layout>
            <c:manualLayout>
              <c:xMode val="edge"/>
              <c:yMode val="edge"/>
              <c:x val="0.62849379084967316"/>
              <c:y val="0.94814777777777781"/>
            </c:manualLayout>
          </c:layout>
          <c:overlay val="0"/>
        </c:title>
        <c:numFmt formatCode="0%" sourceLinked="0"/>
        <c:majorTickMark val="out"/>
        <c:minorTickMark val="none"/>
        <c:tickLblPos val="nextTo"/>
        <c:txPr>
          <a:bodyPr/>
          <a:lstStyle/>
          <a:p>
            <a:pPr algn="ctr">
              <a:defRPr/>
            </a:pPr>
            <a:endParaRPr lang="en-US"/>
          </a:p>
        </c:txPr>
        <c:crossAx val="176686976"/>
        <c:crosses val="autoZero"/>
        <c:crossBetween val="between"/>
      </c:valAx>
    </c:plotArea>
    <c:legend>
      <c:legendPos val="r"/>
      <c:layout>
        <c:manualLayout>
          <c:xMode val="edge"/>
          <c:yMode val="edge"/>
          <c:x val="0.79822352941176467"/>
          <c:y val="0.40066611111111106"/>
          <c:w val="0.16628763440860214"/>
          <c:h val="0.13843672014260253"/>
        </c:manualLayout>
      </c:layout>
      <c:overlay val="0"/>
      <c:spPr>
        <a:solidFill>
          <a:schemeClr val="bg1"/>
        </a:solidFill>
        <a:ln>
          <a:solidFill>
            <a:schemeClr val="bg1">
              <a:lumMod val="75000"/>
            </a:schemeClr>
          </a:solidFill>
        </a:ln>
      </c:spPr>
      <c:txPr>
        <a:bodyPr/>
        <a:lstStyle/>
        <a:p>
          <a:pPr algn="ctr">
            <a:defRPr/>
          </a:pPr>
          <a:endParaRPr lang="en-US"/>
        </a:p>
      </c:txPr>
    </c:legend>
    <c:plotVisOnly val="1"/>
    <c:dispBlanksAs val="gap"/>
    <c:showDLblsOverMax val="0"/>
  </c:chart>
  <c:txPr>
    <a:bodyPr/>
    <a:lstStyle/>
    <a:p>
      <a:pPr algn="ctr">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3326013071895427"/>
          <c:y val="4.0072859744990891E-2"/>
          <c:w val="0.63305473856209138"/>
          <c:h val="0.83366854733709472"/>
        </c:manualLayout>
      </c:layout>
      <c:barChart>
        <c:barDir val="bar"/>
        <c:grouping val="clustered"/>
        <c:varyColors val="0"/>
        <c:ser>
          <c:idx val="0"/>
          <c:order val="0"/>
          <c:tx>
            <c:strRef>
              <c:f>Sheet1!$N$2</c:f>
              <c:strCache>
                <c:ptCount val="1"/>
                <c:pt idx="0">
                  <c:v>Non-shiftworkers</c:v>
                </c:pt>
              </c:strCache>
            </c:strRef>
          </c:tx>
          <c:spPr>
            <a:pattFill prst="pct70">
              <a:fgClr>
                <a:schemeClr val="accent1"/>
              </a:fgClr>
              <a:bgClr>
                <a:schemeClr val="bg1"/>
              </a:bgClr>
            </a:pattFill>
          </c:spPr>
          <c:invertIfNegative val="0"/>
          <c:errBars>
            <c:errBarType val="both"/>
            <c:errValType val="cust"/>
            <c:noEndCap val="0"/>
            <c:plus>
              <c:numRef>
                <c:f>Sheet1!$O$3:$O$9</c:f>
                <c:numCache>
                  <c:formatCode>General</c:formatCode>
                  <c:ptCount val="7"/>
                  <c:pt idx="0">
                    <c:v>3.3911512376463865E-2</c:v>
                  </c:pt>
                  <c:pt idx="1">
                    <c:v>3.9758003803484709E-2</c:v>
                  </c:pt>
                  <c:pt idx="2">
                    <c:v>2.7044339542416449E-2</c:v>
                  </c:pt>
                  <c:pt idx="3">
                    <c:v>3.6551154138817481E-2</c:v>
                  </c:pt>
                  <c:pt idx="4">
                    <c:v>2.3063063784918594E-2</c:v>
                  </c:pt>
                </c:numCache>
              </c:numRef>
            </c:plus>
            <c:minus>
              <c:numRef>
                <c:f>Sheet1!$O$3:$O$9</c:f>
                <c:numCache>
                  <c:formatCode>General</c:formatCode>
                  <c:ptCount val="7"/>
                  <c:pt idx="0">
                    <c:v>3.3911512376463865E-2</c:v>
                  </c:pt>
                  <c:pt idx="1">
                    <c:v>3.9758003803484709E-2</c:v>
                  </c:pt>
                  <c:pt idx="2">
                    <c:v>2.7044339542416449E-2</c:v>
                  </c:pt>
                  <c:pt idx="3">
                    <c:v>3.6551154138817481E-2</c:v>
                  </c:pt>
                  <c:pt idx="4">
                    <c:v>2.3063063784918594E-2</c:v>
                  </c:pt>
                </c:numCache>
              </c:numRef>
            </c:minus>
          </c:errBars>
          <c:cat>
            <c:strRef>
              <c:f>Sheet1!$K$3:$K$7</c:f>
              <c:strCache>
                <c:ptCount val="5"/>
                <c:pt idx="0">
                  <c:v>10 years and above</c:v>
                </c:pt>
                <c:pt idx="1">
                  <c:v>5 years and less than 10 years</c:v>
                </c:pt>
                <c:pt idx="2">
                  <c:v>2 years and less than 5 years</c:v>
                </c:pt>
                <c:pt idx="3">
                  <c:v>1 year and less than 2 years</c:v>
                </c:pt>
                <c:pt idx="4">
                  <c:v>Less than 1 year</c:v>
                </c:pt>
              </c:strCache>
            </c:strRef>
          </c:cat>
          <c:val>
            <c:numRef>
              <c:f>Sheet1!$N$3:$N$7</c:f>
              <c:numCache>
                <c:formatCode>0.0%</c:formatCode>
                <c:ptCount val="5"/>
                <c:pt idx="0">
                  <c:v>0.25906883747500714</c:v>
                </c:pt>
                <c:pt idx="1">
                  <c:v>0.20679805769780063</c:v>
                </c:pt>
                <c:pt idx="2">
                  <c:v>0.26763781776635248</c:v>
                </c:pt>
                <c:pt idx="3">
                  <c:v>0.15424164524421594</c:v>
                </c:pt>
                <c:pt idx="4">
                  <c:v>0.11225364181662381</c:v>
                </c:pt>
              </c:numCache>
            </c:numRef>
          </c:val>
        </c:ser>
        <c:ser>
          <c:idx val="4"/>
          <c:order val="1"/>
          <c:tx>
            <c:strRef>
              <c:f>Sheet1!$L$2</c:f>
              <c:strCache>
                <c:ptCount val="1"/>
                <c:pt idx="0">
                  <c:v>Shiftworkers</c:v>
                </c:pt>
              </c:strCache>
            </c:strRef>
          </c:tx>
          <c:spPr>
            <a:solidFill>
              <a:schemeClr val="accent2"/>
            </a:solidFill>
          </c:spPr>
          <c:invertIfNegative val="0"/>
          <c:errBars>
            <c:errBarType val="both"/>
            <c:errValType val="cust"/>
            <c:noEndCap val="0"/>
            <c:plus>
              <c:numRef>
                <c:f>Sheet1!$M$3:$M$9</c:f>
                <c:numCache>
                  <c:formatCode>General</c:formatCode>
                  <c:ptCount val="7"/>
                  <c:pt idx="0">
                    <c:v>5.5334354635174415E-2</c:v>
                  </c:pt>
                  <c:pt idx="1">
                    <c:v>5.7939731036337212E-2</c:v>
                  </c:pt>
                  <c:pt idx="2">
                    <c:v>6.2450076678052337E-2</c:v>
                  </c:pt>
                  <c:pt idx="3">
                    <c:v>4.3249771812500004E-2</c:v>
                  </c:pt>
                  <c:pt idx="4">
                    <c:v>5.096336760537791E-2</c:v>
                  </c:pt>
                </c:numCache>
              </c:numRef>
            </c:plus>
            <c:minus>
              <c:numRef>
                <c:f>Sheet1!$M$3:$M$9</c:f>
                <c:numCache>
                  <c:formatCode>General</c:formatCode>
                  <c:ptCount val="7"/>
                  <c:pt idx="0">
                    <c:v>5.5334354635174415E-2</c:v>
                  </c:pt>
                  <c:pt idx="1">
                    <c:v>5.7939731036337212E-2</c:v>
                  </c:pt>
                  <c:pt idx="2">
                    <c:v>6.2450076678052337E-2</c:v>
                  </c:pt>
                  <c:pt idx="3">
                    <c:v>4.3249771812500004E-2</c:v>
                  </c:pt>
                  <c:pt idx="4">
                    <c:v>5.096336760537791E-2</c:v>
                  </c:pt>
                </c:numCache>
              </c:numRef>
            </c:minus>
          </c:errBars>
          <c:cat>
            <c:strRef>
              <c:f>Sheet1!$K$3:$K$7</c:f>
              <c:strCache>
                <c:ptCount val="5"/>
                <c:pt idx="0">
                  <c:v>10 years and above</c:v>
                </c:pt>
                <c:pt idx="1">
                  <c:v>5 years and less than 10 years</c:v>
                </c:pt>
                <c:pt idx="2">
                  <c:v>2 years and less than 5 years</c:v>
                </c:pt>
                <c:pt idx="3">
                  <c:v>1 year and less than 2 years</c:v>
                </c:pt>
                <c:pt idx="4">
                  <c:v>Less than 1 year</c:v>
                </c:pt>
              </c:strCache>
            </c:strRef>
          </c:cat>
          <c:val>
            <c:numRef>
              <c:f>Sheet1!$L$3:$L$7</c:f>
              <c:numCache>
                <c:formatCode>0.0%</c:formatCode>
                <c:ptCount val="5"/>
                <c:pt idx="0">
                  <c:v>0.23691860465116282</c:v>
                </c:pt>
                <c:pt idx="1">
                  <c:v>0.23110465116279072</c:v>
                </c:pt>
                <c:pt idx="2">
                  <c:v>0.23764534883720934</c:v>
                </c:pt>
                <c:pt idx="3">
                  <c:v>0.14680232558139536</c:v>
                </c:pt>
                <c:pt idx="4">
                  <c:v>0.14752906976744187</c:v>
                </c:pt>
              </c:numCache>
            </c:numRef>
          </c:val>
        </c:ser>
        <c:dLbls>
          <c:showLegendKey val="0"/>
          <c:showVal val="0"/>
          <c:showCatName val="0"/>
          <c:showSerName val="0"/>
          <c:showPercent val="0"/>
          <c:showBubbleSize val="0"/>
        </c:dLbls>
        <c:gapWidth val="150"/>
        <c:axId val="176723456"/>
        <c:axId val="176725376"/>
      </c:barChart>
      <c:catAx>
        <c:axId val="176723456"/>
        <c:scaling>
          <c:orientation val="minMax"/>
        </c:scaling>
        <c:delete val="0"/>
        <c:axPos val="l"/>
        <c:title>
          <c:tx>
            <c:rich>
              <a:bodyPr rot="-5400000" vert="horz"/>
              <a:lstStyle/>
              <a:p>
                <a:pPr algn="ctr" rtl="0">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u="none" strike="noStrike" baseline="0">
                    <a:effectLst/>
                  </a:rPr>
                  <a:t>Duration of employment in job where injury occurred</a:t>
                </a:r>
              </a:p>
            </c:rich>
          </c:tx>
          <c:layout>
            <c:manualLayout>
              <c:xMode val="edge"/>
              <c:yMode val="edge"/>
              <c:x val="1.1267320261437909E-2"/>
              <c:y val="0.11526861111111111"/>
            </c:manualLayout>
          </c:layout>
          <c:overlay val="0"/>
        </c:title>
        <c:numFmt formatCode="#,##0" sourceLinked="1"/>
        <c:majorTickMark val="none"/>
        <c:minorTickMark val="out"/>
        <c:tickLblPos val="nextTo"/>
        <c:crossAx val="176725376"/>
        <c:crosses val="autoZero"/>
        <c:auto val="1"/>
        <c:lblAlgn val="ctr"/>
        <c:lblOffset val="100"/>
        <c:noMultiLvlLbl val="0"/>
      </c:catAx>
      <c:valAx>
        <c:axId val="176725376"/>
        <c:scaling>
          <c:orientation val="minMax"/>
        </c:scaling>
        <c:delete val="0"/>
        <c:axPos val="b"/>
        <c:majorGridlines/>
        <c:title>
          <c:tx>
            <c:rich>
              <a:bodyPr/>
              <a:lstStyle/>
              <a:p>
                <a:pPr algn="ctr">
                  <a:defRPr/>
                </a:pPr>
                <a:r>
                  <a:rPr lang="en-AU"/>
                  <a:t>Percentage of injured workers</a:t>
                </a:r>
              </a:p>
            </c:rich>
          </c:tx>
          <c:layout>
            <c:manualLayout>
              <c:xMode val="edge"/>
              <c:yMode val="edge"/>
              <c:x val="0.5122846405228757"/>
              <c:y val="0.94814777777777781"/>
            </c:manualLayout>
          </c:layout>
          <c:overlay val="0"/>
        </c:title>
        <c:numFmt formatCode="0%" sourceLinked="0"/>
        <c:majorTickMark val="out"/>
        <c:minorTickMark val="none"/>
        <c:tickLblPos val="nextTo"/>
        <c:txPr>
          <a:bodyPr/>
          <a:lstStyle/>
          <a:p>
            <a:pPr algn="ctr">
              <a:defRPr/>
            </a:pPr>
            <a:endParaRPr lang="en-US"/>
          </a:p>
        </c:txPr>
        <c:crossAx val="176723456"/>
        <c:crosses val="autoZero"/>
        <c:crossBetween val="between"/>
      </c:valAx>
    </c:plotArea>
    <c:legend>
      <c:legendPos val="r"/>
      <c:layout>
        <c:manualLayout>
          <c:xMode val="edge"/>
          <c:yMode val="edge"/>
          <c:x val="0.79407320261437908"/>
          <c:y val="3.7304999999999998E-2"/>
          <c:w val="0.16628763440860214"/>
          <c:h val="0.13843672014260253"/>
        </c:manualLayout>
      </c:layout>
      <c:overlay val="0"/>
      <c:spPr>
        <a:solidFill>
          <a:schemeClr val="bg1"/>
        </a:solidFill>
        <a:ln>
          <a:solidFill>
            <a:schemeClr val="bg1">
              <a:lumMod val="75000"/>
            </a:schemeClr>
          </a:solidFill>
        </a:ln>
      </c:spPr>
      <c:txPr>
        <a:bodyPr/>
        <a:lstStyle/>
        <a:p>
          <a:pPr algn="ctr">
            <a:defRPr/>
          </a:pPr>
          <a:endParaRPr lang="en-US"/>
        </a:p>
      </c:txPr>
    </c:legend>
    <c:plotVisOnly val="1"/>
    <c:dispBlanksAs val="gap"/>
    <c:showDLblsOverMax val="0"/>
  </c:chart>
  <c:txPr>
    <a:bodyPr/>
    <a:lstStyle/>
    <a:p>
      <a:pPr algn="ctr">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2738431372549018"/>
          <c:y val="4.0072859744990891E-2"/>
          <c:w val="0.53967238562091491"/>
          <c:h val="0.83366854733709472"/>
        </c:manualLayout>
      </c:layout>
      <c:barChart>
        <c:barDir val="bar"/>
        <c:grouping val="clustered"/>
        <c:varyColors val="0"/>
        <c:ser>
          <c:idx val="0"/>
          <c:order val="0"/>
          <c:tx>
            <c:strRef>
              <c:f>Sheet2!$N$2</c:f>
              <c:strCache>
                <c:ptCount val="1"/>
                <c:pt idx="0">
                  <c:v>Non-shiftworkers</c:v>
                </c:pt>
              </c:strCache>
            </c:strRef>
          </c:tx>
          <c:spPr>
            <a:pattFill prst="pct70">
              <a:fgClr>
                <a:schemeClr val="accent1"/>
              </a:fgClr>
              <a:bgClr>
                <a:schemeClr val="bg1"/>
              </a:bgClr>
            </a:pattFill>
          </c:spPr>
          <c:invertIfNegative val="0"/>
          <c:errBars>
            <c:errBarType val="both"/>
            <c:errValType val="cust"/>
            <c:noEndCap val="0"/>
            <c:plus>
              <c:numRef>
                <c:f>Sheet2!$O$3:$O$4</c:f>
                <c:numCache>
                  <c:formatCode>General</c:formatCode>
                  <c:ptCount val="2"/>
                  <c:pt idx="0">
                    <c:v>4.1731744378992963E-2</c:v>
                  </c:pt>
                  <c:pt idx="1">
                    <c:v>5.6331890351651315E-2</c:v>
                  </c:pt>
                </c:numCache>
              </c:numRef>
            </c:plus>
            <c:minus>
              <c:numRef>
                <c:f>Sheet2!$O$3:$O$4</c:f>
                <c:numCache>
                  <c:formatCode>General</c:formatCode>
                  <c:ptCount val="2"/>
                  <c:pt idx="0">
                    <c:v>4.1731744378992963E-2</c:v>
                  </c:pt>
                  <c:pt idx="1">
                    <c:v>5.6331890351651315E-2</c:v>
                  </c:pt>
                </c:numCache>
              </c:numRef>
            </c:minus>
          </c:errBars>
          <c:cat>
            <c:strRef>
              <c:f>Sheet2!$K$3:$K$4</c:f>
              <c:strCache>
                <c:ptCount val="2"/>
                <c:pt idx="0">
                  <c:v>Applied and received workers' compensation</c:v>
                </c:pt>
                <c:pt idx="1">
                  <c:v>Did not apply for workers' compensation</c:v>
                </c:pt>
              </c:strCache>
            </c:strRef>
          </c:cat>
          <c:val>
            <c:numRef>
              <c:f>Sheet2!$N$3:$N$4</c:f>
              <c:numCache>
                <c:formatCode>0.0%</c:formatCode>
                <c:ptCount val="2"/>
                <c:pt idx="0">
                  <c:v>0.32376827287493232</c:v>
                </c:pt>
                <c:pt idx="1">
                  <c:v>0.62885760693015713</c:v>
                </c:pt>
              </c:numCache>
            </c:numRef>
          </c:val>
        </c:ser>
        <c:ser>
          <c:idx val="4"/>
          <c:order val="1"/>
          <c:tx>
            <c:strRef>
              <c:f>Sheet2!$L$2</c:f>
              <c:strCache>
                <c:ptCount val="1"/>
                <c:pt idx="0">
                  <c:v>Shiftworkers</c:v>
                </c:pt>
              </c:strCache>
            </c:strRef>
          </c:tx>
          <c:spPr>
            <a:solidFill>
              <a:schemeClr val="accent2"/>
            </a:solidFill>
          </c:spPr>
          <c:invertIfNegative val="0"/>
          <c:errBars>
            <c:errBarType val="both"/>
            <c:errValType val="cust"/>
            <c:noEndCap val="0"/>
            <c:plus>
              <c:numRef>
                <c:f>Sheet2!$M$3:$M$4</c:f>
                <c:numCache>
                  <c:formatCode>General</c:formatCode>
                  <c:ptCount val="2"/>
                  <c:pt idx="0">
                    <c:v>7.8245503147625156E-2</c:v>
                  </c:pt>
                  <c:pt idx="1">
                    <c:v>8.0230525122593072E-2</c:v>
                  </c:pt>
                </c:numCache>
              </c:numRef>
            </c:plus>
            <c:minus>
              <c:numRef>
                <c:f>Sheet2!$M$3:$M$4</c:f>
                <c:numCache>
                  <c:formatCode>General</c:formatCode>
                  <c:ptCount val="2"/>
                  <c:pt idx="0">
                    <c:v>7.8245503147625156E-2</c:v>
                  </c:pt>
                  <c:pt idx="1">
                    <c:v>8.0230525122593072E-2</c:v>
                  </c:pt>
                </c:numCache>
              </c:numRef>
            </c:minus>
          </c:errBars>
          <c:cat>
            <c:strRef>
              <c:f>Sheet2!$K$3:$K$4</c:f>
              <c:strCache>
                <c:ptCount val="2"/>
                <c:pt idx="0">
                  <c:v>Applied and received workers' compensation</c:v>
                </c:pt>
                <c:pt idx="1">
                  <c:v>Did not apply for workers' compensation</c:v>
                </c:pt>
              </c:strCache>
            </c:strRef>
          </c:cat>
          <c:val>
            <c:numRef>
              <c:f>Sheet2!$L$3:$L$4</c:f>
              <c:numCache>
                <c:formatCode>0.0%</c:formatCode>
                <c:ptCount val="2"/>
                <c:pt idx="0">
                  <c:v>0.40051347881899874</c:v>
                </c:pt>
                <c:pt idx="1">
                  <c:v>0.58472400513478817</c:v>
                </c:pt>
              </c:numCache>
            </c:numRef>
          </c:val>
        </c:ser>
        <c:dLbls>
          <c:showLegendKey val="0"/>
          <c:showVal val="0"/>
          <c:showCatName val="0"/>
          <c:showSerName val="0"/>
          <c:showPercent val="0"/>
          <c:showBubbleSize val="0"/>
        </c:dLbls>
        <c:gapWidth val="150"/>
        <c:axId val="176772992"/>
        <c:axId val="176775168"/>
      </c:barChart>
      <c:catAx>
        <c:axId val="176772992"/>
        <c:scaling>
          <c:orientation val="minMax"/>
        </c:scaling>
        <c:delete val="0"/>
        <c:axPos val="l"/>
        <c:title>
          <c:tx>
            <c:rich>
              <a:bodyPr rot="-5400000" vert="horz"/>
              <a:lstStyle/>
              <a:p>
                <a:pPr algn="ctr" rtl="0">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rPr>
                  <a:t>Whether applied for workers' compensation</a:t>
                </a:r>
              </a:p>
            </c:rich>
          </c:tx>
          <c:layout>
            <c:manualLayout>
              <c:xMode val="edge"/>
              <c:yMode val="edge"/>
              <c:x val="2.371830065359477E-2"/>
              <c:y val="0.17143916666666667"/>
            </c:manualLayout>
          </c:layout>
          <c:overlay val="0"/>
        </c:title>
        <c:majorTickMark val="none"/>
        <c:minorTickMark val="out"/>
        <c:tickLblPos val="nextTo"/>
        <c:crossAx val="176775168"/>
        <c:crosses val="autoZero"/>
        <c:auto val="1"/>
        <c:lblAlgn val="ctr"/>
        <c:lblOffset val="100"/>
        <c:noMultiLvlLbl val="0"/>
      </c:catAx>
      <c:valAx>
        <c:axId val="176775168"/>
        <c:scaling>
          <c:orientation val="minMax"/>
        </c:scaling>
        <c:delete val="0"/>
        <c:axPos val="b"/>
        <c:majorGridlines/>
        <c:title>
          <c:tx>
            <c:rich>
              <a:bodyPr/>
              <a:lstStyle/>
              <a:p>
                <a:pPr algn="ctr">
                  <a:defRPr/>
                </a:pPr>
                <a:r>
                  <a:rPr lang="en-AU"/>
                  <a:t>Percentage of injured workers</a:t>
                </a:r>
              </a:p>
            </c:rich>
          </c:tx>
          <c:layout>
            <c:manualLayout>
              <c:xMode val="edge"/>
              <c:yMode val="edge"/>
              <c:x val="0.62849379084967316"/>
              <c:y val="0.94462000000000002"/>
            </c:manualLayout>
          </c:layout>
          <c:overlay val="0"/>
        </c:title>
        <c:numFmt formatCode="0%" sourceLinked="0"/>
        <c:majorTickMark val="out"/>
        <c:minorTickMark val="none"/>
        <c:tickLblPos val="nextTo"/>
        <c:txPr>
          <a:bodyPr/>
          <a:lstStyle/>
          <a:p>
            <a:pPr algn="ctr">
              <a:defRPr/>
            </a:pPr>
            <a:endParaRPr lang="en-US"/>
          </a:p>
        </c:txPr>
        <c:crossAx val="176772992"/>
        <c:crosses val="autoZero"/>
        <c:crossBetween val="between"/>
      </c:valAx>
    </c:plotArea>
    <c:legend>
      <c:legendPos val="r"/>
      <c:layout>
        <c:manualLayout>
          <c:xMode val="edge"/>
          <c:yMode val="edge"/>
          <c:x val="0.79822352941176467"/>
          <c:y val="0.73227722222222225"/>
          <c:w val="0.16628763440860214"/>
          <c:h val="0.13843672014260253"/>
        </c:manualLayout>
      </c:layout>
      <c:overlay val="0"/>
      <c:spPr>
        <a:solidFill>
          <a:schemeClr val="bg1"/>
        </a:solidFill>
        <a:ln>
          <a:solidFill>
            <a:schemeClr val="bg1">
              <a:lumMod val="75000"/>
            </a:schemeClr>
          </a:solidFill>
        </a:ln>
      </c:spPr>
      <c:txPr>
        <a:bodyPr/>
        <a:lstStyle/>
        <a:p>
          <a:pPr algn="ctr">
            <a:defRPr/>
          </a:pPr>
          <a:endParaRPr lang="en-US"/>
        </a:p>
      </c:txPr>
    </c:legend>
    <c:plotVisOnly val="1"/>
    <c:dispBlanksAs val="gap"/>
    <c:showDLblsOverMax val="0"/>
  </c:chart>
  <c:txPr>
    <a:bodyPr/>
    <a:lstStyle/>
    <a:p>
      <a:pPr algn="ctr">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51661630824372762"/>
          <c:y val="4.0072859744990891E-2"/>
          <c:w val="0.45044032258064515"/>
          <c:h val="0.83366854733709472"/>
        </c:manualLayout>
      </c:layout>
      <c:barChart>
        <c:barDir val="bar"/>
        <c:grouping val="clustered"/>
        <c:varyColors val="0"/>
        <c:ser>
          <c:idx val="0"/>
          <c:order val="0"/>
          <c:tx>
            <c:strRef>
              <c:f>Sheet2!$N$2</c:f>
              <c:strCache>
                <c:ptCount val="1"/>
                <c:pt idx="0">
                  <c:v>Non-shiftworkers</c:v>
                </c:pt>
              </c:strCache>
            </c:strRef>
          </c:tx>
          <c:spPr>
            <a:pattFill prst="pct70">
              <a:fgClr>
                <a:schemeClr val="accent1"/>
              </a:fgClr>
              <a:bgClr>
                <a:schemeClr val="bg1"/>
              </a:bgClr>
            </a:pattFill>
          </c:spPr>
          <c:invertIfNegative val="0"/>
          <c:errBars>
            <c:errBarType val="both"/>
            <c:errValType val="cust"/>
            <c:noEndCap val="0"/>
            <c:plus>
              <c:numRef>
                <c:f>Sheet2!$O$3:$O$9</c:f>
                <c:numCache>
                  <c:formatCode>General</c:formatCode>
                  <c:ptCount val="7"/>
                  <c:pt idx="0">
                    <c:v>2.6370860651801029E-2</c:v>
                  </c:pt>
                  <c:pt idx="1">
                    <c:v>1.7860342222984566E-2</c:v>
                  </c:pt>
                  <c:pt idx="2">
                    <c:v>3.097484326886793E-2</c:v>
                  </c:pt>
                  <c:pt idx="3">
                    <c:v>2.5171370642367068E-2</c:v>
                  </c:pt>
                  <c:pt idx="4">
                    <c:v>6.1225671301029162E-2</c:v>
                  </c:pt>
                </c:numCache>
              </c:numRef>
            </c:plus>
            <c:minus>
              <c:numRef>
                <c:f>Sheet2!$O$3:$O$9</c:f>
                <c:numCache>
                  <c:formatCode>General</c:formatCode>
                  <c:ptCount val="7"/>
                  <c:pt idx="0">
                    <c:v>2.6370860651801029E-2</c:v>
                  </c:pt>
                  <c:pt idx="1">
                    <c:v>1.7860342222984566E-2</c:v>
                  </c:pt>
                  <c:pt idx="2">
                    <c:v>3.097484326886793E-2</c:v>
                  </c:pt>
                  <c:pt idx="3">
                    <c:v>2.5171370642367068E-2</c:v>
                  </c:pt>
                  <c:pt idx="4">
                    <c:v>6.1225671301029162E-2</c:v>
                  </c:pt>
                </c:numCache>
              </c:numRef>
            </c:minus>
          </c:errBars>
          <c:cat>
            <c:strRef>
              <c:f>Sheet2!$K$3:$K$7</c:f>
              <c:strCache>
                <c:ptCount val="5"/>
                <c:pt idx="0">
                  <c:v>Employer agreed to pay costs</c:v>
                </c:pt>
                <c:pt idx="1">
                  <c:v>Inconvenient or required too much effort or paperwork</c:v>
                </c:pt>
                <c:pt idx="2">
                  <c:v>Did not think eligible</c:v>
                </c:pt>
                <c:pt idx="3">
                  <c:v>Negative impact on current or future employment</c:v>
                </c:pt>
                <c:pt idx="4">
                  <c:v>Minor injury only or not considered necessary</c:v>
                </c:pt>
              </c:strCache>
            </c:strRef>
          </c:cat>
          <c:val>
            <c:numRef>
              <c:f>Sheet2!$N$3:$N$7</c:f>
              <c:numCache>
                <c:formatCode>0.0%</c:formatCode>
                <c:ptCount val="5"/>
                <c:pt idx="0">
                  <c:v>6.8610634648370514E-2</c:v>
                </c:pt>
                <c:pt idx="1">
                  <c:v>3.3876500857632941E-2</c:v>
                </c:pt>
                <c:pt idx="2">
                  <c:v>0.10849056603773587</c:v>
                </c:pt>
                <c:pt idx="3">
                  <c:v>6.3036020583190397E-2</c:v>
                </c:pt>
                <c:pt idx="4">
                  <c:v>0.44639794168096059</c:v>
                </c:pt>
              </c:numCache>
            </c:numRef>
          </c:val>
        </c:ser>
        <c:ser>
          <c:idx val="4"/>
          <c:order val="1"/>
          <c:tx>
            <c:strRef>
              <c:f>Sheet2!$L$2</c:f>
              <c:strCache>
                <c:ptCount val="1"/>
                <c:pt idx="0">
                  <c:v>Shiftworkers</c:v>
                </c:pt>
              </c:strCache>
            </c:strRef>
          </c:tx>
          <c:spPr>
            <a:solidFill>
              <a:schemeClr val="accent2"/>
            </a:solidFill>
          </c:spPr>
          <c:invertIfNegative val="0"/>
          <c:errBars>
            <c:errBarType val="both"/>
            <c:errValType val="cust"/>
            <c:noEndCap val="0"/>
            <c:plus>
              <c:numRef>
                <c:f>Sheet2!$M$3:$M$9</c:f>
                <c:numCache>
                  <c:formatCode>General</c:formatCode>
                  <c:ptCount val="7"/>
                  <c:pt idx="0">
                    <c:v>3.4210270930930931E-2</c:v>
                  </c:pt>
                  <c:pt idx="1">
                    <c:v>4.064778808808809E-2</c:v>
                  </c:pt>
                  <c:pt idx="2">
                    <c:v>5.1604268432432439E-2</c:v>
                  </c:pt>
                  <c:pt idx="3">
                    <c:v>5.6855126588588586E-2</c:v>
                  </c:pt>
                  <c:pt idx="4">
                    <c:v>9.5715679391391389E-2</c:v>
                  </c:pt>
                </c:numCache>
              </c:numRef>
            </c:plus>
            <c:minus>
              <c:numRef>
                <c:f>Sheet2!$M$3:$M$9</c:f>
                <c:numCache>
                  <c:formatCode>General</c:formatCode>
                  <c:ptCount val="7"/>
                  <c:pt idx="0">
                    <c:v>3.4210270930930931E-2</c:v>
                  </c:pt>
                  <c:pt idx="1">
                    <c:v>4.064778808808809E-2</c:v>
                  </c:pt>
                  <c:pt idx="2">
                    <c:v>5.1604268432432439E-2</c:v>
                  </c:pt>
                  <c:pt idx="3">
                    <c:v>5.6855126588588586E-2</c:v>
                  </c:pt>
                  <c:pt idx="4">
                    <c:v>9.5715679391391389E-2</c:v>
                  </c:pt>
                </c:numCache>
              </c:numRef>
            </c:minus>
          </c:errBars>
          <c:cat>
            <c:strRef>
              <c:f>Sheet2!$K$3:$K$7</c:f>
              <c:strCache>
                <c:ptCount val="5"/>
                <c:pt idx="0">
                  <c:v>Employer agreed to pay costs</c:v>
                </c:pt>
                <c:pt idx="1">
                  <c:v>Inconvenient or required too much effort or paperwork</c:v>
                </c:pt>
                <c:pt idx="2">
                  <c:v>Did not think eligible</c:v>
                </c:pt>
                <c:pt idx="3">
                  <c:v>Negative impact on current or future employment</c:v>
                </c:pt>
                <c:pt idx="4">
                  <c:v>Minor injury only or not considered necessary</c:v>
                </c:pt>
              </c:strCache>
            </c:strRef>
          </c:cat>
          <c:val>
            <c:numRef>
              <c:f>Sheet2!$L$3:$L$7</c:f>
              <c:numCache>
                <c:formatCode>0.0%</c:formatCode>
                <c:ptCount val="5"/>
                <c:pt idx="0">
                  <c:v>7.0070070070070073E-2</c:v>
                </c:pt>
                <c:pt idx="1">
                  <c:v>0.10010010010010011</c:v>
                </c:pt>
                <c:pt idx="2">
                  <c:v>0.10810810810810813</c:v>
                </c:pt>
                <c:pt idx="3">
                  <c:v>0.12912912912912913</c:v>
                </c:pt>
                <c:pt idx="4">
                  <c:v>0.41641641641641647</c:v>
                </c:pt>
              </c:numCache>
            </c:numRef>
          </c:val>
        </c:ser>
        <c:dLbls>
          <c:showLegendKey val="0"/>
          <c:showVal val="0"/>
          <c:showCatName val="0"/>
          <c:showSerName val="0"/>
          <c:showPercent val="0"/>
          <c:showBubbleSize val="0"/>
        </c:dLbls>
        <c:gapWidth val="150"/>
        <c:axId val="176810240"/>
        <c:axId val="176820608"/>
      </c:barChart>
      <c:catAx>
        <c:axId val="176810240"/>
        <c:scaling>
          <c:orientation val="minMax"/>
        </c:scaling>
        <c:delete val="0"/>
        <c:axPos val="l"/>
        <c:title>
          <c:tx>
            <c:rich>
              <a:bodyPr rot="-5400000" vert="horz"/>
              <a:lstStyle/>
              <a:p>
                <a:pPr algn="ctr" rtl="0">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rPr>
                  <a:t>Main reason for not applying for workers’ compensation</a:t>
                </a:r>
              </a:p>
            </c:rich>
          </c:tx>
          <c:layout>
            <c:manualLayout>
              <c:xMode val="edge"/>
              <c:yMode val="edge"/>
              <c:x val="2.371830065359477E-2"/>
              <c:y val="0.12557805555555557"/>
            </c:manualLayout>
          </c:layout>
          <c:overlay val="0"/>
        </c:title>
        <c:majorTickMark val="none"/>
        <c:minorTickMark val="out"/>
        <c:tickLblPos val="nextTo"/>
        <c:crossAx val="176820608"/>
        <c:crosses val="autoZero"/>
        <c:auto val="1"/>
        <c:lblAlgn val="ctr"/>
        <c:lblOffset val="100"/>
        <c:noMultiLvlLbl val="0"/>
      </c:catAx>
      <c:valAx>
        <c:axId val="176820608"/>
        <c:scaling>
          <c:orientation val="minMax"/>
        </c:scaling>
        <c:delete val="0"/>
        <c:axPos val="b"/>
        <c:majorGridlines/>
        <c:title>
          <c:tx>
            <c:rich>
              <a:bodyPr/>
              <a:lstStyle/>
              <a:p>
                <a:pPr algn="ctr">
                  <a:defRPr/>
                </a:pPr>
                <a:r>
                  <a:rPr lang="en-AU"/>
                  <a:t>Percentage of injured</a:t>
                </a:r>
                <a:r>
                  <a:rPr lang="en-AU" baseline="0"/>
                  <a:t> </a:t>
                </a:r>
                <a:r>
                  <a:rPr lang="en-AU"/>
                  <a:t>workers</a:t>
                </a:r>
              </a:p>
            </c:rich>
          </c:tx>
          <c:layout>
            <c:manualLayout>
              <c:xMode val="edge"/>
              <c:yMode val="edge"/>
              <c:x val="0.6305689542483659"/>
              <c:y val="0.94814777777777781"/>
            </c:manualLayout>
          </c:layout>
          <c:overlay val="0"/>
        </c:title>
        <c:numFmt formatCode="0%" sourceLinked="0"/>
        <c:majorTickMark val="out"/>
        <c:minorTickMark val="none"/>
        <c:tickLblPos val="nextTo"/>
        <c:txPr>
          <a:bodyPr/>
          <a:lstStyle/>
          <a:p>
            <a:pPr algn="ctr">
              <a:defRPr/>
            </a:pPr>
            <a:endParaRPr lang="en-US"/>
          </a:p>
        </c:txPr>
        <c:crossAx val="176810240"/>
        <c:crosses val="autoZero"/>
        <c:crossBetween val="between"/>
      </c:valAx>
    </c:plotArea>
    <c:legend>
      <c:legendPos val="r"/>
      <c:layout>
        <c:manualLayout>
          <c:xMode val="edge"/>
          <c:yMode val="edge"/>
          <c:x val="0.79614836601307193"/>
          <c:y val="0.40419388888888891"/>
          <c:w val="0.16628763440860214"/>
          <c:h val="0.13843672014260253"/>
        </c:manualLayout>
      </c:layout>
      <c:overlay val="0"/>
      <c:spPr>
        <a:solidFill>
          <a:schemeClr val="bg1"/>
        </a:solidFill>
        <a:ln>
          <a:solidFill>
            <a:schemeClr val="bg1">
              <a:lumMod val="75000"/>
            </a:schemeClr>
          </a:solidFill>
        </a:ln>
      </c:spPr>
      <c:txPr>
        <a:bodyPr/>
        <a:lstStyle/>
        <a:p>
          <a:pPr algn="ctr">
            <a:defRPr b="0"/>
          </a:pPr>
          <a:endParaRPr lang="en-US"/>
        </a:p>
      </c:txPr>
    </c:legend>
    <c:plotVisOnly val="1"/>
    <c:dispBlanksAs val="gap"/>
    <c:showDLblsOverMax val="0"/>
  </c:chart>
  <c:txPr>
    <a:bodyPr/>
    <a:lstStyle/>
    <a:p>
      <a:pPr algn="ctr">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1004117647058824"/>
          <c:y val="4.0072859744990891E-2"/>
          <c:w val="0.55627369281045747"/>
          <c:h val="0.83366854733709472"/>
        </c:manualLayout>
      </c:layout>
      <c:barChart>
        <c:barDir val="bar"/>
        <c:grouping val="clustered"/>
        <c:varyColors val="0"/>
        <c:ser>
          <c:idx val="0"/>
          <c:order val="0"/>
          <c:tx>
            <c:strRef>
              <c:f>Sheet1!$N$2</c:f>
              <c:strCache>
                <c:ptCount val="1"/>
                <c:pt idx="0">
                  <c:v>Non-shiftworkers</c:v>
                </c:pt>
              </c:strCache>
            </c:strRef>
          </c:tx>
          <c:spPr>
            <a:pattFill prst="pct70">
              <a:fgClr>
                <a:schemeClr val="accent1"/>
              </a:fgClr>
              <a:bgClr>
                <a:schemeClr val="bg1"/>
              </a:bgClr>
            </a:pattFill>
          </c:spPr>
          <c:invertIfNegative val="0"/>
          <c:errBars>
            <c:errBarType val="both"/>
            <c:errValType val="cust"/>
            <c:noEndCap val="0"/>
            <c:plus>
              <c:numRef>
                <c:f>Sheet1!$O$3:$O$9</c:f>
                <c:numCache>
                  <c:formatCode>General</c:formatCode>
                  <c:ptCount val="7"/>
                  <c:pt idx="0">
                    <c:v>4.4372943174037907E-2</c:v>
                  </c:pt>
                  <c:pt idx="1">
                    <c:v>5.4834996055140708E-2</c:v>
                  </c:pt>
                </c:numCache>
              </c:numRef>
            </c:plus>
            <c:minus>
              <c:numRef>
                <c:f>Sheet1!$O$3:$O$9</c:f>
                <c:numCache>
                  <c:formatCode>General</c:formatCode>
                  <c:ptCount val="7"/>
                  <c:pt idx="0">
                    <c:v>4.4372943174037907E-2</c:v>
                  </c:pt>
                  <c:pt idx="1">
                    <c:v>5.4834996055140708E-2</c:v>
                  </c:pt>
                </c:numCache>
              </c:numRef>
            </c:minus>
          </c:errBars>
          <c:cat>
            <c:strRef>
              <c:f>Sheet1!$K$3:$K$4</c:f>
              <c:strCache>
                <c:ptCount val="2"/>
                <c:pt idx="0">
                  <c:v>Did not receive financial assistance</c:v>
                </c:pt>
                <c:pt idx="1">
                  <c:v>Received financial assistance</c:v>
                </c:pt>
              </c:strCache>
            </c:strRef>
          </c:cat>
          <c:val>
            <c:numRef>
              <c:f>Sheet1!$N$3:$N$4</c:f>
              <c:numCache>
                <c:formatCode>0.0%</c:formatCode>
                <c:ptCount val="2"/>
                <c:pt idx="0">
                  <c:v>0.3957495692130959</c:v>
                </c:pt>
                <c:pt idx="1">
                  <c:v>0.60425043078690399</c:v>
                </c:pt>
              </c:numCache>
            </c:numRef>
          </c:val>
        </c:ser>
        <c:ser>
          <c:idx val="4"/>
          <c:order val="1"/>
          <c:tx>
            <c:strRef>
              <c:f>Sheet1!$L$2</c:f>
              <c:strCache>
                <c:ptCount val="1"/>
                <c:pt idx="0">
                  <c:v>Shiftworkers</c:v>
                </c:pt>
              </c:strCache>
            </c:strRef>
          </c:tx>
          <c:spPr>
            <a:solidFill>
              <a:schemeClr val="accent2"/>
            </a:solidFill>
          </c:spPr>
          <c:invertIfNegative val="0"/>
          <c:errBars>
            <c:errBarType val="both"/>
            <c:errValType val="cust"/>
            <c:noEndCap val="0"/>
            <c:plus>
              <c:numRef>
                <c:f>Sheet1!$M$3:$M$9</c:f>
                <c:numCache>
                  <c:formatCode>General</c:formatCode>
                  <c:ptCount val="7"/>
                  <c:pt idx="0">
                    <c:v>6.6504325628368791E-2</c:v>
                  </c:pt>
                  <c:pt idx="1">
                    <c:v>0.11746567480567376</c:v>
                  </c:pt>
                </c:numCache>
              </c:numRef>
            </c:plus>
            <c:minus>
              <c:numRef>
                <c:f>Sheet1!$M$3:$M$9</c:f>
                <c:numCache>
                  <c:formatCode>General</c:formatCode>
                  <c:ptCount val="7"/>
                  <c:pt idx="0">
                    <c:v>6.6504325628368791E-2</c:v>
                  </c:pt>
                  <c:pt idx="1">
                    <c:v>0.11746567480567376</c:v>
                  </c:pt>
                </c:numCache>
              </c:numRef>
            </c:minus>
          </c:errBars>
          <c:cat>
            <c:strRef>
              <c:f>Sheet1!$K$3:$K$4</c:f>
              <c:strCache>
                <c:ptCount val="2"/>
                <c:pt idx="0">
                  <c:v>Did not receive financial assistance</c:v>
                </c:pt>
                <c:pt idx="1">
                  <c:v>Received financial assistance</c:v>
                </c:pt>
              </c:strCache>
            </c:strRef>
          </c:cat>
          <c:val>
            <c:numRef>
              <c:f>Sheet1!$L$3:$L$4</c:f>
              <c:numCache>
                <c:formatCode>0.0%</c:formatCode>
                <c:ptCount val="2"/>
                <c:pt idx="0">
                  <c:v>0.38439716312056738</c:v>
                </c:pt>
                <c:pt idx="1">
                  <c:v>0.61560283687943262</c:v>
                </c:pt>
              </c:numCache>
            </c:numRef>
          </c:val>
        </c:ser>
        <c:dLbls>
          <c:showLegendKey val="0"/>
          <c:showVal val="0"/>
          <c:showCatName val="0"/>
          <c:showSerName val="0"/>
          <c:showPercent val="0"/>
          <c:showBubbleSize val="0"/>
        </c:dLbls>
        <c:gapWidth val="150"/>
        <c:axId val="176854912"/>
        <c:axId val="176857088"/>
      </c:barChart>
      <c:catAx>
        <c:axId val="176854912"/>
        <c:scaling>
          <c:orientation val="minMax"/>
        </c:scaling>
        <c:delete val="0"/>
        <c:axPos val="l"/>
        <c:title>
          <c:tx>
            <c:rich>
              <a:bodyPr rot="-5400000" vert="horz"/>
              <a:lstStyle/>
              <a:p>
                <a:pPr algn="ctr" rtl="0">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rPr>
                  <a:t>Whether received financial assistance for medical expenses or lost income</a:t>
                </a:r>
              </a:p>
            </c:rich>
          </c:tx>
          <c:layout>
            <c:manualLayout>
              <c:xMode val="edge"/>
              <c:yMode val="edge"/>
              <c:x val="1.334248366013072E-2"/>
              <c:y val="9.2884999999999995E-2"/>
            </c:manualLayout>
          </c:layout>
          <c:overlay val="0"/>
        </c:title>
        <c:numFmt formatCode="#,##0" sourceLinked="1"/>
        <c:majorTickMark val="none"/>
        <c:minorTickMark val="out"/>
        <c:tickLblPos val="nextTo"/>
        <c:crossAx val="176857088"/>
        <c:crosses val="autoZero"/>
        <c:auto val="1"/>
        <c:lblAlgn val="ctr"/>
        <c:lblOffset val="100"/>
        <c:noMultiLvlLbl val="0"/>
      </c:catAx>
      <c:valAx>
        <c:axId val="176857088"/>
        <c:scaling>
          <c:orientation val="minMax"/>
          <c:max val="0.8"/>
        </c:scaling>
        <c:delete val="0"/>
        <c:axPos val="b"/>
        <c:majorGridlines/>
        <c:title>
          <c:tx>
            <c:rich>
              <a:bodyPr/>
              <a:lstStyle/>
              <a:p>
                <a:pPr algn="ctr">
                  <a:defRPr/>
                </a:pPr>
                <a:r>
                  <a:rPr lang="en-AU"/>
                  <a:t>Percentage of injured workers</a:t>
                </a:r>
              </a:p>
            </c:rich>
          </c:tx>
          <c:layout>
            <c:manualLayout>
              <c:xMode val="edge"/>
              <c:yMode val="edge"/>
              <c:x val="0.62641862745098031"/>
              <c:y val="0.94814777777777781"/>
            </c:manualLayout>
          </c:layout>
          <c:overlay val="0"/>
        </c:title>
        <c:numFmt formatCode="0%" sourceLinked="0"/>
        <c:majorTickMark val="out"/>
        <c:minorTickMark val="none"/>
        <c:tickLblPos val="nextTo"/>
        <c:txPr>
          <a:bodyPr/>
          <a:lstStyle/>
          <a:p>
            <a:pPr algn="ctr">
              <a:defRPr/>
            </a:pPr>
            <a:endParaRPr lang="en-US"/>
          </a:p>
        </c:txPr>
        <c:crossAx val="176854912"/>
        <c:crosses val="autoZero"/>
        <c:crossBetween val="between"/>
      </c:valAx>
    </c:plotArea>
    <c:legend>
      <c:legendPos val="r"/>
      <c:layout>
        <c:manualLayout>
          <c:xMode val="edge"/>
          <c:yMode val="edge"/>
          <c:x val="0.79407320261437908"/>
          <c:y val="0.73227722222222225"/>
          <c:w val="0.16628763440860214"/>
          <c:h val="0.13843672014260253"/>
        </c:manualLayout>
      </c:layout>
      <c:overlay val="0"/>
      <c:spPr>
        <a:solidFill>
          <a:schemeClr val="bg1"/>
        </a:solidFill>
        <a:ln>
          <a:solidFill>
            <a:schemeClr val="bg1">
              <a:lumMod val="75000"/>
            </a:schemeClr>
          </a:solidFill>
        </a:ln>
      </c:spPr>
      <c:txPr>
        <a:bodyPr/>
        <a:lstStyle/>
        <a:p>
          <a:pPr algn="ctr">
            <a:defRPr b="0"/>
          </a:pPr>
          <a:endParaRPr lang="en-US"/>
        </a:p>
      </c:txPr>
    </c:legend>
    <c:plotVisOnly val="1"/>
    <c:dispBlanksAs val="gap"/>
    <c:showDLblsOverMax val="0"/>
  </c:chart>
  <c:txPr>
    <a:bodyPr/>
    <a:lstStyle/>
    <a:p>
      <a:pPr algn="ctr">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097908496732029"/>
          <c:y val="4.0072859744990891E-2"/>
          <c:w val="0.60607761437908492"/>
          <c:h val="0.83366854733709472"/>
        </c:manualLayout>
      </c:layout>
      <c:barChart>
        <c:barDir val="bar"/>
        <c:grouping val="clustered"/>
        <c:varyColors val="0"/>
        <c:ser>
          <c:idx val="0"/>
          <c:order val="0"/>
          <c:tx>
            <c:strRef>
              <c:f>'Sheet3 (2)'!$X$2</c:f>
              <c:strCache>
                <c:ptCount val="1"/>
                <c:pt idx="0">
                  <c:v>Non-shiftworkers</c:v>
                </c:pt>
              </c:strCache>
            </c:strRef>
          </c:tx>
          <c:spPr>
            <a:pattFill prst="pct70">
              <a:fgClr>
                <a:schemeClr val="accent1"/>
              </a:fgClr>
              <a:bgClr>
                <a:schemeClr val="bg1"/>
              </a:bgClr>
            </a:pattFill>
          </c:spPr>
          <c:invertIfNegative val="0"/>
          <c:errBars>
            <c:errBarType val="both"/>
            <c:errValType val="cust"/>
            <c:noEndCap val="0"/>
            <c:plus>
              <c:numRef>
                <c:f>'Sheet3 (2)'!$Y$3:$Y$9</c:f>
                <c:numCache>
                  <c:formatCode>General</c:formatCode>
                  <c:ptCount val="7"/>
                  <c:pt idx="0">
                    <c:v>1.5504290885062451</c:v>
                  </c:pt>
                  <c:pt idx="1">
                    <c:v>1.9228669874827387</c:v>
                  </c:pt>
                  <c:pt idx="2">
                    <c:v>2.7299402366656254</c:v>
                  </c:pt>
                  <c:pt idx="3">
                    <c:v>10.690049218067113</c:v>
                  </c:pt>
                  <c:pt idx="4">
                    <c:v>3.9993264774211941</c:v>
                  </c:pt>
                  <c:pt idx="5">
                    <c:v>6.9819415264716946</c:v>
                  </c:pt>
                  <c:pt idx="6">
                    <c:v>6.3463039678162847</c:v>
                  </c:pt>
                </c:numCache>
              </c:numRef>
            </c:plus>
            <c:minus>
              <c:numRef>
                <c:f>'Sheet3 (2)'!$Y$3:$Y$9</c:f>
                <c:numCache>
                  <c:formatCode>General</c:formatCode>
                  <c:ptCount val="7"/>
                  <c:pt idx="0">
                    <c:v>1.5504290885062451</c:v>
                  </c:pt>
                  <c:pt idx="1">
                    <c:v>1.9228669874827387</c:v>
                  </c:pt>
                  <c:pt idx="2">
                    <c:v>2.7299402366656254</c:v>
                  </c:pt>
                  <c:pt idx="3">
                    <c:v>10.690049218067113</c:v>
                  </c:pt>
                  <c:pt idx="4">
                    <c:v>3.9993264774211941</c:v>
                  </c:pt>
                  <c:pt idx="5">
                    <c:v>6.9819415264716946</c:v>
                  </c:pt>
                  <c:pt idx="6">
                    <c:v>6.3463039678162847</c:v>
                  </c:pt>
                </c:numCache>
              </c:numRef>
            </c:minus>
          </c:errBars>
          <c:val>
            <c:numRef>
              <c:f>'Sheet3 (2)'!$X$3:$X$9</c:f>
              <c:numCache>
                <c:formatCode>0.0</c:formatCode>
                <c:ptCount val="7"/>
                <c:pt idx="0">
                  <c:v>23.158095359857565</c:v>
                </c:pt>
                <c:pt idx="1">
                  <c:v>13.585677590521854</c:v>
                </c:pt>
                <c:pt idx="2">
                  <c:v>14.63379687765738</c:v>
                </c:pt>
                <c:pt idx="3">
                  <c:v>53.145556767376952</c:v>
                </c:pt>
                <c:pt idx="4">
                  <c:v>32.781433356296176</c:v>
                </c:pt>
                <c:pt idx="5">
                  <c:v>36.270195031239311</c:v>
                </c:pt>
                <c:pt idx="6">
                  <c:v>37.472249324792479</c:v>
                </c:pt>
              </c:numCache>
            </c:numRef>
          </c:val>
        </c:ser>
        <c:ser>
          <c:idx val="4"/>
          <c:order val="1"/>
          <c:tx>
            <c:strRef>
              <c:f>'Sheet3 (2)'!$V$2</c:f>
              <c:strCache>
                <c:ptCount val="1"/>
                <c:pt idx="0">
                  <c:v>Shiftworkers</c:v>
                </c:pt>
              </c:strCache>
            </c:strRef>
          </c:tx>
          <c:spPr>
            <a:solidFill>
              <a:schemeClr val="accent2"/>
            </a:solidFill>
          </c:spPr>
          <c:invertIfNegative val="0"/>
          <c:errBars>
            <c:errBarType val="both"/>
            <c:errValType val="cust"/>
            <c:noEndCap val="0"/>
            <c:plus>
              <c:numRef>
                <c:f>'Sheet3 (2)'!$W$3:$W$9</c:f>
                <c:numCache>
                  <c:formatCode>General</c:formatCode>
                  <c:ptCount val="7"/>
                  <c:pt idx="0">
                    <c:v>4.7238706910732962</c:v>
                  </c:pt>
                  <c:pt idx="1">
                    <c:v>11.744274210894227</c:v>
                  </c:pt>
                  <c:pt idx="2">
                    <c:v>7.3873265942056436</c:v>
                  </c:pt>
                  <c:pt idx="3">
                    <c:v>7.7983094046387977</c:v>
                  </c:pt>
                  <c:pt idx="4">
                    <c:v>13.450055230638718</c:v>
                  </c:pt>
                  <c:pt idx="5">
                    <c:v>8.7048178877707034</c:v>
                  </c:pt>
                  <c:pt idx="6">
                    <c:v>14.527677532036575</c:v>
                  </c:pt>
                </c:numCache>
              </c:numRef>
            </c:plus>
            <c:minus>
              <c:numRef>
                <c:f>'Sheet3 (2)'!$W$3:$W$9</c:f>
                <c:numCache>
                  <c:formatCode>General</c:formatCode>
                  <c:ptCount val="7"/>
                  <c:pt idx="0">
                    <c:v>4.7238706910732962</c:v>
                  </c:pt>
                  <c:pt idx="1">
                    <c:v>11.744274210894227</c:v>
                  </c:pt>
                  <c:pt idx="2">
                    <c:v>7.3873265942056436</c:v>
                  </c:pt>
                  <c:pt idx="3">
                    <c:v>7.7983094046387977</c:v>
                  </c:pt>
                  <c:pt idx="4">
                    <c:v>13.450055230638718</c:v>
                  </c:pt>
                  <c:pt idx="5">
                    <c:v>8.7048178877707034</c:v>
                  </c:pt>
                  <c:pt idx="6">
                    <c:v>14.527677532036575</c:v>
                  </c:pt>
                </c:numCache>
              </c:numRef>
            </c:minus>
          </c:errBars>
          <c:cat>
            <c:strRef>
              <c:f>'Sheet3 (2)'!$U$3:$U$9</c:f>
              <c:strCache>
                <c:ptCount val="7"/>
                <c:pt idx="0">
                  <c:v>All occupations</c:v>
                </c:pt>
                <c:pt idx="1">
                  <c:v>Clerical and administrative workers</c:v>
                </c:pt>
                <c:pt idx="2">
                  <c:v>Professionals</c:v>
                </c:pt>
                <c:pt idx="3">
                  <c:v>Machinery operators and drivers</c:v>
                </c:pt>
                <c:pt idx="4">
                  <c:v>Technicians and trades workers</c:v>
                </c:pt>
                <c:pt idx="5">
                  <c:v>Community and personal service workers</c:v>
                </c:pt>
                <c:pt idx="6">
                  <c:v>Labourers</c:v>
                </c:pt>
              </c:strCache>
            </c:strRef>
          </c:cat>
          <c:val>
            <c:numRef>
              <c:f>'Sheet3 (2)'!$V$3:$V$9</c:f>
              <c:numCache>
                <c:formatCode>0.0</c:formatCode>
                <c:ptCount val="7"/>
                <c:pt idx="0">
                  <c:v>49.874349845383136</c:v>
                </c:pt>
                <c:pt idx="1">
                  <c:v>26.886056890896377</c:v>
                </c:pt>
                <c:pt idx="2">
                  <c:v>27.902020738045298</c:v>
                </c:pt>
                <c:pt idx="3">
                  <c:v>34.424982854137568</c:v>
                </c:pt>
                <c:pt idx="4">
                  <c:v>74.177155943366273</c:v>
                </c:pt>
                <c:pt idx="5">
                  <c:v>76.268209034907073</c:v>
                </c:pt>
                <c:pt idx="6">
                  <c:v>81.623785353112396</c:v>
                </c:pt>
              </c:numCache>
            </c:numRef>
          </c:val>
        </c:ser>
        <c:dLbls>
          <c:showLegendKey val="0"/>
          <c:showVal val="0"/>
          <c:showCatName val="0"/>
          <c:showSerName val="0"/>
          <c:showPercent val="0"/>
          <c:showBubbleSize val="0"/>
        </c:dLbls>
        <c:gapWidth val="150"/>
        <c:axId val="159745152"/>
        <c:axId val="159747072"/>
      </c:barChart>
      <c:catAx>
        <c:axId val="159745152"/>
        <c:scaling>
          <c:orientation val="minMax"/>
        </c:scaling>
        <c:delete val="0"/>
        <c:axPos val="l"/>
        <c:title>
          <c:tx>
            <c:rich>
              <a:bodyPr rot="-5400000" vert="horz"/>
              <a:lstStyle/>
              <a:p>
                <a:pPr algn="ctr" rtl="0">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rPr>
                  <a:t>Occupation</a:t>
                </a:r>
              </a:p>
            </c:rich>
          </c:tx>
          <c:layout>
            <c:manualLayout>
              <c:xMode val="edge"/>
              <c:yMode val="edge"/>
              <c:x val="5.0418300653594771E-3"/>
              <c:y val="0.40074472222222224"/>
            </c:manualLayout>
          </c:layout>
          <c:overlay val="0"/>
        </c:title>
        <c:majorTickMark val="none"/>
        <c:minorTickMark val="out"/>
        <c:tickLblPos val="nextTo"/>
        <c:crossAx val="159747072"/>
        <c:crosses val="autoZero"/>
        <c:auto val="1"/>
        <c:lblAlgn val="ctr"/>
        <c:lblOffset val="100"/>
        <c:noMultiLvlLbl val="0"/>
      </c:catAx>
      <c:valAx>
        <c:axId val="159747072"/>
        <c:scaling>
          <c:orientation val="minMax"/>
          <c:max val="120"/>
        </c:scaling>
        <c:delete val="0"/>
        <c:axPos val="b"/>
        <c:majorGridlines/>
        <c:title>
          <c:tx>
            <c:rich>
              <a:bodyPr/>
              <a:lstStyle/>
              <a:p>
                <a:pPr algn="ctr">
                  <a:defRPr/>
                </a:pPr>
                <a:r>
                  <a:rPr lang="en-AU"/>
                  <a:t>Injured</a:t>
                </a:r>
                <a:r>
                  <a:rPr lang="en-AU" baseline="0"/>
                  <a:t> </a:t>
                </a:r>
                <a:r>
                  <a:rPr lang="en-AU"/>
                  <a:t>workers per million hours worked</a:t>
                </a:r>
              </a:p>
            </c:rich>
          </c:tx>
          <c:layout>
            <c:manualLayout>
              <c:xMode val="edge"/>
              <c:yMode val="edge"/>
              <c:x val="0.52058529411764709"/>
              <c:y val="0.94814777777777781"/>
            </c:manualLayout>
          </c:layout>
          <c:overlay val="0"/>
        </c:title>
        <c:numFmt formatCode="#,##0" sourceLinked="0"/>
        <c:majorTickMark val="out"/>
        <c:minorTickMark val="none"/>
        <c:tickLblPos val="nextTo"/>
        <c:txPr>
          <a:bodyPr/>
          <a:lstStyle/>
          <a:p>
            <a:pPr algn="ctr">
              <a:defRPr/>
            </a:pPr>
            <a:endParaRPr lang="en-US"/>
          </a:p>
        </c:txPr>
        <c:crossAx val="159745152"/>
        <c:crosses val="autoZero"/>
        <c:crossBetween val="between"/>
      </c:valAx>
      <c:spPr>
        <a:solidFill>
          <a:schemeClr val="bg1"/>
        </a:solidFill>
      </c:spPr>
    </c:plotArea>
    <c:legend>
      <c:legendPos val="r"/>
      <c:layout>
        <c:manualLayout>
          <c:xMode val="edge"/>
          <c:yMode val="edge"/>
          <c:x val="0.81103186274509809"/>
          <c:y val="0.41940583333333331"/>
          <c:w val="0.15369035947712417"/>
          <c:h val="0.10474388888888889"/>
        </c:manualLayout>
      </c:layout>
      <c:overlay val="1"/>
      <c:spPr>
        <a:solidFill>
          <a:schemeClr val="bg1"/>
        </a:solidFill>
        <a:ln>
          <a:solidFill>
            <a:schemeClr val="bg1">
              <a:lumMod val="75000"/>
            </a:schemeClr>
          </a:solidFill>
        </a:ln>
      </c:spPr>
      <c:txPr>
        <a:bodyPr/>
        <a:lstStyle/>
        <a:p>
          <a:pPr>
            <a:defRPr b="0"/>
          </a:pPr>
          <a:endParaRPr lang="en-US"/>
        </a:p>
      </c:txPr>
    </c:legend>
    <c:plotVisOnly val="1"/>
    <c:dispBlanksAs val="gap"/>
    <c:showDLblsOverMax val="0"/>
  </c:chart>
  <c:txPr>
    <a:bodyPr/>
    <a:lstStyle/>
    <a:p>
      <a:pPr algn="ctr">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097908496732029"/>
          <c:y val="4.0072859744990891E-2"/>
          <c:w val="0.60607761437908492"/>
          <c:h val="0.83366854733709472"/>
        </c:manualLayout>
      </c:layout>
      <c:barChart>
        <c:barDir val="bar"/>
        <c:grouping val="clustered"/>
        <c:varyColors val="0"/>
        <c:ser>
          <c:idx val="0"/>
          <c:order val="0"/>
          <c:tx>
            <c:strRef>
              <c:f>'Sheet3 (2)'!$X$2</c:f>
              <c:strCache>
                <c:ptCount val="1"/>
                <c:pt idx="0">
                  <c:v>Non-shiftworkers</c:v>
                </c:pt>
              </c:strCache>
            </c:strRef>
          </c:tx>
          <c:spPr>
            <a:pattFill prst="pct70">
              <a:fgClr>
                <a:schemeClr val="accent1"/>
              </a:fgClr>
              <a:bgClr>
                <a:schemeClr val="bg1"/>
              </a:bgClr>
            </a:pattFill>
          </c:spPr>
          <c:invertIfNegative val="0"/>
          <c:errBars>
            <c:errBarType val="both"/>
            <c:errValType val="cust"/>
            <c:noEndCap val="0"/>
            <c:plus>
              <c:numRef>
                <c:f>'Sheet3 (2)'!$Y$3:$Y$9</c:f>
                <c:numCache>
                  <c:formatCode>General</c:formatCode>
                  <c:ptCount val="7"/>
                  <c:pt idx="0">
                    <c:v>1.5504290885062451</c:v>
                  </c:pt>
                  <c:pt idx="1">
                    <c:v>3.6255132553813514</c:v>
                  </c:pt>
                  <c:pt idx="2">
                    <c:v>9.8573841812283725</c:v>
                  </c:pt>
                  <c:pt idx="3">
                    <c:v>6.2464394896534516</c:v>
                  </c:pt>
                  <c:pt idx="4">
                    <c:v>3.8043186082177702</c:v>
                  </c:pt>
                  <c:pt idx="5">
                    <c:v>10.888305487995341</c:v>
                  </c:pt>
                  <c:pt idx="6">
                    <c:v>6.9709901809048356</c:v>
                  </c:pt>
                </c:numCache>
              </c:numRef>
            </c:plus>
            <c:minus>
              <c:numRef>
                <c:f>'Sheet3 (2)'!$Y$3:$Y$9</c:f>
                <c:numCache>
                  <c:formatCode>General</c:formatCode>
                  <c:ptCount val="7"/>
                  <c:pt idx="0">
                    <c:v>1.5504290885062451</c:v>
                  </c:pt>
                  <c:pt idx="1">
                    <c:v>3.6255132553813514</c:v>
                  </c:pt>
                  <c:pt idx="2">
                    <c:v>9.8573841812283725</c:v>
                  </c:pt>
                  <c:pt idx="3">
                    <c:v>6.2464394896534516</c:v>
                  </c:pt>
                  <c:pt idx="4">
                    <c:v>3.8043186082177702</c:v>
                  </c:pt>
                  <c:pt idx="5">
                    <c:v>10.888305487995341</c:v>
                  </c:pt>
                  <c:pt idx="6">
                    <c:v>6.9709901809048356</c:v>
                  </c:pt>
                </c:numCache>
              </c:numRef>
            </c:minus>
          </c:errBars>
          <c:val>
            <c:numRef>
              <c:f>'Sheet3 (2)'!$X$3:$X$9</c:f>
              <c:numCache>
                <c:formatCode>0.0</c:formatCode>
                <c:ptCount val="7"/>
                <c:pt idx="0">
                  <c:v>23.158095359857565</c:v>
                </c:pt>
                <c:pt idx="1">
                  <c:v>24.919321151519799</c:v>
                </c:pt>
                <c:pt idx="2">
                  <c:v>39.936562860438293</c:v>
                </c:pt>
                <c:pt idx="3">
                  <c:v>28.376193966801807</c:v>
                </c:pt>
                <c:pt idx="4">
                  <c:v>20.583947375354594</c:v>
                </c:pt>
                <c:pt idx="5">
                  <c:v>30.804318412270867</c:v>
                </c:pt>
                <c:pt idx="6">
                  <c:v>33.3387014293262</c:v>
                </c:pt>
              </c:numCache>
            </c:numRef>
          </c:val>
        </c:ser>
        <c:ser>
          <c:idx val="4"/>
          <c:order val="1"/>
          <c:tx>
            <c:strRef>
              <c:f>'Sheet3 (2)'!$V$2</c:f>
              <c:strCache>
                <c:ptCount val="1"/>
                <c:pt idx="0">
                  <c:v>Shiftworkers</c:v>
                </c:pt>
              </c:strCache>
            </c:strRef>
          </c:tx>
          <c:spPr>
            <a:solidFill>
              <a:schemeClr val="accent2"/>
            </a:solidFill>
          </c:spPr>
          <c:invertIfNegative val="0"/>
          <c:errBars>
            <c:errBarType val="both"/>
            <c:errValType val="cust"/>
            <c:noEndCap val="0"/>
            <c:plus>
              <c:numRef>
                <c:f>'Sheet3 (2)'!$W$3:$W$9</c:f>
                <c:numCache>
                  <c:formatCode>General</c:formatCode>
                  <c:ptCount val="7"/>
                  <c:pt idx="0">
                    <c:v>4.7238706910732962</c:v>
                  </c:pt>
                  <c:pt idx="1">
                    <c:v>9.9260031677192426</c:v>
                  </c:pt>
                  <c:pt idx="2">
                    <c:v>12.278862064160029</c:v>
                  </c:pt>
                  <c:pt idx="3">
                    <c:v>9.1606483432527561</c:v>
                  </c:pt>
                  <c:pt idx="4">
                    <c:v>14.549714345569546</c:v>
                  </c:pt>
                  <c:pt idx="5">
                    <c:v>11.507562292262278</c:v>
                  </c:pt>
                  <c:pt idx="6">
                    <c:v>15.430200393441181</c:v>
                  </c:pt>
                </c:numCache>
              </c:numRef>
            </c:plus>
            <c:minus>
              <c:numRef>
                <c:f>'Sheet3 (2)'!$W$3:$W$9</c:f>
                <c:numCache>
                  <c:formatCode>General</c:formatCode>
                  <c:ptCount val="7"/>
                  <c:pt idx="0">
                    <c:v>4.7238706910732962</c:v>
                  </c:pt>
                  <c:pt idx="1">
                    <c:v>9.9260031677192426</c:v>
                  </c:pt>
                  <c:pt idx="2">
                    <c:v>12.278862064160029</c:v>
                  </c:pt>
                  <c:pt idx="3">
                    <c:v>9.1606483432527561</c:v>
                  </c:pt>
                  <c:pt idx="4">
                    <c:v>14.549714345569546</c:v>
                  </c:pt>
                  <c:pt idx="5">
                    <c:v>11.507562292262278</c:v>
                  </c:pt>
                  <c:pt idx="6">
                    <c:v>15.430200393441181</c:v>
                  </c:pt>
                </c:numCache>
              </c:numRef>
            </c:minus>
          </c:errBars>
          <c:cat>
            <c:strRef>
              <c:f>'Sheet3 (2)'!$U$3:$U$9</c:f>
              <c:strCache>
                <c:ptCount val="7"/>
                <c:pt idx="0">
                  <c:v>All industries</c:v>
                </c:pt>
                <c:pt idx="1">
                  <c:v>Retail trade</c:v>
                </c:pt>
                <c:pt idx="2">
                  <c:v>Transport, postal and warehousing</c:v>
                </c:pt>
                <c:pt idx="3">
                  <c:v>Health care and social assistance</c:v>
                </c:pt>
                <c:pt idx="4">
                  <c:v>Public administration and safety</c:v>
                </c:pt>
                <c:pt idx="5">
                  <c:v>Accommodation and food services</c:v>
                </c:pt>
                <c:pt idx="6">
                  <c:v>Manufacturing</c:v>
                </c:pt>
              </c:strCache>
            </c:strRef>
          </c:cat>
          <c:val>
            <c:numRef>
              <c:f>'Sheet3 (2)'!$V$3:$V$9</c:f>
              <c:numCache>
                <c:formatCode>0.0</c:formatCode>
                <c:ptCount val="7"/>
                <c:pt idx="0">
                  <c:v>49.874349845383136</c:v>
                </c:pt>
                <c:pt idx="1">
                  <c:v>19.319423348522399</c:v>
                </c:pt>
                <c:pt idx="2">
                  <c:v>38.837790540941882</c:v>
                </c:pt>
                <c:pt idx="3">
                  <c:v>42.328061320946617</c:v>
                </c:pt>
                <c:pt idx="4">
                  <c:v>60.820673622749617</c:v>
                </c:pt>
                <c:pt idx="5">
                  <c:v>65.856247433543302</c:v>
                </c:pt>
                <c:pt idx="6">
                  <c:v>94.513803411288904</c:v>
                </c:pt>
              </c:numCache>
            </c:numRef>
          </c:val>
        </c:ser>
        <c:dLbls>
          <c:showLegendKey val="0"/>
          <c:showVal val="0"/>
          <c:showCatName val="0"/>
          <c:showSerName val="0"/>
          <c:showPercent val="0"/>
          <c:showBubbleSize val="0"/>
        </c:dLbls>
        <c:gapWidth val="150"/>
        <c:axId val="159765632"/>
        <c:axId val="159767552"/>
      </c:barChart>
      <c:catAx>
        <c:axId val="159765632"/>
        <c:scaling>
          <c:orientation val="minMax"/>
        </c:scaling>
        <c:delete val="0"/>
        <c:axPos val="l"/>
        <c:title>
          <c:tx>
            <c:rich>
              <a:bodyPr rot="-5400000" vert="horz"/>
              <a:lstStyle/>
              <a:p>
                <a:pPr algn="ctr" rtl="0">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rPr>
                  <a:t>Industry</a:t>
                </a:r>
              </a:p>
            </c:rich>
          </c:tx>
          <c:layout>
            <c:manualLayout>
              <c:xMode val="edge"/>
              <c:yMode val="edge"/>
              <c:x val="7.1169934640522873E-3"/>
              <c:y val="0.42896694444444444"/>
            </c:manualLayout>
          </c:layout>
          <c:overlay val="0"/>
        </c:title>
        <c:majorTickMark val="none"/>
        <c:minorTickMark val="out"/>
        <c:tickLblPos val="nextTo"/>
        <c:crossAx val="159767552"/>
        <c:crosses val="autoZero"/>
        <c:auto val="1"/>
        <c:lblAlgn val="ctr"/>
        <c:lblOffset val="100"/>
        <c:noMultiLvlLbl val="0"/>
      </c:catAx>
      <c:valAx>
        <c:axId val="159767552"/>
        <c:scaling>
          <c:orientation val="minMax"/>
          <c:max val="120"/>
        </c:scaling>
        <c:delete val="0"/>
        <c:axPos val="b"/>
        <c:majorGridlines/>
        <c:title>
          <c:tx>
            <c:rich>
              <a:bodyPr/>
              <a:lstStyle/>
              <a:p>
                <a:pPr algn="ctr">
                  <a:defRPr/>
                </a:pPr>
                <a:r>
                  <a:rPr lang="en-AU"/>
                  <a:t>Injured</a:t>
                </a:r>
                <a:r>
                  <a:rPr lang="en-AU" baseline="0"/>
                  <a:t> </a:t>
                </a:r>
                <a:r>
                  <a:rPr lang="en-AU"/>
                  <a:t>workers per million hours worked</a:t>
                </a:r>
              </a:p>
            </c:rich>
          </c:tx>
          <c:layout>
            <c:manualLayout>
              <c:xMode val="edge"/>
              <c:yMode val="edge"/>
              <c:x val="0.52058529411764709"/>
              <c:y val="0.94814777777777781"/>
            </c:manualLayout>
          </c:layout>
          <c:overlay val="0"/>
        </c:title>
        <c:numFmt formatCode="#,##0" sourceLinked="0"/>
        <c:majorTickMark val="out"/>
        <c:minorTickMark val="none"/>
        <c:tickLblPos val="nextTo"/>
        <c:txPr>
          <a:bodyPr/>
          <a:lstStyle/>
          <a:p>
            <a:pPr algn="ctr">
              <a:defRPr/>
            </a:pPr>
            <a:endParaRPr lang="en-US"/>
          </a:p>
        </c:txPr>
        <c:crossAx val="159765632"/>
        <c:crosses val="autoZero"/>
        <c:crossBetween val="between"/>
      </c:valAx>
    </c:plotArea>
    <c:legend>
      <c:legendPos val="r"/>
      <c:layout>
        <c:manualLayout>
          <c:xMode val="edge"/>
          <c:yMode val="edge"/>
          <c:x val="0.80480637254901966"/>
          <c:y val="0.40882249999999998"/>
          <c:w val="0.1599158496732026"/>
          <c:h val="0.12591055555555558"/>
        </c:manualLayout>
      </c:layout>
      <c:overlay val="0"/>
      <c:spPr>
        <a:solidFill>
          <a:schemeClr val="bg1"/>
        </a:solidFill>
        <a:ln>
          <a:solidFill>
            <a:schemeClr val="bg1">
              <a:lumMod val="75000"/>
            </a:schemeClr>
          </a:solidFill>
        </a:ln>
      </c:spPr>
    </c:legend>
    <c:plotVisOnly val="1"/>
    <c:dispBlanksAs val="gap"/>
    <c:showDLblsOverMax val="0"/>
  </c:chart>
  <c:txPr>
    <a:bodyPr/>
    <a:lstStyle/>
    <a:p>
      <a:pPr algn="ctr">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02437908496732"/>
          <c:y val="4.0072859744990891E-2"/>
          <c:w val="0.73681290849673198"/>
          <c:h val="0.83366854733709472"/>
        </c:manualLayout>
      </c:layout>
      <c:barChart>
        <c:barDir val="bar"/>
        <c:grouping val="clustered"/>
        <c:varyColors val="0"/>
        <c:ser>
          <c:idx val="0"/>
          <c:order val="0"/>
          <c:tx>
            <c:strRef>
              <c:f>'Sheet3 (2)'!$X$2</c:f>
              <c:strCache>
                <c:ptCount val="1"/>
                <c:pt idx="0">
                  <c:v>Non-shiftworkers</c:v>
                </c:pt>
              </c:strCache>
            </c:strRef>
          </c:tx>
          <c:spPr>
            <a:pattFill prst="pct70">
              <a:fgClr>
                <a:schemeClr val="accent1"/>
              </a:fgClr>
              <a:bgClr>
                <a:schemeClr val="bg1"/>
              </a:bgClr>
            </a:pattFill>
          </c:spPr>
          <c:invertIfNegative val="0"/>
          <c:errBars>
            <c:errBarType val="both"/>
            <c:errValType val="cust"/>
            <c:noEndCap val="0"/>
            <c:plus>
              <c:numRef>
                <c:f>'Sheet3 (2)'!$Y$3:$Y$9</c:f>
                <c:numCache>
                  <c:formatCode>General</c:formatCode>
                  <c:ptCount val="7"/>
                  <c:pt idx="0">
                    <c:v>1.5504290885062451</c:v>
                  </c:pt>
                  <c:pt idx="1">
                    <c:v>4.9875314516803364</c:v>
                  </c:pt>
                  <c:pt idx="2">
                    <c:v>2.9769294470959546</c:v>
                  </c:pt>
                  <c:pt idx="3">
                    <c:v>2.4965512206678468</c:v>
                  </c:pt>
                  <c:pt idx="4">
                    <c:v>2.7163192822043225</c:v>
                  </c:pt>
                  <c:pt idx="5">
                    <c:v>5.5210276059326233</c:v>
                  </c:pt>
                  <c:pt idx="6">
                    <c:v>7.923469454688389</c:v>
                  </c:pt>
                </c:numCache>
              </c:numRef>
            </c:plus>
            <c:minus>
              <c:numRef>
                <c:f>'Sheet3 (2)'!$Y$3:$Y$9</c:f>
                <c:numCache>
                  <c:formatCode>General</c:formatCode>
                  <c:ptCount val="7"/>
                  <c:pt idx="0">
                    <c:v>1.5504290885062451</c:v>
                  </c:pt>
                  <c:pt idx="1">
                    <c:v>4.9875314516803364</c:v>
                  </c:pt>
                  <c:pt idx="2">
                    <c:v>2.9769294470959546</c:v>
                  </c:pt>
                  <c:pt idx="3">
                    <c:v>2.4965512206678468</c:v>
                  </c:pt>
                  <c:pt idx="4">
                    <c:v>2.7163192822043225</c:v>
                  </c:pt>
                  <c:pt idx="5">
                    <c:v>5.5210276059326233</c:v>
                  </c:pt>
                  <c:pt idx="6">
                    <c:v>7.923469454688389</c:v>
                  </c:pt>
                </c:numCache>
              </c:numRef>
            </c:minus>
          </c:errBars>
          <c:val>
            <c:numRef>
              <c:f>'Sheet3 (2)'!$X$3:$X$9</c:f>
              <c:numCache>
                <c:formatCode>0.0</c:formatCode>
                <c:ptCount val="7"/>
                <c:pt idx="0">
                  <c:v>23.158095359857565</c:v>
                </c:pt>
                <c:pt idx="1">
                  <c:v>25.338715276458053</c:v>
                </c:pt>
                <c:pt idx="2">
                  <c:v>23.05527387093456</c:v>
                </c:pt>
                <c:pt idx="3">
                  <c:v>19.63330226908619</c:v>
                </c:pt>
                <c:pt idx="4">
                  <c:v>25.760739765696464</c:v>
                </c:pt>
                <c:pt idx="5">
                  <c:v>26.254120795393376</c:v>
                </c:pt>
                <c:pt idx="6">
                  <c:v>32.54694897389485</c:v>
                </c:pt>
              </c:numCache>
            </c:numRef>
          </c:val>
        </c:ser>
        <c:ser>
          <c:idx val="4"/>
          <c:order val="1"/>
          <c:tx>
            <c:strRef>
              <c:f>'Sheet3 (2)'!$V$2</c:f>
              <c:strCache>
                <c:ptCount val="1"/>
                <c:pt idx="0">
                  <c:v>Shiftworkers</c:v>
                </c:pt>
              </c:strCache>
            </c:strRef>
          </c:tx>
          <c:spPr>
            <a:solidFill>
              <a:schemeClr val="accent2"/>
            </a:solidFill>
          </c:spPr>
          <c:invertIfNegative val="0"/>
          <c:errBars>
            <c:errBarType val="both"/>
            <c:errValType val="cust"/>
            <c:noEndCap val="0"/>
            <c:plus>
              <c:numRef>
                <c:f>'Sheet3 (2)'!$W$3:$W$9</c:f>
                <c:numCache>
                  <c:formatCode>General</c:formatCode>
                  <c:ptCount val="7"/>
                  <c:pt idx="0">
                    <c:v>4.7238706910732962</c:v>
                  </c:pt>
                  <c:pt idx="1">
                    <c:v>11.148574452782533</c:v>
                  </c:pt>
                  <c:pt idx="2">
                    <c:v>11.092044053322862</c:v>
                  </c:pt>
                  <c:pt idx="3">
                    <c:v>11.3972641081199</c:v>
                  </c:pt>
                  <c:pt idx="4">
                    <c:v>10.384163953393958</c:v>
                  </c:pt>
                  <c:pt idx="5">
                    <c:v>18.901633881399707</c:v>
                  </c:pt>
                  <c:pt idx="6">
                    <c:v>18.973366858237554</c:v>
                  </c:pt>
                </c:numCache>
              </c:numRef>
            </c:plus>
            <c:minus>
              <c:numRef>
                <c:f>'Sheet3 (2)'!$W$3:$W$9</c:f>
                <c:numCache>
                  <c:formatCode>General</c:formatCode>
                  <c:ptCount val="7"/>
                  <c:pt idx="0">
                    <c:v>4.7238706910732962</c:v>
                  </c:pt>
                  <c:pt idx="1">
                    <c:v>11.148574452782533</c:v>
                  </c:pt>
                  <c:pt idx="2">
                    <c:v>11.092044053322862</c:v>
                  </c:pt>
                  <c:pt idx="3">
                    <c:v>11.3972641081199</c:v>
                  </c:pt>
                  <c:pt idx="4">
                    <c:v>10.384163953393958</c:v>
                  </c:pt>
                  <c:pt idx="5">
                    <c:v>18.901633881399707</c:v>
                  </c:pt>
                  <c:pt idx="6">
                    <c:v>18.973366858237554</c:v>
                  </c:pt>
                </c:numCache>
              </c:numRef>
            </c:minus>
          </c:errBars>
          <c:cat>
            <c:strRef>
              <c:f>'Sheet3 (2)'!$U$3:$U$9</c:f>
              <c:strCache>
                <c:ptCount val="7"/>
                <c:pt idx="0">
                  <c:v>Australia</c:v>
                </c:pt>
                <c:pt idx="1">
                  <c:v>Western Australia</c:v>
                </c:pt>
                <c:pt idx="2">
                  <c:v>Queensland</c:v>
                </c:pt>
                <c:pt idx="3">
                  <c:v>New South Wales</c:v>
                </c:pt>
                <c:pt idx="4">
                  <c:v>Victoria</c:v>
                </c:pt>
                <c:pt idx="5">
                  <c:v>South Australia</c:v>
                </c:pt>
                <c:pt idx="6">
                  <c:v>Tasmania</c:v>
                </c:pt>
              </c:strCache>
            </c:strRef>
          </c:cat>
          <c:val>
            <c:numRef>
              <c:f>'Sheet3 (2)'!$V$3:$V$9</c:f>
              <c:numCache>
                <c:formatCode>0.0</c:formatCode>
                <c:ptCount val="7"/>
                <c:pt idx="0">
                  <c:v>49.874349845383136</c:v>
                </c:pt>
                <c:pt idx="1">
                  <c:v>33.142702315634644</c:v>
                </c:pt>
                <c:pt idx="2">
                  <c:v>46.69301606687111</c:v>
                </c:pt>
                <c:pt idx="3">
                  <c:v>49.995826794622921</c:v>
                </c:pt>
                <c:pt idx="4">
                  <c:v>54.553020461188702</c:v>
                </c:pt>
                <c:pt idx="5">
                  <c:v>77.984947917900627</c:v>
                </c:pt>
                <c:pt idx="6">
                  <c:v>108.84709160571231</c:v>
                </c:pt>
              </c:numCache>
            </c:numRef>
          </c:val>
        </c:ser>
        <c:dLbls>
          <c:showLegendKey val="0"/>
          <c:showVal val="0"/>
          <c:showCatName val="0"/>
          <c:showSerName val="0"/>
          <c:showPercent val="0"/>
          <c:showBubbleSize val="0"/>
        </c:dLbls>
        <c:gapWidth val="150"/>
        <c:axId val="159810304"/>
        <c:axId val="159812224"/>
      </c:barChart>
      <c:catAx>
        <c:axId val="159810304"/>
        <c:scaling>
          <c:orientation val="minMax"/>
        </c:scaling>
        <c:delete val="0"/>
        <c:axPos val="l"/>
        <c:title>
          <c:tx>
            <c:rich>
              <a:bodyPr rot="-5400000" vert="horz"/>
              <a:lstStyle/>
              <a:p>
                <a:pPr algn="ctr" rtl="0">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rPr>
                  <a:t>Jurisdiction</a:t>
                </a:r>
              </a:p>
            </c:rich>
          </c:tx>
          <c:layout>
            <c:manualLayout>
              <c:xMode val="edge"/>
              <c:yMode val="edge"/>
              <c:x val="7.1169934640522873E-3"/>
              <c:y val="0.42896694444444444"/>
            </c:manualLayout>
          </c:layout>
          <c:overlay val="0"/>
        </c:title>
        <c:majorTickMark val="none"/>
        <c:minorTickMark val="out"/>
        <c:tickLblPos val="nextTo"/>
        <c:crossAx val="159812224"/>
        <c:crosses val="autoZero"/>
        <c:auto val="1"/>
        <c:lblAlgn val="ctr"/>
        <c:lblOffset val="100"/>
        <c:noMultiLvlLbl val="0"/>
      </c:catAx>
      <c:valAx>
        <c:axId val="159812224"/>
        <c:scaling>
          <c:orientation val="minMax"/>
          <c:max val="140"/>
        </c:scaling>
        <c:delete val="0"/>
        <c:axPos val="b"/>
        <c:majorGridlines/>
        <c:title>
          <c:tx>
            <c:rich>
              <a:bodyPr/>
              <a:lstStyle/>
              <a:p>
                <a:pPr algn="ctr">
                  <a:defRPr/>
                </a:pPr>
                <a:r>
                  <a:rPr lang="en-AU"/>
                  <a:t>Injured</a:t>
                </a:r>
                <a:r>
                  <a:rPr lang="en-AU" baseline="0"/>
                  <a:t> </a:t>
                </a:r>
                <a:r>
                  <a:rPr lang="en-AU"/>
                  <a:t>workers per million hours worked</a:t>
                </a:r>
              </a:p>
            </c:rich>
          </c:tx>
          <c:layout>
            <c:manualLayout>
              <c:xMode val="edge"/>
              <c:yMode val="edge"/>
              <c:x val="0.45210490196078429"/>
              <c:y val="0.94814777777777781"/>
            </c:manualLayout>
          </c:layout>
          <c:overlay val="0"/>
        </c:title>
        <c:numFmt formatCode="#,##0" sourceLinked="0"/>
        <c:majorTickMark val="out"/>
        <c:minorTickMark val="none"/>
        <c:tickLblPos val="nextTo"/>
        <c:txPr>
          <a:bodyPr/>
          <a:lstStyle/>
          <a:p>
            <a:pPr algn="ctr">
              <a:defRPr/>
            </a:pPr>
            <a:endParaRPr lang="en-US"/>
          </a:p>
        </c:txPr>
        <c:crossAx val="159810304"/>
        <c:crosses val="autoZero"/>
        <c:crossBetween val="between"/>
      </c:valAx>
    </c:plotArea>
    <c:legend>
      <c:legendPos val="r"/>
      <c:layout>
        <c:manualLayout>
          <c:xMode val="edge"/>
          <c:yMode val="edge"/>
          <c:x val="0.80480637254901966"/>
          <c:y val="0.39823916666666664"/>
          <c:w val="0.1599158496732026"/>
          <c:h val="0.1223827777777778"/>
        </c:manualLayout>
      </c:layout>
      <c:overlay val="0"/>
      <c:spPr>
        <a:solidFill>
          <a:schemeClr val="bg1"/>
        </a:solidFill>
        <a:ln>
          <a:solidFill>
            <a:schemeClr val="bg1">
              <a:lumMod val="75000"/>
            </a:schemeClr>
          </a:solidFill>
        </a:ln>
      </c:spPr>
    </c:legend>
    <c:plotVisOnly val="1"/>
    <c:dispBlanksAs val="gap"/>
    <c:showDLblsOverMax val="0"/>
  </c:chart>
  <c:txPr>
    <a:bodyPr/>
    <a:lstStyle/>
    <a:p>
      <a:pPr algn="ctr">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816862745098043"/>
          <c:y val="4.0072859744990891E-2"/>
          <c:w val="0.73888807189542483"/>
          <c:h val="0.83366854733709472"/>
        </c:manualLayout>
      </c:layout>
      <c:barChart>
        <c:barDir val="bar"/>
        <c:grouping val="clustered"/>
        <c:varyColors val="0"/>
        <c:ser>
          <c:idx val="0"/>
          <c:order val="0"/>
          <c:tx>
            <c:strRef>
              <c:f>Sheet3!$X$2</c:f>
              <c:strCache>
                <c:ptCount val="1"/>
                <c:pt idx="0">
                  <c:v>Non-shiftworkers</c:v>
                </c:pt>
              </c:strCache>
            </c:strRef>
          </c:tx>
          <c:spPr>
            <a:pattFill prst="pct70">
              <a:fgClr>
                <a:schemeClr val="accent1"/>
              </a:fgClr>
              <a:bgClr>
                <a:schemeClr val="bg1"/>
              </a:bgClr>
            </a:pattFill>
          </c:spPr>
          <c:invertIfNegative val="0"/>
          <c:errBars>
            <c:errBarType val="both"/>
            <c:errValType val="cust"/>
            <c:noEndCap val="0"/>
            <c:plus>
              <c:numRef>
                <c:f>Sheet3!$Y$3:$Y$5</c:f>
                <c:numCache>
                  <c:formatCode>General</c:formatCode>
                  <c:ptCount val="3"/>
                  <c:pt idx="0">
                    <c:v>1.5504290885062451</c:v>
                  </c:pt>
                  <c:pt idx="1">
                    <c:v>3.1585572161456619</c:v>
                  </c:pt>
                  <c:pt idx="2">
                    <c:v>1.584347727749652</c:v>
                  </c:pt>
                </c:numCache>
              </c:numRef>
            </c:plus>
            <c:minus>
              <c:numRef>
                <c:f>Sheet3!$Y$3:$Y$5</c:f>
                <c:numCache>
                  <c:formatCode>General</c:formatCode>
                  <c:ptCount val="3"/>
                  <c:pt idx="0">
                    <c:v>1.5504290885062451</c:v>
                  </c:pt>
                  <c:pt idx="1">
                    <c:v>3.1585572161456619</c:v>
                  </c:pt>
                  <c:pt idx="2">
                    <c:v>1.584347727749652</c:v>
                  </c:pt>
                </c:numCache>
              </c:numRef>
            </c:minus>
          </c:errBars>
          <c:val>
            <c:numRef>
              <c:f>Sheet3!$X$3:$X$5</c:f>
              <c:numCache>
                <c:formatCode>0.0</c:formatCode>
                <c:ptCount val="3"/>
                <c:pt idx="0">
                  <c:v>23.158095359857565</c:v>
                </c:pt>
                <c:pt idx="1">
                  <c:v>30.928522909347684</c:v>
                </c:pt>
                <c:pt idx="2">
                  <c:v>21.513681467021474</c:v>
                </c:pt>
              </c:numCache>
            </c:numRef>
          </c:val>
        </c:ser>
        <c:ser>
          <c:idx val="4"/>
          <c:order val="1"/>
          <c:tx>
            <c:strRef>
              <c:f>Sheet3!$V$2</c:f>
              <c:strCache>
                <c:ptCount val="1"/>
                <c:pt idx="0">
                  <c:v>Shiftworkers</c:v>
                </c:pt>
              </c:strCache>
            </c:strRef>
          </c:tx>
          <c:spPr>
            <a:solidFill>
              <a:schemeClr val="accent2"/>
            </a:solidFill>
          </c:spPr>
          <c:invertIfNegative val="0"/>
          <c:errBars>
            <c:errBarType val="both"/>
            <c:errValType val="cust"/>
            <c:noEndCap val="0"/>
            <c:plus>
              <c:numRef>
                <c:f>Sheet3!$W$3:$W$5</c:f>
                <c:numCache>
                  <c:formatCode>General</c:formatCode>
                  <c:ptCount val="3"/>
                  <c:pt idx="0">
                    <c:v>4.7238706910732962</c:v>
                  </c:pt>
                  <c:pt idx="1">
                    <c:v>10.164721342264556</c:v>
                  </c:pt>
                  <c:pt idx="2">
                    <c:v>5.0179873698474911</c:v>
                  </c:pt>
                </c:numCache>
              </c:numRef>
            </c:plus>
            <c:minus>
              <c:numRef>
                <c:f>Sheet3!$W$3:$W$5</c:f>
                <c:numCache>
                  <c:formatCode>General</c:formatCode>
                  <c:ptCount val="3"/>
                  <c:pt idx="0">
                    <c:v>4.7238706910732962</c:v>
                  </c:pt>
                  <c:pt idx="1">
                    <c:v>10.164721342264556</c:v>
                  </c:pt>
                  <c:pt idx="2">
                    <c:v>5.0179873698474911</c:v>
                  </c:pt>
                </c:numCache>
              </c:numRef>
            </c:minus>
          </c:errBars>
          <c:cat>
            <c:strRef>
              <c:f>Sheet3!$U$3:$U$5</c:f>
              <c:strCache>
                <c:ptCount val="3"/>
                <c:pt idx="0">
                  <c:v>All workers</c:v>
                </c:pt>
                <c:pt idx="1">
                  <c:v>Employed part-time</c:v>
                </c:pt>
                <c:pt idx="2">
                  <c:v>Employed full-time</c:v>
                </c:pt>
              </c:strCache>
            </c:strRef>
          </c:cat>
          <c:val>
            <c:numRef>
              <c:f>Sheet3!$V$3:$V$5</c:f>
              <c:numCache>
                <c:formatCode>0.0</c:formatCode>
                <c:ptCount val="3"/>
                <c:pt idx="0">
                  <c:v>49.874349845383136</c:v>
                </c:pt>
                <c:pt idx="1">
                  <c:v>50.443432968889304</c:v>
                </c:pt>
                <c:pt idx="2">
                  <c:v>50.317129771407963</c:v>
                </c:pt>
              </c:numCache>
            </c:numRef>
          </c:val>
        </c:ser>
        <c:dLbls>
          <c:showLegendKey val="0"/>
          <c:showVal val="0"/>
          <c:showCatName val="0"/>
          <c:showSerName val="0"/>
          <c:showPercent val="0"/>
          <c:showBubbleSize val="0"/>
        </c:dLbls>
        <c:gapWidth val="150"/>
        <c:axId val="159846400"/>
        <c:axId val="159848320"/>
      </c:barChart>
      <c:catAx>
        <c:axId val="159846400"/>
        <c:scaling>
          <c:orientation val="minMax"/>
        </c:scaling>
        <c:delete val="0"/>
        <c:axPos val="l"/>
        <c:title>
          <c:tx>
            <c:rich>
              <a:bodyPr rot="-5400000" vert="horz"/>
              <a:lstStyle/>
              <a:p>
                <a:pPr algn="ctr" rtl="0">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rPr>
                  <a:t>Work-time status</a:t>
                </a:r>
              </a:p>
            </c:rich>
          </c:tx>
          <c:layout>
            <c:manualLayout>
              <c:xMode val="edge"/>
              <c:yMode val="edge"/>
              <c:x val="7.1169934640522873E-3"/>
              <c:y val="0.36193916666666665"/>
            </c:manualLayout>
          </c:layout>
          <c:overlay val="0"/>
        </c:title>
        <c:majorTickMark val="none"/>
        <c:minorTickMark val="out"/>
        <c:tickLblPos val="nextTo"/>
        <c:crossAx val="159848320"/>
        <c:crosses val="autoZero"/>
        <c:auto val="1"/>
        <c:lblAlgn val="ctr"/>
        <c:lblOffset val="100"/>
        <c:noMultiLvlLbl val="0"/>
      </c:catAx>
      <c:valAx>
        <c:axId val="159848320"/>
        <c:scaling>
          <c:orientation val="minMax"/>
        </c:scaling>
        <c:delete val="0"/>
        <c:axPos val="b"/>
        <c:majorGridlines/>
        <c:title>
          <c:tx>
            <c:rich>
              <a:bodyPr/>
              <a:lstStyle/>
              <a:p>
                <a:pPr algn="ctr">
                  <a:defRPr/>
                </a:pPr>
                <a:r>
                  <a:rPr lang="en-AU"/>
                  <a:t>Injured</a:t>
                </a:r>
                <a:r>
                  <a:rPr lang="en-AU" baseline="0"/>
                  <a:t> </a:t>
                </a:r>
                <a:r>
                  <a:rPr lang="en-AU"/>
                  <a:t>workers per million hours worked</a:t>
                </a:r>
              </a:p>
            </c:rich>
          </c:tx>
          <c:layout>
            <c:manualLayout>
              <c:xMode val="edge"/>
              <c:yMode val="edge"/>
              <c:x val="0.45210490196078429"/>
              <c:y val="0.94814777777777781"/>
            </c:manualLayout>
          </c:layout>
          <c:overlay val="0"/>
        </c:title>
        <c:numFmt formatCode="#,##0" sourceLinked="0"/>
        <c:majorTickMark val="out"/>
        <c:minorTickMark val="none"/>
        <c:tickLblPos val="nextTo"/>
        <c:txPr>
          <a:bodyPr/>
          <a:lstStyle/>
          <a:p>
            <a:pPr algn="ctr">
              <a:defRPr/>
            </a:pPr>
            <a:endParaRPr lang="en-US"/>
          </a:p>
        </c:txPr>
        <c:crossAx val="159846400"/>
        <c:crosses val="autoZero"/>
        <c:crossBetween val="between"/>
      </c:valAx>
    </c:plotArea>
    <c:legend>
      <c:legendPos val="r"/>
      <c:layout>
        <c:manualLayout>
          <c:xMode val="edge"/>
          <c:yMode val="edge"/>
          <c:x val="0.80480637254901966"/>
          <c:y val="0.73337805555555557"/>
          <c:w val="0.1599158496732026"/>
          <c:h val="0.13649388888888891"/>
        </c:manualLayout>
      </c:layout>
      <c:overlay val="0"/>
      <c:spPr>
        <a:solidFill>
          <a:schemeClr val="bg1"/>
        </a:solidFill>
        <a:ln>
          <a:solidFill>
            <a:schemeClr val="bg1">
              <a:lumMod val="75000"/>
            </a:schemeClr>
          </a:solidFill>
        </a:ln>
      </c:spPr>
    </c:legend>
    <c:plotVisOnly val="1"/>
    <c:dispBlanksAs val="gap"/>
    <c:showDLblsOverMax val="0"/>
  </c:chart>
  <c:txPr>
    <a:bodyPr/>
    <a:lstStyle/>
    <a:p>
      <a:pPr algn="ctr">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00640522875817"/>
          <c:y val="4.0072859744990891E-2"/>
          <c:w val="0.79699264705882356"/>
          <c:h val="0.83366854733709472"/>
        </c:manualLayout>
      </c:layout>
      <c:barChart>
        <c:barDir val="bar"/>
        <c:grouping val="clustered"/>
        <c:varyColors val="0"/>
        <c:ser>
          <c:idx val="0"/>
          <c:order val="0"/>
          <c:tx>
            <c:strRef>
              <c:f>'Sheet4 (2)'!$X$2</c:f>
              <c:strCache>
                <c:ptCount val="1"/>
                <c:pt idx="0">
                  <c:v>Non-shiftworkers</c:v>
                </c:pt>
              </c:strCache>
            </c:strRef>
          </c:tx>
          <c:spPr>
            <a:pattFill prst="pct70">
              <a:fgClr>
                <a:schemeClr val="accent1"/>
              </a:fgClr>
              <a:bgClr>
                <a:schemeClr val="bg1"/>
              </a:bgClr>
            </a:pattFill>
          </c:spPr>
          <c:invertIfNegative val="0"/>
          <c:errBars>
            <c:errBarType val="both"/>
            <c:errValType val="cust"/>
            <c:noEndCap val="0"/>
            <c:plus>
              <c:numRef>
                <c:f>'Sheet4 (2)'!$Y$3:$Y$5</c:f>
                <c:numCache>
                  <c:formatCode>General</c:formatCode>
                  <c:ptCount val="3"/>
                  <c:pt idx="0">
                    <c:v>1.5504290885062451</c:v>
                  </c:pt>
                  <c:pt idx="1">
                    <c:v>2.1225667510763633</c:v>
                  </c:pt>
                  <c:pt idx="2">
                    <c:v>2.0012794422528226</c:v>
                  </c:pt>
                </c:numCache>
              </c:numRef>
            </c:plus>
            <c:minus>
              <c:numRef>
                <c:f>'Sheet4 (2)'!$Y$3:$Y$5</c:f>
                <c:numCache>
                  <c:formatCode>General</c:formatCode>
                  <c:ptCount val="3"/>
                  <c:pt idx="0">
                    <c:v>1.5504290885062451</c:v>
                  </c:pt>
                  <c:pt idx="1">
                    <c:v>2.1225667510763633</c:v>
                  </c:pt>
                  <c:pt idx="2">
                    <c:v>2.0012794422528226</c:v>
                  </c:pt>
                </c:numCache>
              </c:numRef>
            </c:minus>
          </c:errBars>
          <c:val>
            <c:numRef>
              <c:f>'Sheet4 (2)'!$X$3:$X$5</c:f>
              <c:numCache>
                <c:formatCode>0.0</c:formatCode>
                <c:ptCount val="3"/>
                <c:pt idx="0">
                  <c:v>23.158095359857565</c:v>
                </c:pt>
                <c:pt idx="1">
                  <c:v>23.784310097538636</c:v>
                </c:pt>
                <c:pt idx="2">
                  <c:v>22.29055724351225</c:v>
                </c:pt>
              </c:numCache>
            </c:numRef>
          </c:val>
        </c:ser>
        <c:ser>
          <c:idx val="4"/>
          <c:order val="1"/>
          <c:tx>
            <c:strRef>
              <c:f>'Sheet4 (2)'!$V$2</c:f>
              <c:strCache>
                <c:ptCount val="1"/>
                <c:pt idx="0">
                  <c:v>Shiftworkers</c:v>
                </c:pt>
              </c:strCache>
            </c:strRef>
          </c:tx>
          <c:spPr>
            <a:solidFill>
              <a:schemeClr val="accent2"/>
            </a:solidFill>
          </c:spPr>
          <c:invertIfNegative val="0"/>
          <c:errBars>
            <c:errBarType val="both"/>
            <c:errValType val="cust"/>
            <c:noEndCap val="0"/>
            <c:plus>
              <c:numRef>
                <c:f>'Sheet4 (2)'!$W$3:$W$5</c:f>
                <c:numCache>
                  <c:formatCode>General</c:formatCode>
                  <c:ptCount val="3"/>
                  <c:pt idx="0">
                    <c:v>4.7238706910732962</c:v>
                  </c:pt>
                  <c:pt idx="1">
                    <c:v>6.235761212175909</c:v>
                  </c:pt>
                  <c:pt idx="2">
                    <c:v>7.2989472237803108</c:v>
                  </c:pt>
                </c:numCache>
              </c:numRef>
            </c:plus>
            <c:minus>
              <c:numRef>
                <c:f>'Sheet4 (2)'!$W$3:$W$5</c:f>
                <c:numCache>
                  <c:formatCode>General</c:formatCode>
                  <c:ptCount val="3"/>
                  <c:pt idx="0">
                    <c:v>4.7238706910732962</c:v>
                  </c:pt>
                  <c:pt idx="1">
                    <c:v>6.235761212175909</c:v>
                  </c:pt>
                  <c:pt idx="2">
                    <c:v>7.2989472237803108</c:v>
                  </c:pt>
                </c:numCache>
              </c:numRef>
            </c:minus>
          </c:errBars>
          <c:cat>
            <c:strRef>
              <c:f>'Sheet4 (2)'!$U$3:$U$5</c:f>
              <c:strCache>
                <c:ptCount val="3"/>
                <c:pt idx="0">
                  <c:v>All workers</c:v>
                </c:pt>
                <c:pt idx="1">
                  <c:v>Male</c:v>
                </c:pt>
                <c:pt idx="2">
                  <c:v>Female</c:v>
                </c:pt>
              </c:strCache>
            </c:strRef>
          </c:cat>
          <c:val>
            <c:numRef>
              <c:f>'Sheet4 (2)'!$V$3:$V$5</c:f>
              <c:numCache>
                <c:formatCode>0.0</c:formatCode>
                <c:ptCount val="3"/>
                <c:pt idx="0">
                  <c:v>49.874349845383136</c:v>
                </c:pt>
                <c:pt idx="1">
                  <c:v>48.057048800387072</c:v>
                </c:pt>
                <c:pt idx="2">
                  <c:v>52.708066932871013</c:v>
                </c:pt>
              </c:numCache>
            </c:numRef>
          </c:val>
        </c:ser>
        <c:dLbls>
          <c:showLegendKey val="0"/>
          <c:showVal val="0"/>
          <c:showCatName val="0"/>
          <c:showSerName val="0"/>
          <c:showPercent val="0"/>
          <c:showBubbleSize val="0"/>
        </c:dLbls>
        <c:gapWidth val="150"/>
        <c:axId val="159874048"/>
        <c:axId val="159884416"/>
      </c:barChart>
      <c:catAx>
        <c:axId val="159874048"/>
        <c:scaling>
          <c:orientation val="minMax"/>
        </c:scaling>
        <c:delete val="0"/>
        <c:axPos val="l"/>
        <c:title>
          <c:tx>
            <c:rich>
              <a:bodyPr rot="-5400000" vert="horz"/>
              <a:lstStyle/>
              <a:p>
                <a:pPr algn="ctr" rtl="0">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rPr>
                  <a:t>Sex</a:t>
                </a:r>
              </a:p>
            </c:rich>
          </c:tx>
          <c:layout>
            <c:manualLayout>
              <c:xMode val="edge"/>
              <c:yMode val="edge"/>
              <c:x val="7.1169934640522873E-3"/>
              <c:y val="0.42896694444444444"/>
            </c:manualLayout>
          </c:layout>
          <c:overlay val="0"/>
        </c:title>
        <c:majorTickMark val="none"/>
        <c:minorTickMark val="out"/>
        <c:tickLblPos val="nextTo"/>
        <c:crossAx val="159884416"/>
        <c:crosses val="autoZero"/>
        <c:auto val="1"/>
        <c:lblAlgn val="ctr"/>
        <c:lblOffset val="100"/>
        <c:noMultiLvlLbl val="0"/>
      </c:catAx>
      <c:valAx>
        <c:axId val="159884416"/>
        <c:scaling>
          <c:orientation val="minMax"/>
        </c:scaling>
        <c:delete val="0"/>
        <c:axPos val="b"/>
        <c:majorGridlines/>
        <c:title>
          <c:tx>
            <c:rich>
              <a:bodyPr/>
              <a:lstStyle/>
              <a:p>
                <a:pPr algn="ctr">
                  <a:defRPr/>
                </a:pPr>
                <a:r>
                  <a:rPr lang="en-AU"/>
                  <a:t>Injured</a:t>
                </a:r>
                <a:r>
                  <a:rPr lang="en-AU" baseline="0"/>
                  <a:t> </a:t>
                </a:r>
                <a:r>
                  <a:rPr lang="en-AU"/>
                  <a:t>workers per million hours worked</a:t>
                </a:r>
              </a:p>
            </c:rich>
          </c:tx>
          <c:layout>
            <c:manualLayout>
              <c:xMode val="edge"/>
              <c:yMode val="edge"/>
              <c:x val="0.4147519607843137"/>
              <c:y val="0.94814777777777781"/>
            </c:manualLayout>
          </c:layout>
          <c:overlay val="0"/>
        </c:title>
        <c:numFmt formatCode="#,##0" sourceLinked="0"/>
        <c:majorTickMark val="out"/>
        <c:minorTickMark val="none"/>
        <c:tickLblPos val="nextTo"/>
        <c:txPr>
          <a:bodyPr/>
          <a:lstStyle/>
          <a:p>
            <a:pPr algn="ctr">
              <a:defRPr/>
            </a:pPr>
            <a:endParaRPr lang="en-US"/>
          </a:p>
        </c:txPr>
        <c:crossAx val="159874048"/>
        <c:crosses val="autoZero"/>
        <c:crossBetween val="between"/>
      </c:valAx>
    </c:plotArea>
    <c:legend>
      <c:legendPos val="r"/>
      <c:layout>
        <c:manualLayout>
          <c:xMode val="edge"/>
          <c:yMode val="edge"/>
          <c:x val="0.80273120915032681"/>
          <c:y val="0.73337805555555557"/>
          <c:w val="0.1599158496732026"/>
          <c:h val="0.13649388888888891"/>
        </c:manualLayout>
      </c:layout>
      <c:overlay val="0"/>
      <c:spPr>
        <a:solidFill>
          <a:schemeClr val="bg1"/>
        </a:solidFill>
        <a:ln>
          <a:solidFill>
            <a:schemeClr val="bg1">
              <a:lumMod val="75000"/>
            </a:schemeClr>
          </a:solidFill>
        </a:ln>
      </c:spPr>
    </c:legend>
    <c:plotVisOnly val="1"/>
    <c:dispBlanksAs val="gap"/>
    <c:showDLblsOverMax val="0"/>
  </c:chart>
  <c:txPr>
    <a:bodyPr/>
    <a:lstStyle/>
    <a:p>
      <a:pPr algn="ctr">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459019607843141"/>
          <c:y val="4.0072859744990891E-2"/>
          <c:w val="0.78246650326797385"/>
          <c:h val="0.83366854733709472"/>
        </c:manualLayout>
      </c:layout>
      <c:barChart>
        <c:barDir val="bar"/>
        <c:grouping val="clustered"/>
        <c:varyColors val="0"/>
        <c:ser>
          <c:idx val="0"/>
          <c:order val="0"/>
          <c:tx>
            <c:strRef>
              <c:f>Sheet3!$X$2</c:f>
              <c:strCache>
                <c:ptCount val="1"/>
                <c:pt idx="0">
                  <c:v>Non-shiftworkers</c:v>
                </c:pt>
              </c:strCache>
            </c:strRef>
          </c:tx>
          <c:spPr>
            <a:pattFill prst="pct70">
              <a:fgClr>
                <a:schemeClr val="accent1"/>
              </a:fgClr>
              <a:bgClr>
                <a:schemeClr val="bg1"/>
              </a:bgClr>
            </a:pattFill>
          </c:spPr>
          <c:invertIfNegative val="0"/>
          <c:errBars>
            <c:errBarType val="both"/>
            <c:errValType val="cust"/>
            <c:noEndCap val="0"/>
            <c:plus>
              <c:numRef>
                <c:f>Sheet3!$Y$3:$Y$6</c:f>
                <c:numCache>
                  <c:formatCode>General</c:formatCode>
                  <c:ptCount val="4"/>
                  <c:pt idx="0">
                    <c:v>1.5504290885062451</c:v>
                  </c:pt>
                  <c:pt idx="1">
                    <c:v>3.5057138827325942</c:v>
                  </c:pt>
                  <c:pt idx="2">
                    <c:v>1.5326494280854335</c:v>
                  </c:pt>
                  <c:pt idx="3">
                    <c:v>6.8633269217718782</c:v>
                  </c:pt>
                </c:numCache>
              </c:numRef>
            </c:plus>
            <c:minus>
              <c:numRef>
                <c:f>Sheet3!$Y$3:$Y$6</c:f>
                <c:numCache>
                  <c:formatCode>General</c:formatCode>
                  <c:ptCount val="4"/>
                  <c:pt idx="0">
                    <c:v>1.5504290885062451</c:v>
                  </c:pt>
                  <c:pt idx="1">
                    <c:v>3.5057138827325942</c:v>
                  </c:pt>
                  <c:pt idx="2">
                    <c:v>1.5326494280854335</c:v>
                  </c:pt>
                  <c:pt idx="3">
                    <c:v>6.8633269217718782</c:v>
                  </c:pt>
                </c:numCache>
              </c:numRef>
            </c:minus>
          </c:errBars>
          <c:val>
            <c:numRef>
              <c:f>Sheet3!$X$3:$X$6</c:f>
              <c:numCache>
                <c:formatCode>0.0</c:formatCode>
                <c:ptCount val="4"/>
                <c:pt idx="0">
                  <c:v>23.158095359857565</c:v>
                </c:pt>
                <c:pt idx="1">
                  <c:v>23.405427573664962</c:v>
                </c:pt>
                <c:pt idx="2">
                  <c:v>21.568892058880717</c:v>
                </c:pt>
                <c:pt idx="3">
                  <c:v>31.574760550211398</c:v>
                </c:pt>
              </c:numCache>
            </c:numRef>
          </c:val>
        </c:ser>
        <c:ser>
          <c:idx val="4"/>
          <c:order val="1"/>
          <c:tx>
            <c:strRef>
              <c:f>Sheet3!$V$2</c:f>
              <c:strCache>
                <c:ptCount val="1"/>
                <c:pt idx="0">
                  <c:v>Shiftworkers</c:v>
                </c:pt>
              </c:strCache>
            </c:strRef>
          </c:tx>
          <c:spPr>
            <a:solidFill>
              <a:schemeClr val="accent2"/>
            </a:solidFill>
          </c:spPr>
          <c:invertIfNegative val="0"/>
          <c:errBars>
            <c:errBarType val="both"/>
            <c:errValType val="cust"/>
            <c:noEndCap val="0"/>
            <c:plus>
              <c:numRef>
                <c:f>Sheet3!$W$3:$W$6</c:f>
                <c:numCache>
                  <c:formatCode>General</c:formatCode>
                  <c:ptCount val="4"/>
                  <c:pt idx="0">
                    <c:v>4.7238706910732962</c:v>
                  </c:pt>
                  <c:pt idx="1">
                    <c:v>8.5831332787256862</c:v>
                  </c:pt>
                  <c:pt idx="2">
                    <c:v>5.333843829145569</c:v>
                  </c:pt>
                  <c:pt idx="3">
                    <c:v>12.200468732078344</c:v>
                  </c:pt>
                </c:numCache>
              </c:numRef>
            </c:plus>
            <c:minus>
              <c:numRef>
                <c:f>Sheet3!$W$3:$W$6</c:f>
                <c:numCache>
                  <c:formatCode>General</c:formatCode>
                  <c:ptCount val="4"/>
                  <c:pt idx="0">
                    <c:v>4.7238706910732962</c:v>
                  </c:pt>
                  <c:pt idx="1">
                    <c:v>8.5831332787256862</c:v>
                  </c:pt>
                  <c:pt idx="2">
                    <c:v>5.333843829145569</c:v>
                  </c:pt>
                  <c:pt idx="3">
                    <c:v>12.200468732078344</c:v>
                  </c:pt>
                </c:numCache>
              </c:numRef>
            </c:minus>
          </c:errBars>
          <c:cat>
            <c:strRef>
              <c:f>Sheet3!$U$3:$U$6</c:f>
              <c:strCache>
                <c:ptCount val="4"/>
                <c:pt idx="0">
                  <c:v>All workers</c:v>
                </c:pt>
                <c:pt idx="1">
                  <c:v>55 and above</c:v>
                </c:pt>
                <c:pt idx="2">
                  <c:v>25-54</c:v>
                </c:pt>
                <c:pt idx="3">
                  <c:v>Under 25</c:v>
                </c:pt>
              </c:strCache>
            </c:strRef>
          </c:cat>
          <c:val>
            <c:numRef>
              <c:f>Sheet3!$V$3:$V$6</c:f>
              <c:numCache>
                <c:formatCode>0.0</c:formatCode>
                <c:ptCount val="4"/>
                <c:pt idx="0">
                  <c:v>49.874349845383136</c:v>
                </c:pt>
                <c:pt idx="1">
                  <c:v>41.681653328537607</c:v>
                </c:pt>
                <c:pt idx="2">
                  <c:v>48.409653914983274</c:v>
                </c:pt>
                <c:pt idx="3">
                  <c:v>62.093514227786912</c:v>
                </c:pt>
              </c:numCache>
            </c:numRef>
          </c:val>
        </c:ser>
        <c:dLbls>
          <c:showLegendKey val="0"/>
          <c:showVal val="0"/>
          <c:showCatName val="0"/>
          <c:showSerName val="0"/>
          <c:showPercent val="0"/>
          <c:showBubbleSize val="0"/>
        </c:dLbls>
        <c:gapWidth val="150"/>
        <c:axId val="176892544"/>
        <c:axId val="176898816"/>
      </c:barChart>
      <c:catAx>
        <c:axId val="176892544"/>
        <c:scaling>
          <c:orientation val="minMax"/>
        </c:scaling>
        <c:delete val="0"/>
        <c:axPos val="l"/>
        <c:title>
          <c:tx>
            <c:rich>
              <a:bodyPr rot="-5400000" vert="horz"/>
              <a:lstStyle/>
              <a:p>
                <a:pPr algn="ctr" rtl="0">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rPr>
                  <a:t>Age group (years)</a:t>
                </a:r>
              </a:p>
            </c:rich>
          </c:tx>
          <c:layout>
            <c:manualLayout>
              <c:xMode val="edge"/>
              <c:yMode val="edge"/>
              <c:x val="1.334248366013072E-2"/>
              <c:y val="0.33371694444444444"/>
            </c:manualLayout>
          </c:layout>
          <c:overlay val="0"/>
        </c:title>
        <c:majorTickMark val="none"/>
        <c:minorTickMark val="out"/>
        <c:tickLblPos val="nextTo"/>
        <c:crossAx val="176898816"/>
        <c:crosses val="autoZero"/>
        <c:auto val="1"/>
        <c:lblAlgn val="ctr"/>
        <c:lblOffset val="100"/>
        <c:noMultiLvlLbl val="0"/>
      </c:catAx>
      <c:valAx>
        <c:axId val="176898816"/>
        <c:scaling>
          <c:orientation val="minMax"/>
          <c:max val="80"/>
        </c:scaling>
        <c:delete val="0"/>
        <c:axPos val="b"/>
        <c:majorGridlines/>
        <c:title>
          <c:tx>
            <c:rich>
              <a:bodyPr/>
              <a:lstStyle/>
              <a:p>
                <a:pPr algn="ctr">
                  <a:defRPr/>
                </a:pPr>
                <a:r>
                  <a:rPr lang="en-AU"/>
                  <a:t>Injured</a:t>
                </a:r>
                <a:r>
                  <a:rPr lang="en-AU" baseline="0"/>
                  <a:t> </a:t>
                </a:r>
                <a:r>
                  <a:rPr lang="en-AU"/>
                  <a:t>workers per million hours worked</a:t>
                </a:r>
              </a:p>
            </c:rich>
          </c:tx>
          <c:layout>
            <c:manualLayout>
              <c:xMode val="edge"/>
              <c:yMode val="edge"/>
              <c:x val="0.4313532679738562"/>
              <c:y val="0.94814777777777781"/>
            </c:manualLayout>
          </c:layout>
          <c:overlay val="0"/>
        </c:title>
        <c:numFmt formatCode="#,##0" sourceLinked="0"/>
        <c:majorTickMark val="out"/>
        <c:minorTickMark val="none"/>
        <c:tickLblPos val="nextTo"/>
        <c:txPr>
          <a:bodyPr/>
          <a:lstStyle/>
          <a:p>
            <a:pPr algn="ctr">
              <a:defRPr/>
            </a:pPr>
            <a:endParaRPr lang="en-US"/>
          </a:p>
        </c:txPr>
        <c:crossAx val="176892544"/>
        <c:crosses val="autoZero"/>
        <c:crossBetween val="between"/>
      </c:valAx>
    </c:plotArea>
    <c:legend>
      <c:legendPos val="r"/>
      <c:layout>
        <c:manualLayout>
          <c:xMode val="edge"/>
          <c:yMode val="edge"/>
          <c:x val="0.80480637254901966"/>
          <c:y val="0.38412805555555557"/>
          <c:w val="0.1599158496732026"/>
          <c:h val="0.13649388888888891"/>
        </c:manualLayout>
      </c:layout>
      <c:overlay val="0"/>
      <c:spPr>
        <a:solidFill>
          <a:schemeClr val="bg1"/>
        </a:solidFill>
        <a:ln>
          <a:solidFill>
            <a:schemeClr val="bg1">
              <a:lumMod val="75000"/>
            </a:schemeClr>
          </a:solidFill>
        </a:ln>
      </c:spPr>
    </c:legend>
    <c:plotVisOnly val="1"/>
    <c:dispBlanksAs val="gap"/>
    <c:showDLblsOverMax val="0"/>
  </c:chart>
  <c:txPr>
    <a:bodyPr/>
    <a:lstStyle/>
    <a:p>
      <a:pPr algn="ctr">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51661630824372762"/>
          <c:y val="4.0072859744990891E-2"/>
          <c:w val="0.45044032258064515"/>
          <c:h val="0.83366854733709472"/>
        </c:manualLayout>
      </c:layout>
      <c:barChart>
        <c:barDir val="bar"/>
        <c:grouping val="clustered"/>
        <c:varyColors val="0"/>
        <c:ser>
          <c:idx val="0"/>
          <c:order val="0"/>
          <c:tx>
            <c:strRef>
              <c:f>'Sheet2 (2)'!$N$2</c:f>
              <c:strCache>
                <c:ptCount val="1"/>
                <c:pt idx="0">
                  <c:v>Non-shiftworkers</c:v>
                </c:pt>
              </c:strCache>
            </c:strRef>
          </c:tx>
          <c:spPr>
            <a:pattFill prst="pct70">
              <a:fgClr>
                <a:schemeClr val="accent1"/>
              </a:fgClr>
              <a:bgClr>
                <a:schemeClr val="bg1"/>
              </a:bgClr>
            </a:pattFill>
          </c:spPr>
          <c:invertIfNegative val="0"/>
          <c:errBars>
            <c:errBarType val="both"/>
            <c:errValType val="cust"/>
            <c:noEndCap val="0"/>
            <c:plus>
              <c:numRef>
                <c:f>'Sheet2 (2)'!$O$3:$O$9</c:f>
                <c:numCache>
                  <c:formatCode>General</c:formatCode>
                  <c:ptCount val="7"/>
                  <c:pt idx="0">
                    <c:v>1.6498675736129547E-2</c:v>
                  </c:pt>
                  <c:pt idx="1">
                    <c:v>1.9937190726838337E-2</c:v>
                  </c:pt>
                  <c:pt idx="2">
                    <c:v>2.0111886162994422E-2</c:v>
                  </c:pt>
                  <c:pt idx="3">
                    <c:v>1.4980026494558003E-2</c:v>
                  </c:pt>
                  <c:pt idx="4">
                    <c:v>2.6828362620653041E-2</c:v>
                  </c:pt>
                  <c:pt idx="5">
                    <c:v>3.0439302628086008E-2</c:v>
                  </c:pt>
                  <c:pt idx="6">
                    <c:v>3.7189065803557207E-2</c:v>
                  </c:pt>
                </c:numCache>
              </c:numRef>
            </c:plus>
            <c:minus>
              <c:numRef>
                <c:f>'Sheet2 (2)'!$O$3:$O$9</c:f>
                <c:numCache>
                  <c:formatCode>General</c:formatCode>
                  <c:ptCount val="7"/>
                  <c:pt idx="0">
                    <c:v>1.6498675736129547E-2</c:v>
                  </c:pt>
                  <c:pt idx="1">
                    <c:v>1.9937190726838337E-2</c:v>
                  </c:pt>
                  <c:pt idx="2">
                    <c:v>2.0111886162994422E-2</c:v>
                  </c:pt>
                  <c:pt idx="3">
                    <c:v>1.4980026494558003E-2</c:v>
                  </c:pt>
                  <c:pt idx="4">
                    <c:v>2.6828362620653041E-2</c:v>
                  </c:pt>
                  <c:pt idx="5">
                    <c:v>3.0439302628086008E-2</c:v>
                  </c:pt>
                  <c:pt idx="6">
                    <c:v>3.7189065803557207E-2</c:v>
                  </c:pt>
                </c:numCache>
              </c:numRef>
            </c:minus>
          </c:errBars>
          <c:cat>
            <c:strRef>
              <c:f>'Sheet2 (2)'!$K$3:$K$9</c:f>
              <c:strCache>
                <c:ptCount val="7"/>
                <c:pt idx="0">
                  <c:v>Stress or other mental health condition</c:v>
                </c:pt>
                <c:pt idx="1">
                  <c:v>Fracture or broken bone</c:v>
                </c:pt>
                <c:pt idx="2">
                  <c:v>Crushing injury, internal organ damage or bruising</c:v>
                </c:pt>
                <c:pt idx="3">
                  <c:v>Burns (includes friction burns)</c:v>
                </c:pt>
                <c:pt idx="4">
                  <c:v>Cut or open wound</c:v>
                </c:pt>
                <c:pt idx="5">
                  <c:v>Chronic joint or muscle condition (includes repetetive strain injuries)</c:v>
                </c:pt>
                <c:pt idx="6">
                  <c:v>Sprain, strain or dislocation</c:v>
                </c:pt>
              </c:strCache>
            </c:strRef>
          </c:cat>
          <c:val>
            <c:numRef>
              <c:f>'Sheet2 (2)'!$N$3:$N$9</c:f>
              <c:numCache>
                <c:formatCode>0.0%</c:formatCode>
                <c:ptCount val="7"/>
                <c:pt idx="0">
                  <c:v>5.8932837801964427E-2</c:v>
                </c:pt>
                <c:pt idx="1">
                  <c:v>7.194053623573135E-2</c:v>
                </c:pt>
                <c:pt idx="2">
                  <c:v>8.8664719936288827E-2</c:v>
                </c:pt>
                <c:pt idx="3">
                  <c:v>3.2651977701088401E-2</c:v>
                </c:pt>
                <c:pt idx="4">
                  <c:v>0.14255375630475181</c:v>
                </c:pt>
                <c:pt idx="5">
                  <c:v>0.21874170427395809</c:v>
                </c:pt>
                <c:pt idx="6">
                  <c:v>0.32572338731085748</c:v>
                </c:pt>
              </c:numCache>
            </c:numRef>
          </c:val>
        </c:ser>
        <c:ser>
          <c:idx val="4"/>
          <c:order val="1"/>
          <c:tx>
            <c:strRef>
              <c:f>'Sheet2 (2)'!$L$2</c:f>
              <c:strCache>
                <c:ptCount val="1"/>
                <c:pt idx="0">
                  <c:v>Shiftworkers</c:v>
                </c:pt>
              </c:strCache>
            </c:strRef>
          </c:tx>
          <c:spPr>
            <a:solidFill>
              <a:schemeClr val="accent2"/>
            </a:solidFill>
          </c:spPr>
          <c:invertIfNegative val="0"/>
          <c:errBars>
            <c:errBarType val="both"/>
            <c:errValType val="cust"/>
            <c:noEndCap val="0"/>
            <c:plus>
              <c:numRef>
                <c:f>'Sheet2 (2)'!$M$3:$M$9</c:f>
                <c:numCache>
                  <c:formatCode>General</c:formatCode>
                  <c:ptCount val="7"/>
                  <c:pt idx="0">
                    <c:v>1.5248304777848503E-2</c:v>
                  </c:pt>
                  <c:pt idx="1">
                    <c:v>2.7993772724379373E-2</c:v>
                  </c:pt>
                  <c:pt idx="2">
                    <c:v>3.3092064095480593E-2</c:v>
                  </c:pt>
                  <c:pt idx="3">
                    <c:v>2.5842543427116491E-2</c:v>
                  </c:pt>
                  <c:pt idx="4">
                    <c:v>5.6353680739019731E-2</c:v>
                  </c:pt>
                  <c:pt idx="5">
                    <c:v>4.6135882314449386E-2</c:v>
                  </c:pt>
                  <c:pt idx="6">
                    <c:v>6.9079965181413114E-2</c:v>
                  </c:pt>
                </c:numCache>
              </c:numRef>
            </c:plus>
            <c:minus>
              <c:numRef>
                <c:f>'Sheet2 (2)'!$M$3:$M$9</c:f>
                <c:numCache>
                  <c:formatCode>General</c:formatCode>
                  <c:ptCount val="7"/>
                  <c:pt idx="0">
                    <c:v>1.5248304777848503E-2</c:v>
                  </c:pt>
                  <c:pt idx="1">
                    <c:v>2.7993772724379373E-2</c:v>
                  </c:pt>
                  <c:pt idx="2">
                    <c:v>3.3092064095480593E-2</c:v>
                  </c:pt>
                  <c:pt idx="3">
                    <c:v>2.5842543427116491E-2</c:v>
                  </c:pt>
                  <c:pt idx="4">
                    <c:v>5.6353680739019731E-2</c:v>
                  </c:pt>
                  <c:pt idx="5">
                    <c:v>4.6135882314449386E-2</c:v>
                  </c:pt>
                  <c:pt idx="6">
                    <c:v>6.9079965181413114E-2</c:v>
                  </c:pt>
                </c:numCache>
              </c:numRef>
            </c:minus>
          </c:errBars>
          <c:cat>
            <c:strRef>
              <c:f>'Sheet2 (2)'!$K$3:$K$9</c:f>
              <c:strCache>
                <c:ptCount val="7"/>
                <c:pt idx="0">
                  <c:v>Stress or other mental health condition</c:v>
                </c:pt>
                <c:pt idx="1">
                  <c:v>Fracture or broken bone</c:v>
                </c:pt>
                <c:pt idx="2">
                  <c:v>Crushing injury, internal organ damage or bruising</c:v>
                </c:pt>
                <c:pt idx="3">
                  <c:v>Burns (includes friction burns)</c:v>
                </c:pt>
                <c:pt idx="4">
                  <c:v>Cut or open wound</c:v>
                </c:pt>
                <c:pt idx="5">
                  <c:v>Chronic joint or muscle condition (includes repetetive strain injuries)</c:v>
                </c:pt>
                <c:pt idx="6">
                  <c:v>Sprain, strain or dislocation</c:v>
                </c:pt>
              </c:strCache>
            </c:strRef>
          </c:cat>
          <c:val>
            <c:numRef>
              <c:f>'Sheet2 (2)'!$L$3:$L$9</c:f>
              <c:numCache>
                <c:formatCode>0.0%</c:formatCode>
                <c:ptCount val="7"/>
                <c:pt idx="0">
                  <c:v>2.9917250159134313E-2</c:v>
                </c:pt>
                <c:pt idx="1">
                  <c:v>4.7740292807129221E-2</c:v>
                </c:pt>
                <c:pt idx="2">
                  <c:v>6.5563335455124133E-2</c:v>
                </c:pt>
                <c:pt idx="3">
                  <c:v>7.383831954169319E-2</c:v>
                </c:pt>
                <c:pt idx="4">
                  <c:v>0.13812858052196053</c:v>
                </c:pt>
                <c:pt idx="5">
                  <c:v>0.20751113940165503</c:v>
                </c:pt>
                <c:pt idx="6">
                  <c:v>0.33418204964990456</c:v>
                </c:pt>
              </c:numCache>
            </c:numRef>
          </c:val>
        </c:ser>
        <c:dLbls>
          <c:showLegendKey val="0"/>
          <c:showVal val="0"/>
          <c:showCatName val="0"/>
          <c:showSerName val="0"/>
          <c:showPercent val="0"/>
          <c:showBubbleSize val="0"/>
        </c:dLbls>
        <c:gapWidth val="150"/>
        <c:axId val="176936832"/>
        <c:axId val="176619520"/>
      </c:barChart>
      <c:catAx>
        <c:axId val="176936832"/>
        <c:scaling>
          <c:orientation val="minMax"/>
        </c:scaling>
        <c:delete val="0"/>
        <c:axPos val="l"/>
        <c:title>
          <c:tx>
            <c:rich>
              <a:bodyPr rot="-5400000" vert="horz"/>
              <a:lstStyle/>
              <a:p>
                <a:pPr algn="ctr" rtl="0">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rPr>
                  <a:t>Nature of injury</a:t>
                </a:r>
              </a:p>
            </c:rich>
          </c:tx>
          <c:layout>
            <c:manualLayout>
              <c:xMode val="edge"/>
              <c:yMode val="edge"/>
              <c:x val="1.1267320261437909E-2"/>
              <c:y val="0.38663361111111111"/>
            </c:manualLayout>
          </c:layout>
          <c:overlay val="0"/>
        </c:title>
        <c:majorTickMark val="none"/>
        <c:minorTickMark val="out"/>
        <c:tickLblPos val="nextTo"/>
        <c:crossAx val="176619520"/>
        <c:crosses val="autoZero"/>
        <c:auto val="1"/>
        <c:lblAlgn val="ctr"/>
        <c:lblOffset val="100"/>
        <c:noMultiLvlLbl val="0"/>
      </c:catAx>
      <c:valAx>
        <c:axId val="176619520"/>
        <c:scaling>
          <c:orientation val="minMax"/>
        </c:scaling>
        <c:delete val="0"/>
        <c:axPos val="b"/>
        <c:majorGridlines/>
        <c:title>
          <c:tx>
            <c:rich>
              <a:bodyPr/>
              <a:lstStyle/>
              <a:p>
                <a:pPr algn="ctr">
                  <a:defRPr/>
                </a:pPr>
                <a:r>
                  <a:rPr lang="en-AU"/>
                  <a:t>Percentage of injured workers</a:t>
                </a:r>
              </a:p>
            </c:rich>
          </c:tx>
          <c:layout>
            <c:manualLayout>
              <c:xMode val="edge"/>
              <c:yMode val="edge"/>
              <c:x val="0.63679444444444433"/>
              <c:y val="0.94814777777777781"/>
            </c:manualLayout>
          </c:layout>
          <c:overlay val="0"/>
        </c:title>
        <c:numFmt formatCode="0%" sourceLinked="0"/>
        <c:majorTickMark val="out"/>
        <c:minorTickMark val="none"/>
        <c:tickLblPos val="nextTo"/>
        <c:txPr>
          <a:bodyPr/>
          <a:lstStyle/>
          <a:p>
            <a:pPr algn="ctr">
              <a:defRPr/>
            </a:pPr>
            <a:endParaRPr lang="en-US"/>
          </a:p>
        </c:txPr>
        <c:crossAx val="176936832"/>
        <c:crosses val="autoZero"/>
        <c:crossBetween val="between"/>
      </c:valAx>
    </c:plotArea>
    <c:legend>
      <c:legendPos val="r"/>
      <c:layout>
        <c:manualLayout>
          <c:xMode val="edge"/>
          <c:yMode val="edge"/>
          <c:x val="0.79822352941176467"/>
          <c:y val="0.39713833333333326"/>
          <c:w val="0.16628763440860214"/>
          <c:h val="0.13843672014260253"/>
        </c:manualLayout>
      </c:layout>
      <c:overlay val="0"/>
      <c:spPr>
        <a:solidFill>
          <a:schemeClr val="bg1"/>
        </a:solidFill>
        <a:ln>
          <a:solidFill>
            <a:schemeClr val="bg1">
              <a:lumMod val="75000"/>
            </a:schemeClr>
          </a:solidFill>
        </a:ln>
      </c:spPr>
      <c:txPr>
        <a:bodyPr/>
        <a:lstStyle/>
        <a:p>
          <a:pPr algn="ctr">
            <a:defRPr b="0"/>
          </a:pPr>
          <a:endParaRPr lang="en-US"/>
        </a:p>
      </c:txPr>
    </c:legend>
    <c:plotVisOnly val="1"/>
    <c:dispBlanksAs val="gap"/>
    <c:showDLblsOverMax val="0"/>
  </c:chart>
  <c:txPr>
    <a:bodyPr/>
    <a:lstStyle/>
    <a:p>
      <a:pPr algn="ctr">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51661630824372762"/>
          <c:y val="4.0072859744990891E-2"/>
          <c:w val="0.45044032258064515"/>
          <c:h val="0.83366854733709472"/>
        </c:manualLayout>
      </c:layout>
      <c:barChart>
        <c:barDir val="bar"/>
        <c:grouping val="clustered"/>
        <c:varyColors val="0"/>
        <c:ser>
          <c:idx val="0"/>
          <c:order val="0"/>
          <c:tx>
            <c:strRef>
              <c:f>Sheet2!$N$2</c:f>
              <c:strCache>
                <c:ptCount val="1"/>
                <c:pt idx="0">
                  <c:v>Non-shiftworkers</c:v>
                </c:pt>
              </c:strCache>
            </c:strRef>
          </c:tx>
          <c:spPr>
            <a:pattFill prst="pct70">
              <a:fgClr>
                <a:schemeClr val="accent1"/>
              </a:fgClr>
              <a:bgClr>
                <a:schemeClr val="bg1"/>
              </a:bgClr>
            </a:pattFill>
          </c:spPr>
          <c:invertIfNegative val="0"/>
          <c:errBars>
            <c:errBarType val="both"/>
            <c:errValType val="cust"/>
            <c:noEndCap val="0"/>
            <c:plus>
              <c:numRef>
                <c:f>Sheet2!$O$3:$O$9</c:f>
                <c:numCache>
                  <c:formatCode>General</c:formatCode>
                  <c:ptCount val="7"/>
                  <c:pt idx="0">
                    <c:v>1.9044943860971077E-2</c:v>
                  </c:pt>
                  <c:pt idx="1">
                    <c:v>1.7705619373839212E-2</c:v>
                  </c:pt>
                  <c:pt idx="2">
                    <c:v>1.5868622480498806E-2</c:v>
                  </c:pt>
                  <c:pt idx="3">
                    <c:v>1.9688400639957547E-2</c:v>
                  </c:pt>
                  <c:pt idx="4">
                    <c:v>2.2688564617139823E-2</c:v>
                  </c:pt>
                  <c:pt idx="5">
                    <c:v>2.9780729347306984E-2</c:v>
                  </c:pt>
                  <c:pt idx="6">
                    <c:v>3.7162034508888296E-2</c:v>
                  </c:pt>
                </c:numCache>
              </c:numRef>
            </c:plus>
            <c:minus>
              <c:numRef>
                <c:f>Sheet2!$O$3:$O$9</c:f>
                <c:numCache>
                  <c:formatCode>General</c:formatCode>
                  <c:ptCount val="7"/>
                  <c:pt idx="0">
                    <c:v>1.9044943860971077E-2</c:v>
                  </c:pt>
                  <c:pt idx="1">
                    <c:v>1.7705619373839212E-2</c:v>
                  </c:pt>
                  <c:pt idx="2">
                    <c:v>1.5868622480498806E-2</c:v>
                  </c:pt>
                  <c:pt idx="3">
                    <c:v>1.9688400639957547E-2</c:v>
                  </c:pt>
                  <c:pt idx="4">
                    <c:v>2.2688564617139823E-2</c:v>
                  </c:pt>
                  <c:pt idx="5">
                    <c:v>2.9780729347306984E-2</c:v>
                  </c:pt>
                  <c:pt idx="6">
                    <c:v>3.7162034508888296E-2</c:v>
                  </c:pt>
                </c:numCache>
              </c:numRef>
            </c:minus>
          </c:errBars>
          <c:cat>
            <c:strRef>
              <c:f>Sheet2!$K$3:$K$9</c:f>
              <c:strCache>
                <c:ptCount val="7"/>
                <c:pt idx="0">
                  <c:v>Stress or exposure to stress</c:v>
                </c:pt>
                <c:pt idx="1">
                  <c:v>Contact with chemical or substance (includes insect bites and stings)</c:v>
                </c:pt>
                <c:pt idx="2">
                  <c:v>Vehicle accident or incident</c:v>
                </c:pt>
                <c:pt idx="3">
                  <c:v>Repetitive movement (includes repetetive strain injuries)</c:v>
                </c:pt>
                <c:pt idx="4">
                  <c:v>Slip, trip or stumble</c:v>
                </c:pt>
                <c:pt idx="5">
                  <c:v>Hitting, being hit or cut by an object or vehicle</c:v>
                </c:pt>
                <c:pt idx="6">
                  <c:v>Lifting, pushing, pulling or bending</c:v>
                </c:pt>
              </c:strCache>
            </c:strRef>
          </c:cat>
          <c:val>
            <c:numRef>
              <c:f>Sheet2!$N$3:$N$9</c:f>
              <c:numCache>
                <c:formatCode>0.0%</c:formatCode>
                <c:ptCount val="7"/>
                <c:pt idx="0">
                  <c:v>6.6861236402228713E-2</c:v>
                </c:pt>
                <c:pt idx="1">
                  <c:v>3.0777394534359247E-2</c:v>
                </c:pt>
                <c:pt idx="2">
                  <c:v>5.120721676837358E-2</c:v>
                </c:pt>
                <c:pt idx="3">
                  <c:v>8.5699124436189975E-2</c:v>
                </c:pt>
                <c:pt idx="4">
                  <c:v>0.13770230830459007</c:v>
                </c:pt>
                <c:pt idx="5">
                  <c:v>0.20137967630671269</c:v>
                </c:pt>
                <c:pt idx="6">
                  <c:v>0.33244892544441496</c:v>
                </c:pt>
              </c:numCache>
            </c:numRef>
          </c:val>
        </c:ser>
        <c:ser>
          <c:idx val="4"/>
          <c:order val="1"/>
          <c:tx>
            <c:strRef>
              <c:f>Sheet2!$L$2</c:f>
              <c:strCache>
                <c:ptCount val="1"/>
                <c:pt idx="0">
                  <c:v>Shiftworkers</c:v>
                </c:pt>
              </c:strCache>
            </c:strRef>
          </c:tx>
          <c:spPr>
            <a:solidFill>
              <a:schemeClr val="accent2"/>
            </a:solidFill>
          </c:spPr>
          <c:invertIfNegative val="0"/>
          <c:errBars>
            <c:errBarType val="both"/>
            <c:errValType val="cust"/>
            <c:noEndCap val="0"/>
            <c:plus>
              <c:numRef>
                <c:f>Sheet2!$M$3:$M$9</c:f>
                <c:numCache>
                  <c:formatCode>General</c:formatCode>
                  <c:ptCount val="7"/>
                  <c:pt idx="0">
                    <c:v>2.4913602870527001E-2</c:v>
                  </c:pt>
                  <c:pt idx="1">
                    <c:v>2.4295461098243328E-2</c:v>
                  </c:pt>
                  <c:pt idx="2">
                    <c:v>2.5477603645413141E-2</c:v>
                  </c:pt>
                  <c:pt idx="3">
                    <c:v>3.9154961277163308E-2</c:v>
                  </c:pt>
                  <c:pt idx="4">
                    <c:v>3.1800301890696166E-2</c:v>
                  </c:pt>
                  <c:pt idx="5">
                    <c:v>5.5967801596616781E-2</c:v>
                  </c:pt>
                  <c:pt idx="6">
                    <c:v>6.8980693106050747E-2</c:v>
                  </c:pt>
                </c:numCache>
              </c:numRef>
            </c:plus>
            <c:minus>
              <c:numRef>
                <c:f>Sheet2!$M$3:$M$9</c:f>
                <c:numCache>
                  <c:formatCode>General</c:formatCode>
                  <c:ptCount val="7"/>
                  <c:pt idx="0">
                    <c:v>2.4913602870527001E-2</c:v>
                  </c:pt>
                  <c:pt idx="1">
                    <c:v>2.4295461098243328E-2</c:v>
                  </c:pt>
                  <c:pt idx="2">
                    <c:v>2.5477603645413141E-2</c:v>
                  </c:pt>
                  <c:pt idx="3">
                    <c:v>3.9154961277163308E-2</c:v>
                  </c:pt>
                  <c:pt idx="4">
                    <c:v>3.1800301890696166E-2</c:v>
                  </c:pt>
                  <c:pt idx="5">
                    <c:v>5.5967801596616781E-2</c:v>
                  </c:pt>
                  <c:pt idx="6">
                    <c:v>6.8980693106050747E-2</c:v>
                  </c:pt>
                </c:numCache>
              </c:numRef>
            </c:minus>
          </c:errBars>
          <c:cat>
            <c:strRef>
              <c:f>Sheet2!$K$3:$K$9</c:f>
              <c:strCache>
                <c:ptCount val="7"/>
                <c:pt idx="0">
                  <c:v>Stress or exposure to stress</c:v>
                </c:pt>
                <c:pt idx="1">
                  <c:v>Contact with chemical or substance (includes insect bites and stings)</c:v>
                </c:pt>
                <c:pt idx="2">
                  <c:v>Vehicle accident or incident</c:v>
                </c:pt>
                <c:pt idx="3">
                  <c:v>Repetitive movement (includes repetetive strain injuries)</c:v>
                </c:pt>
                <c:pt idx="4">
                  <c:v>Slip, trip or stumble</c:v>
                </c:pt>
                <c:pt idx="5">
                  <c:v>Hitting, being hit or cut by an object or vehicle</c:v>
                </c:pt>
                <c:pt idx="6">
                  <c:v>Lifting, pushing, pulling or bending</c:v>
                </c:pt>
              </c:strCache>
            </c:strRef>
          </c:cat>
          <c:val>
            <c:numRef>
              <c:f>Sheet2!$L$3:$L$9</c:f>
              <c:numCache>
                <c:formatCode>0.0%</c:formatCode>
                <c:ptCount val="7"/>
                <c:pt idx="0">
                  <c:v>3.8386467143786601E-2</c:v>
                </c:pt>
                <c:pt idx="1">
                  <c:v>4.9446974625894605E-2</c:v>
                </c:pt>
                <c:pt idx="2">
                  <c:v>5.0097592713077427E-2</c:v>
                </c:pt>
                <c:pt idx="3">
                  <c:v>9.3038386467143797E-2</c:v>
                </c:pt>
                <c:pt idx="4">
                  <c:v>9.4990240728692263E-2</c:v>
                </c:pt>
                <c:pt idx="5">
                  <c:v>0.20234222511385819</c:v>
                </c:pt>
                <c:pt idx="6">
                  <c:v>0.36369551073519846</c:v>
                </c:pt>
              </c:numCache>
            </c:numRef>
          </c:val>
        </c:ser>
        <c:dLbls>
          <c:showLegendKey val="0"/>
          <c:showVal val="0"/>
          <c:showCatName val="0"/>
          <c:showSerName val="0"/>
          <c:showPercent val="0"/>
          <c:showBubbleSize val="0"/>
        </c:dLbls>
        <c:gapWidth val="150"/>
        <c:axId val="176641536"/>
        <c:axId val="176643456"/>
      </c:barChart>
      <c:catAx>
        <c:axId val="176641536"/>
        <c:scaling>
          <c:orientation val="minMax"/>
        </c:scaling>
        <c:delete val="0"/>
        <c:axPos val="l"/>
        <c:title>
          <c:tx>
            <c:rich>
              <a:bodyPr rot="-5400000" vert="horz"/>
              <a:lstStyle/>
              <a:p>
                <a:pPr algn="ctr" rtl="0">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rPr>
                  <a:t>Mechanism of injury</a:t>
                </a:r>
              </a:p>
            </c:rich>
          </c:tx>
          <c:layout>
            <c:manualLayout>
              <c:xMode val="edge"/>
              <c:yMode val="edge"/>
              <c:x val="9.1921568627450975E-3"/>
              <c:y val="0.36899472222222224"/>
            </c:manualLayout>
          </c:layout>
          <c:overlay val="0"/>
        </c:title>
        <c:majorTickMark val="none"/>
        <c:minorTickMark val="out"/>
        <c:tickLblPos val="nextTo"/>
        <c:crossAx val="176643456"/>
        <c:crosses val="autoZero"/>
        <c:auto val="1"/>
        <c:lblAlgn val="ctr"/>
        <c:lblOffset val="100"/>
        <c:noMultiLvlLbl val="0"/>
      </c:catAx>
      <c:valAx>
        <c:axId val="176643456"/>
        <c:scaling>
          <c:orientation val="minMax"/>
        </c:scaling>
        <c:delete val="0"/>
        <c:axPos val="b"/>
        <c:majorGridlines/>
        <c:title>
          <c:tx>
            <c:rich>
              <a:bodyPr/>
              <a:lstStyle/>
              <a:p>
                <a:pPr algn="ctr">
                  <a:defRPr/>
                </a:pPr>
                <a:r>
                  <a:rPr lang="en-AU"/>
                  <a:t>Percentage of injured workers</a:t>
                </a:r>
              </a:p>
            </c:rich>
          </c:tx>
          <c:layout>
            <c:manualLayout>
              <c:xMode val="edge"/>
              <c:yMode val="edge"/>
              <c:x val="0.62641862745098031"/>
              <c:y val="0.94814777777777781"/>
            </c:manualLayout>
          </c:layout>
          <c:overlay val="0"/>
        </c:title>
        <c:numFmt formatCode="0%" sourceLinked="0"/>
        <c:majorTickMark val="out"/>
        <c:minorTickMark val="none"/>
        <c:tickLblPos val="nextTo"/>
        <c:txPr>
          <a:bodyPr/>
          <a:lstStyle/>
          <a:p>
            <a:pPr algn="ctr">
              <a:defRPr/>
            </a:pPr>
            <a:endParaRPr lang="en-US"/>
          </a:p>
        </c:txPr>
        <c:crossAx val="176641536"/>
        <c:crosses val="autoZero"/>
        <c:crossBetween val="between"/>
      </c:valAx>
    </c:plotArea>
    <c:legend>
      <c:legendPos val="r"/>
      <c:layout>
        <c:manualLayout>
          <c:xMode val="edge"/>
          <c:yMode val="edge"/>
          <c:x val="0.79822352941176467"/>
          <c:y val="0.4041938888888888"/>
          <c:w val="0.16628763440860214"/>
          <c:h val="0.13843672014260253"/>
        </c:manualLayout>
      </c:layout>
      <c:overlay val="0"/>
      <c:spPr>
        <a:solidFill>
          <a:schemeClr val="bg1"/>
        </a:solidFill>
        <a:ln>
          <a:solidFill>
            <a:schemeClr val="bg1">
              <a:lumMod val="75000"/>
            </a:schemeClr>
          </a:solidFill>
        </a:ln>
      </c:spPr>
      <c:txPr>
        <a:bodyPr/>
        <a:lstStyle/>
        <a:p>
          <a:pPr algn="ctr">
            <a:defRPr/>
          </a:pPr>
          <a:endParaRPr lang="en-US"/>
        </a:p>
      </c:txPr>
    </c:legend>
    <c:plotVisOnly val="1"/>
    <c:dispBlanksAs val="gap"/>
    <c:showDLblsOverMax val="0"/>
  </c:chart>
  <c:txPr>
    <a:bodyPr/>
    <a:lstStyle/>
    <a:p>
      <a:pPr algn="ctr">
        <a:defRPr lang="en-AU"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978-1-76028-824-2</PublicationIdentifier>
    <ParentFolderID xmlns="http://schemas.microsoft.com/sharepoint/v3/fields">975</ParentFolderID>
  </documentManagement>
</p:properties>
</file>

<file path=customXml/itemProps1.xml><?xml version="1.0" encoding="utf-8"?>
<ds:datastoreItem xmlns:ds="http://schemas.openxmlformats.org/officeDocument/2006/customXml" ds:itemID="{DF82F818-222C-4AA3-83A8-241AB9C2A551}"/>
</file>

<file path=customXml/itemProps2.xml><?xml version="1.0" encoding="utf-8"?>
<ds:datastoreItem xmlns:ds="http://schemas.openxmlformats.org/officeDocument/2006/customXml" ds:itemID="{10564E16-2183-45B8-A24C-822C745D0BFB}"/>
</file>

<file path=customXml/itemProps3.xml><?xml version="1.0" encoding="utf-8"?>
<ds:datastoreItem xmlns:ds="http://schemas.openxmlformats.org/officeDocument/2006/customXml" ds:itemID="{EF706FA9-7A15-4E33-B4C3-0C9B7766CAFA}"/>
</file>

<file path=docProps/app.xml><?xml version="1.0" encoding="utf-8"?>
<Properties xmlns="http://schemas.openxmlformats.org/officeDocument/2006/extended-properties" xmlns:vt="http://schemas.openxmlformats.org/officeDocument/2006/docPropsVTypes">
  <Template>1E6D614D.dotm</Template>
  <TotalTime>0</TotalTime>
  <Pages>21</Pages>
  <Words>5210</Words>
  <Characters>30166</Characters>
  <Application>Microsoft Office Word</Application>
  <DocSecurity>0</DocSecurity>
  <Lines>628</Lines>
  <Paragraphs>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Comparison of Work-Related Injuries Among Shiftworkers and Non-Shiftworkers</dc:title>
  <cp:lastModifiedBy/>
  <cp:revision>1</cp:revision>
  <dcterms:created xsi:type="dcterms:W3CDTF">2016-08-23T22:13:00Z</dcterms:created>
  <dcterms:modified xsi:type="dcterms:W3CDTF">2016-08-23T22:13:00Z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ies>
</file>