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51" w:rsidRDefault="006D1451" w:rsidP="00905CF3">
      <w:pPr>
        <w:pStyle w:val="TitlePage1"/>
      </w:pPr>
    </w:p>
    <w:p w:rsidR="006D1451" w:rsidRDefault="006D1451" w:rsidP="00905CF3">
      <w:pPr>
        <w:pStyle w:val="TitlePage1"/>
      </w:pPr>
    </w:p>
    <w:p w:rsidR="006D1451" w:rsidRDefault="006D1451" w:rsidP="00905CF3">
      <w:pPr>
        <w:pStyle w:val="TitlePage1"/>
      </w:pPr>
    </w:p>
    <w:p w:rsidR="006D1451" w:rsidRDefault="006D1451" w:rsidP="00905CF3">
      <w:pPr>
        <w:pStyle w:val="TitlePage1"/>
      </w:pPr>
    </w:p>
    <w:p w:rsidR="006D1451" w:rsidRDefault="006D1451" w:rsidP="00905CF3">
      <w:pPr>
        <w:pStyle w:val="TitlePage1"/>
      </w:pPr>
    </w:p>
    <w:p w:rsidR="00766049" w:rsidRDefault="006D1451" w:rsidP="00905CF3">
      <w:pPr>
        <w:pStyle w:val="TitlePage1"/>
      </w:pPr>
      <w:r w:rsidRPr="00AB22B2">
        <w:t>GUIDE FOR MAJOR HAZARD FACILITIES: DEVELOPING A SAFETY CASE OUTLINE</w:t>
      </w:r>
    </w:p>
    <w:p w:rsidR="006D1451" w:rsidRDefault="00766049" w:rsidP="00905CF3">
      <w:pPr>
        <w:pStyle w:val="TitlePage1"/>
      </w:pPr>
      <w:r>
        <w:br w:type="page"/>
      </w: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Default="00766049" w:rsidP="00766049">
      <w:pPr>
        <w:rPr>
          <w:rFonts w:cs="Arial"/>
        </w:rPr>
      </w:pPr>
    </w:p>
    <w:p w:rsidR="00766049" w:rsidRPr="009F373D" w:rsidRDefault="00766049" w:rsidP="00766049">
      <w:pPr>
        <w:rPr>
          <w:rFonts w:cs="Arial"/>
        </w:rPr>
      </w:pPr>
      <w:r w:rsidRPr="009F373D">
        <w:rPr>
          <w:rFonts w:cs="Arial"/>
        </w:rPr>
        <w:t>Safe Work Australia is an Australian Government statutory agency established in 2009. Safe Work Australia consists of representatives of the Commonwealth, state and territory governments, the Australian Council of Trade Unions, the Australian Chamber of Commerce and Industry and the Australian Industry Group.</w:t>
      </w:r>
    </w:p>
    <w:p w:rsidR="00766049" w:rsidRPr="009F373D" w:rsidRDefault="00766049" w:rsidP="00766049">
      <w:pPr>
        <w:rPr>
          <w:rFonts w:cs="Arial"/>
        </w:rPr>
      </w:pPr>
      <w:r w:rsidRPr="009F373D">
        <w:rPr>
          <w:rFonts w:cs="Arial"/>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rsidR="00766049" w:rsidRPr="00766049" w:rsidRDefault="00766049" w:rsidP="00766049">
      <w:pPr>
        <w:rPr>
          <w:rFonts w:cs="Arial"/>
          <w:szCs w:val="22"/>
        </w:rPr>
      </w:pPr>
      <w:r w:rsidRPr="00766049">
        <w:rPr>
          <w:rFonts w:cs="Arial"/>
          <w:szCs w:val="22"/>
        </w:rPr>
        <w:t>ISBN  978-0-642-33394-0</w:t>
      </w:r>
      <w:r>
        <w:rPr>
          <w:rFonts w:cs="Arial"/>
          <w:szCs w:val="22"/>
        </w:rPr>
        <w:t xml:space="preserve">6 </w:t>
      </w:r>
      <w:r w:rsidRPr="00766049">
        <w:rPr>
          <w:rFonts w:cs="Arial"/>
          <w:szCs w:val="22"/>
        </w:rPr>
        <w:t>[PDF]</w:t>
      </w:r>
      <w:r w:rsidRPr="00766049">
        <w:rPr>
          <w:rFonts w:cs="Arial"/>
          <w:szCs w:val="22"/>
        </w:rPr>
        <w:br/>
        <w:t>ISBN  978-0-642-33395-7</w:t>
      </w:r>
      <w:r>
        <w:rPr>
          <w:rFonts w:cs="Arial"/>
          <w:szCs w:val="22"/>
        </w:rPr>
        <w:t xml:space="preserve"> </w:t>
      </w:r>
      <w:r w:rsidRPr="00766049">
        <w:rPr>
          <w:rFonts w:cs="Arial"/>
          <w:szCs w:val="22"/>
        </w:rPr>
        <w:t>[RTF]</w:t>
      </w:r>
    </w:p>
    <w:p w:rsidR="00766049" w:rsidRDefault="00766049" w:rsidP="00766049">
      <w:pPr>
        <w:rPr>
          <w:rStyle w:val="Bodycopyboldemphasis"/>
          <w:rFonts w:cs="Arial"/>
          <w:b/>
          <w:sz w:val="24"/>
        </w:rPr>
      </w:pPr>
      <w:r w:rsidRPr="009F373D">
        <w:rPr>
          <w:rStyle w:val="Bodycopyboldemphasis"/>
          <w:rFonts w:cs="Arial"/>
          <w:b/>
          <w:sz w:val="24"/>
        </w:rPr>
        <w:t>Creative Commons</w:t>
      </w:r>
    </w:p>
    <w:p w:rsidR="00766049" w:rsidRDefault="009C5AC8" w:rsidP="00766049">
      <w:pPr>
        <w:rPr>
          <w:rStyle w:val="Bodycopyboldemphasis"/>
          <w:rFonts w:cs="Arial"/>
          <w:b/>
          <w:sz w:val="24"/>
        </w:rPr>
      </w:pPr>
      <w:r w:rsidRPr="009C5AC8">
        <w:rPr>
          <w:rFonts w:cs="Arial"/>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by-nc.jpg" style="width:120.55pt;height:41.85pt;visibility:visible">
            <v:imagedata r:id="rId8" o:title="by-nc"/>
          </v:shape>
        </w:pict>
      </w:r>
    </w:p>
    <w:p w:rsidR="00766049" w:rsidRPr="009F373D" w:rsidRDefault="00766049" w:rsidP="00766049">
      <w:pPr>
        <w:rPr>
          <w:rStyle w:val="Bodycopyboldemphasis"/>
          <w:rFonts w:cs="Arial"/>
          <w:b/>
          <w:sz w:val="24"/>
        </w:rPr>
      </w:pPr>
    </w:p>
    <w:p w:rsidR="00766049" w:rsidRPr="009F373D" w:rsidRDefault="00766049" w:rsidP="00766049">
      <w:pPr>
        <w:pStyle w:val="NoSpacing"/>
        <w:rPr>
          <w:rFonts w:cs="Arial"/>
        </w:rPr>
      </w:pPr>
      <w:r w:rsidRPr="009F373D">
        <w:rPr>
          <w:rFonts w:cs="Arial"/>
        </w:rPr>
        <w:t xml:space="preserve">Except for the Safe Work Australia logo this copyright work is licensed under a Creative Commons Attribution-Noncommercial 3.0 Australia licence. To view a copy of this licence, visit </w:t>
      </w:r>
    </w:p>
    <w:p w:rsidR="00766049" w:rsidRPr="009F373D" w:rsidRDefault="009C5AC8" w:rsidP="00766049">
      <w:pPr>
        <w:pStyle w:val="NoSpacing"/>
        <w:rPr>
          <w:rStyle w:val="Bodycopyboldemphasis"/>
          <w:rFonts w:cs="Arial"/>
        </w:rPr>
      </w:pPr>
      <w:hyperlink r:id="rId9" w:history="1">
        <w:r w:rsidR="00766049" w:rsidRPr="009F373D">
          <w:rPr>
            <w:rFonts w:cs="Arial"/>
          </w:rPr>
          <w:t>http://creativecommons.org/licenses/by-nc/3.0/au/</w:t>
        </w:r>
      </w:hyperlink>
    </w:p>
    <w:p w:rsidR="00766049" w:rsidRPr="009F373D" w:rsidRDefault="00766049" w:rsidP="00766049">
      <w:pPr>
        <w:rPr>
          <w:rFonts w:cs="Arial"/>
        </w:rPr>
      </w:pPr>
      <w:r w:rsidRPr="009F373D">
        <w:rPr>
          <w:rFonts w:cs="Arial"/>
        </w:rPr>
        <w:t xml:space="preserve">In essence, you are free to copy, communicate and adapt the work for non commercial purposes, </w:t>
      </w:r>
      <w:r w:rsidRPr="009F373D">
        <w:rPr>
          <w:rFonts w:cs="Arial"/>
        </w:rPr>
        <w:br/>
        <w:t>as long as you attribute the work to Safe Work Australia and abide by the other licence terms.</w:t>
      </w:r>
    </w:p>
    <w:p w:rsidR="00766049" w:rsidRPr="009F373D" w:rsidRDefault="00766049" w:rsidP="00766049">
      <w:pPr>
        <w:rPr>
          <w:rStyle w:val="Bodycopyboldemphasis"/>
          <w:rFonts w:cs="Arial"/>
          <w:b/>
          <w:szCs w:val="22"/>
        </w:rPr>
      </w:pPr>
      <w:r w:rsidRPr="009F373D">
        <w:rPr>
          <w:rStyle w:val="Bodycopyboldemphasis"/>
          <w:rFonts w:cs="Arial"/>
          <w:b/>
          <w:szCs w:val="22"/>
        </w:rPr>
        <w:t>Contact information</w:t>
      </w:r>
      <w:r w:rsidRPr="009F373D">
        <w:rPr>
          <w:rStyle w:val="Bodycopyboldemphasis"/>
          <w:rFonts w:cs="Arial"/>
          <w:b/>
          <w:szCs w:val="22"/>
        </w:rPr>
        <w:br/>
        <w:t>Safe Work Australia</w:t>
      </w:r>
      <w:r w:rsidRPr="009F373D">
        <w:rPr>
          <w:rStyle w:val="Bodycopyboldemphasis"/>
          <w:rFonts w:cs="Arial"/>
          <w:b/>
          <w:szCs w:val="22"/>
        </w:rPr>
        <w:br/>
        <w:t>Phone: +61 2 6121 5317</w:t>
      </w:r>
      <w:r w:rsidRPr="009F373D">
        <w:rPr>
          <w:rStyle w:val="Bodycopyboldemphasis"/>
          <w:rFonts w:cs="Arial"/>
          <w:b/>
          <w:szCs w:val="22"/>
        </w:rPr>
        <w:br/>
        <w:t>Email: info@safeworkaustralia.gov.au</w:t>
      </w:r>
      <w:r w:rsidRPr="009F373D">
        <w:rPr>
          <w:rStyle w:val="Bodycopyboldemphasis"/>
          <w:rFonts w:cs="Arial"/>
          <w:b/>
          <w:szCs w:val="22"/>
        </w:rPr>
        <w:br/>
        <w:t>Website: www.safeworkaustralia.gov.au</w:t>
      </w:r>
    </w:p>
    <w:p w:rsidR="00766049" w:rsidRDefault="00766049" w:rsidP="00766049"/>
    <w:p w:rsidR="009B5343" w:rsidRDefault="006D1451" w:rsidP="009B5343">
      <w:pPr>
        <w:pStyle w:val="HeadingTOC"/>
      </w:pPr>
      <w:r>
        <w:br w:type="page"/>
      </w:r>
      <w:r>
        <w:lastRenderedPageBreak/>
        <w:t>Table of Contents</w:t>
      </w:r>
    </w:p>
    <w:p w:rsidR="0016086D" w:rsidRDefault="009C5AC8">
      <w:pPr>
        <w:pStyle w:val="TOC1"/>
        <w:rPr>
          <w:rFonts w:asciiTheme="minorHAnsi" w:eastAsiaTheme="minorEastAsia" w:hAnsiTheme="minorHAnsi" w:cstheme="minorBidi"/>
          <w:b w:val="0"/>
          <w:caps w:val="0"/>
          <w:sz w:val="22"/>
        </w:rPr>
      </w:pPr>
      <w:r w:rsidRPr="009C5AC8">
        <w:rPr>
          <w:caps w:val="0"/>
          <w:sz w:val="26"/>
          <w:szCs w:val="26"/>
        </w:rPr>
        <w:fldChar w:fldCharType="begin"/>
      </w:r>
      <w:r w:rsidR="006D1451">
        <w:rPr>
          <w:caps w:val="0"/>
          <w:sz w:val="26"/>
          <w:szCs w:val="26"/>
        </w:rPr>
        <w:instrText xml:space="preserve"> TOC \o "1-2" \h \z \u </w:instrText>
      </w:r>
      <w:r w:rsidRPr="009C5AC8">
        <w:rPr>
          <w:caps w:val="0"/>
          <w:sz w:val="26"/>
          <w:szCs w:val="26"/>
        </w:rPr>
        <w:fldChar w:fldCharType="separate"/>
      </w:r>
      <w:hyperlink w:anchor="_Toc319328233" w:history="1">
        <w:r w:rsidR="0016086D" w:rsidRPr="000C02DF">
          <w:rPr>
            <w:rStyle w:val="Hyperlink"/>
          </w:rPr>
          <w:t>1.</w:t>
        </w:r>
        <w:r w:rsidR="0016086D">
          <w:rPr>
            <w:rFonts w:asciiTheme="minorHAnsi" w:eastAsiaTheme="minorEastAsia" w:hAnsiTheme="minorHAnsi" w:cstheme="minorBidi"/>
            <w:b w:val="0"/>
            <w:caps w:val="0"/>
            <w:sz w:val="22"/>
          </w:rPr>
          <w:tab/>
        </w:r>
        <w:r w:rsidR="0016086D" w:rsidRPr="000C02DF">
          <w:rPr>
            <w:rStyle w:val="Hyperlink"/>
          </w:rPr>
          <w:t>Introduction</w:t>
        </w:r>
        <w:r w:rsidR="0016086D">
          <w:rPr>
            <w:webHidden/>
          </w:rPr>
          <w:tab/>
        </w:r>
        <w:r>
          <w:rPr>
            <w:webHidden/>
          </w:rPr>
          <w:fldChar w:fldCharType="begin"/>
        </w:r>
        <w:r w:rsidR="0016086D">
          <w:rPr>
            <w:webHidden/>
          </w:rPr>
          <w:instrText xml:space="preserve"> PAGEREF _Toc319328233 \h </w:instrText>
        </w:r>
        <w:r>
          <w:rPr>
            <w:webHidden/>
          </w:rPr>
        </w:r>
        <w:r>
          <w:rPr>
            <w:webHidden/>
          </w:rPr>
          <w:fldChar w:fldCharType="separate"/>
        </w:r>
        <w:r w:rsidR="0016086D">
          <w:rPr>
            <w:webHidden/>
          </w:rPr>
          <w:t>3</w:t>
        </w:r>
        <w:r>
          <w:rPr>
            <w:webHidden/>
          </w:rPr>
          <w:fldChar w:fldCharType="end"/>
        </w:r>
      </w:hyperlink>
    </w:p>
    <w:p w:rsidR="0016086D" w:rsidRDefault="009C5AC8">
      <w:pPr>
        <w:pStyle w:val="TOC1"/>
        <w:rPr>
          <w:rFonts w:asciiTheme="minorHAnsi" w:eastAsiaTheme="minorEastAsia" w:hAnsiTheme="minorHAnsi" w:cstheme="minorBidi"/>
          <w:b w:val="0"/>
          <w:caps w:val="0"/>
          <w:sz w:val="22"/>
        </w:rPr>
      </w:pPr>
      <w:hyperlink w:anchor="_Toc319328234" w:history="1">
        <w:r w:rsidR="0016086D" w:rsidRPr="000C02DF">
          <w:rPr>
            <w:rStyle w:val="Hyperlink"/>
          </w:rPr>
          <w:t>2.</w:t>
        </w:r>
        <w:r w:rsidR="0016086D">
          <w:rPr>
            <w:rFonts w:asciiTheme="minorHAnsi" w:eastAsiaTheme="minorEastAsia" w:hAnsiTheme="minorHAnsi" w:cstheme="minorBidi"/>
            <w:b w:val="0"/>
            <w:caps w:val="0"/>
            <w:sz w:val="22"/>
          </w:rPr>
          <w:tab/>
        </w:r>
        <w:r w:rsidR="0016086D" w:rsidRPr="000C02DF">
          <w:rPr>
            <w:rStyle w:val="Hyperlink"/>
          </w:rPr>
          <w:t>Steps in preparing the safety case outline</w:t>
        </w:r>
        <w:r w:rsidR="0016086D">
          <w:rPr>
            <w:webHidden/>
          </w:rPr>
          <w:tab/>
        </w:r>
        <w:r>
          <w:rPr>
            <w:webHidden/>
          </w:rPr>
          <w:fldChar w:fldCharType="begin"/>
        </w:r>
        <w:r w:rsidR="0016086D">
          <w:rPr>
            <w:webHidden/>
          </w:rPr>
          <w:instrText xml:space="preserve"> PAGEREF _Toc319328234 \h </w:instrText>
        </w:r>
        <w:r>
          <w:rPr>
            <w:webHidden/>
          </w:rPr>
        </w:r>
        <w:r>
          <w:rPr>
            <w:webHidden/>
          </w:rPr>
          <w:fldChar w:fldCharType="separate"/>
        </w:r>
        <w:r w:rsidR="0016086D">
          <w:rPr>
            <w:webHidden/>
          </w:rPr>
          <w:t>4</w:t>
        </w:r>
        <w:r>
          <w:rPr>
            <w:webHidden/>
          </w:rPr>
          <w:fldChar w:fldCharType="end"/>
        </w:r>
      </w:hyperlink>
    </w:p>
    <w:p w:rsidR="0016086D" w:rsidRDefault="009C5AC8">
      <w:pPr>
        <w:pStyle w:val="TOC1"/>
        <w:rPr>
          <w:rFonts w:asciiTheme="minorHAnsi" w:eastAsiaTheme="minorEastAsia" w:hAnsiTheme="minorHAnsi" w:cstheme="minorBidi"/>
          <w:b w:val="0"/>
          <w:caps w:val="0"/>
          <w:sz w:val="22"/>
        </w:rPr>
      </w:pPr>
      <w:hyperlink w:anchor="_Toc319328235" w:history="1">
        <w:r w:rsidR="0016086D" w:rsidRPr="000C02DF">
          <w:rPr>
            <w:rStyle w:val="Hyperlink"/>
          </w:rPr>
          <w:t>3.</w:t>
        </w:r>
        <w:r w:rsidR="0016086D">
          <w:rPr>
            <w:rFonts w:asciiTheme="minorHAnsi" w:eastAsiaTheme="minorEastAsia" w:hAnsiTheme="minorHAnsi" w:cstheme="minorBidi"/>
            <w:b w:val="0"/>
            <w:caps w:val="0"/>
            <w:sz w:val="22"/>
          </w:rPr>
          <w:tab/>
        </w:r>
        <w:r w:rsidR="0016086D" w:rsidRPr="000C02DF">
          <w:rPr>
            <w:rStyle w:val="Hyperlink"/>
          </w:rPr>
          <w:t>Safety case outline format and submission</w:t>
        </w:r>
        <w:r w:rsidR="0016086D">
          <w:rPr>
            <w:webHidden/>
          </w:rPr>
          <w:tab/>
        </w:r>
        <w:r>
          <w:rPr>
            <w:webHidden/>
          </w:rPr>
          <w:fldChar w:fldCharType="begin"/>
        </w:r>
        <w:r w:rsidR="0016086D">
          <w:rPr>
            <w:webHidden/>
          </w:rPr>
          <w:instrText xml:space="preserve"> PAGEREF _Toc319328235 \h </w:instrText>
        </w:r>
        <w:r>
          <w:rPr>
            <w:webHidden/>
          </w:rPr>
        </w:r>
        <w:r>
          <w:rPr>
            <w:webHidden/>
          </w:rPr>
          <w:fldChar w:fldCharType="separate"/>
        </w:r>
        <w:r w:rsidR="0016086D">
          <w:rPr>
            <w:webHidden/>
          </w:rPr>
          <w:t>6</w:t>
        </w:r>
        <w:r>
          <w:rPr>
            <w:webHidden/>
          </w:rPr>
          <w:fldChar w:fldCharType="end"/>
        </w:r>
      </w:hyperlink>
    </w:p>
    <w:p w:rsidR="0016086D" w:rsidRDefault="009C5AC8">
      <w:pPr>
        <w:pStyle w:val="TOC1"/>
        <w:rPr>
          <w:rFonts w:asciiTheme="minorHAnsi" w:eastAsiaTheme="minorEastAsia" w:hAnsiTheme="minorHAnsi" w:cstheme="minorBidi"/>
          <w:b w:val="0"/>
          <w:caps w:val="0"/>
          <w:sz w:val="22"/>
        </w:rPr>
      </w:pPr>
      <w:hyperlink w:anchor="_Toc319328236" w:history="1">
        <w:r w:rsidR="0016086D" w:rsidRPr="000C02DF">
          <w:rPr>
            <w:rStyle w:val="Hyperlink"/>
          </w:rPr>
          <w:t>4.</w:t>
        </w:r>
        <w:r w:rsidR="0016086D">
          <w:rPr>
            <w:rFonts w:asciiTheme="minorHAnsi" w:eastAsiaTheme="minorEastAsia" w:hAnsiTheme="minorHAnsi" w:cstheme="minorBidi"/>
            <w:b w:val="0"/>
            <w:caps w:val="0"/>
            <w:sz w:val="22"/>
          </w:rPr>
          <w:tab/>
        </w:r>
        <w:r w:rsidR="0016086D" w:rsidRPr="000C02DF">
          <w:rPr>
            <w:rStyle w:val="Hyperlink"/>
          </w:rPr>
          <w:t>Content of the safety case outline</w:t>
        </w:r>
        <w:r w:rsidR="0016086D">
          <w:rPr>
            <w:webHidden/>
          </w:rPr>
          <w:tab/>
        </w:r>
        <w:r>
          <w:rPr>
            <w:webHidden/>
          </w:rPr>
          <w:fldChar w:fldCharType="begin"/>
        </w:r>
        <w:r w:rsidR="0016086D">
          <w:rPr>
            <w:webHidden/>
          </w:rPr>
          <w:instrText xml:space="preserve"> PAGEREF _Toc319328236 \h </w:instrText>
        </w:r>
        <w:r>
          <w:rPr>
            <w:webHidden/>
          </w:rPr>
        </w:r>
        <w:r>
          <w:rPr>
            <w:webHidden/>
          </w:rPr>
          <w:fldChar w:fldCharType="separate"/>
        </w:r>
        <w:r w:rsidR="0016086D">
          <w:rPr>
            <w:webHidden/>
          </w:rPr>
          <w:t>7</w:t>
        </w:r>
        <w:r>
          <w:rPr>
            <w:webHidden/>
          </w:rPr>
          <w:fldChar w:fldCharType="end"/>
        </w:r>
      </w:hyperlink>
    </w:p>
    <w:p w:rsidR="0016086D" w:rsidRDefault="009C5AC8">
      <w:pPr>
        <w:pStyle w:val="TOC2"/>
        <w:rPr>
          <w:rFonts w:asciiTheme="minorHAnsi" w:eastAsiaTheme="minorEastAsia" w:hAnsiTheme="minorHAnsi" w:cstheme="minorBidi"/>
          <w:bCs w:val="0"/>
          <w:noProof/>
          <w:kern w:val="0"/>
          <w:szCs w:val="22"/>
        </w:rPr>
      </w:pPr>
      <w:hyperlink w:anchor="_Toc319328237" w:history="1">
        <w:r w:rsidR="0016086D" w:rsidRPr="000C02DF">
          <w:rPr>
            <w:rStyle w:val="Hyperlink"/>
            <w:noProof/>
            <w:u w:color="000000"/>
          </w:rPr>
          <w:t>4.1</w:t>
        </w:r>
        <w:r w:rsidR="0016086D">
          <w:rPr>
            <w:rFonts w:asciiTheme="minorHAnsi" w:eastAsiaTheme="minorEastAsia" w:hAnsiTheme="minorHAnsi" w:cstheme="minorBidi"/>
            <w:bCs w:val="0"/>
            <w:noProof/>
            <w:kern w:val="0"/>
            <w:szCs w:val="22"/>
          </w:rPr>
          <w:tab/>
        </w:r>
        <w:r w:rsidR="0016086D" w:rsidRPr="000C02DF">
          <w:rPr>
            <w:rStyle w:val="Hyperlink"/>
            <w:noProof/>
          </w:rPr>
          <w:t>General requirements – content and purpose</w:t>
        </w:r>
        <w:r w:rsidR="0016086D">
          <w:rPr>
            <w:noProof/>
            <w:webHidden/>
          </w:rPr>
          <w:tab/>
        </w:r>
        <w:r>
          <w:rPr>
            <w:noProof/>
            <w:webHidden/>
          </w:rPr>
          <w:fldChar w:fldCharType="begin"/>
        </w:r>
        <w:r w:rsidR="0016086D">
          <w:rPr>
            <w:noProof/>
            <w:webHidden/>
          </w:rPr>
          <w:instrText xml:space="preserve"> PAGEREF _Toc319328237 \h </w:instrText>
        </w:r>
        <w:r>
          <w:rPr>
            <w:noProof/>
            <w:webHidden/>
          </w:rPr>
        </w:r>
        <w:r>
          <w:rPr>
            <w:noProof/>
            <w:webHidden/>
          </w:rPr>
          <w:fldChar w:fldCharType="separate"/>
        </w:r>
        <w:r w:rsidR="0016086D">
          <w:rPr>
            <w:noProof/>
            <w:webHidden/>
          </w:rPr>
          <w:t>7</w:t>
        </w:r>
        <w:r>
          <w:rPr>
            <w:noProof/>
            <w:webHidden/>
          </w:rPr>
          <w:fldChar w:fldCharType="end"/>
        </w:r>
      </w:hyperlink>
    </w:p>
    <w:p w:rsidR="0016086D" w:rsidRDefault="009C5AC8">
      <w:pPr>
        <w:pStyle w:val="TOC2"/>
        <w:rPr>
          <w:rFonts w:asciiTheme="minorHAnsi" w:eastAsiaTheme="minorEastAsia" w:hAnsiTheme="minorHAnsi" w:cstheme="minorBidi"/>
          <w:bCs w:val="0"/>
          <w:noProof/>
          <w:kern w:val="0"/>
          <w:szCs w:val="22"/>
        </w:rPr>
      </w:pPr>
      <w:hyperlink w:anchor="_Toc319328238" w:history="1">
        <w:r w:rsidR="0016086D" w:rsidRPr="000C02DF">
          <w:rPr>
            <w:rStyle w:val="Hyperlink"/>
            <w:noProof/>
            <w:u w:color="000000"/>
          </w:rPr>
          <w:t>4.2</w:t>
        </w:r>
        <w:r w:rsidR="0016086D">
          <w:rPr>
            <w:rFonts w:asciiTheme="minorHAnsi" w:eastAsiaTheme="minorEastAsia" w:hAnsiTheme="minorHAnsi" w:cstheme="minorBidi"/>
            <w:bCs w:val="0"/>
            <w:noProof/>
            <w:kern w:val="0"/>
            <w:szCs w:val="22"/>
          </w:rPr>
          <w:tab/>
        </w:r>
        <w:r w:rsidR="0016086D" w:rsidRPr="000C02DF">
          <w:rPr>
            <w:rStyle w:val="Hyperlink"/>
            <w:rFonts w:cs="Arial"/>
            <w:noProof/>
          </w:rPr>
          <w:t>A written plan for the preparation of the safety case</w:t>
        </w:r>
        <w:r w:rsidR="0016086D">
          <w:rPr>
            <w:noProof/>
            <w:webHidden/>
          </w:rPr>
          <w:tab/>
        </w:r>
        <w:r>
          <w:rPr>
            <w:noProof/>
            <w:webHidden/>
          </w:rPr>
          <w:fldChar w:fldCharType="begin"/>
        </w:r>
        <w:r w:rsidR="0016086D">
          <w:rPr>
            <w:noProof/>
            <w:webHidden/>
          </w:rPr>
          <w:instrText xml:space="preserve"> PAGEREF _Toc319328238 \h </w:instrText>
        </w:r>
        <w:r>
          <w:rPr>
            <w:noProof/>
            <w:webHidden/>
          </w:rPr>
        </w:r>
        <w:r>
          <w:rPr>
            <w:noProof/>
            <w:webHidden/>
          </w:rPr>
          <w:fldChar w:fldCharType="separate"/>
        </w:r>
        <w:r w:rsidR="0016086D">
          <w:rPr>
            <w:noProof/>
            <w:webHidden/>
          </w:rPr>
          <w:t>7</w:t>
        </w:r>
        <w:r>
          <w:rPr>
            <w:noProof/>
            <w:webHidden/>
          </w:rPr>
          <w:fldChar w:fldCharType="end"/>
        </w:r>
      </w:hyperlink>
    </w:p>
    <w:p w:rsidR="0016086D" w:rsidRDefault="009C5AC8">
      <w:pPr>
        <w:pStyle w:val="TOC2"/>
        <w:rPr>
          <w:rFonts w:asciiTheme="minorHAnsi" w:eastAsiaTheme="minorEastAsia" w:hAnsiTheme="minorHAnsi" w:cstheme="minorBidi"/>
          <w:bCs w:val="0"/>
          <w:noProof/>
          <w:kern w:val="0"/>
          <w:szCs w:val="22"/>
        </w:rPr>
      </w:pPr>
      <w:hyperlink w:anchor="_Toc319328239" w:history="1">
        <w:r w:rsidR="0016086D" w:rsidRPr="000C02DF">
          <w:rPr>
            <w:rStyle w:val="Hyperlink"/>
            <w:noProof/>
            <w:u w:color="000000"/>
          </w:rPr>
          <w:t>4.3</w:t>
        </w:r>
        <w:r w:rsidR="0016086D">
          <w:rPr>
            <w:rFonts w:asciiTheme="minorHAnsi" w:eastAsiaTheme="minorEastAsia" w:hAnsiTheme="minorHAnsi" w:cstheme="minorBidi"/>
            <w:bCs w:val="0"/>
            <w:noProof/>
            <w:kern w:val="0"/>
            <w:szCs w:val="22"/>
          </w:rPr>
          <w:tab/>
        </w:r>
        <w:r w:rsidR="0016086D" w:rsidRPr="000C02DF">
          <w:rPr>
            <w:rStyle w:val="Hyperlink"/>
            <w:noProof/>
          </w:rPr>
          <w:t>A description of the methods to be used in preparing the safety case</w:t>
        </w:r>
        <w:r w:rsidR="0016086D">
          <w:rPr>
            <w:noProof/>
            <w:webHidden/>
          </w:rPr>
          <w:tab/>
        </w:r>
        <w:r>
          <w:rPr>
            <w:noProof/>
            <w:webHidden/>
          </w:rPr>
          <w:fldChar w:fldCharType="begin"/>
        </w:r>
        <w:r w:rsidR="0016086D">
          <w:rPr>
            <w:noProof/>
            <w:webHidden/>
          </w:rPr>
          <w:instrText xml:space="preserve"> PAGEREF _Toc319328239 \h </w:instrText>
        </w:r>
        <w:r>
          <w:rPr>
            <w:noProof/>
            <w:webHidden/>
          </w:rPr>
        </w:r>
        <w:r>
          <w:rPr>
            <w:noProof/>
            <w:webHidden/>
          </w:rPr>
          <w:fldChar w:fldCharType="separate"/>
        </w:r>
        <w:r w:rsidR="0016086D">
          <w:rPr>
            <w:noProof/>
            <w:webHidden/>
          </w:rPr>
          <w:t>8</w:t>
        </w:r>
        <w:r>
          <w:rPr>
            <w:noProof/>
            <w:webHidden/>
          </w:rPr>
          <w:fldChar w:fldCharType="end"/>
        </w:r>
      </w:hyperlink>
    </w:p>
    <w:p w:rsidR="0016086D" w:rsidRDefault="009C5AC8">
      <w:pPr>
        <w:pStyle w:val="TOC2"/>
        <w:rPr>
          <w:rFonts w:asciiTheme="minorHAnsi" w:eastAsiaTheme="minorEastAsia" w:hAnsiTheme="minorHAnsi" w:cstheme="minorBidi"/>
          <w:bCs w:val="0"/>
          <w:noProof/>
          <w:kern w:val="0"/>
          <w:szCs w:val="22"/>
        </w:rPr>
      </w:pPr>
      <w:hyperlink w:anchor="_Toc319328240" w:history="1">
        <w:r w:rsidR="0016086D" w:rsidRPr="000C02DF">
          <w:rPr>
            <w:rStyle w:val="Hyperlink"/>
            <w:noProof/>
            <w:u w:color="000000"/>
          </w:rPr>
          <w:t>4.4</w:t>
        </w:r>
        <w:r w:rsidR="0016086D">
          <w:rPr>
            <w:rFonts w:asciiTheme="minorHAnsi" w:eastAsiaTheme="minorEastAsia" w:hAnsiTheme="minorHAnsi" w:cstheme="minorBidi"/>
            <w:bCs w:val="0"/>
            <w:noProof/>
            <w:kern w:val="0"/>
            <w:szCs w:val="22"/>
          </w:rPr>
          <w:tab/>
        </w:r>
        <w:r w:rsidR="0016086D" w:rsidRPr="000C02DF">
          <w:rPr>
            <w:rStyle w:val="Hyperlink"/>
            <w:noProof/>
          </w:rPr>
          <w:t>Details of the resources to be applied in preparing the safety case</w:t>
        </w:r>
        <w:r w:rsidR="0016086D">
          <w:rPr>
            <w:noProof/>
            <w:webHidden/>
          </w:rPr>
          <w:tab/>
        </w:r>
        <w:r>
          <w:rPr>
            <w:noProof/>
            <w:webHidden/>
          </w:rPr>
          <w:fldChar w:fldCharType="begin"/>
        </w:r>
        <w:r w:rsidR="0016086D">
          <w:rPr>
            <w:noProof/>
            <w:webHidden/>
          </w:rPr>
          <w:instrText xml:space="preserve"> PAGEREF _Toc319328240 \h </w:instrText>
        </w:r>
        <w:r>
          <w:rPr>
            <w:noProof/>
            <w:webHidden/>
          </w:rPr>
        </w:r>
        <w:r>
          <w:rPr>
            <w:noProof/>
            <w:webHidden/>
          </w:rPr>
          <w:fldChar w:fldCharType="separate"/>
        </w:r>
        <w:r w:rsidR="0016086D">
          <w:rPr>
            <w:noProof/>
            <w:webHidden/>
          </w:rPr>
          <w:t>9</w:t>
        </w:r>
        <w:r>
          <w:rPr>
            <w:noProof/>
            <w:webHidden/>
          </w:rPr>
          <w:fldChar w:fldCharType="end"/>
        </w:r>
      </w:hyperlink>
    </w:p>
    <w:p w:rsidR="0016086D" w:rsidRDefault="009C5AC8">
      <w:pPr>
        <w:pStyle w:val="TOC2"/>
        <w:rPr>
          <w:rFonts w:asciiTheme="minorHAnsi" w:eastAsiaTheme="minorEastAsia" w:hAnsiTheme="minorHAnsi" w:cstheme="minorBidi"/>
          <w:bCs w:val="0"/>
          <w:noProof/>
          <w:kern w:val="0"/>
          <w:szCs w:val="22"/>
        </w:rPr>
      </w:pPr>
      <w:hyperlink w:anchor="_Toc319328241" w:history="1">
        <w:r w:rsidR="0016086D" w:rsidRPr="000C02DF">
          <w:rPr>
            <w:rStyle w:val="Hyperlink"/>
            <w:noProof/>
            <w:u w:color="000000"/>
          </w:rPr>
          <w:t>4.5</w:t>
        </w:r>
        <w:r w:rsidR="0016086D">
          <w:rPr>
            <w:rFonts w:asciiTheme="minorHAnsi" w:eastAsiaTheme="minorEastAsia" w:hAnsiTheme="minorHAnsi" w:cstheme="minorBidi"/>
            <w:bCs w:val="0"/>
            <w:noProof/>
            <w:kern w:val="0"/>
            <w:szCs w:val="22"/>
          </w:rPr>
          <w:tab/>
        </w:r>
        <w:r w:rsidR="0016086D" w:rsidRPr="000C02DF">
          <w:rPr>
            <w:rStyle w:val="Hyperlink"/>
            <w:noProof/>
          </w:rPr>
          <w:t>A description of consultation</w:t>
        </w:r>
        <w:r w:rsidR="0016086D">
          <w:rPr>
            <w:noProof/>
            <w:webHidden/>
          </w:rPr>
          <w:tab/>
        </w:r>
        <w:r>
          <w:rPr>
            <w:noProof/>
            <w:webHidden/>
          </w:rPr>
          <w:fldChar w:fldCharType="begin"/>
        </w:r>
        <w:r w:rsidR="0016086D">
          <w:rPr>
            <w:noProof/>
            <w:webHidden/>
          </w:rPr>
          <w:instrText xml:space="preserve"> PAGEREF _Toc319328241 \h </w:instrText>
        </w:r>
        <w:r>
          <w:rPr>
            <w:noProof/>
            <w:webHidden/>
          </w:rPr>
        </w:r>
        <w:r>
          <w:rPr>
            <w:noProof/>
            <w:webHidden/>
          </w:rPr>
          <w:fldChar w:fldCharType="separate"/>
        </w:r>
        <w:r w:rsidR="0016086D">
          <w:rPr>
            <w:noProof/>
            <w:webHidden/>
          </w:rPr>
          <w:t>10</w:t>
        </w:r>
        <w:r>
          <w:rPr>
            <w:noProof/>
            <w:webHidden/>
          </w:rPr>
          <w:fldChar w:fldCharType="end"/>
        </w:r>
      </w:hyperlink>
    </w:p>
    <w:p w:rsidR="0016086D" w:rsidRDefault="009C5AC8">
      <w:pPr>
        <w:pStyle w:val="TOC2"/>
        <w:rPr>
          <w:rFonts w:asciiTheme="minorHAnsi" w:eastAsiaTheme="minorEastAsia" w:hAnsiTheme="minorHAnsi" w:cstheme="minorBidi"/>
          <w:bCs w:val="0"/>
          <w:noProof/>
          <w:kern w:val="0"/>
          <w:szCs w:val="22"/>
        </w:rPr>
      </w:pPr>
      <w:hyperlink w:anchor="_Toc319328242" w:history="1">
        <w:r w:rsidR="0016086D" w:rsidRPr="000C02DF">
          <w:rPr>
            <w:rStyle w:val="Hyperlink"/>
            <w:noProof/>
            <w:u w:color="000000"/>
          </w:rPr>
          <w:t>4.6</w:t>
        </w:r>
        <w:r w:rsidR="0016086D">
          <w:rPr>
            <w:rFonts w:asciiTheme="minorHAnsi" w:eastAsiaTheme="minorEastAsia" w:hAnsiTheme="minorHAnsi" w:cstheme="minorBidi"/>
            <w:bCs w:val="0"/>
            <w:noProof/>
            <w:kern w:val="0"/>
            <w:szCs w:val="22"/>
          </w:rPr>
          <w:tab/>
        </w:r>
        <w:r w:rsidR="0016086D" w:rsidRPr="000C02DF">
          <w:rPr>
            <w:rStyle w:val="Hyperlink"/>
            <w:noProof/>
          </w:rPr>
          <w:t>Other inclusions (regulation 552 (e) &amp; (f))</w:t>
        </w:r>
        <w:r w:rsidR="0016086D">
          <w:rPr>
            <w:noProof/>
            <w:webHidden/>
          </w:rPr>
          <w:tab/>
        </w:r>
        <w:r>
          <w:rPr>
            <w:noProof/>
            <w:webHidden/>
          </w:rPr>
          <w:fldChar w:fldCharType="begin"/>
        </w:r>
        <w:r w:rsidR="0016086D">
          <w:rPr>
            <w:noProof/>
            <w:webHidden/>
          </w:rPr>
          <w:instrText xml:space="preserve"> PAGEREF _Toc319328242 \h </w:instrText>
        </w:r>
        <w:r>
          <w:rPr>
            <w:noProof/>
            <w:webHidden/>
          </w:rPr>
        </w:r>
        <w:r>
          <w:rPr>
            <w:noProof/>
            <w:webHidden/>
          </w:rPr>
          <w:fldChar w:fldCharType="separate"/>
        </w:r>
        <w:r w:rsidR="0016086D">
          <w:rPr>
            <w:noProof/>
            <w:webHidden/>
          </w:rPr>
          <w:t>10</w:t>
        </w:r>
        <w:r>
          <w:rPr>
            <w:noProof/>
            <w:webHidden/>
          </w:rPr>
          <w:fldChar w:fldCharType="end"/>
        </w:r>
      </w:hyperlink>
    </w:p>
    <w:p w:rsidR="0016086D" w:rsidRDefault="009C5AC8">
      <w:pPr>
        <w:pStyle w:val="TOC1"/>
        <w:rPr>
          <w:rFonts w:asciiTheme="minorHAnsi" w:eastAsiaTheme="minorEastAsia" w:hAnsiTheme="minorHAnsi" w:cstheme="minorBidi"/>
          <w:b w:val="0"/>
          <w:caps w:val="0"/>
          <w:sz w:val="22"/>
        </w:rPr>
      </w:pPr>
      <w:hyperlink w:anchor="_Toc319328243" w:history="1">
        <w:r w:rsidR="0016086D" w:rsidRPr="000C02DF">
          <w:rPr>
            <w:rStyle w:val="Hyperlink"/>
          </w:rPr>
          <w:t>5.</w:t>
        </w:r>
        <w:r w:rsidR="0016086D">
          <w:rPr>
            <w:rFonts w:asciiTheme="minorHAnsi" w:eastAsiaTheme="minorEastAsia" w:hAnsiTheme="minorHAnsi" w:cstheme="minorBidi"/>
            <w:b w:val="0"/>
            <w:caps w:val="0"/>
            <w:sz w:val="22"/>
          </w:rPr>
          <w:tab/>
        </w:r>
        <w:r w:rsidR="0016086D" w:rsidRPr="000C02DF">
          <w:rPr>
            <w:rStyle w:val="Hyperlink"/>
          </w:rPr>
          <w:t>Checklist</w:t>
        </w:r>
        <w:r w:rsidR="0016086D">
          <w:rPr>
            <w:webHidden/>
          </w:rPr>
          <w:tab/>
        </w:r>
        <w:r>
          <w:rPr>
            <w:webHidden/>
          </w:rPr>
          <w:fldChar w:fldCharType="begin"/>
        </w:r>
        <w:r w:rsidR="0016086D">
          <w:rPr>
            <w:webHidden/>
          </w:rPr>
          <w:instrText xml:space="preserve"> PAGEREF _Toc319328243 \h </w:instrText>
        </w:r>
        <w:r>
          <w:rPr>
            <w:webHidden/>
          </w:rPr>
        </w:r>
        <w:r>
          <w:rPr>
            <w:webHidden/>
          </w:rPr>
          <w:fldChar w:fldCharType="separate"/>
        </w:r>
        <w:r w:rsidR="0016086D">
          <w:rPr>
            <w:webHidden/>
          </w:rPr>
          <w:t>11</w:t>
        </w:r>
        <w:r>
          <w:rPr>
            <w:webHidden/>
          </w:rPr>
          <w:fldChar w:fldCharType="end"/>
        </w:r>
      </w:hyperlink>
    </w:p>
    <w:p w:rsidR="0016086D" w:rsidRDefault="009C5AC8">
      <w:pPr>
        <w:pStyle w:val="TOC1"/>
        <w:rPr>
          <w:rFonts w:asciiTheme="minorHAnsi" w:eastAsiaTheme="minorEastAsia" w:hAnsiTheme="minorHAnsi" w:cstheme="minorBidi"/>
          <w:b w:val="0"/>
          <w:caps w:val="0"/>
          <w:sz w:val="22"/>
        </w:rPr>
      </w:pPr>
      <w:hyperlink w:anchor="_Toc319328244" w:history="1">
        <w:r w:rsidR="0016086D" w:rsidRPr="000C02DF">
          <w:rPr>
            <w:rStyle w:val="Hyperlink"/>
          </w:rPr>
          <w:t>Appendix A – WHS Regulations</w:t>
        </w:r>
        <w:r w:rsidR="0016086D">
          <w:rPr>
            <w:webHidden/>
          </w:rPr>
          <w:tab/>
        </w:r>
        <w:r>
          <w:rPr>
            <w:webHidden/>
          </w:rPr>
          <w:fldChar w:fldCharType="begin"/>
        </w:r>
        <w:r w:rsidR="0016086D">
          <w:rPr>
            <w:webHidden/>
          </w:rPr>
          <w:instrText xml:space="preserve"> PAGEREF _Toc319328244 \h </w:instrText>
        </w:r>
        <w:r>
          <w:rPr>
            <w:webHidden/>
          </w:rPr>
        </w:r>
        <w:r>
          <w:rPr>
            <w:webHidden/>
          </w:rPr>
          <w:fldChar w:fldCharType="separate"/>
        </w:r>
        <w:r w:rsidR="0016086D">
          <w:rPr>
            <w:webHidden/>
          </w:rPr>
          <w:t>12</w:t>
        </w:r>
        <w:r>
          <w:rPr>
            <w:webHidden/>
          </w:rPr>
          <w:fldChar w:fldCharType="end"/>
        </w:r>
      </w:hyperlink>
    </w:p>
    <w:p w:rsidR="0016086D" w:rsidRDefault="009C5AC8">
      <w:pPr>
        <w:pStyle w:val="TOC1"/>
        <w:rPr>
          <w:rFonts w:asciiTheme="minorHAnsi" w:eastAsiaTheme="minorEastAsia" w:hAnsiTheme="minorHAnsi" w:cstheme="minorBidi"/>
          <w:b w:val="0"/>
          <w:caps w:val="0"/>
          <w:sz w:val="22"/>
        </w:rPr>
      </w:pPr>
      <w:hyperlink w:anchor="_Toc319328245" w:history="1">
        <w:r w:rsidR="0016086D" w:rsidRPr="000C02DF">
          <w:rPr>
            <w:rStyle w:val="Hyperlink"/>
          </w:rPr>
          <w:t>Appendix B – Definitions</w:t>
        </w:r>
        <w:r w:rsidR="0016086D">
          <w:rPr>
            <w:webHidden/>
          </w:rPr>
          <w:tab/>
        </w:r>
        <w:r>
          <w:rPr>
            <w:webHidden/>
          </w:rPr>
          <w:fldChar w:fldCharType="begin"/>
        </w:r>
        <w:r w:rsidR="0016086D">
          <w:rPr>
            <w:webHidden/>
          </w:rPr>
          <w:instrText xml:space="preserve"> PAGEREF _Toc319328245 \h </w:instrText>
        </w:r>
        <w:r>
          <w:rPr>
            <w:webHidden/>
          </w:rPr>
        </w:r>
        <w:r>
          <w:rPr>
            <w:webHidden/>
          </w:rPr>
          <w:fldChar w:fldCharType="separate"/>
        </w:r>
        <w:r w:rsidR="0016086D">
          <w:rPr>
            <w:webHidden/>
          </w:rPr>
          <w:t>14</w:t>
        </w:r>
        <w:r>
          <w:rPr>
            <w:webHidden/>
          </w:rPr>
          <w:fldChar w:fldCharType="end"/>
        </w:r>
      </w:hyperlink>
    </w:p>
    <w:p w:rsidR="0016086D" w:rsidRDefault="009C5AC8">
      <w:pPr>
        <w:pStyle w:val="TOC1"/>
        <w:rPr>
          <w:rFonts w:asciiTheme="minorHAnsi" w:eastAsiaTheme="minorEastAsia" w:hAnsiTheme="minorHAnsi" w:cstheme="minorBidi"/>
          <w:b w:val="0"/>
          <w:caps w:val="0"/>
          <w:sz w:val="22"/>
        </w:rPr>
      </w:pPr>
      <w:hyperlink w:anchor="_Toc319328246" w:history="1">
        <w:r w:rsidR="0016086D" w:rsidRPr="000C02DF">
          <w:rPr>
            <w:rStyle w:val="Hyperlink"/>
          </w:rPr>
          <w:t>Appendix C – Further information</w:t>
        </w:r>
        <w:r w:rsidR="0016086D">
          <w:rPr>
            <w:webHidden/>
          </w:rPr>
          <w:tab/>
        </w:r>
        <w:r>
          <w:rPr>
            <w:webHidden/>
          </w:rPr>
          <w:fldChar w:fldCharType="begin"/>
        </w:r>
        <w:r w:rsidR="0016086D">
          <w:rPr>
            <w:webHidden/>
          </w:rPr>
          <w:instrText xml:space="preserve"> PAGEREF _Toc319328246 \h </w:instrText>
        </w:r>
        <w:r>
          <w:rPr>
            <w:webHidden/>
          </w:rPr>
        </w:r>
        <w:r>
          <w:rPr>
            <w:webHidden/>
          </w:rPr>
          <w:fldChar w:fldCharType="separate"/>
        </w:r>
        <w:r w:rsidR="0016086D">
          <w:rPr>
            <w:webHidden/>
          </w:rPr>
          <w:t>17</w:t>
        </w:r>
        <w:r>
          <w:rPr>
            <w:webHidden/>
          </w:rPr>
          <w:fldChar w:fldCharType="end"/>
        </w:r>
      </w:hyperlink>
    </w:p>
    <w:p w:rsidR="006D1451" w:rsidRPr="00AB22B2" w:rsidRDefault="009C5AC8" w:rsidP="00120D62">
      <w:pPr>
        <w:spacing w:after="120"/>
        <w:rPr>
          <w:rFonts w:cs="Arial"/>
          <w:b/>
          <w:sz w:val="26"/>
          <w:szCs w:val="26"/>
        </w:rPr>
      </w:pPr>
      <w:r>
        <w:rPr>
          <w:caps/>
          <w:sz w:val="26"/>
          <w:szCs w:val="26"/>
        </w:rPr>
        <w:fldChar w:fldCharType="end"/>
      </w:r>
    </w:p>
    <w:p w:rsidR="006D1451" w:rsidRPr="00AB22B2" w:rsidRDefault="006D1451" w:rsidP="00747A1D">
      <w:pPr>
        <w:spacing w:after="120"/>
        <w:rPr>
          <w:rFonts w:cs="Arial"/>
          <w:b/>
          <w:sz w:val="26"/>
          <w:szCs w:val="26"/>
        </w:rPr>
      </w:pPr>
    </w:p>
    <w:p w:rsidR="009B5343" w:rsidRDefault="006D1451" w:rsidP="009B5343">
      <w:pPr>
        <w:pStyle w:val="Heading1"/>
      </w:pPr>
      <w:r w:rsidRPr="00AB22B2">
        <w:rPr>
          <w:rFonts w:cs="Arial"/>
          <w:b w:val="0"/>
        </w:rPr>
        <w:br w:type="page"/>
      </w:r>
      <w:bookmarkStart w:id="0" w:name="_Toc314233075"/>
      <w:bookmarkStart w:id="1" w:name="_Toc319328233"/>
      <w:bookmarkEnd w:id="0"/>
      <w:r w:rsidRPr="00753133">
        <w:lastRenderedPageBreak/>
        <w:t>Introduction</w:t>
      </w:r>
      <w:bookmarkEnd w:id="1"/>
    </w:p>
    <w:p w:rsidR="009B5343" w:rsidRDefault="006D1451" w:rsidP="009B5343">
      <w:r w:rsidRPr="00A23A0E">
        <w:t>A safety case outline is a plan for the preparation of a safety case for a major hazard facility (MHF). It is essentially a project plan for the preparation of the safety case. A well</w:t>
      </w:r>
      <w:r>
        <w:t>-</w:t>
      </w:r>
      <w:r w:rsidRPr="00A23A0E">
        <w:t xml:space="preserve">developed safety case outline will help the MHF operator to plan for and produce a safety case that meets the requirements of Chapter 9 - </w:t>
      </w:r>
      <w:r w:rsidRPr="00A23A0E">
        <w:rPr>
          <w:i/>
          <w:iCs/>
        </w:rPr>
        <w:t xml:space="preserve">Major hazard facilities </w:t>
      </w:r>
      <w:r w:rsidRPr="00A23A0E">
        <w:t xml:space="preserve">of the Work Health and Safety </w:t>
      </w:r>
      <w:r>
        <w:t xml:space="preserve">(WHS) </w:t>
      </w:r>
      <w:r w:rsidRPr="00A23A0E">
        <w:t>Regulations</w:t>
      </w:r>
      <w:r>
        <w:t>.</w:t>
      </w:r>
    </w:p>
    <w:p w:rsidR="009B5343" w:rsidRDefault="006D1451" w:rsidP="009B5343">
      <w:r w:rsidRPr="00A23A0E">
        <w:t>The safety case outline sets out information, including a timetable, to explain how the MHF operator will prepare a safety case that meets these requirements. It should provide a clear picture of what the operator will do, how and when.</w:t>
      </w:r>
    </w:p>
    <w:p w:rsidR="009B5343" w:rsidRDefault="006D1451" w:rsidP="009B5343">
      <w:r w:rsidRPr="00A23A0E">
        <w:t>The safety case outline may also be used by the regulator to plan its interactions (such as site visits or requests for further information).</w:t>
      </w:r>
    </w:p>
    <w:p w:rsidR="009B5343" w:rsidRDefault="006D1451" w:rsidP="009B5343">
      <w:r w:rsidRPr="00A23A0E">
        <w:t>The intended outcome is a safety case outline that meets regulatory requirements and will be used by the operator as a project plan for the preparation of an acceptable safety case delivered on time to the regulator.</w:t>
      </w:r>
    </w:p>
    <w:p w:rsidR="009B5343" w:rsidRDefault="006D1451" w:rsidP="009B5343">
      <w:r w:rsidRPr="00A23A0E">
        <w:t>The safety case itself is a written presentation of technical, management and operational information about the hazards and risks that may lead to a major incident at a MHF, and the control of these hazards and risks. In the safety case, the MHF operator provides justification for the measures the operator has taken to ensure the safe operation of the MHF. By focusing attention on major incident prevention, the safety case can improve safety at the MHF.</w:t>
      </w:r>
    </w:p>
    <w:p w:rsidR="009B5343" w:rsidRDefault="006D1451" w:rsidP="009B5343">
      <w:r w:rsidRPr="00A23A0E">
        <w:t>The safety case forms part of the MHF operator’s application for a MHF licence.</w:t>
      </w:r>
      <w:r w:rsidR="00C061B3">
        <w:t xml:space="preserve"> </w:t>
      </w:r>
      <w:r w:rsidRPr="00A23A0E">
        <w:t>Details about the information required in a safety case</w:t>
      </w:r>
      <w:r>
        <w:t xml:space="preserve"> are provided in the </w:t>
      </w:r>
      <w:r w:rsidR="009B5343" w:rsidRPr="009B5343">
        <w:rPr>
          <w:i/>
        </w:rPr>
        <w:t>Guide for Major Hazard Facilities: Preparation of a Safety Case</w:t>
      </w:r>
      <w:r>
        <w:t>.</w:t>
      </w:r>
    </w:p>
    <w:p w:rsidR="009B5343" w:rsidRDefault="006D1451" w:rsidP="009B5343">
      <w:r>
        <w:t>This Guide forms part of a set of guidance material for MHFs that includes information on:</w:t>
      </w:r>
    </w:p>
    <w:p w:rsidR="009B5343" w:rsidRDefault="006D1451" w:rsidP="009B5343">
      <w:pPr>
        <w:pStyle w:val="Bullet1"/>
      </w:pPr>
      <w:r>
        <w:t>Notification and Determination</w:t>
      </w:r>
    </w:p>
    <w:p w:rsidR="009B5343" w:rsidRDefault="006D1451" w:rsidP="009B5343">
      <w:pPr>
        <w:pStyle w:val="Bullet1"/>
      </w:pPr>
      <w:r>
        <w:t>Safety Assessment</w:t>
      </w:r>
    </w:p>
    <w:p w:rsidR="009B5343" w:rsidRDefault="006D1451" w:rsidP="009B5343">
      <w:pPr>
        <w:pStyle w:val="Bullet1"/>
      </w:pPr>
      <w:r>
        <w:t>Safety Management Systems</w:t>
      </w:r>
    </w:p>
    <w:p w:rsidR="009B5343" w:rsidRDefault="006D1451" w:rsidP="009B5343">
      <w:pPr>
        <w:pStyle w:val="Bullet1"/>
        <w:rPr>
          <w:rFonts w:cs="Arial"/>
        </w:rPr>
      </w:pPr>
      <w:r>
        <w:rPr>
          <w:rFonts w:cs="Arial"/>
        </w:rPr>
        <w:t>Preparation of a Safety Case</w:t>
      </w:r>
    </w:p>
    <w:p w:rsidR="009B5343" w:rsidRDefault="006D1451" w:rsidP="009B5343">
      <w:pPr>
        <w:pStyle w:val="Bullet1"/>
        <w:rPr>
          <w:rFonts w:cs="Arial"/>
        </w:rPr>
      </w:pPr>
      <w:r>
        <w:rPr>
          <w:rFonts w:cs="Arial"/>
        </w:rPr>
        <w:t>Safety Case: Demonstrating the Adequacy of Safety Management and Control Measures</w:t>
      </w:r>
    </w:p>
    <w:p w:rsidR="009B5343" w:rsidRDefault="006D1451" w:rsidP="009B5343">
      <w:pPr>
        <w:pStyle w:val="Bullet1"/>
        <w:rPr>
          <w:rFonts w:cs="Arial"/>
        </w:rPr>
      </w:pPr>
      <w:r>
        <w:rPr>
          <w:rFonts w:cs="Arial"/>
        </w:rPr>
        <w:t>Information, Training and Instruction for Workers and Other Persons at the Facility</w:t>
      </w:r>
    </w:p>
    <w:p w:rsidR="009B5343" w:rsidRDefault="006D1451" w:rsidP="009B5343">
      <w:pPr>
        <w:pStyle w:val="Bullet1"/>
        <w:rPr>
          <w:rFonts w:cs="Arial"/>
        </w:rPr>
      </w:pPr>
      <w:r>
        <w:rPr>
          <w:rFonts w:cs="Arial"/>
        </w:rPr>
        <w:t>Providing Information to the Community</w:t>
      </w:r>
    </w:p>
    <w:p w:rsidR="009B5343" w:rsidRDefault="006D1451" w:rsidP="009B5343">
      <w:pPr>
        <w:pStyle w:val="Bullet1"/>
        <w:rPr>
          <w:rFonts w:cs="Arial"/>
        </w:rPr>
      </w:pPr>
      <w:r>
        <w:rPr>
          <w:rFonts w:cs="Arial"/>
        </w:rPr>
        <w:t>Emergency Plans.</w:t>
      </w:r>
    </w:p>
    <w:p w:rsidR="009B5343" w:rsidRPr="00C061B3" w:rsidRDefault="006D1451" w:rsidP="00C061B3">
      <w:pPr>
        <w:rPr>
          <w:b/>
          <w:i/>
        </w:rPr>
      </w:pPr>
      <w:r w:rsidRPr="00C061B3">
        <w:rPr>
          <w:b/>
          <w:i/>
        </w:rPr>
        <w:t>What do the Regulations require?</w:t>
      </w:r>
    </w:p>
    <w:p w:rsidR="006D1451" w:rsidRPr="00AB22B2" w:rsidRDefault="006D1451" w:rsidP="006934BC">
      <w:r w:rsidRPr="00AB22B2">
        <w:t xml:space="preserve">The operator of a determined MHF must provide a safety case outline to the regulator within </w:t>
      </w:r>
      <w:r>
        <w:t>three</w:t>
      </w:r>
      <w:r w:rsidRPr="00AB22B2">
        <w:t xml:space="preserve"> months after the determination of the MHF. The WHS Regulations set out the matters </w:t>
      </w:r>
      <w:r>
        <w:t>that</w:t>
      </w:r>
      <w:r w:rsidRPr="00AB22B2">
        <w:t xml:space="preserve"> must be included in the safety case outline.</w:t>
      </w:r>
    </w:p>
    <w:p w:rsidR="009B5343" w:rsidRDefault="006D1451" w:rsidP="009B5343">
      <w:r w:rsidRPr="00AB22B2">
        <w:t>Further details of the WHS Regulations are set out in Appendix A.</w:t>
      </w:r>
    </w:p>
    <w:p w:rsidR="009B5343" w:rsidRDefault="006D1451" w:rsidP="009B5343">
      <w:r w:rsidRPr="00AB22B2">
        <w:t xml:space="preserve">Relevant definitions are </w:t>
      </w:r>
      <w:r>
        <w:t xml:space="preserve">set out </w:t>
      </w:r>
      <w:r w:rsidRPr="00AB22B2">
        <w:t>in Appendix B.</w:t>
      </w:r>
    </w:p>
    <w:p w:rsidR="006D1451" w:rsidRPr="00096486" w:rsidRDefault="006D1451" w:rsidP="006934BC">
      <w:pPr>
        <w:pStyle w:val="Heading1"/>
      </w:pPr>
      <w:r>
        <w:br w:type="page"/>
      </w:r>
      <w:bookmarkStart w:id="2" w:name="_Toc319328234"/>
      <w:r w:rsidRPr="00AB22B2">
        <w:lastRenderedPageBreak/>
        <w:t xml:space="preserve">Steps in </w:t>
      </w:r>
      <w:r w:rsidRPr="006934BC">
        <w:t>preparing</w:t>
      </w:r>
      <w:r w:rsidRPr="00AB22B2">
        <w:t xml:space="preserve"> the safety case outline</w:t>
      </w:r>
      <w:bookmarkEnd w:id="2"/>
    </w:p>
    <w:p w:rsidR="009B5343" w:rsidRDefault="006D1451" w:rsidP="009B5343">
      <w:r w:rsidRPr="00AB22B2">
        <w:t>The development of the safety case outline will generally require the MHF operator to:</w:t>
      </w:r>
    </w:p>
    <w:p w:rsidR="009B5343" w:rsidRDefault="006D1451" w:rsidP="009B5343">
      <w:pPr>
        <w:pStyle w:val="Bullet1"/>
      </w:pPr>
      <w:r w:rsidRPr="00AB22B2">
        <w:t>understand what processes and systems are required by Chapter 9 of the WHS Regulations</w:t>
      </w:r>
    </w:p>
    <w:p w:rsidR="009B5343" w:rsidRDefault="006D1451" w:rsidP="009B5343">
      <w:pPr>
        <w:pStyle w:val="Bullet1"/>
      </w:pPr>
      <w:r w:rsidRPr="00AB22B2">
        <w:t>understand the purpose of the safety case</w:t>
      </w:r>
    </w:p>
    <w:p w:rsidR="009B5343" w:rsidRDefault="006D1451" w:rsidP="009B5343">
      <w:pPr>
        <w:pStyle w:val="Bullet1"/>
      </w:pPr>
      <w:r w:rsidRPr="00AB22B2">
        <w:t xml:space="preserve">identify what information will be required to prepare the safety case </w:t>
      </w:r>
    </w:p>
    <w:p w:rsidR="009B5343" w:rsidRDefault="006D1451" w:rsidP="009B5343">
      <w:pPr>
        <w:pStyle w:val="Bullet1"/>
      </w:pPr>
      <w:r w:rsidRPr="00AB22B2">
        <w:t>identify any existing information that might be used to meet these requirements</w:t>
      </w:r>
    </w:p>
    <w:p w:rsidR="009B5343" w:rsidRDefault="006D1451" w:rsidP="009B5343">
      <w:pPr>
        <w:pStyle w:val="Bullet1"/>
      </w:pPr>
      <w:r w:rsidRPr="00AB22B2">
        <w:t>carry out a comparison or analysis which evaluates the existing information against the requirements and determine what extra information is required to prepare the safety case (gap analysis or similar)</w:t>
      </w:r>
    </w:p>
    <w:p w:rsidR="009B5343" w:rsidRDefault="006D1451" w:rsidP="009B5343">
      <w:pPr>
        <w:pStyle w:val="Bullet1"/>
      </w:pPr>
      <w:r w:rsidRPr="00AB22B2">
        <w:t>determine how to obtain the extra information</w:t>
      </w:r>
    </w:p>
    <w:p w:rsidR="009B5343" w:rsidRDefault="006D1451" w:rsidP="009B5343">
      <w:pPr>
        <w:pStyle w:val="Bullet1"/>
      </w:pPr>
      <w:r w:rsidRPr="00AB22B2">
        <w:t>plan to evaluate how well the MHF meets the requirements of Chapter 9 of the WHS Regulations, and how to establish what actions, systems or processes are required to meet any deficiencies</w:t>
      </w:r>
    </w:p>
    <w:p w:rsidR="009B5343" w:rsidRDefault="006D1451" w:rsidP="009B5343">
      <w:pPr>
        <w:pStyle w:val="Bullet1"/>
      </w:pPr>
      <w:r w:rsidRPr="00AB22B2">
        <w:t>write the safety case outline.</w:t>
      </w:r>
    </w:p>
    <w:p w:rsidR="009B5343" w:rsidRDefault="006D1451" w:rsidP="009B5343">
      <w:r w:rsidRPr="00AB22B2">
        <w:t xml:space="preserve">MHF operators </w:t>
      </w:r>
      <w:r>
        <w:t>should r</w:t>
      </w:r>
      <w:r w:rsidRPr="00AB22B2">
        <w:t xml:space="preserve">efer </w:t>
      </w:r>
      <w:r>
        <w:t>t</w:t>
      </w:r>
      <w:r w:rsidRPr="00AB22B2">
        <w:t xml:space="preserve">o the </w:t>
      </w:r>
      <w:r w:rsidRPr="00CD6883">
        <w:rPr>
          <w:i/>
        </w:rPr>
        <w:t>Guide for Major Hazard Facilities: Preparation of a Safety Case</w:t>
      </w:r>
      <w:r w:rsidDel="00842AF3">
        <w:t xml:space="preserve"> </w:t>
      </w:r>
      <w:r w:rsidRPr="00AB22B2">
        <w:t>during the preparation of their safety case outline.</w:t>
      </w:r>
    </w:p>
    <w:p w:rsidR="006D1451" w:rsidRDefault="009B5343">
      <w:r w:rsidRPr="009B5343">
        <w:t>Figure 1</w:t>
      </w:r>
      <w:r w:rsidR="006D1451" w:rsidRPr="00B559BC">
        <w:t xml:space="preserve"> </w:t>
      </w:r>
      <w:r w:rsidR="006D1451">
        <w:t>outlines</w:t>
      </w:r>
      <w:r w:rsidR="006D1451" w:rsidRPr="00AB22B2">
        <w:t xml:space="preserve"> the </w:t>
      </w:r>
      <w:r w:rsidR="006D1451">
        <w:t>steps involved in</w:t>
      </w:r>
      <w:r w:rsidR="006D1451" w:rsidRPr="00AB22B2">
        <w:t xml:space="preserve"> developing a safety case</w:t>
      </w:r>
      <w:r w:rsidR="006D1451">
        <w:t xml:space="preserve"> outline</w:t>
      </w:r>
      <w:r w:rsidR="006D1451" w:rsidRPr="00AB22B2">
        <w:t xml:space="preserve">. </w:t>
      </w:r>
    </w:p>
    <w:p w:rsidR="00C061B3" w:rsidRPr="00C061B3" w:rsidRDefault="00C061B3" w:rsidP="00C061B3">
      <w:pPr>
        <w:rPr>
          <w:b/>
          <w:i/>
        </w:rPr>
      </w:pPr>
      <w:r w:rsidRPr="00C061B3">
        <w:rPr>
          <w:b/>
          <w:i/>
        </w:rPr>
        <w:t>Who prepares the safety case outline?</w:t>
      </w:r>
    </w:p>
    <w:p w:rsidR="00C061B3" w:rsidRDefault="00C061B3" w:rsidP="00C061B3">
      <w:r w:rsidRPr="00AB22B2">
        <w:t>The MHF operator may decide to engage a suitably qualified and experienced person from outside the MHF to assist with the preparation of the safety case outline. However, the regulator expects the operator to have ownership of the safety case outline and the safety case</w:t>
      </w:r>
      <w:r>
        <w:t>.</w:t>
      </w:r>
      <w:r w:rsidRPr="00AB22B2">
        <w:t xml:space="preserve"> </w:t>
      </w:r>
      <w:r>
        <w:t>T</w:t>
      </w:r>
      <w:r w:rsidRPr="00AB22B2">
        <w:t xml:space="preserve">his means that people who work at the facility must be involved in the development of these documents and understand the decisions made and the implications of these decisions (see </w:t>
      </w:r>
      <w:r>
        <w:t>S</w:t>
      </w:r>
      <w:r w:rsidRPr="00AB22B2">
        <w:t xml:space="preserve">ection </w:t>
      </w:r>
      <w:r w:rsidR="0016086D">
        <w:t>4</w:t>
      </w:r>
      <w:r>
        <w:t>.5</w:t>
      </w:r>
      <w:r w:rsidRPr="00AB22B2">
        <w:t xml:space="preserve"> of this </w:t>
      </w:r>
      <w:r>
        <w:t>G</w:t>
      </w:r>
      <w:r w:rsidRPr="00AB22B2">
        <w:t>uide). External assistance should normally be limited to assistance with documentation, specialist advice that is used by the operator in making decisions, and provision of modelling or technical data. The MHF operator should demonstrate in the safety case outline that there is an appropriate balance between resources and knowledge from the MHF and those drawn from people outside the MHF.</w:t>
      </w:r>
    </w:p>
    <w:p w:rsidR="00C061B3" w:rsidRDefault="00C061B3">
      <w:pPr>
        <w:sectPr w:rsidR="00C061B3" w:rsidSect="00864A08">
          <w:headerReference w:type="default" r:id="rId10"/>
          <w:footerReference w:type="default" r:id="rId11"/>
          <w:headerReference w:type="first" r:id="rId12"/>
          <w:footerReference w:type="first" r:id="rId13"/>
          <w:pgSz w:w="11906" w:h="16838" w:code="9"/>
          <w:pgMar w:top="1418" w:right="1134" w:bottom="1418" w:left="1134" w:header="709" w:footer="164" w:gutter="0"/>
          <w:cols w:space="708"/>
          <w:titlePg/>
          <w:docGrid w:linePitch="360"/>
        </w:sectPr>
      </w:pPr>
    </w:p>
    <w:p w:rsidR="009B5343" w:rsidRDefault="009C5AC8" w:rsidP="009B5343">
      <w:pPr>
        <w:rPr>
          <w:rFonts w:cs="Arial"/>
          <w:sz w:val="24"/>
        </w:rPr>
      </w:pPr>
      <w:r w:rsidRPr="009C5AC8">
        <w:rPr>
          <w:noProof/>
          <w:lang w:eastAsia="zh-CN"/>
        </w:rPr>
        <w:lastRenderedPageBreak/>
        <w:pict>
          <v:shapetype id="_x0000_t202" coordsize="21600,21600" o:spt="202" path="m,l,21600r21600,l21600,xe">
            <v:stroke joinstyle="miter"/>
            <v:path gradientshapeok="t" o:connecttype="rect"/>
          </v:shapetype>
          <v:shape id="_x0000_s1052" type="#_x0000_t202" style="position:absolute;margin-left:322.5pt;margin-top:296.05pt;width:33.7pt;height:24.8pt;z-index:2" filled="f" stroked="f">
            <v:textbox style="mso-next-textbox:#_x0000_s1052">
              <w:txbxContent>
                <w:p w:rsidR="000D553A" w:rsidRPr="006D1451" w:rsidRDefault="000D553A" w:rsidP="00F351E9">
                  <w:pPr>
                    <w:rPr>
                      <w:rFonts w:cs="Arial"/>
                      <w:sz w:val="18"/>
                      <w:szCs w:val="18"/>
                    </w:rPr>
                  </w:pPr>
                  <w:r w:rsidRPr="009B5343">
                    <w:rPr>
                      <w:rFonts w:cs="Arial"/>
                      <w:sz w:val="18"/>
                      <w:szCs w:val="18"/>
                    </w:rPr>
                    <w:t>No</w:t>
                  </w:r>
                </w:p>
              </w:txbxContent>
            </v:textbox>
          </v:shape>
        </w:pict>
      </w:r>
      <w:r>
        <w:rPr>
          <w:rFonts w:cs="Arial"/>
          <w:sz w:val="24"/>
        </w:rPr>
      </w:r>
      <w:r>
        <w:rPr>
          <w:rFonts w:cs="Arial"/>
          <w:sz w:val="24"/>
        </w:rPr>
        <w:pict>
          <v:group id="_x0000_s1026" style="width:416.5pt;height:662.55pt;mso-position-horizontal-relative:char;mso-position-vertical-relative:line" coordorigin="1725,1479" coordsize="8993,13845">
            <v:shapetype id="_x0000_t32" coordsize="21600,21600" o:spt="32" o:oned="t" path="m,l21600,21600e" filled="f">
              <v:path arrowok="t" fillok="f" o:connecttype="none"/>
              <o:lock v:ext="edit" shapetype="t"/>
            </v:shapetype>
            <v:shape id="_x0000_s1027" type="#_x0000_t32" style="position:absolute;left:8460;top:14259;width:0;height:435" o:connectortype="straight">
              <v:stroke endarrow="block"/>
            </v:shape>
            <v:shape id="_x0000_s1028" type="#_x0000_t32" style="position:absolute;left:6045;top:4689;width:15;height:261;flip:x" o:connectortype="straight">
              <v:stroke endarrow="block"/>
            </v:shape>
            <v:group id="_x0000_s1029" style="position:absolute;left:1725;top:1479;width:8993;height:13845" coordorigin="1725,1479" coordsize="8993,13845">
              <v:roundrect id="_x0000_s1030" style="position:absolute;left:1725;top:14694;width:8115;height:630" arcsize="10923f" strokeweight="1pt">
                <v:stroke dashstyle="dash"/>
                <v:textbox style="mso-next-textbox:#_x0000_s1030">
                  <w:txbxContent>
                    <w:p w:rsidR="000D553A" w:rsidRPr="006D1451" w:rsidRDefault="000D553A" w:rsidP="00F351E9">
                      <w:pPr>
                        <w:rPr>
                          <w:rFonts w:cs="Arial"/>
                          <w:sz w:val="18"/>
                          <w:szCs w:val="18"/>
                        </w:rPr>
                      </w:pPr>
                      <w:r w:rsidRPr="009B5343">
                        <w:rPr>
                          <w:rFonts w:cs="Arial"/>
                          <w:sz w:val="18"/>
                          <w:szCs w:val="18"/>
                        </w:rPr>
                        <w:t xml:space="preserve">Risk minimisation SFARP achieved and sustained </w:t>
                      </w:r>
                      <w:r w:rsidRPr="009B5343">
                        <w:rPr>
                          <w:rFonts w:cs="Arial"/>
                          <w:i/>
                          <w:sz w:val="18"/>
                          <w:szCs w:val="18"/>
                        </w:rPr>
                        <w:t>(SMS, EP)</w:t>
                      </w:r>
                    </w:p>
                  </w:txbxContent>
                </v:textbox>
              </v:roundrect>
              <v:shapetype id="_x0000_t110" coordsize="21600,21600" o:spt="110" path="m10800,l,10800,10800,21600,21600,10800xe">
                <v:stroke joinstyle="miter"/>
                <v:path gradientshapeok="t" o:connecttype="rect" textboxrect="5400,5400,16200,16200"/>
              </v:shapetype>
              <v:shape id="_x0000_s1031" type="#_x0000_t110" style="position:absolute;left:6780;top:12498;width:3375;height:1785;flip:y" strokeweight="1pt">
                <v:stroke dashstyle="dash"/>
                <v:textbox style="mso-next-textbox:#_x0000_s1031">
                  <w:txbxContent>
                    <w:p w:rsidR="000D553A" w:rsidRPr="009B5343" w:rsidRDefault="000D553A" w:rsidP="009B5343">
                      <w:pPr>
                        <w:jc w:val="center"/>
                        <w:rPr>
                          <w:rFonts w:cs="Arial"/>
                          <w:sz w:val="18"/>
                          <w:szCs w:val="18"/>
                        </w:rPr>
                      </w:pPr>
                      <w:r w:rsidRPr="009B5343">
                        <w:rPr>
                          <w:rFonts w:cs="Arial"/>
                          <w:sz w:val="18"/>
                          <w:szCs w:val="18"/>
                        </w:rPr>
                        <w:t>Is SFARP       sustained?</w:t>
                      </w:r>
                      <w:r w:rsidRPr="009B5343">
                        <w:rPr>
                          <w:rFonts w:cs="Arial"/>
                          <w:i/>
                          <w:sz w:val="18"/>
                          <w:szCs w:val="18"/>
                        </w:rPr>
                        <w:t xml:space="preserve"> (SMS)</w:t>
                      </w:r>
                    </w:p>
                  </w:txbxContent>
                </v:textbox>
              </v:shape>
              <v:rect id="_x0000_s1032" style="position:absolute;left:1725;top:12855;width:3975;height:1122" strokeweight="1.25pt">
                <v:stroke dashstyle="dash"/>
                <v:textbox style="mso-next-textbox:#_x0000_s1032">
                  <w:txbxContent>
                    <w:p w:rsidR="000D553A" w:rsidRPr="006D1451" w:rsidRDefault="000D553A">
                      <w:pPr>
                        <w:pStyle w:val="ListParagraph"/>
                        <w:ind w:left="0"/>
                        <w:rPr>
                          <w:rFonts w:cs="Arial"/>
                          <w:sz w:val="18"/>
                          <w:szCs w:val="18"/>
                        </w:rPr>
                      </w:pPr>
                      <w:r w:rsidRPr="009B5343">
                        <w:rPr>
                          <w:rFonts w:cs="Arial"/>
                          <w:sz w:val="18"/>
                          <w:szCs w:val="18"/>
                        </w:rPr>
                        <w:t xml:space="preserve">Monitor / verify / validate the performance (assurance) of risk controls </w:t>
                      </w:r>
                      <w:r w:rsidRPr="009B5343">
                        <w:rPr>
                          <w:rFonts w:cs="Arial"/>
                          <w:i/>
                          <w:sz w:val="18"/>
                          <w:szCs w:val="18"/>
                        </w:rPr>
                        <w:t>(SMS and audits)</w:t>
                      </w:r>
                    </w:p>
                  </w:txbxContent>
                </v:textbox>
              </v:rect>
              <v:rect id="_x0000_s1033" style="position:absolute;left:1725;top:10732;width:8433;height:1395">
                <v:textbox style="mso-next-textbox:#_x0000_s1033">
                  <w:txbxContent>
                    <w:p w:rsidR="000D553A" w:rsidRDefault="000D553A" w:rsidP="005907F4">
                      <w:pPr>
                        <w:pStyle w:val="ListParagraph"/>
                        <w:numPr>
                          <w:ilvl w:val="0"/>
                          <w:numId w:val="48"/>
                        </w:numPr>
                        <w:spacing w:before="60"/>
                        <w:rPr>
                          <w:rFonts w:cs="Arial"/>
                          <w:sz w:val="18"/>
                          <w:szCs w:val="19"/>
                        </w:rPr>
                      </w:pPr>
                      <w:r w:rsidRPr="0057524D">
                        <w:rPr>
                          <w:rFonts w:cs="Arial"/>
                          <w:sz w:val="18"/>
                          <w:szCs w:val="19"/>
                        </w:rPr>
                        <w:t>Implement selected risk controls – SFARP achieved</w:t>
                      </w:r>
                      <w:r>
                        <w:rPr>
                          <w:rFonts w:cs="Arial"/>
                          <w:sz w:val="18"/>
                          <w:szCs w:val="19"/>
                        </w:rPr>
                        <w:t>.</w:t>
                      </w:r>
                    </w:p>
                    <w:p w:rsidR="000D553A" w:rsidRDefault="000D553A" w:rsidP="005907F4">
                      <w:pPr>
                        <w:pStyle w:val="ListParagraph"/>
                        <w:numPr>
                          <w:ilvl w:val="0"/>
                          <w:numId w:val="48"/>
                        </w:numPr>
                        <w:spacing w:before="60"/>
                        <w:rPr>
                          <w:rFonts w:cs="Arial"/>
                          <w:sz w:val="18"/>
                          <w:szCs w:val="19"/>
                        </w:rPr>
                      </w:pPr>
                      <w:r w:rsidRPr="0057524D">
                        <w:rPr>
                          <w:rFonts w:cs="Arial"/>
                          <w:sz w:val="18"/>
                          <w:szCs w:val="19"/>
                        </w:rPr>
                        <w:t>Identify, set performance criteria and leading indicators for all (existing and new) controls</w:t>
                      </w:r>
                      <w:r>
                        <w:rPr>
                          <w:rFonts w:cs="Arial"/>
                          <w:sz w:val="18"/>
                          <w:szCs w:val="19"/>
                        </w:rPr>
                        <w:t>.</w:t>
                      </w:r>
                    </w:p>
                    <w:p w:rsidR="000D553A" w:rsidRDefault="000D553A" w:rsidP="005907F4">
                      <w:pPr>
                        <w:pStyle w:val="ListParagraph"/>
                        <w:numPr>
                          <w:ilvl w:val="0"/>
                          <w:numId w:val="48"/>
                        </w:numPr>
                        <w:spacing w:before="60"/>
                        <w:rPr>
                          <w:rFonts w:cs="Arial"/>
                          <w:sz w:val="18"/>
                          <w:szCs w:val="19"/>
                        </w:rPr>
                      </w:pPr>
                      <w:r w:rsidRPr="0057524D">
                        <w:rPr>
                          <w:rFonts w:cs="Arial"/>
                          <w:sz w:val="18"/>
                          <w:szCs w:val="19"/>
                        </w:rPr>
                        <w:t>Update risk assessment and safety assessment</w:t>
                      </w:r>
                      <w:r>
                        <w:rPr>
                          <w:rFonts w:cs="Arial"/>
                          <w:sz w:val="18"/>
                          <w:szCs w:val="19"/>
                        </w:rPr>
                        <w:t>.</w:t>
                      </w:r>
                    </w:p>
                    <w:p w:rsidR="000D553A" w:rsidRDefault="000D553A" w:rsidP="005907F4">
                      <w:pPr>
                        <w:pStyle w:val="ListParagraph"/>
                        <w:numPr>
                          <w:ilvl w:val="0"/>
                          <w:numId w:val="48"/>
                        </w:numPr>
                        <w:spacing w:before="60"/>
                        <w:rPr>
                          <w:rFonts w:cs="Arial"/>
                          <w:sz w:val="18"/>
                          <w:szCs w:val="19"/>
                        </w:rPr>
                      </w:pPr>
                      <w:r w:rsidRPr="00B559BC">
                        <w:rPr>
                          <w:rFonts w:cs="Arial"/>
                          <w:sz w:val="18"/>
                          <w:szCs w:val="19"/>
                        </w:rPr>
                        <w:t>Document maintenance and test frequencies used in risk evaluation and include in SMS</w:t>
                      </w:r>
                      <w:r>
                        <w:rPr>
                          <w:rFonts w:cs="Arial"/>
                          <w:sz w:val="18"/>
                          <w:szCs w:val="19"/>
                        </w:rPr>
                        <w:t>.</w:t>
                      </w:r>
                    </w:p>
                  </w:txbxContent>
                </v:textbox>
              </v:rect>
              <v:shape id="_x0000_s1034" type="#_x0000_t32" style="position:absolute;left:8670;top:9990;width:0;height:765" o:connectortype="straight">
                <v:stroke endarrow="block"/>
              </v:shape>
              <v:shape id="_x0000_s1035" type="#_x0000_t32" style="position:absolute;left:5700;top:13385;width:1080;height:0" o:connectortype="straight">
                <v:stroke endarrow="block"/>
              </v:shape>
              <v:shape id="_x0000_s1036" type="#_x0000_t32" style="position:absolute;left:10158;top:13385;width:506;height:0" o:connectortype="straight">
                <v:stroke dashstyle="dash" endarrow="block"/>
              </v:shape>
              <v:group id="_x0000_s1037" style="position:absolute;left:1725;top:1479;width:8940;height:11930" coordorigin="1725,1479" coordsize="8940,11930">
                <v:shape id="_x0000_s1038" type="#_x0000_t110" style="position:absolute;left:7005;top:7995;width:3375;height:1995">
                  <v:textbox style="mso-next-textbox:#_x0000_s1038">
                    <w:txbxContent>
                      <w:p w:rsidR="000D553A" w:rsidRDefault="000D553A" w:rsidP="009B5343">
                        <w:pPr>
                          <w:jc w:val="center"/>
                          <w:rPr>
                            <w:rFonts w:cs="Arial"/>
                            <w:sz w:val="17"/>
                            <w:szCs w:val="17"/>
                          </w:rPr>
                        </w:pPr>
                        <w:r w:rsidRPr="00B559BC">
                          <w:rPr>
                            <w:rFonts w:cs="Arial"/>
                            <w:sz w:val="17"/>
                            <w:szCs w:val="17"/>
                          </w:rPr>
                          <w:t xml:space="preserve">Have risks </w:t>
                        </w:r>
                        <w:r w:rsidRPr="00644809">
                          <w:rPr>
                            <w:rFonts w:cs="Arial"/>
                            <w:sz w:val="17"/>
                            <w:szCs w:val="17"/>
                          </w:rPr>
                          <w:t>been eliminated or minimis</w:t>
                        </w:r>
                        <w:r w:rsidRPr="00951027">
                          <w:rPr>
                            <w:rFonts w:cs="Arial"/>
                            <w:sz w:val="17"/>
                            <w:szCs w:val="17"/>
                          </w:rPr>
                          <w:t>ed SFARP?</w:t>
                        </w:r>
                      </w:p>
                    </w:txbxContent>
                  </v:textbox>
                </v:shape>
                <v:rect id="_x0000_s1039" style="position:absolute;left:1725;top:7995;width:4545;height:2085">
                  <v:textbox style="mso-next-textbox:#_x0000_s1039">
                    <w:txbxContent>
                      <w:p w:rsidR="000D553A" w:rsidRPr="009B5343" w:rsidRDefault="000D553A" w:rsidP="005907F4">
                        <w:pPr>
                          <w:pStyle w:val="ListParagraph"/>
                          <w:numPr>
                            <w:ilvl w:val="0"/>
                            <w:numId w:val="47"/>
                          </w:numPr>
                          <w:spacing w:before="60"/>
                          <w:rPr>
                            <w:rFonts w:cs="Arial"/>
                            <w:sz w:val="18"/>
                            <w:szCs w:val="18"/>
                          </w:rPr>
                        </w:pPr>
                        <w:r w:rsidRPr="009B5343">
                          <w:rPr>
                            <w:rFonts w:cs="Arial"/>
                            <w:sz w:val="18"/>
                            <w:szCs w:val="18"/>
                          </w:rPr>
                          <w:t>Identify additional control measures</w:t>
                        </w:r>
                        <w:r>
                          <w:rPr>
                            <w:rFonts w:cs="Arial"/>
                            <w:sz w:val="18"/>
                            <w:szCs w:val="18"/>
                          </w:rPr>
                          <w:t>.</w:t>
                        </w:r>
                      </w:p>
                      <w:p w:rsidR="000D553A" w:rsidRPr="009B5343" w:rsidRDefault="000D553A" w:rsidP="005907F4">
                        <w:pPr>
                          <w:pStyle w:val="ListParagraph"/>
                          <w:numPr>
                            <w:ilvl w:val="0"/>
                            <w:numId w:val="47"/>
                          </w:numPr>
                          <w:spacing w:before="60"/>
                          <w:rPr>
                            <w:rFonts w:cs="Arial"/>
                            <w:sz w:val="18"/>
                            <w:szCs w:val="18"/>
                          </w:rPr>
                        </w:pPr>
                        <w:r w:rsidRPr="009B5343">
                          <w:rPr>
                            <w:rFonts w:cs="Arial"/>
                            <w:sz w:val="18"/>
                            <w:szCs w:val="18"/>
                          </w:rPr>
                          <w:t>Select control measures to be adopted</w:t>
                        </w:r>
                        <w:r>
                          <w:rPr>
                            <w:rFonts w:cs="Arial"/>
                            <w:sz w:val="18"/>
                            <w:szCs w:val="18"/>
                          </w:rPr>
                          <w:t>.</w:t>
                        </w:r>
                      </w:p>
                      <w:p w:rsidR="000D553A" w:rsidRPr="009B5343" w:rsidRDefault="000D553A" w:rsidP="005907F4">
                        <w:pPr>
                          <w:pStyle w:val="ListParagraph"/>
                          <w:numPr>
                            <w:ilvl w:val="0"/>
                            <w:numId w:val="47"/>
                          </w:numPr>
                          <w:spacing w:before="60"/>
                          <w:rPr>
                            <w:rFonts w:cs="Arial"/>
                            <w:sz w:val="18"/>
                            <w:szCs w:val="18"/>
                          </w:rPr>
                        </w:pPr>
                        <w:r w:rsidRPr="009B5343">
                          <w:rPr>
                            <w:rFonts w:cs="Arial"/>
                            <w:sz w:val="18"/>
                            <w:szCs w:val="18"/>
                          </w:rPr>
                          <w:t xml:space="preserve">Justification for </w:t>
                        </w:r>
                        <w:r>
                          <w:rPr>
                            <w:rFonts w:cs="Arial"/>
                            <w:sz w:val="18"/>
                            <w:szCs w:val="18"/>
                          </w:rPr>
                          <w:t>accepting/</w:t>
                        </w:r>
                        <w:r w:rsidRPr="009B5343">
                          <w:rPr>
                            <w:rFonts w:cs="Arial"/>
                            <w:sz w:val="18"/>
                            <w:szCs w:val="18"/>
                          </w:rPr>
                          <w:t>rejecting identified controls (cost benefit analysis etc</w:t>
                        </w:r>
                        <w:r>
                          <w:rPr>
                            <w:rFonts w:cs="Arial"/>
                            <w:sz w:val="18"/>
                            <w:szCs w:val="18"/>
                          </w:rPr>
                          <w:t>.</w:t>
                        </w:r>
                        <w:r w:rsidRPr="009B5343">
                          <w:rPr>
                            <w:rFonts w:cs="Arial"/>
                            <w:sz w:val="18"/>
                            <w:szCs w:val="18"/>
                          </w:rPr>
                          <w:t>)</w:t>
                        </w:r>
                        <w:r>
                          <w:rPr>
                            <w:rFonts w:cs="Arial"/>
                            <w:sz w:val="18"/>
                            <w:szCs w:val="18"/>
                          </w:rPr>
                          <w:t>.</w:t>
                        </w:r>
                      </w:p>
                      <w:p w:rsidR="000D553A" w:rsidRPr="009B5343" w:rsidRDefault="000D553A" w:rsidP="005907F4">
                        <w:pPr>
                          <w:pStyle w:val="ListParagraph"/>
                          <w:numPr>
                            <w:ilvl w:val="0"/>
                            <w:numId w:val="47"/>
                          </w:numPr>
                          <w:spacing w:before="60"/>
                          <w:rPr>
                            <w:rFonts w:cs="Arial"/>
                            <w:sz w:val="18"/>
                            <w:szCs w:val="18"/>
                          </w:rPr>
                        </w:pPr>
                        <w:r>
                          <w:rPr>
                            <w:rFonts w:cs="Arial"/>
                            <w:sz w:val="18"/>
                            <w:szCs w:val="18"/>
                          </w:rPr>
                          <w:t>Investigate and e</w:t>
                        </w:r>
                        <w:r w:rsidRPr="009B5343">
                          <w:rPr>
                            <w:rFonts w:cs="Arial"/>
                            <w:sz w:val="18"/>
                            <w:szCs w:val="18"/>
                          </w:rPr>
                          <w:t>valuate failure</w:t>
                        </w:r>
                        <w:r>
                          <w:rPr>
                            <w:rFonts w:cs="Arial"/>
                            <w:sz w:val="18"/>
                            <w:szCs w:val="18"/>
                          </w:rPr>
                          <w:t xml:space="preserve"> modes and</w:t>
                        </w:r>
                        <w:r w:rsidRPr="009B5343">
                          <w:rPr>
                            <w:rFonts w:cs="Arial"/>
                            <w:sz w:val="18"/>
                            <w:szCs w:val="18"/>
                          </w:rPr>
                          <w:t xml:space="preserve"> rates for controls</w:t>
                        </w:r>
                        <w:r>
                          <w:rPr>
                            <w:rFonts w:cs="Arial"/>
                            <w:sz w:val="18"/>
                            <w:szCs w:val="18"/>
                          </w:rPr>
                          <w:t>.</w:t>
                        </w:r>
                      </w:p>
                      <w:p w:rsidR="000D553A" w:rsidRPr="009B5343" w:rsidRDefault="000D553A" w:rsidP="005907F4">
                        <w:pPr>
                          <w:pStyle w:val="ListParagraph"/>
                          <w:numPr>
                            <w:ilvl w:val="0"/>
                            <w:numId w:val="47"/>
                          </w:numPr>
                          <w:spacing w:before="60"/>
                          <w:rPr>
                            <w:rFonts w:cs="Arial"/>
                            <w:sz w:val="18"/>
                            <w:szCs w:val="18"/>
                          </w:rPr>
                        </w:pPr>
                        <w:r w:rsidRPr="009B5343">
                          <w:rPr>
                            <w:rFonts w:cs="Arial"/>
                            <w:sz w:val="18"/>
                            <w:szCs w:val="18"/>
                          </w:rPr>
                          <w:t>Evaluate residual risk</w:t>
                        </w:r>
                        <w:r>
                          <w:rPr>
                            <w:rFonts w:cs="Arial"/>
                            <w:sz w:val="18"/>
                            <w:szCs w:val="18"/>
                          </w:rPr>
                          <w:t>.</w:t>
                        </w:r>
                      </w:p>
                      <w:p w:rsidR="000D553A" w:rsidRPr="009B5343" w:rsidRDefault="000D553A" w:rsidP="005907F4">
                        <w:pPr>
                          <w:pStyle w:val="ListParagraph"/>
                          <w:numPr>
                            <w:ilvl w:val="0"/>
                            <w:numId w:val="47"/>
                          </w:numPr>
                          <w:spacing w:before="60"/>
                          <w:rPr>
                            <w:rFonts w:cs="Arial"/>
                            <w:sz w:val="18"/>
                            <w:szCs w:val="18"/>
                          </w:rPr>
                        </w:pPr>
                        <w:r w:rsidRPr="009B5343">
                          <w:rPr>
                            <w:rFonts w:cs="Arial"/>
                            <w:sz w:val="18"/>
                            <w:szCs w:val="18"/>
                          </w:rPr>
                          <w:t>Compare residual risk against criteria</w:t>
                        </w:r>
                        <w:r>
                          <w:rPr>
                            <w:rFonts w:cs="Arial"/>
                            <w:sz w:val="18"/>
                            <w:szCs w:val="18"/>
                          </w:rPr>
                          <w:t>.</w:t>
                        </w:r>
                      </w:p>
                    </w:txbxContent>
                  </v:textbox>
                </v:rect>
                <v:shape id="_x0000_s1040" type="#_x0000_t32" style="position:absolute;left:8670;top:7650;width:2;height:345;flip:y" o:connectortype="straight">
                  <v:stroke endarrow="block"/>
                </v:shape>
                <v:shape id="_x0000_s1041" type="#_x0000_t32" style="position:absolute;left:3645;top:7650;width:5025;height:0;flip:x" o:connectortype="straight">
                  <v:stroke endarrow="block"/>
                </v:shape>
                <v:shape id="_x0000_s1042" type="#_x0000_t32" style="position:absolute;left:10664;top:7361;width:1;height:6048;flip:y" o:connectortype="straight">
                  <v:stroke dashstyle="dash" endarrow="block"/>
                </v:shape>
                <v:shape id="_x0000_s1043" type="#_x0000_t32" style="position:absolute;left:3660;top:7395;width:7005;height:1;flip:x" o:connectortype="straight">
                  <v:stroke dashstyle="dash" endarrow="block"/>
                </v:shape>
                <v:rect id="_x0000_s1044" style="position:absolute;left:1725;top:1479;width:8655;height:3210">
                  <v:textbox style="mso-next-textbox:#_x0000_s1044">
                    <w:txbxContent>
                      <w:p w:rsidR="000D553A" w:rsidRDefault="000D553A">
                        <w:pPr>
                          <w:contextualSpacing/>
                          <w:rPr>
                            <w:rFonts w:cs="Arial"/>
                            <w:b/>
                            <w:sz w:val="18"/>
                            <w:szCs w:val="18"/>
                          </w:rPr>
                        </w:pPr>
                        <w:r w:rsidRPr="00B559BC">
                          <w:rPr>
                            <w:rFonts w:cs="Arial"/>
                            <w:b/>
                            <w:sz w:val="18"/>
                            <w:szCs w:val="18"/>
                          </w:rPr>
                          <w:t>Establish the Conte</w:t>
                        </w:r>
                        <w:r>
                          <w:rPr>
                            <w:rFonts w:cs="Arial"/>
                            <w:b/>
                            <w:sz w:val="18"/>
                            <w:szCs w:val="18"/>
                          </w:rPr>
                          <w:t>x</w:t>
                        </w:r>
                        <w:r w:rsidRPr="00B559BC">
                          <w:rPr>
                            <w:rFonts w:cs="Arial"/>
                            <w:b/>
                            <w:sz w:val="18"/>
                            <w:szCs w:val="18"/>
                          </w:rPr>
                          <w:t>t</w:t>
                        </w:r>
                      </w:p>
                      <w:p w:rsidR="000D553A" w:rsidRDefault="000D553A" w:rsidP="005907F4">
                        <w:pPr>
                          <w:pStyle w:val="ListParagraph"/>
                          <w:numPr>
                            <w:ilvl w:val="0"/>
                            <w:numId w:val="44"/>
                          </w:numPr>
                          <w:spacing w:before="60"/>
                          <w:rPr>
                            <w:rFonts w:cs="Arial"/>
                            <w:sz w:val="18"/>
                            <w:szCs w:val="18"/>
                          </w:rPr>
                        </w:pPr>
                        <w:r w:rsidRPr="00644809">
                          <w:rPr>
                            <w:rFonts w:cs="Arial"/>
                            <w:sz w:val="18"/>
                            <w:szCs w:val="18"/>
                          </w:rPr>
                          <w:t xml:space="preserve">Information:  </w:t>
                        </w:r>
                      </w:p>
                      <w:p w:rsidR="000D553A" w:rsidRDefault="000D553A" w:rsidP="009B5343">
                        <w:pPr>
                          <w:pStyle w:val="ListParagraph"/>
                          <w:numPr>
                            <w:ilvl w:val="0"/>
                            <w:numId w:val="5"/>
                          </w:numPr>
                          <w:spacing w:before="60"/>
                          <w:ind w:left="714" w:hanging="357"/>
                          <w:rPr>
                            <w:rFonts w:cs="Arial"/>
                            <w:sz w:val="18"/>
                            <w:szCs w:val="18"/>
                          </w:rPr>
                        </w:pPr>
                        <w:r w:rsidRPr="00951027">
                          <w:rPr>
                            <w:rFonts w:cs="Arial"/>
                            <w:sz w:val="18"/>
                            <w:szCs w:val="18"/>
                          </w:rPr>
                          <w:t xml:space="preserve">Existing </w:t>
                        </w:r>
                        <w:r>
                          <w:rPr>
                            <w:rFonts w:cs="Arial"/>
                            <w:sz w:val="18"/>
                            <w:szCs w:val="18"/>
                          </w:rPr>
                          <w:t>i</w:t>
                        </w:r>
                        <w:r w:rsidRPr="00644809">
                          <w:rPr>
                            <w:rFonts w:cs="Arial"/>
                            <w:sz w:val="18"/>
                            <w:szCs w:val="18"/>
                          </w:rPr>
                          <w:t>nformation – Collate relevant existing documents and information</w:t>
                        </w:r>
                        <w:r w:rsidRPr="00951027">
                          <w:rPr>
                            <w:rFonts w:cs="Arial"/>
                            <w:sz w:val="18"/>
                            <w:szCs w:val="18"/>
                          </w:rPr>
                          <w:t xml:space="preserve"> e.g. risk/safety related studies prepared for development approvals</w:t>
                        </w:r>
                        <w:r>
                          <w:rPr>
                            <w:rFonts w:cs="Arial"/>
                            <w:sz w:val="18"/>
                            <w:szCs w:val="18"/>
                          </w:rPr>
                          <w:t>,</w:t>
                        </w:r>
                        <w:r w:rsidRPr="00951027">
                          <w:rPr>
                            <w:rFonts w:cs="Arial"/>
                            <w:sz w:val="18"/>
                            <w:szCs w:val="18"/>
                          </w:rPr>
                          <w:t xml:space="preserve"> compliance status with approval conditions.</w:t>
                        </w:r>
                      </w:p>
                      <w:p w:rsidR="000D553A" w:rsidRDefault="000D553A" w:rsidP="009B5343">
                        <w:pPr>
                          <w:pStyle w:val="ListParagraph"/>
                          <w:numPr>
                            <w:ilvl w:val="0"/>
                            <w:numId w:val="5"/>
                          </w:numPr>
                          <w:spacing w:before="60"/>
                          <w:ind w:left="714" w:hanging="357"/>
                          <w:rPr>
                            <w:rFonts w:cs="Arial"/>
                            <w:sz w:val="18"/>
                            <w:szCs w:val="18"/>
                          </w:rPr>
                        </w:pPr>
                        <w:r w:rsidRPr="004949EE">
                          <w:rPr>
                            <w:rFonts w:cs="Arial"/>
                            <w:sz w:val="18"/>
                            <w:szCs w:val="18"/>
                          </w:rPr>
                          <w:t>Validity of existing hazard analyses, HAZOPs, fire safety studies, hazard audits and status of implementation of recommendations.</w:t>
                        </w:r>
                      </w:p>
                      <w:p w:rsidR="000D553A" w:rsidRDefault="000D553A" w:rsidP="005907F4">
                        <w:pPr>
                          <w:pStyle w:val="ListParagraph"/>
                          <w:numPr>
                            <w:ilvl w:val="0"/>
                            <w:numId w:val="45"/>
                          </w:numPr>
                          <w:spacing w:before="60"/>
                          <w:rPr>
                            <w:rFonts w:cs="Arial"/>
                            <w:sz w:val="18"/>
                            <w:szCs w:val="18"/>
                          </w:rPr>
                        </w:pPr>
                        <w:r w:rsidRPr="004949EE">
                          <w:rPr>
                            <w:rFonts w:cs="Arial"/>
                            <w:sz w:val="18"/>
                            <w:szCs w:val="18"/>
                          </w:rPr>
                          <w:t xml:space="preserve">Identify information needed and additional work to be done (gap </w:t>
                        </w:r>
                        <w:r w:rsidRPr="00C62343">
                          <w:rPr>
                            <w:rFonts w:cs="Arial"/>
                            <w:sz w:val="18"/>
                            <w:szCs w:val="18"/>
                          </w:rPr>
                          <w:t>analysis).</w:t>
                        </w:r>
                      </w:p>
                      <w:p w:rsidR="000D553A" w:rsidRDefault="000D553A" w:rsidP="005907F4">
                        <w:pPr>
                          <w:pStyle w:val="ListParagraph"/>
                          <w:numPr>
                            <w:ilvl w:val="0"/>
                            <w:numId w:val="45"/>
                          </w:numPr>
                          <w:spacing w:before="60"/>
                          <w:rPr>
                            <w:rFonts w:cs="Arial"/>
                            <w:sz w:val="18"/>
                            <w:szCs w:val="18"/>
                          </w:rPr>
                        </w:pPr>
                        <w:r w:rsidRPr="00C62343">
                          <w:rPr>
                            <w:rFonts w:cs="Arial"/>
                            <w:sz w:val="18"/>
                            <w:szCs w:val="18"/>
                          </w:rPr>
                          <w:t>Decide on tools and techniques to be used and resources required.</w:t>
                        </w:r>
                      </w:p>
                      <w:p w:rsidR="000D553A" w:rsidRDefault="000D553A" w:rsidP="005907F4">
                        <w:pPr>
                          <w:pStyle w:val="ListParagraph"/>
                          <w:numPr>
                            <w:ilvl w:val="0"/>
                            <w:numId w:val="45"/>
                          </w:numPr>
                          <w:spacing w:before="60"/>
                          <w:rPr>
                            <w:rFonts w:cs="Arial"/>
                            <w:sz w:val="18"/>
                            <w:szCs w:val="18"/>
                          </w:rPr>
                        </w:pPr>
                        <w:r>
                          <w:rPr>
                            <w:rFonts w:cs="Arial"/>
                            <w:sz w:val="18"/>
                            <w:szCs w:val="18"/>
                          </w:rPr>
                          <w:t>Establish decision making criteria – justify any adopted risk criteria (i.e.qualitative or quantitative)</w:t>
                        </w:r>
                        <w:r w:rsidRPr="004949EE">
                          <w:rPr>
                            <w:rFonts w:cs="Arial"/>
                            <w:sz w:val="18"/>
                            <w:szCs w:val="18"/>
                          </w:rPr>
                          <w:t xml:space="preserve">. </w:t>
                        </w:r>
                        <w:r w:rsidRPr="00644809">
                          <w:rPr>
                            <w:rFonts w:cs="Arial"/>
                            <w:sz w:val="18"/>
                            <w:szCs w:val="18"/>
                          </w:rPr>
                          <w:t>Compare with criteria adopted in similar situations</w:t>
                        </w:r>
                        <w:r w:rsidRPr="00951027">
                          <w:rPr>
                            <w:rFonts w:cs="Arial"/>
                            <w:sz w:val="18"/>
                            <w:szCs w:val="18"/>
                          </w:rPr>
                          <w:t>.</w:t>
                        </w:r>
                      </w:p>
                      <w:p w:rsidR="000D553A" w:rsidRPr="00644809" w:rsidRDefault="000D553A" w:rsidP="005907F4">
                        <w:pPr>
                          <w:pStyle w:val="ListParagraph"/>
                          <w:numPr>
                            <w:ilvl w:val="0"/>
                            <w:numId w:val="45"/>
                          </w:numPr>
                          <w:spacing w:before="60"/>
                          <w:rPr>
                            <w:rFonts w:cs="Arial"/>
                            <w:sz w:val="18"/>
                            <w:szCs w:val="18"/>
                          </w:rPr>
                        </w:pPr>
                        <w:r w:rsidRPr="00644809">
                          <w:rPr>
                            <w:rFonts w:cs="Arial"/>
                            <w:sz w:val="18"/>
                            <w:szCs w:val="18"/>
                          </w:rPr>
                          <w:t xml:space="preserve">Ensure mechanism for clear, auditable documentation of the process and the results.  </w:t>
                        </w:r>
                      </w:p>
                      <w:p w:rsidR="000D553A" w:rsidRPr="006D1451" w:rsidRDefault="000D553A" w:rsidP="00F351E9">
                        <w:pPr>
                          <w:rPr>
                            <w:rFonts w:cs="Arial"/>
                            <w:sz w:val="18"/>
                            <w:szCs w:val="18"/>
                          </w:rPr>
                        </w:pPr>
                      </w:p>
                      <w:p w:rsidR="000D553A" w:rsidRPr="006D1451" w:rsidRDefault="000D553A" w:rsidP="00F351E9">
                        <w:pPr>
                          <w:rPr>
                            <w:rFonts w:cs="Arial"/>
                            <w:sz w:val="18"/>
                            <w:szCs w:val="18"/>
                          </w:rPr>
                        </w:pPr>
                      </w:p>
                      <w:p w:rsidR="000D553A" w:rsidRPr="006D1451" w:rsidRDefault="000D553A" w:rsidP="00F351E9">
                        <w:pPr>
                          <w:rPr>
                            <w:rFonts w:cs="Arial"/>
                            <w:sz w:val="18"/>
                            <w:szCs w:val="18"/>
                          </w:rPr>
                        </w:pPr>
                      </w:p>
                      <w:p w:rsidR="000D553A" w:rsidRPr="006D1451" w:rsidRDefault="000D553A" w:rsidP="00C04461">
                        <w:pPr>
                          <w:pStyle w:val="ListParagraph"/>
                          <w:numPr>
                            <w:ilvl w:val="0"/>
                            <w:numId w:val="3"/>
                          </w:numPr>
                          <w:rPr>
                            <w:rFonts w:cs="Arial"/>
                            <w:sz w:val="18"/>
                            <w:szCs w:val="18"/>
                          </w:rPr>
                        </w:pPr>
                        <w:r w:rsidRPr="009B5343">
                          <w:rPr>
                            <w:rFonts w:cs="Arial"/>
                            <w:sz w:val="18"/>
                            <w:szCs w:val="18"/>
                          </w:rPr>
                          <w:t>Identify additional control measures.</w:t>
                        </w:r>
                      </w:p>
                      <w:p w:rsidR="000D553A" w:rsidRPr="006D1451" w:rsidRDefault="000D553A" w:rsidP="00F351E9">
                        <w:pPr>
                          <w:rPr>
                            <w:rFonts w:cs="Arial"/>
                            <w:sz w:val="18"/>
                            <w:szCs w:val="18"/>
                          </w:rPr>
                        </w:pPr>
                        <w:r w:rsidRPr="009B5343">
                          <w:rPr>
                            <w:rFonts w:cs="Arial"/>
                            <w:sz w:val="18"/>
                            <w:szCs w:val="18"/>
                          </w:rPr>
                          <w:t>Select control measures to b</w:t>
                        </w:r>
                      </w:p>
                      <w:p w:rsidR="000D553A" w:rsidRPr="006D1451" w:rsidRDefault="000D553A" w:rsidP="00F351E9">
                        <w:pPr>
                          <w:rPr>
                            <w:rFonts w:cs="Arial"/>
                            <w:sz w:val="18"/>
                            <w:szCs w:val="18"/>
                          </w:rPr>
                        </w:pPr>
                      </w:p>
                    </w:txbxContent>
                  </v:textbox>
                </v:rect>
                <v:rect id="_x0000_s1045" style="position:absolute;left:1725;top:4950;width:8730;height:2205">
                  <v:textbox style="mso-next-textbox:#_x0000_s1045">
                    <w:txbxContent>
                      <w:p w:rsidR="000D553A" w:rsidRDefault="000D553A">
                        <w:pPr>
                          <w:contextualSpacing/>
                          <w:rPr>
                            <w:rFonts w:cs="Arial"/>
                            <w:b/>
                            <w:sz w:val="18"/>
                          </w:rPr>
                        </w:pPr>
                        <w:r w:rsidRPr="0057524D">
                          <w:rPr>
                            <w:rFonts w:cs="Arial"/>
                            <w:b/>
                            <w:sz w:val="18"/>
                          </w:rPr>
                          <w:t xml:space="preserve">Safety Assessment </w:t>
                        </w:r>
                      </w:p>
                      <w:p w:rsidR="005907F4" w:rsidRDefault="005907F4" w:rsidP="005907F4">
                        <w:pPr>
                          <w:numPr>
                            <w:ilvl w:val="0"/>
                            <w:numId w:val="46"/>
                          </w:numPr>
                          <w:autoSpaceDE w:val="0"/>
                          <w:autoSpaceDN w:val="0"/>
                          <w:adjustRightInd w:val="0"/>
                          <w:spacing w:before="0"/>
                          <w:rPr>
                            <w:rFonts w:ascii="Gotham-Light" w:hAnsi="Gotham-Light" w:cs="Gotham-Light"/>
                            <w:sz w:val="18"/>
                            <w:szCs w:val="18"/>
                          </w:rPr>
                        </w:pPr>
                        <w:r>
                          <w:rPr>
                            <w:rFonts w:ascii="Gotham-Light" w:hAnsi="Gotham-Light" w:cs="Gotham-Light"/>
                            <w:sz w:val="18"/>
                            <w:szCs w:val="18"/>
                          </w:rPr>
                          <w:t>Hazard identification - identify all major incidents, major incident</w:t>
                        </w:r>
                      </w:p>
                      <w:p w:rsidR="000D553A" w:rsidRDefault="005907F4" w:rsidP="005907F4">
                        <w:pPr>
                          <w:numPr>
                            <w:ilvl w:val="0"/>
                            <w:numId w:val="46"/>
                          </w:numPr>
                          <w:spacing w:before="60"/>
                          <w:contextualSpacing/>
                          <w:rPr>
                            <w:rFonts w:cs="Arial"/>
                            <w:sz w:val="18"/>
                          </w:rPr>
                        </w:pPr>
                        <w:r>
                          <w:rPr>
                            <w:rFonts w:ascii="Gotham-Light" w:hAnsi="Gotham-Light" w:cs="Gotham-Light"/>
                            <w:sz w:val="18"/>
                            <w:szCs w:val="18"/>
                          </w:rPr>
                          <w:t>hazards and Schedule 15 chemicals</w:t>
                        </w:r>
                        <w:r w:rsidR="000D553A">
                          <w:rPr>
                            <w:rFonts w:cs="Arial"/>
                            <w:sz w:val="18"/>
                          </w:rPr>
                          <w:t>.</w:t>
                        </w:r>
                      </w:p>
                      <w:p w:rsidR="000D553A" w:rsidRDefault="000D553A" w:rsidP="005907F4">
                        <w:pPr>
                          <w:numPr>
                            <w:ilvl w:val="0"/>
                            <w:numId w:val="46"/>
                          </w:numPr>
                          <w:spacing w:before="60"/>
                          <w:contextualSpacing/>
                          <w:rPr>
                            <w:rFonts w:cs="Arial"/>
                            <w:sz w:val="18"/>
                          </w:rPr>
                        </w:pPr>
                        <w:r w:rsidRPr="0057524D">
                          <w:rPr>
                            <w:rFonts w:cs="Arial"/>
                            <w:sz w:val="18"/>
                          </w:rPr>
                          <w:t>Identify existing risk controls</w:t>
                        </w:r>
                        <w:r>
                          <w:rPr>
                            <w:rFonts w:cs="Arial"/>
                            <w:sz w:val="18"/>
                          </w:rPr>
                          <w:t>.</w:t>
                        </w:r>
                      </w:p>
                      <w:p w:rsidR="000D553A" w:rsidRDefault="000D553A" w:rsidP="005907F4">
                        <w:pPr>
                          <w:numPr>
                            <w:ilvl w:val="0"/>
                            <w:numId w:val="46"/>
                          </w:numPr>
                          <w:spacing w:before="60"/>
                          <w:contextualSpacing/>
                          <w:rPr>
                            <w:rFonts w:cs="Arial"/>
                            <w:sz w:val="18"/>
                          </w:rPr>
                        </w:pPr>
                        <w:r w:rsidRPr="0057524D">
                          <w:rPr>
                            <w:rFonts w:cs="Arial"/>
                            <w:sz w:val="18"/>
                          </w:rPr>
                          <w:t xml:space="preserve">Conduct risk assessment – consequence estimation, likelihood estimation and risk analysis (include whole of site with existing risk controls in place). </w:t>
                        </w:r>
                      </w:p>
                      <w:p w:rsidR="000D553A" w:rsidRDefault="000D553A" w:rsidP="005907F4">
                        <w:pPr>
                          <w:numPr>
                            <w:ilvl w:val="0"/>
                            <w:numId w:val="46"/>
                          </w:numPr>
                          <w:contextualSpacing/>
                          <w:rPr>
                            <w:rFonts w:cs="Arial"/>
                            <w:sz w:val="18"/>
                          </w:rPr>
                        </w:pPr>
                        <w:r w:rsidRPr="0057524D">
                          <w:rPr>
                            <w:rFonts w:cs="Arial"/>
                            <w:sz w:val="18"/>
                          </w:rPr>
                          <w:t>Risk evaluation against the adopted criteria</w:t>
                        </w:r>
                        <w:r>
                          <w:rPr>
                            <w:rFonts w:cs="Arial"/>
                            <w:sz w:val="18"/>
                          </w:rPr>
                          <w:t>.</w:t>
                        </w:r>
                      </w:p>
                    </w:txbxContent>
                  </v:textbox>
                </v:rect>
                <v:shape id="_x0000_s1046" type="#_x0000_t32" style="position:absolute;left:3660;top:7155;width:0;height:840" o:connectortype="straight">
                  <v:stroke endarrow="block"/>
                </v:shape>
                <v:shape id="_x0000_s1047" type="#_x0000_t32" style="position:absolute;left:6270;top:9000;width:735;height:0" o:connectortype="straight">
                  <v:stroke endarrow="block"/>
                </v:shape>
              </v:group>
              <v:shape id="_x0000_s1048" type="#_x0000_t32" style="position:absolute;left:3450;top:12127;width:15;height:728;flip:x" o:connectortype="straight">
                <v:stroke endarrow="block"/>
              </v:shape>
              <v:shape id="_x0000_s1049" type="#_x0000_t202" style="position:absolute;left:8867;top:10080;width:653;height:634" filled="f" stroked="f">
                <v:textbox style="mso-next-textbox:#_x0000_s1049">
                  <w:txbxContent>
                    <w:p w:rsidR="000D553A" w:rsidRPr="006D1451" w:rsidRDefault="000D553A" w:rsidP="00F351E9">
                      <w:pPr>
                        <w:rPr>
                          <w:rFonts w:cs="Arial"/>
                          <w:sz w:val="18"/>
                          <w:szCs w:val="18"/>
                        </w:rPr>
                      </w:pPr>
                      <w:r w:rsidRPr="009B5343">
                        <w:rPr>
                          <w:rFonts w:cs="Arial"/>
                          <w:sz w:val="18"/>
                          <w:szCs w:val="18"/>
                        </w:rPr>
                        <w:t>Yes</w:t>
                      </w:r>
                    </w:p>
                  </w:txbxContent>
                </v:textbox>
              </v:shape>
              <v:shape id="_x0000_s1050" type="#_x0000_t202" style="position:absolute;left:8557;top:14259;width:653;height:634" filled="f" stroked="f">
                <v:textbox style="mso-next-textbox:#_x0000_s1050">
                  <w:txbxContent>
                    <w:p w:rsidR="000D553A" w:rsidRPr="006D1451" w:rsidRDefault="000D553A" w:rsidP="00F351E9">
                      <w:pPr>
                        <w:rPr>
                          <w:rFonts w:cs="Arial"/>
                          <w:sz w:val="18"/>
                          <w:szCs w:val="18"/>
                        </w:rPr>
                      </w:pPr>
                      <w:r w:rsidRPr="009B5343">
                        <w:rPr>
                          <w:rFonts w:cs="Arial"/>
                          <w:sz w:val="18"/>
                          <w:szCs w:val="18"/>
                        </w:rPr>
                        <w:t>Yes</w:t>
                      </w:r>
                    </w:p>
                  </w:txbxContent>
                </v:textbox>
              </v:shape>
              <v:shape id="_x0000_s1051" type="#_x0000_t202" style="position:absolute;left:10065;top:13393;width:653;height:634" filled="f" stroked="f">
                <v:textbox style="mso-next-textbox:#_x0000_s1051">
                  <w:txbxContent>
                    <w:p w:rsidR="000D553A" w:rsidRPr="006D1451" w:rsidRDefault="000D553A" w:rsidP="00F351E9">
                      <w:pPr>
                        <w:rPr>
                          <w:rFonts w:cs="Arial"/>
                          <w:sz w:val="18"/>
                          <w:szCs w:val="18"/>
                          <w:lang w:val="en-US"/>
                        </w:rPr>
                      </w:pPr>
                      <w:r w:rsidRPr="009B5343">
                        <w:rPr>
                          <w:rFonts w:cs="Arial"/>
                          <w:sz w:val="18"/>
                          <w:szCs w:val="18"/>
                          <w:lang w:val="en-US"/>
                        </w:rPr>
                        <w:t>No</w:t>
                      </w:r>
                    </w:p>
                  </w:txbxContent>
                </v:textbox>
              </v:shape>
            </v:group>
            <w10:wrap type="none"/>
            <w10:anchorlock/>
          </v:group>
        </w:pict>
      </w:r>
    </w:p>
    <w:p w:rsidR="006D1451" w:rsidRDefault="009B5343">
      <w:pPr>
        <w:rPr>
          <w:b/>
        </w:rPr>
        <w:sectPr w:rsidR="006D1451" w:rsidSect="006D1451">
          <w:headerReference w:type="first" r:id="rId14"/>
          <w:footerReference w:type="first" r:id="rId15"/>
          <w:pgSz w:w="11906" w:h="16838" w:code="9"/>
          <w:pgMar w:top="1304" w:right="1134" w:bottom="1418" w:left="1134" w:header="709" w:footer="164" w:gutter="0"/>
          <w:cols w:space="708"/>
          <w:titlePg/>
          <w:docGrid w:linePitch="360"/>
        </w:sectPr>
      </w:pPr>
      <w:r w:rsidRPr="009B5343">
        <w:rPr>
          <w:b/>
        </w:rPr>
        <w:t xml:space="preserve">Figure </w:t>
      </w:r>
      <w:r w:rsidR="009C5AC8" w:rsidRPr="006D1451">
        <w:rPr>
          <w:b/>
        </w:rPr>
        <w:fldChar w:fldCharType="begin"/>
      </w:r>
      <w:r w:rsidRPr="009B5343">
        <w:rPr>
          <w:b/>
        </w:rPr>
        <w:instrText xml:space="preserve"> SEQ Figure </w:instrText>
      </w:r>
      <w:r w:rsidR="006D1451" w:rsidRPr="005C0323">
        <w:rPr>
          <w:b/>
        </w:rPr>
        <w:instrText>\</w:instrText>
      </w:r>
      <w:r w:rsidRPr="009B5343">
        <w:rPr>
          <w:b/>
        </w:rPr>
        <w:instrText xml:space="preserve">* ARABIC </w:instrText>
      </w:r>
      <w:r w:rsidR="009C5AC8" w:rsidRPr="006D1451">
        <w:rPr>
          <w:b/>
        </w:rPr>
        <w:fldChar w:fldCharType="separate"/>
      </w:r>
      <w:r w:rsidRPr="009B5343">
        <w:rPr>
          <w:b/>
          <w:noProof/>
        </w:rPr>
        <w:t>1</w:t>
      </w:r>
      <w:r w:rsidR="009C5AC8" w:rsidRPr="006D1451">
        <w:rPr>
          <w:b/>
        </w:rPr>
        <w:fldChar w:fldCharType="end"/>
      </w:r>
      <w:r w:rsidRPr="009B5343">
        <w:rPr>
          <w:b/>
        </w:rPr>
        <w:t>:</w:t>
      </w:r>
      <w:r w:rsidR="006D1451">
        <w:t xml:space="preserve"> </w:t>
      </w:r>
      <w:r w:rsidR="006D1451" w:rsidRPr="00C46676">
        <w:t>Flowchart for the development of a safety case</w:t>
      </w:r>
      <w:r w:rsidR="006D1451">
        <w:t xml:space="preserve"> outline</w:t>
      </w:r>
    </w:p>
    <w:p w:rsidR="006D1451" w:rsidRPr="00A23A0E" w:rsidRDefault="006D1451" w:rsidP="006934BC">
      <w:pPr>
        <w:pStyle w:val="Heading1"/>
      </w:pPr>
      <w:bookmarkStart w:id="3" w:name="_Toc314400885"/>
      <w:bookmarkStart w:id="4" w:name="_Toc314400886"/>
      <w:bookmarkStart w:id="5" w:name="_Toc303875994"/>
      <w:bookmarkStart w:id="6" w:name="_Toc314232739"/>
      <w:bookmarkStart w:id="7" w:name="_Toc314233079"/>
      <w:bookmarkStart w:id="8" w:name="_Toc314400887"/>
      <w:bookmarkStart w:id="9" w:name="_Toc314233081"/>
      <w:bookmarkStart w:id="10" w:name="_Toc314400889"/>
      <w:bookmarkStart w:id="11" w:name="_Toc319328235"/>
      <w:bookmarkEnd w:id="3"/>
      <w:bookmarkEnd w:id="4"/>
      <w:bookmarkEnd w:id="5"/>
      <w:bookmarkEnd w:id="6"/>
      <w:bookmarkEnd w:id="7"/>
      <w:bookmarkEnd w:id="8"/>
      <w:bookmarkEnd w:id="9"/>
      <w:bookmarkEnd w:id="10"/>
      <w:r w:rsidRPr="00A23A0E">
        <w:lastRenderedPageBreak/>
        <w:t>Safety case outline format and submission</w:t>
      </w:r>
      <w:bookmarkEnd w:id="11"/>
    </w:p>
    <w:p w:rsidR="009B5343" w:rsidRDefault="006D1451" w:rsidP="009B5343">
      <w:r w:rsidRPr="00AB22B2">
        <w:t xml:space="preserve">A separate document is required for each MHF. It </w:t>
      </w:r>
      <w:r>
        <w:t>should</w:t>
      </w:r>
      <w:r w:rsidRPr="00AB22B2">
        <w:t xml:space="preserve"> clearly identify the MHF to which it applies. The information may be provided in paper or electronic form and sent to the regulator at the address given in the notice of determination of the MHF unless otherwise notified in writing</w:t>
      </w:r>
      <w:r>
        <w:t xml:space="preserve"> by the regulator</w:t>
      </w:r>
      <w:r w:rsidRPr="00AB22B2">
        <w:t>.</w:t>
      </w:r>
    </w:p>
    <w:p w:rsidR="009B5343" w:rsidRDefault="006D1451" w:rsidP="009B5343">
      <w:r w:rsidRPr="00AB22B2">
        <w:t xml:space="preserve">To make the safety case outline easy to follow and refer to, </w:t>
      </w:r>
      <w:r>
        <w:t>the following</w:t>
      </w:r>
      <w:r w:rsidRPr="00AB22B2">
        <w:t xml:space="preserve"> is </w:t>
      </w:r>
      <w:r>
        <w:t>recommended</w:t>
      </w:r>
      <w:r w:rsidRPr="00AB22B2">
        <w:t>:</w:t>
      </w:r>
    </w:p>
    <w:p w:rsidR="009B5343" w:rsidRDefault="006D1451" w:rsidP="009B5343">
      <w:pPr>
        <w:pStyle w:val="Bullet1"/>
      </w:pPr>
      <w:r w:rsidRPr="00AB22B2">
        <w:t xml:space="preserve">All information in the safety case outline and any supporting documents should be legible. In particular, font sizes should be large enough, </w:t>
      </w:r>
      <w:r>
        <w:t xml:space="preserve">and </w:t>
      </w:r>
      <w:r w:rsidRPr="00AB22B2">
        <w:t xml:space="preserve">diagrams and plans should be </w:t>
      </w:r>
      <w:r>
        <w:t>at</w:t>
      </w:r>
      <w:r w:rsidRPr="00AB22B2">
        <w:t xml:space="preserve"> an appropriate scale and of high </w:t>
      </w:r>
      <w:r w:rsidRPr="00365D25">
        <w:t>enough</w:t>
      </w:r>
      <w:r w:rsidRPr="00AB22B2">
        <w:t xml:space="preserve"> resolution for details to be readable.</w:t>
      </w:r>
    </w:p>
    <w:p w:rsidR="009B5343" w:rsidRDefault="006D1451" w:rsidP="009B5343">
      <w:pPr>
        <w:pStyle w:val="Bullet1"/>
      </w:pPr>
      <w:r w:rsidRPr="00AB22B2">
        <w:t>The safety case outline should be set out in a clear and logical manner with headings, section numbers and a table of contents.</w:t>
      </w:r>
    </w:p>
    <w:p w:rsidR="009B5343" w:rsidRDefault="006D1451" w:rsidP="009B5343">
      <w:pPr>
        <w:pStyle w:val="Bullet1"/>
      </w:pPr>
      <w:r w:rsidRPr="00AB22B2">
        <w:t>Site-specific or industry-specific terminology and abbreviations should be explained, preferably in a separate glossary.</w:t>
      </w:r>
    </w:p>
    <w:p w:rsidR="009B5343" w:rsidRDefault="006D1451" w:rsidP="009B5343">
      <w:pPr>
        <w:pStyle w:val="Bullet1"/>
      </w:pPr>
      <w:r w:rsidRPr="00AB22B2">
        <w:t xml:space="preserve">Each page should include in the header or footer sufficient information to identify the MHF to which it applies, preferably the company or other name, the suburb or town, and the facility identification number assigned by the </w:t>
      </w:r>
      <w:r w:rsidRPr="00365D25">
        <w:t>regulator</w:t>
      </w:r>
      <w:r>
        <w:t xml:space="preserve"> </w:t>
      </w:r>
      <w:r w:rsidR="009B5343" w:rsidRPr="009B5343">
        <w:t>(if any).</w:t>
      </w:r>
    </w:p>
    <w:p w:rsidR="009B5343" w:rsidRDefault="006D1451" w:rsidP="009B5343">
      <w:pPr>
        <w:pStyle w:val="Bullet1"/>
      </w:pPr>
      <w:r w:rsidRPr="00AB22B2">
        <w:t xml:space="preserve">Each page should include in the header or footer sufficient information to identify the document </w:t>
      </w:r>
      <w:r>
        <w:t>of</w:t>
      </w:r>
      <w:r w:rsidRPr="00AB22B2">
        <w:t xml:space="preserve"> which it forms part, including the date, version number, section number and page number (in the form ‘page X of Y’).</w:t>
      </w:r>
    </w:p>
    <w:p w:rsidR="009B5343" w:rsidRDefault="006D1451" w:rsidP="009B5343">
      <w:pPr>
        <w:pStyle w:val="Bullet1"/>
      </w:pPr>
      <w:r w:rsidRPr="00AB22B2">
        <w:t>The cover page should list the name and address of the MHF, the facility identification number assigned by the regulator (if any), the name, title and contact details for the person the regulator should contact if details in the safety case outline require clarification, and the date of preparation and version number of the safety case outline.</w:t>
      </w:r>
    </w:p>
    <w:p w:rsidR="006D1451" w:rsidRPr="00A23A0E" w:rsidRDefault="00C061B3" w:rsidP="004C2B4A">
      <w:pPr>
        <w:pStyle w:val="Heading1"/>
      </w:pPr>
      <w:bookmarkStart w:id="12" w:name="_Toc314233083"/>
      <w:bookmarkStart w:id="13" w:name="_Toc314400891"/>
      <w:bookmarkEnd w:id="12"/>
      <w:bookmarkEnd w:id="13"/>
      <w:r>
        <w:br w:type="page"/>
      </w:r>
      <w:bookmarkStart w:id="14" w:name="_Toc319328236"/>
      <w:r w:rsidR="006D1451" w:rsidRPr="00A23A0E">
        <w:lastRenderedPageBreak/>
        <w:t xml:space="preserve">Content of the safety </w:t>
      </w:r>
      <w:r w:rsidR="009B5343" w:rsidRPr="009B5343">
        <w:t>case</w:t>
      </w:r>
      <w:r w:rsidR="006D1451" w:rsidRPr="00A23A0E">
        <w:t xml:space="preserve"> outline</w:t>
      </w:r>
      <w:bookmarkEnd w:id="14"/>
    </w:p>
    <w:p w:rsidR="006D1451" w:rsidRPr="00A23A0E" w:rsidRDefault="006D1451" w:rsidP="006934BC">
      <w:pPr>
        <w:pStyle w:val="Heading2"/>
      </w:pPr>
      <w:bookmarkStart w:id="15" w:name="_Toc319328237"/>
      <w:r w:rsidRPr="006934BC">
        <w:t>General</w:t>
      </w:r>
      <w:r w:rsidRPr="00A23A0E">
        <w:t xml:space="preserve"> requirements – content and purpose</w:t>
      </w:r>
      <w:bookmarkEnd w:id="15"/>
    </w:p>
    <w:p w:rsidR="009B5343" w:rsidRDefault="006D1451" w:rsidP="009B5343">
      <w:r w:rsidRPr="00AB22B2">
        <w:t xml:space="preserve">The safety case outline must clearly identify the main activities and timetable that the MHF operator will follow in order to prepare a satisfactory safety case by the due date, and the resources that will be used. The safety case </w:t>
      </w:r>
      <w:r w:rsidR="00BC2013">
        <w:t>outline</w:t>
      </w:r>
      <w:r w:rsidR="00BC2013" w:rsidRPr="00AB22B2">
        <w:t xml:space="preserve"> </w:t>
      </w:r>
      <w:r w:rsidRPr="00AB22B2">
        <w:t>is in effect a project plan for the preparation of the safety case. The descriptions of the activities as required below should be linked to a timetable similar to a Gantt chart.</w:t>
      </w:r>
    </w:p>
    <w:p w:rsidR="006D1451" w:rsidRDefault="006D1451" w:rsidP="00E15BC9">
      <w:r w:rsidRPr="00AB22B2">
        <w:t xml:space="preserve">The safety case outline provides assurance to the MHF operator, </w:t>
      </w:r>
      <w:r>
        <w:t>workers</w:t>
      </w:r>
      <w:r w:rsidRPr="00AB22B2">
        <w:t xml:space="preserve"> at the MHF and the regulator that the operator has adequately scoped and planned for the development of the safety case and will be approaching the development in a structured and systematic manner. </w:t>
      </w:r>
    </w:p>
    <w:p w:rsidR="009B5343" w:rsidRDefault="006D1451" w:rsidP="009B5343">
      <w:r w:rsidRPr="00AB22B2">
        <w:t>The regulator expects that MHF operators will monitor their progress against the timetable and allocate additional resources if required to meet the due date. The regulator may refer to the timeline in planning its interactions with the MHF.</w:t>
      </w:r>
    </w:p>
    <w:p w:rsidR="009B5343" w:rsidRDefault="006D1451" w:rsidP="009B5343">
      <w:r w:rsidRPr="00AB22B2">
        <w:t xml:space="preserve">The requirements for the safety case outline are set out in </w:t>
      </w:r>
      <w:r w:rsidR="00C061B3">
        <w:t>R</w:t>
      </w:r>
      <w:r w:rsidRPr="00AB22B2">
        <w:t>egulation 552. The following sections of this guide provide guidance on how to meet these requirements.</w:t>
      </w:r>
    </w:p>
    <w:p w:rsidR="006D1451" w:rsidRDefault="006D1451">
      <w:pPr>
        <w:pStyle w:val="Heading2"/>
        <w:rPr>
          <w:rFonts w:cs="Arial"/>
        </w:rPr>
      </w:pPr>
      <w:bookmarkStart w:id="16" w:name="_Toc319328238"/>
      <w:r w:rsidRPr="00A23A0E">
        <w:rPr>
          <w:rFonts w:cs="Arial"/>
        </w:rPr>
        <w:t>A written plan for the preparation of the safety case</w:t>
      </w:r>
      <w:bookmarkEnd w:id="16"/>
      <w:r w:rsidRPr="00A23A0E">
        <w:rPr>
          <w:rFonts w:cs="Arial"/>
        </w:rPr>
        <w:t xml:space="preserve"> </w:t>
      </w:r>
    </w:p>
    <w:p w:rsidR="009B5343" w:rsidRDefault="006D1451" w:rsidP="009B5343">
      <w:r>
        <w:t>This section</w:t>
      </w:r>
      <w:r w:rsidRPr="00A23A0E">
        <w:t xml:space="preserve"> </w:t>
      </w:r>
      <w:r>
        <w:t>includes</w:t>
      </w:r>
      <w:r w:rsidRPr="00A23A0E">
        <w:t xml:space="preserve"> key steps and timelines, with reference being made to each element of the safety case</w:t>
      </w:r>
      <w:r>
        <w:t>.</w:t>
      </w:r>
    </w:p>
    <w:p w:rsidR="009B5343" w:rsidRDefault="006D1451" w:rsidP="009B5343">
      <w:r w:rsidRPr="00AB22B2">
        <w:t>The MHF operator will need to:</w:t>
      </w:r>
    </w:p>
    <w:p w:rsidR="009B5343" w:rsidRDefault="006D1451" w:rsidP="009B5343">
      <w:pPr>
        <w:pStyle w:val="Bullet1"/>
      </w:pPr>
      <w:r w:rsidRPr="00AB22B2">
        <w:t xml:space="preserve">identify what information is required to prepare the safety case, by reference to </w:t>
      </w:r>
      <w:r w:rsidR="000D553A">
        <w:t>Regulations</w:t>
      </w:r>
      <w:r w:rsidRPr="00AB22B2">
        <w:t xml:space="preserve"> 554 to 563, </w:t>
      </w:r>
      <w:r>
        <w:t>S</w:t>
      </w:r>
      <w:r w:rsidRPr="00AB22B2">
        <w:t xml:space="preserve">chedules 16 to 18 of the Regulations and the </w:t>
      </w:r>
      <w:r w:rsidRPr="00CD6883">
        <w:rPr>
          <w:i/>
        </w:rPr>
        <w:t>Guide for Major Hazard Facilities: Preparation of a Safety Case</w:t>
      </w:r>
    </w:p>
    <w:p w:rsidR="009B5343" w:rsidRDefault="006D1451" w:rsidP="009B5343">
      <w:pPr>
        <w:pStyle w:val="Bullet1"/>
      </w:pPr>
      <w:r w:rsidRPr="00AB22B2">
        <w:t>identify existing information and documents that could be used in the preparation of the safety case. This may include:</w:t>
      </w:r>
    </w:p>
    <w:p w:rsidR="009B5343" w:rsidRDefault="006D1451" w:rsidP="009B5343">
      <w:pPr>
        <w:pStyle w:val="Bullet2"/>
      </w:pPr>
      <w:r w:rsidRPr="00AB22B2">
        <w:t>risk assessments</w:t>
      </w:r>
    </w:p>
    <w:p w:rsidR="009B5343" w:rsidRDefault="006D1451" w:rsidP="009B5343">
      <w:pPr>
        <w:pStyle w:val="Bullet2"/>
      </w:pPr>
      <w:r w:rsidRPr="00AB22B2">
        <w:t>development approvals for the current operations at the facility, modification approvals, environmental licences and other statutory approvals</w:t>
      </w:r>
    </w:p>
    <w:p w:rsidR="009B5343" w:rsidRDefault="006D1451" w:rsidP="009B5343">
      <w:pPr>
        <w:pStyle w:val="Bullet2"/>
      </w:pPr>
      <w:r w:rsidRPr="00AB22B2">
        <w:t>safety documentation, studies or reports (the safety management system in particular)</w:t>
      </w:r>
    </w:p>
    <w:p w:rsidR="009B5343" w:rsidRDefault="006D1451" w:rsidP="009B5343">
      <w:pPr>
        <w:pStyle w:val="Bullet2"/>
      </w:pPr>
      <w:r w:rsidRPr="00AB22B2">
        <w:t>status of compliance with hazard/safety</w:t>
      </w:r>
      <w:r>
        <w:t>-</w:t>
      </w:r>
      <w:r w:rsidRPr="00AB22B2">
        <w:t>related conditions imposed by a development approval/consent</w:t>
      </w:r>
    </w:p>
    <w:p w:rsidR="009B5343" w:rsidRDefault="006D1451" w:rsidP="009B5343">
      <w:pPr>
        <w:pStyle w:val="Bullet2"/>
      </w:pPr>
      <w:r w:rsidRPr="00AB22B2">
        <w:t>results of inspections, reviews and audits and the implementation plan for safety</w:t>
      </w:r>
      <w:r>
        <w:t>-</w:t>
      </w:r>
      <w:r w:rsidRPr="00AB22B2">
        <w:t>related action items</w:t>
      </w:r>
    </w:p>
    <w:p w:rsidR="009B5343" w:rsidRDefault="006D1451" w:rsidP="009B5343">
      <w:pPr>
        <w:pStyle w:val="Bullet2"/>
      </w:pPr>
      <w:r w:rsidRPr="00AB22B2">
        <w:t>maps, plans</w:t>
      </w:r>
      <w:r>
        <w:t xml:space="preserve"> and</w:t>
      </w:r>
      <w:r w:rsidRPr="00AB22B2">
        <w:t xml:space="preserve"> process diagrams</w:t>
      </w:r>
    </w:p>
    <w:p w:rsidR="009B5343" w:rsidRDefault="006D1451" w:rsidP="009B5343">
      <w:pPr>
        <w:pStyle w:val="Bullet2"/>
      </w:pPr>
      <w:r w:rsidRPr="00AB22B2">
        <w:t>inventories of materials</w:t>
      </w:r>
    </w:p>
    <w:p w:rsidR="009B5343" w:rsidRDefault="006D1451" w:rsidP="009B5343">
      <w:pPr>
        <w:pStyle w:val="Bullet2"/>
      </w:pPr>
      <w:r w:rsidRPr="00AB22B2">
        <w:t>information about process and storage conditions</w:t>
      </w:r>
    </w:p>
    <w:p w:rsidR="009B5343" w:rsidRDefault="006D1451" w:rsidP="009B5343">
      <w:pPr>
        <w:pStyle w:val="Bullet2"/>
      </w:pPr>
      <w:r w:rsidRPr="00AB22B2">
        <w:t>identification of critical controls and systems</w:t>
      </w:r>
    </w:p>
    <w:p w:rsidR="009B5343" w:rsidRDefault="006D1451" w:rsidP="009B5343">
      <w:pPr>
        <w:pStyle w:val="Bullet2"/>
      </w:pPr>
      <w:r w:rsidRPr="00AB22B2">
        <w:t>incident investigations</w:t>
      </w:r>
      <w:r>
        <w:t>,</w:t>
      </w:r>
      <w:r w:rsidRPr="00AB22B2">
        <w:t xml:space="preserve"> reports and action plans </w:t>
      </w:r>
    </w:p>
    <w:p w:rsidR="009B5343" w:rsidRDefault="006D1451" w:rsidP="009B5343">
      <w:pPr>
        <w:pStyle w:val="Bullet2"/>
      </w:pPr>
      <w:r w:rsidRPr="00DD46B0">
        <w:t>specifications for equipment and processes</w:t>
      </w:r>
    </w:p>
    <w:p w:rsidR="009B5343" w:rsidRDefault="006D1451" w:rsidP="009B5343">
      <w:pPr>
        <w:pStyle w:val="Bullet1"/>
        <w:rPr>
          <w:color w:val="000000"/>
        </w:rPr>
      </w:pPr>
      <w:r w:rsidRPr="00DD46B0">
        <w:t xml:space="preserve">review existing information and </w:t>
      </w:r>
      <w:r w:rsidR="009B5343" w:rsidRPr="009B5343">
        <w:t xml:space="preserve">documents </w:t>
      </w:r>
      <w:r w:rsidRPr="00DD46B0">
        <w:t xml:space="preserve">to </w:t>
      </w:r>
      <w:r w:rsidR="009B5343" w:rsidRPr="009B5343">
        <w:t xml:space="preserve">determine </w:t>
      </w:r>
      <w:r w:rsidRPr="00DD46B0">
        <w:t>their validity. A</w:t>
      </w:r>
      <w:r w:rsidR="009B5343" w:rsidRPr="009B5343">
        <w:t xml:space="preserve">spects </w:t>
      </w:r>
      <w:r w:rsidRPr="00DD46B0">
        <w:t xml:space="preserve">to consider may </w:t>
      </w:r>
      <w:r w:rsidR="009B5343" w:rsidRPr="009B5343">
        <w:t>include:</w:t>
      </w:r>
    </w:p>
    <w:p w:rsidR="009B5343" w:rsidRDefault="006D1451" w:rsidP="009B5343">
      <w:pPr>
        <w:pStyle w:val="Bullet2"/>
        <w:rPr>
          <w:color w:val="000000"/>
        </w:rPr>
      </w:pPr>
      <w:r w:rsidRPr="00DD46B0">
        <w:t xml:space="preserve">the </w:t>
      </w:r>
      <w:r w:rsidR="009B5343" w:rsidRPr="009B5343">
        <w:t xml:space="preserve">assumptions </w:t>
      </w:r>
      <w:r w:rsidRPr="00DD46B0">
        <w:t xml:space="preserve">and data on which they were </w:t>
      </w:r>
      <w:r w:rsidR="009B5343" w:rsidRPr="009B5343">
        <w:t>based</w:t>
      </w:r>
    </w:p>
    <w:p w:rsidR="009B5343" w:rsidRDefault="009B5343" w:rsidP="009B5343">
      <w:pPr>
        <w:pStyle w:val="Bullet2"/>
        <w:rPr>
          <w:color w:val="000000"/>
        </w:rPr>
      </w:pPr>
      <w:r w:rsidRPr="009B5343">
        <w:t xml:space="preserve">appropriateness </w:t>
      </w:r>
      <w:r w:rsidR="006D1451" w:rsidRPr="00DD46B0">
        <w:t xml:space="preserve">of the hazard and risk </w:t>
      </w:r>
      <w:r w:rsidRPr="009B5343">
        <w:t>assessment techniques used</w:t>
      </w:r>
    </w:p>
    <w:p w:rsidR="009B5343" w:rsidRDefault="009B5343" w:rsidP="009B5343">
      <w:pPr>
        <w:pStyle w:val="Bullet2"/>
        <w:rPr>
          <w:color w:val="000000"/>
        </w:rPr>
      </w:pPr>
      <w:r w:rsidRPr="009B5343">
        <w:t xml:space="preserve">changes </w:t>
      </w:r>
      <w:r w:rsidR="006D1451" w:rsidRPr="00DD46B0">
        <w:t xml:space="preserve">that may have occurred since the </w:t>
      </w:r>
      <w:r w:rsidRPr="009B5343">
        <w:t xml:space="preserve">document </w:t>
      </w:r>
      <w:r w:rsidR="006D1451" w:rsidRPr="00DD46B0">
        <w:t xml:space="preserve">was </w:t>
      </w:r>
      <w:r w:rsidRPr="009B5343">
        <w:t xml:space="preserve">prepared </w:t>
      </w:r>
      <w:r w:rsidR="006D1451" w:rsidRPr="00DD46B0">
        <w:t>(for example</w:t>
      </w:r>
      <w:r w:rsidR="006D1451">
        <w:t>,</w:t>
      </w:r>
      <w:r w:rsidR="006D1451" w:rsidRPr="00DD46B0">
        <w:t xml:space="preserve"> </w:t>
      </w:r>
      <w:r w:rsidRPr="009B5343">
        <w:t>substances, processes</w:t>
      </w:r>
      <w:r w:rsidR="006D1451">
        <w:t xml:space="preserve"> and</w:t>
      </w:r>
      <w:r w:rsidRPr="009B5343">
        <w:t xml:space="preserve"> surroundings)</w:t>
      </w:r>
    </w:p>
    <w:p w:rsidR="009B5343" w:rsidRDefault="006D1451" w:rsidP="009B5343">
      <w:pPr>
        <w:pStyle w:val="Bullet2"/>
        <w:rPr>
          <w:color w:val="000000"/>
        </w:rPr>
      </w:pPr>
      <w:r w:rsidRPr="00DD46B0">
        <w:lastRenderedPageBreak/>
        <w:t xml:space="preserve">applicability to both on-site and off-site risk and public health and </w:t>
      </w:r>
      <w:r w:rsidR="009B5343" w:rsidRPr="009B5343">
        <w:t>safety</w:t>
      </w:r>
    </w:p>
    <w:p w:rsidR="009B5343" w:rsidRDefault="006D1451" w:rsidP="009B5343">
      <w:pPr>
        <w:pStyle w:val="Bullet2"/>
        <w:rPr>
          <w:color w:val="000000"/>
        </w:rPr>
      </w:pPr>
      <w:r w:rsidRPr="00DD46B0">
        <w:t xml:space="preserve">suitability of </w:t>
      </w:r>
      <w:r w:rsidR="009B5343" w:rsidRPr="009B5343">
        <w:t xml:space="preserve">acceptance </w:t>
      </w:r>
      <w:r w:rsidRPr="00DD46B0">
        <w:t xml:space="preserve">criteria for </w:t>
      </w:r>
      <w:r w:rsidR="009B5343" w:rsidRPr="009B5343">
        <w:t>risk</w:t>
      </w:r>
    </w:p>
    <w:p w:rsidR="009B5343" w:rsidRDefault="009B5343" w:rsidP="009B5343">
      <w:pPr>
        <w:pStyle w:val="Bullet2"/>
        <w:rPr>
          <w:color w:val="000000"/>
        </w:rPr>
      </w:pPr>
      <w:r w:rsidRPr="009B5343">
        <w:t xml:space="preserve">changes </w:t>
      </w:r>
      <w:r w:rsidR="006D1451" w:rsidRPr="00DD46B0">
        <w:t>in knowledge (for example</w:t>
      </w:r>
      <w:r w:rsidR="006D1451">
        <w:t>,</w:t>
      </w:r>
      <w:r w:rsidR="006D1451" w:rsidRPr="00DD46B0">
        <w:t xml:space="preserve"> health effects of </w:t>
      </w:r>
      <w:r w:rsidRPr="009B5343">
        <w:t xml:space="preserve">materials, </w:t>
      </w:r>
      <w:r w:rsidR="006D1451" w:rsidRPr="00DD46B0">
        <w:t xml:space="preserve">new </w:t>
      </w:r>
      <w:r w:rsidRPr="009B5343">
        <w:t>incidents)</w:t>
      </w:r>
    </w:p>
    <w:p w:rsidR="009B5343" w:rsidRPr="009B5343" w:rsidRDefault="006D1451" w:rsidP="009B5343">
      <w:pPr>
        <w:pStyle w:val="Bullet1"/>
        <w:rPr>
          <w:color w:val="000000"/>
        </w:rPr>
      </w:pPr>
      <w:r w:rsidRPr="00A90D84">
        <w:t xml:space="preserve">compile a gap analysis or similar to </w:t>
      </w:r>
      <w:r w:rsidR="009B5343" w:rsidRPr="009B5343">
        <w:t xml:space="preserve">determine </w:t>
      </w:r>
      <w:r w:rsidRPr="00A90D84">
        <w:t xml:space="preserve">and </w:t>
      </w:r>
      <w:r w:rsidR="009B5343" w:rsidRPr="009B5343">
        <w:t xml:space="preserve">document </w:t>
      </w:r>
      <w:r w:rsidRPr="00A90D84">
        <w:t xml:space="preserve">what </w:t>
      </w:r>
      <w:r w:rsidR="009B5343" w:rsidRPr="009B5343">
        <w:t>additional work</w:t>
      </w:r>
      <w:r w:rsidRPr="00A90D84">
        <w:t xml:space="preserve"> is </w:t>
      </w:r>
      <w:r w:rsidR="009B5343" w:rsidRPr="009B5343">
        <w:t xml:space="preserve">needed, </w:t>
      </w:r>
      <w:r w:rsidRPr="00A90D84">
        <w:t xml:space="preserve">such as </w:t>
      </w:r>
      <w:r w:rsidR="009B5343" w:rsidRPr="009B5343">
        <w:t xml:space="preserve">improvements </w:t>
      </w:r>
      <w:r w:rsidRPr="00A90D84">
        <w:t>or ex</w:t>
      </w:r>
      <w:r w:rsidR="009B5343" w:rsidRPr="009B5343">
        <w:t>tensions t</w:t>
      </w:r>
      <w:r w:rsidRPr="00A90D84">
        <w:t>o ex</w:t>
      </w:r>
      <w:r w:rsidR="009B5343" w:rsidRPr="009B5343">
        <w:t>isting documents and new work</w:t>
      </w:r>
      <w:r w:rsidRPr="00A90D84">
        <w:t xml:space="preserve"> th</w:t>
      </w:r>
      <w:r w:rsidR="009B5343" w:rsidRPr="009B5343">
        <w:t xml:space="preserve">at will </w:t>
      </w:r>
      <w:r w:rsidRPr="00A90D84">
        <w:t>be requi</w:t>
      </w:r>
      <w:r w:rsidR="009B5343" w:rsidRPr="009B5343">
        <w:t xml:space="preserve">red to complete </w:t>
      </w:r>
      <w:r w:rsidRPr="00A90D84">
        <w:t>the safety case.</w:t>
      </w:r>
    </w:p>
    <w:p w:rsidR="006D1451" w:rsidRDefault="006D1451" w:rsidP="006934BC">
      <w:pPr>
        <w:pStyle w:val="BoxText"/>
      </w:pPr>
      <w:r w:rsidRPr="00B46B1A">
        <w:rPr>
          <w:b/>
        </w:rPr>
        <w:t>Note:</w:t>
      </w:r>
      <w:r>
        <w:t xml:space="preserve"> MHF operators must consider both public health and safety and WHS when managing risks (identifying, assessing and controlling risks) under </w:t>
      </w:r>
      <w:r w:rsidR="000D553A">
        <w:t>Regulations</w:t>
      </w:r>
      <w:r>
        <w:t xml:space="preserve"> 34 and 35. </w:t>
      </w:r>
    </w:p>
    <w:p w:rsidR="006D1451" w:rsidRDefault="006D1451" w:rsidP="00A90D84">
      <w:pPr>
        <w:pStyle w:val="Heading2"/>
      </w:pPr>
      <w:bookmarkStart w:id="17" w:name="_Toc319328239"/>
      <w:r w:rsidRPr="001B152C">
        <w:t xml:space="preserve">A </w:t>
      </w:r>
      <w:r w:rsidRPr="006934BC">
        <w:t>description</w:t>
      </w:r>
      <w:r w:rsidRPr="001B152C">
        <w:t xml:space="preserve"> of the methods to be used in preparing the safety case</w:t>
      </w:r>
      <w:bookmarkEnd w:id="17"/>
    </w:p>
    <w:p w:rsidR="009B5343" w:rsidRDefault="006D1451" w:rsidP="009B5343">
      <w:r w:rsidRPr="0036303F">
        <w:t>This section includes methods for ensuring that all the information contained in the safety case is accurate and up</w:t>
      </w:r>
      <w:r>
        <w:t>-</w:t>
      </w:r>
      <w:r w:rsidRPr="0036303F">
        <w:t>to</w:t>
      </w:r>
      <w:r>
        <w:t>-</w:t>
      </w:r>
      <w:r w:rsidRPr="0036303F">
        <w:t xml:space="preserve">date when the safety case is </w:t>
      </w:r>
      <w:r w:rsidR="00CA139A">
        <w:t xml:space="preserve">presented to </w:t>
      </w:r>
      <w:r w:rsidRPr="0036303F">
        <w:t>the regulator</w:t>
      </w:r>
      <w:r>
        <w:t>.</w:t>
      </w:r>
      <w:r w:rsidRPr="0036303F">
        <w:t xml:space="preserve"> </w:t>
      </w:r>
    </w:p>
    <w:p w:rsidR="006D1451" w:rsidRDefault="006D1451" w:rsidP="006934BC">
      <w:pPr>
        <w:pStyle w:val="BoxText"/>
      </w:pPr>
      <w:r w:rsidRPr="00B46B1A">
        <w:rPr>
          <w:b/>
        </w:rPr>
        <w:t>Note:</w:t>
      </w:r>
      <w:r>
        <w:t xml:space="preserve"> </w:t>
      </w:r>
      <w:r w:rsidRPr="00B46B1A">
        <w:t>The emergency plan</w:t>
      </w:r>
      <w:r>
        <w:t>, SMS and safety assessment are all</w:t>
      </w:r>
      <w:r w:rsidRPr="00B46B1A">
        <w:t xml:space="preserve"> stand-alone document</w:t>
      </w:r>
      <w:r>
        <w:t>s</w:t>
      </w:r>
      <w:r w:rsidRPr="00B46B1A">
        <w:t xml:space="preserve"> that must also be </w:t>
      </w:r>
      <w:r>
        <w:t>prepared</w:t>
      </w:r>
      <w:r w:rsidRPr="00B46B1A">
        <w:t xml:space="preserve"> </w:t>
      </w:r>
      <w:r>
        <w:t>around</w:t>
      </w:r>
      <w:r w:rsidRPr="00B46B1A">
        <w:t xml:space="preserve"> the same time as the </w:t>
      </w:r>
      <w:r>
        <w:t>safety case</w:t>
      </w:r>
      <w:r w:rsidRPr="00B46B1A">
        <w:t xml:space="preserve">. MHF operators will need to allow for the </w:t>
      </w:r>
      <w:r>
        <w:t>sharing</w:t>
      </w:r>
      <w:r w:rsidRPr="00B46B1A">
        <w:t xml:space="preserve"> of resources to develop these documents, or perhaps include them in the overall allocation of resources and time for </w:t>
      </w:r>
      <w:r>
        <w:t>preparation of the safety case</w:t>
      </w:r>
      <w:r w:rsidRPr="00B46B1A">
        <w:t>.</w:t>
      </w:r>
    </w:p>
    <w:p w:rsidR="006D1451" w:rsidRDefault="006D1451" w:rsidP="004949EE">
      <w:r w:rsidRPr="00AB22B2">
        <w:t>This section should list the major tasks and activities identified in the gap analysis or similar process (above), and show the order and timetable for these tasks and activities and the links between them. The methodology and outcome of the gap analysis should be outlined and the proposed tasks and activities should be listed and briefly described. Where existing documents are to be used, they should be listed with a notation of any aspects that are known to require significant modifications.</w:t>
      </w:r>
    </w:p>
    <w:p w:rsidR="006D1451" w:rsidRDefault="006D1451" w:rsidP="004949EE">
      <w:r w:rsidRPr="00AB22B2">
        <w:t>Time may also be needed in the early stages for updating or revising existing documents and studies before proceeding to the next activity. For example, an existing risk assessment may have been limited to on-site risks only, or off-site risks only</w:t>
      </w:r>
      <w:r>
        <w:t>,</w:t>
      </w:r>
      <w:r w:rsidRPr="00AB22B2">
        <w:t xml:space="preserve"> as required by some other legislation. In this example, updating/revising the risk assessment in itself may not suffice</w:t>
      </w:r>
      <w:r>
        <w:rPr>
          <w:rFonts w:cs="Arial"/>
        </w:rPr>
        <w:t xml:space="preserve"> – </w:t>
      </w:r>
      <w:r w:rsidRPr="00AB22B2">
        <w:t xml:space="preserve">the updating/revision may have to start at the hazard identification. The safety case must address </w:t>
      </w:r>
      <w:r w:rsidRPr="006934BC">
        <w:t>all major incidents that could occur and all major incident hazards</w:t>
      </w:r>
      <w:r>
        <w:t>,</w:t>
      </w:r>
      <w:r w:rsidRPr="006934BC">
        <w:t xml:space="preserve"> including</w:t>
      </w:r>
      <w:r>
        <w:t xml:space="preserve"> </w:t>
      </w:r>
      <w:r w:rsidRPr="00AB22B2">
        <w:t>both on</w:t>
      </w:r>
      <w:r>
        <w:t>-</w:t>
      </w:r>
      <w:r w:rsidRPr="00AB22B2">
        <w:t xml:space="preserve"> and off</w:t>
      </w:r>
      <w:r>
        <w:t>-</w:t>
      </w:r>
      <w:r w:rsidRPr="00AB22B2">
        <w:t>site risks posed by the facility</w:t>
      </w:r>
      <w:r w:rsidR="00C061B3">
        <w:t>.</w:t>
      </w:r>
      <w:r w:rsidRPr="00AB22B2">
        <w:t xml:space="preserve"> </w:t>
      </w:r>
    </w:p>
    <w:p w:rsidR="006D1451" w:rsidRDefault="006D1451" w:rsidP="002305A2">
      <w:r w:rsidRPr="00AB22B2">
        <w:t>Time may also be needed for new studies that could be identified as a result of updating/revisi</w:t>
      </w:r>
      <w:r>
        <w:t>ng</w:t>
      </w:r>
      <w:r w:rsidRPr="00AB22B2">
        <w:t xml:space="preserve"> existing documents. For the example outlined in the paragraph above, existing control measures may be focused on the safety of the site personnel. An adequacy review that considers off-site risk could show the need for additional control measures, such as safe shutdown systems with a higher level of reliability. A new HAZOP and possibly Safety Integrity Level (SIL) analys</w:t>
      </w:r>
      <w:r>
        <w:t>i</w:t>
      </w:r>
      <w:r w:rsidRPr="00AB22B2">
        <w:t>s of the systems might then become necessary.</w:t>
      </w:r>
    </w:p>
    <w:p w:rsidR="006D1451" w:rsidRDefault="006D1451" w:rsidP="002305A2">
      <w:r w:rsidRPr="00AB22B2">
        <w:t xml:space="preserve">Time and resources </w:t>
      </w:r>
      <w:r>
        <w:t>should</w:t>
      </w:r>
      <w:r w:rsidRPr="00AB22B2">
        <w:t xml:space="preserve"> also be allowed for other activities involved in preparation of the safety case, such as writing, peer review, approval processes and quality assurance. This includes resources for preparing the descriptive and analytical aspects of the safety case, such as demonstration of acceptable level of risk and justification of the selection of methodologies and controls, as well as the simpler information (</w:t>
      </w:r>
      <w:r>
        <w:t>for example,</w:t>
      </w:r>
      <w:r w:rsidRPr="00AB22B2">
        <w:t xml:space="preserve"> information about the facility location</w:t>
      </w:r>
      <w:r>
        <w:t>)</w:t>
      </w:r>
      <w:r w:rsidRPr="00AB22B2">
        <w:t>.</w:t>
      </w:r>
    </w:p>
    <w:p w:rsidR="006D1451" w:rsidRDefault="006D1451">
      <w:r w:rsidRPr="00AB22B2">
        <w:t xml:space="preserve">Better resource allocation and timing are possible when interactions are understood. A flow chart similar to the </w:t>
      </w:r>
      <w:r w:rsidRPr="002305A2">
        <w:t xml:space="preserve">example at </w:t>
      </w:r>
      <w:r w:rsidR="009B5343" w:rsidRPr="009B5343">
        <w:t>Figure 1</w:t>
      </w:r>
      <w:r w:rsidRPr="002305A2">
        <w:t xml:space="preserve"> may</w:t>
      </w:r>
      <w:r w:rsidRPr="00AB22B2">
        <w:t xml:space="preserve"> be an effective representation.</w:t>
      </w:r>
    </w:p>
    <w:p w:rsidR="006D1451" w:rsidRDefault="006D1451" w:rsidP="004949EE">
      <w:r w:rsidRPr="00AB22B2">
        <w:t>The regulator recognises that the timetable described in the safety case outline could change before or during the preparation of the safety case. The MHF operator should ensure that any changes do not adversely affect the quality or on-time completion of the safety case and should notify the regulator of significant changes.</w:t>
      </w:r>
    </w:p>
    <w:p w:rsidR="006D1451" w:rsidRDefault="006D1451" w:rsidP="004949EE">
      <w:r w:rsidRPr="00AB22B2">
        <w:lastRenderedPageBreak/>
        <w:t xml:space="preserve">The safety case outline </w:t>
      </w:r>
      <w:r>
        <w:t>should</w:t>
      </w:r>
      <w:r w:rsidRPr="00AB22B2">
        <w:t xml:space="preserve"> include details of the tasks assigned and the required timing, and list who is responsible for their completion. Information about staff expertise can be included here or cross-referenced to information referred to below.</w:t>
      </w:r>
    </w:p>
    <w:p w:rsidR="006D1451" w:rsidRDefault="006D1451" w:rsidP="004949EE">
      <w:r w:rsidRPr="00AB22B2">
        <w:t>The safety case outline should also describe the system to be used to ensure that the tasks and activities listed will be completed to the required standard and on time.</w:t>
      </w:r>
    </w:p>
    <w:p w:rsidR="006D1451" w:rsidRDefault="006D1451" w:rsidP="004949EE">
      <w:pPr>
        <w:pStyle w:val="Heading2"/>
      </w:pPr>
      <w:bookmarkStart w:id="18" w:name="_Toc314232746"/>
      <w:bookmarkStart w:id="19" w:name="_Toc314233088"/>
      <w:bookmarkStart w:id="20" w:name="_Toc319328240"/>
      <w:bookmarkEnd w:id="18"/>
      <w:bookmarkEnd w:id="19"/>
      <w:r w:rsidRPr="00A23A0E">
        <w:t xml:space="preserve">Details of the resources </w:t>
      </w:r>
      <w:r w:rsidR="00C061B3">
        <w:t>to</w:t>
      </w:r>
      <w:r w:rsidRPr="00A23A0E">
        <w:t xml:space="preserve"> be</w:t>
      </w:r>
      <w:r w:rsidRPr="00A23A0E" w:rsidDel="00B65B28">
        <w:t xml:space="preserve"> </w:t>
      </w:r>
      <w:r w:rsidRPr="00A23A0E">
        <w:t xml:space="preserve">applied </w:t>
      </w:r>
      <w:r w:rsidR="00C061B3">
        <w:t xml:space="preserve">in </w:t>
      </w:r>
      <w:r w:rsidRPr="00A23A0E">
        <w:t>prepar</w:t>
      </w:r>
      <w:r w:rsidR="00C061B3">
        <w:t>ing</w:t>
      </w:r>
      <w:r w:rsidRPr="00A23A0E">
        <w:t xml:space="preserve"> the </w:t>
      </w:r>
      <w:r w:rsidRPr="00175580">
        <w:t>safety</w:t>
      </w:r>
      <w:r w:rsidRPr="00A23A0E">
        <w:t xml:space="preserve"> case</w:t>
      </w:r>
      <w:bookmarkEnd w:id="20"/>
      <w:r w:rsidRPr="00A23A0E">
        <w:t xml:space="preserve"> </w:t>
      </w:r>
    </w:p>
    <w:p w:rsidR="006D1451" w:rsidRDefault="006D1451" w:rsidP="004949EE">
      <w:r w:rsidRPr="00E133B9">
        <w:t xml:space="preserve">The MHF operator should use this section to demonstrate that adequate resources will be made available to prepare the safety case. </w:t>
      </w:r>
      <w:r>
        <w:t>It should include the number of persons involved and their relevant knowledge and experience, the sources of technical information and information about any software used for risk evaluation.</w:t>
      </w:r>
    </w:p>
    <w:p w:rsidR="006D1451" w:rsidRDefault="006D1451" w:rsidP="004949EE">
      <w:r w:rsidRPr="00E133B9">
        <w:t xml:space="preserve">The description of the resources must include </w:t>
      </w:r>
      <w:r>
        <w:t xml:space="preserve">the </w:t>
      </w:r>
      <w:r w:rsidRPr="00E133B9">
        <w:t xml:space="preserve">points below and any other relevant information. The regulator recognises that the resources described in the safety case outline could change before or during the preparation of the safety case. </w:t>
      </w:r>
      <w:r w:rsidR="00CA139A">
        <w:t>The operator should notify the regulator of significant departures from the submitted safety case outline and ensure that the quality of the safety case is maintained at an acceptable level</w:t>
      </w:r>
      <w:r w:rsidRPr="00E133B9">
        <w:t>.</w:t>
      </w:r>
    </w:p>
    <w:p w:rsidR="009B5343" w:rsidRDefault="006D1451" w:rsidP="009B5343">
      <w:pPr>
        <w:pStyle w:val="Heading3"/>
      </w:pPr>
      <w:bookmarkStart w:id="21" w:name="_Toc310838987"/>
      <w:r w:rsidRPr="00B9656F">
        <w:t>The persons to be involved and their relevant knowledge and experience</w:t>
      </w:r>
      <w:bookmarkEnd w:id="21"/>
      <w:r w:rsidRPr="00B9656F">
        <w:t xml:space="preserve"> </w:t>
      </w:r>
    </w:p>
    <w:p w:rsidR="009B5343" w:rsidRDefault="006D1451" w:rsidP="009B5343">
      <w:r w:rsidRPr="00E133B9">
        <w:t>This section should describe who will be primarily responsible for, or have key involvement in, the tasks and activities</w:t>
      </w:r>
      <w:r>
        <w:t>,</w:t>
      </w:r>
      <w:r w:rsidRPr="00E133B9">
        <w:t xml:space="preserve"> and their level of involvement. It should also describe the knowledge and skills they bring to the activities and tasks. Names and/or position descriptions may be used, along with a brief outline of relevant skills, knowledge and experience.</w:t>
      </w:r>
    </w:p>
    <w:p w:rsidR="009B5343" w:rsidRDefault="006D1451" w:rsidP="009B5343">
      <w:pPr>
        <w:pStyle w:val="Heading3"/>
      </w:pPr>
      <w:bookmarkStart w:id="22" w:name="_Toc310838988"/>
      <w:r w:rsidRPr="00B9656F">
        <w:t>Sources of technical information</w:t>
      </w:r>
      <w:bookmarkEnd w:id="22"/>
    </w:p>
    <w:p w:rsidR="009B5343" w:rsidRDefault="006D1451" w:rsidP="009B5343">
      <w:r w:rsidRPr="00E133B9">
        <w:t>This may include:</w:t>
      </w:r>
    </w:p>
    <w:p w:rsidR="009B5343" w:rsidRDefault="006D1451" w:rsidP="009B5343">
      <w:pPr>
        <w:pStyle w:val="Bullet1"/>
      </w:pPr>
      <w:r w:rsidRPr="00DD379C">
        <w:t>process safety analyses</w:t>
      </w:r>
    </w:p>
    <w:p w:rsidR="009B5343" w:rsidRDefault="006D1451" w:rsidP="009B5343">
      <w:pPr>
        <w:pStyle w:val="Bullet1"/>
      </w:pPr>
      <w:r w:rsidRPr="00DD379C">
        <w:t>audit reports (such as process safety audits, safety management system audits, risk management audits</w:t>
      </w:r>
      <w:r>
        <w:t xml:space="preserve"> and</w:t>
      </w:r>
      <w:r w:rsidRPr="00DD379C">
        <w:t xml:space="preserve"> compliance audits)</w:t>
      </w:r>
    </w:p>
    <w:p w:rsidR="009B5343" w:rsidRDefault="006D1451" w:rsidP="009B5343">
      <w:pPr>
        <w:pStyle w:val="Bullet1"/>
      </w:pPr>
      <w:r w:rsidRPr="00DD379C">
        <w:t>hazard identification and risk assessments</w:t>
      </w:r>
    </w:p>
    <w:p w:rsidR="009B5343" w:rsidRDefault="009B5343" w:rsidP="009B5343">
      <w:pPr>
        <w:pStyle w:val="Bullet1"/>
      </w:pPr>
      <w:r w:rsidRPr="009B5343">
        <w:t>inspection reports</w:t>
      </w:r>
    </w:p>
    <w:p w:rsidR="009B5343" w:rsidRDefault="009B5343" w:rsidP="009B5343">
      <w:pPr>
        <w:pStyle w:val="Bullet1"/>
      </w:pPr>
      <w:r w:rsidRPr="009B5343">
        <w:t>plant and process modifications</w:t>
      </w:r>
    </w:p>
    <w:p w:rsidR="009B5343" w:rsidRDefault="009B5343" w:rsidP="009B5343">
      <w:pPr>
        <w:pStyle w:val="Bullet1"/>
      </w:pPr>
      <w:r w:rsidRPr="009B5343">
        <w:t>design specifications, plant specifications and limitations</w:t>
      </w:r>
    </w:p>
    <w:p w:rsidR="009B5343" w:rsidRDefault="009B5343" w:rsidP="009B5343">
      <w:pPr>
        <w:pStyle w:val="Bullet1"/>
      </w:pPr>
      <w:r w:rsidRPr="009B5343">
        <w:t>safety studies (such as fire safety, explosion safety, safety integrity level or reliability studies)</w:t>
      </w:r>
    </w:p>
    <w:p w:rsidR="009B5343" w:rsidRDefault="009B5343" w:rsidP="009B5343">
      <w:pPr>
        <w:pStyle w:val="Bullet1"/>
      </w:pPr>
      <w:r w:rsidRPr="009B5343">
        <w:t>emergency plans</w:t>
      </w:r>
    </w:p>
    <w:p w:rsidR="009B5343" w:rsidRDefault="009B5343" w:rsidP="009B5343">
      <w:pPr>
        <w:pStyle w:val="Bullet1"/>
      </w:pPr>
      <w:r w:rsidRPr="009B5343">
        <w:t>release modelling</w:t>
      </w:r>
    </w:p>
    <w:p w:rsidR="009B5343" w:rsidRDefault="009B5343" w:rsidP="009B5343">
      <w:pPr>
        <w:pStyle w:val="Bullet1"/>
      </w:pPr>
      <w:r w:rsidRPr="009B5343">
        <w:t>frequency data</w:t>
      </w:r>
    </w:p>
    <w:p w:rsidR="009B5343" w:rsidRDefault="009B5343" w:rsidP="009B5343">
      <w:pPr>
        <w:pStyle w:val="Bullet1"/>
      </w:pPr>
      <w:r w:rsidRPr="009B5343">
        <w:t>toxicity data</w:t>
      </w:r>
    </w:p>
    <w:p w:rsidR="009B5343" w:rsidRDefault="009B5343" w:rsidP="009B5343">
      <w:pPr>
        <w:pStyle w:val="Bullet1"/>
      </w:pPr>
      <w:r w:rsidRPr="009B5343">
        <w:t>reports and analyses of serious incidents and incidents including near misses at the facility or other facilities</w:t>
      </w:r>
    </w:p>
    <w:p w:rsidR="009B5343" w:rsidRDefault="009B5343" w:rsidP="009B5343">
      <w:pPr>
        <w:pStyle w:val="Bullet1"/>
      </w:pPr>
      <w:r w:rsidRPr="009B5343">
        <w:t>security breach reports</w:t>
      </w:r>
    </w:p>
    <w:p w:rsidR="009B5343" w:rsidRDefault="009B5343" w:rsidP="009B5343">
      <w:pPr>
        <w:pStyle w:val="Bullet1"/>
      </w:pPr>
      <w:r w:rsidRPr="009B5343">
        <w:t>off-site and on-site consequence modelling reports</w:t>
      </w:r>
    </w:p>
    <w:p w:rsidR="009B5343" w:rsidRDefault="009B5343" w:rsidP="009B5343">
      <w:pPr>
        <w:pStyle w:val="Bullet1"/>
      </w:pPr>
      <w:r w:rsidRPr="009B5343">
        <w:t>information published by regulators or industry groups</w:t>
      </w:r>
    </w:p>
    <w:p w:rsidR="009B5343" w:rsidRDefault="006D1451" w:rsidP="009B5343">
      <w:pPr>
        <w:pStyle w:val="Bullet1"/>
      </w:pPr>
      <w:r w:rsidRPr="00DD379C">
        <w:t>relevant research,</w:t>
      </w:r>
      <w:r>
        <w:t xml:space="preserve"> including</w:t>
      </w:r>
      <w:r w:rsidR="009B5343" w:rsidRPr="009B5343">
        <w:t xml:space="preserve"> published papers. </w:t>
      </w:r>
    </w:p>
    <w:p w:rsidR="006D1451" w:rsidRPr="008A21E9" w:rsidRDefault="006D1451" w:rsidP="00175580">
      <w:r w:rsidRPr="008A21E9">
        <w:t xml:space="preserve">The safety case outline should include details of the information intended to be used. Where this information already exists, give details such as full titles, document owner, date, edition, version </w:t>
      </w:r>
      <w:r w:rsidRPr="008A21E9">
        <w:lastRenderedPageBreak/>
        <w:t>numbers or web address. The details should be sufficient to enable the regulator to readily identify the documents and obtain copies.</w:t>
      </w:r>
    </w:p>
    <w:p w:rsidR="009B5343" w:rsidRDefault="006D1451" w:rsidP="009B5343">
      <w:pPr>
        <w:pStyle w:val="Heading3"/>
      </w:pPr>
      <w:r w:rsidRPr="004D253D">
        <w:t>Software details</w:t>
      </w:r>
    </w:p>
    <w:p w:rsidR="009B5343" w:rsidRDefault="006D1451" w:rsidP="009B5343">
      <w:r w:rsidRPr="00E133B9">
        <w:t xml:space="preserve">Details of software and type of modelling done in any existing studies and the software to be used for any proposed consequence modelling or risk analysis and evaluation should be included. </w:t>
      </w:r>
      <w:r w:rsidR="00CA139A">
        <w:t>The selection of software should be justified</w:t>
      </w:r>
      <w:r w:rsidRPr="00E133B9">
        <w:t>.</w:t>
      </w:r>
    </w:p>
    <w:p w:rsidR="009B5343" w:rsidRDefault="006D1451" w:rsidP="009B5343">
      <w:pPr>
        <w:pStyle w:val="Heading2"/>
      </w:pPr>
      <w:bookmarkStart w:id="23" w:name="_Toc319328241"/>
      <w:r w:rsidRPr="00A23A0E">
        <w:t xml:space="preserve">A description </w:t>
      </w:r>
      <w:r w:rsidRPr="00862C48">
        <w:t>of</w:t>
      </w:r>
      <w:r w:rsidRPr="00A23A0E">
        <w:t xml:space="preserve"> consultation</w:t>
      </w:r>
      <w:bookmarkEnd w:id="23"/>
      <w:r w:rsidRPr="00A23A0E">
        <w:t xml:space="preserve"> </w:t>
      </w:r>
    </w:p>
    <w:p w:rsidR="009B5343" w:rsidRDefault="006D1451" w:rsidP="009B5343">
      <w:r>
        <w:t xml:space="preserve">This section contains a description of the consultation </w:t>
      </w:r>
      <w:r w:rsidRPr="00A23A0E">
        <w:t>with workers that occurred in the preparation of the safety case outline and will occur in the preparation of the safety case</w:t>
      </w:r>
      <w:r>
        <w:t>.</w:t>
      </w:r>
      <w:r w:rsidRPr="00A23A0E">
        <w:t xml:space="preserve"> </w:t>
      </w:r>
    </w:p>
    <w:p w:rsidR="009B5343" w:rsidRDefault="006D1451" w:rsidP="009B5343">
      <w:r w:rsidRPr="00E133B9">
        <w:t xml:space="preserve">Sections 47 to 49 of the WHS Act require consultation with </w:t>
      </w:r>
      <w:r>
        <w:t>workers</w:t>
      </w:r>
      <w:r w:rsidRPr="00E133B9">
        <w:t xml:space="preserve"> in various circumstances, includ</w:t>
      </w:r>
      <w:r>
        <w:t>ing</w:t>
      </w:r>
      <w:r w:rsidRPr="00E133B9">
        <w:t xml:space="preserve"> </w:t>
      </w:r>
      <w:r>
        <w:t>when</w:t>
      </w:r>
      <w:r w:rsidRPr="00E133B9">
        <w:t xml:space="preserve"> prepar</w:t>
      </w:r>
      <w:r>
        <w:t>ing</w:t>
      </w:r>
      <w:r w:rsidRPr="00E133B9">
        <w:t xml:space="preserve"> the safety case outline. They describe some important characteristics of consultation, including sharing information with </w:t>
      </w:r>
      <w:r>
        <w:t xml:space="preserve">workers </w:t>
      </w:r>
      <w:r w:rsidRPr="00E133B9">
        <w:t>and providing opportunities for them to express their views and for these views to be taken into account.</w:t>
      </w:r>
    </w:p>
    <w:p w:rsidR="009B5343" w:rsidRDefault="006D1451" w:rsidP="009B5343">
      <w:r>
        <w:t xml:space="preserve">For further information on consultation, refer to the </w:t>
      </w:r>
      <w:r w:rsidR="009B5343" w:rsidRPr="009B5343">
        <w:rPr>
          <w:i/>
        </w:rPr>
        <w:t>Code of Practice: Work Health and Safety Consultation, Cooperation and Coordination</w:t>
      </w:r>
      <w:r w:rsidRPr="009127E0">
        <w:t>.</w:t>
      </w:r>
    </w:p>
    <w:p w:rsidR="009B5343" w:rsidRDefault="006D1451" w:rsidP="009B5343">
      <w:r w:rsidRPr="00E133B9">
        <w:t>MHF operators may also describe in this section how they plan to liaise with parts of the community that may be affected by a major incident.</w:t>
      </w:r>
    </w:p>
    <w:p w:rsidR="006D1451" w:rsidRDefault="006D1451" w:rsidP="00862C48">
      <w:pPr>
        <w:pStyle w:val="Heading2"/>
      </w:pPr>
      <w:bookmarkStart w:id="24" w:name="_Toc319328242"/>
      <w:r>
        <w:t xml:space="preserve">Other </w:t>
      </w:r>
      <w:r w:rsidRPr="00862C48">
        <w:t>inclusions</w:t>
      </w:r>
      <w:r w:rsidRPr="00A23A0E">
        <w:t xml:space="preserve"> (</w:t>
      </w:r>
      <w:r>
        <w:t>r</w:t>
      </w:r>
      <w:r w:rsidRPr="00A23A0E">
        <w:t>egulation 552 (e) &amp; (f))</w:t>
      </w:r>
      <w:bookmarkEnd w:id="24"/>
    </w:p>
    <w:p w:rsidR="009B5343" w:rsidRDefault="006D1451" w:rsidP="009B5343">
      <w:r w:rsidRPr="00A23A0E">
        <w:t xml:space="preserve">The following </w:t>
      </w:r>
      <w:r>
        <w:t>must</w:t>
      </w:r>
      <w:r w:rsidRPr="00A23A0E">
        <w:t xml:space="preserve"> also be included</w:t>
      </w:r>
      <w:r>
        <w:t>:</w:t>
      </w:r>
    </w:p>
    <w:p w:rsidR="009B5343" w:rsidRDefault="006D1451" w:rsidP="009B5343">
      <w:pPr>
        <w:pStyle w:val="Bullet1"/>
      </w:pPr>
      <w:r w:rsidRPr="00E133B9">
        <w:t xml:space="preserve">a draft of the emergency plan prepared or to be prepared under </w:t>
      </w:r>
      <w:r>
        <w:t>r</w:t>
      </w:r>
      <w:r w:rsidRPr="00E133B9">
        <w:t>egulation 557</w:t>
      </w:r>
    </w:p>
    <w:p w:rsidR="009B5343" w:rsidRDefault="006D1451" w:rsidP="009B5343">
      <w:pPr>
        <w:pStyle w:val="Bullet1"/>
      </w:pPr>
      <w:r w:rsidRPr="00E133B9">
        <w:t>a summary of any arrangements that are to be made in relation to the security of the major hazard facility.</w:t>
      </w:r>
    </w:p>
    <w:p w:rsidR="009B5343" w:rsidRDefault="0016086D" w:rsidP="009B5343">
      <w:pPr>
        <w:pStyle w:val="Heading1"/>
      </w:pPr>
      <w:r>
        <w:br w:type="page"/>
      </w:r>
      <w:bookmarkStart w:id="25" w:name="_Toc319328243"/>
      <w:r w:rsidR="006D1451" w:rsidRPr="00862C48">
        <w:lastRenderedPageBreak/>
        <w:t>Checklist</w:t>
      </w:r>
      <w:bookmarkEnd w:id="25"/>
    </w:p>
    <w:p w:rsidR="009B5343" w:rsidRDefault="006D1451" w:rsidP="009B5343">
      <w:r w:rsidRPr="00E133B9">
        <w:t xml:space="preserve">Use this </w:t>
      </w:r>
      <w:r>
        <w:t>check</w:t>
      </w:r>
      <w:r w:rsidRPr="00E133B9">
        <w:t xml:space="preserve">list to </w:t>
      </w:r>
      <w:r>
        <w:t>ensure</w:t>
      </w:r>
      <w:r w:rsidRPr="00E133B9">
        <w:t xml:space="preserve"> the safety case outline has addressed the requirements.</w:t>
      </w:r>
    </w:p>
    <w:p w:rsidR="009B5343" w:rsidRDefault="009B5343" w:rsidP="009B5343"/>
    <w:tbl>
      <w:tblPr>
        <w:tblW w:w="9582" w:type="dxa"/>
        <w:tblBorders>
          <w:top w:val="single" w:sz="4" w:space="0" w:color="auto"/>
          <w:left w:val="single" w:sz="4" w:space="0" w:color="auto"/>
          <w:bottom w:val="single" w:sz="4" w:space="0" w:color="auto"/>
          <w:right w:val="single" w:sz="4" w:space="0" w:color="auto"/>
        </w:tblBorders>
        <w:tblLayout w:type="fixed"/>
        <w:tblLook w:val="00A0"/>
      </w:tblPr>
      <w:tblGrid>
        <w:gridCol w:w="709"/>
        <w:gridCol w:w="7796"/>
        <w:gridCol w:w="1077"/>
      </w:tblGrid>
      <w:tr w:rsidR="006D1451" w:rsidRPr="00E73240" w:rsidTr="008C20F5">
        <w:tc>
          <w:tcPr>
            <w:tcW w:w="709" w:type="dxa"/>
            <w:tcBorders>
              <w:top w:val="single" w:sz="4" w:space="0" w:color="auto"/>
              <w:bottom w:val="single" w:sz="4" w:space="0" w:color="auto"/>
            </w:tcBorders>
          </w:tcPr>
          <w:p w:rsidR="009B5343" w:rsidRDefault="006D1451" w:rsidP="009B5343">
            <w:r>
              <w:t>1.</w:t>
            </w:r>
          </w:p>
        </w:tc>
        <w:tc>
          <w:tcPr>
            <w:tcW w:w="7796" w:type="dxa"/>
            <w:tcBorders>
              <w:top w:val="single" w:sz="4" w:space="0" w:color="auto"/>
              <w:bottom w:val="single" w:sz="4" w:space="0" w:color="auto"/>
              <w:right w:val="single" w:sz="4" w:space="0" w:color="auto"/>
            </w:tcBorders>
          </w:tcPr>
          <w:p w:rsidR="009B5343" w:rsidRDefault="006D1451" w:rsidP="009B5343">
            <w:r w:rsidRPr="00E73240">
              <w:t xml:space="preserve">A written plan for the preparation of the safety case, including key steps and timelines, with reference being made to each element of the safety case. Typical elements are given in the </w:t>
            </w:r>
            <w:r w:rsidRPr="00594865">
              <w:rPr>
                <w:i/>
              </w:rPr>
              <w:t>Guide for Major Hazard Facilities: Preparation of a Safety Case</w:t>
            </w:r>
            <w:r w:rsidRPr="00E73240">
              <w:t>.</w:t>
            </w:r>
          </w:p>
        </w:tc>
        <w:tc>
          <w:tcPr>
            <w:tcW w:w="1077" w:type="dxa"/>
            <w:tcBorders>
              <w:top w:val="single" w:sz="4" w:space="0" w:color="auto"/>
              <w:left w:val="single" w:sz="4" w:space="0" w:color="auto"/>
              <w:bottom w:val="single" w:sz="4" w:space="0" w:color="auto"/>
            </w:tcBorders>
          </w:tcPr>
          <w:p w:rsidR="006D1451" w:rsidRPr="00E73240" w:rsidRDefault="006D1451" w:rsidP="00907CFA">
            <w:pPr>
              <w:widowControl w:val="0"/>
              <w:autoSpaceDE w:val="0"/>
              <w:autoSpaceDN w:val="0"/>
              <w:adjustRightInd w:val="0"/>
              <w:rPr>
                <w:rFonts w:cs="Arial"/>
              </w:rPr>
            </w:pPr>
          </w:p>
        </w:tc>
      </w:tr>
      <w:tr w:rsidR="006D1451" w:rsidRPr="00E73240" w:rsidTr="008C20F5">
        <w:tc>
          <w:tcPr>
            <w:tcW w:w="709" w:type="dxa"/>
            <w:tcBorders>
              <w:top w:val="single" w:sz="4" w:space="0" w:color="auto"/>
              <w:bottom w:val="single" w:sz="4" w:space="0" w:color="auto"/>
            </w:tcBorders>
          </w:tcPr>
          <w:p w:rsidR="009B5343" w:rsidRDefault="006D1451" w:rsidP="009B5343">
            <w:pPr>
              <w:rPr>
                <w:rFonts w:cs="Arial"/>
                <w:color w:val="363435"/>
              </w:rPr>
            </w:pPr>
            <w:r>
              <w:rPr>
                <w:rFonts w:cs="Arial"/>
                <w:color w:val="363435"/>
              </w:rPr>
              <w:t>2.</w:t>
            </w:r>
          </w:p>
        </w:tc>
        <w:tc>
          <w:tcPr>
            <w:tcW w:w="7796" w:type="dxa"/>
            <w:tcBorders>
              <w:top w:val="single" w:sz="4" w:space="0" w:color="auto"/>
              <w:bottom w:val="single" w:sz="4" w:space="0" w:color="auto"/>
              <w:right w:val="single" w:sz="4" w:space="0" w:color="auto"/>
            </w:tcBorders>
          </w:tcPr>
          <w:p w:rsidR="009B5343" w:rsidRDefault="006D1451" w:rsidP="009B5343">
            <w:r w:rsidRPr="00E73240">
              <w:t xml:space="preserve">A description of the methods to be used in preparing the safety case, including methods for ensuring </w:t>
            </w:r>
            <w:r>
              <w:t xml:space="preserve">the </w:t>
            </w:r>
            <w:r w:rsidRPr="00E73240">
              <w:t>accuracy of information in the safety case.</w:t>
            </w:r>
          </w:p>
        </w:tc>
        <w:tc>
          <w:tcPr>
            <w:tcW w:w="1077" w:type="dxa"/>
            <w:tcBorders>
              <w:top w:val="single" w:sz="4" w:space="0" w:color="auto"/>
              <w:left w:val="single" w:sz="4" w:space="0" w:color="auto"/>
              <w:bottom w:val="single" w:sz="4" w:space="0" w:color="auto"/>
            </w:tcBorders>
          </w:tcPr>
          <w:p w:rsidR="006D1451" w:rsidRPr="00E73240" w:rsidRDefault="006D1451" w:rsidP="00907CFA">
            <w:pPr>
              <w:widowControl w:val="0"/>
              <w:autoSpaceDE w:val="0"/>
              <w:autoSpaceDN w:val="0"/>
              <w:adjustRightInd w:val="0"/>
              <w:rPr>
                <w:rFonts w:cs="Arial"/>
              </w:rPr>
            </w:pPr>
          </w:p>
        </w:tc>
      </w:tr>
      <w:tr w:rsidR="006D1451" w:rsidRPr="00E73240" w:rsidTr="008C20F5">
        <w:tc>
          <w:tcPr>
            <w:tcW w:w="709" w:type="dxa"/>
            <w:tcBorders>
              <w:top w:val="single" w:sz="4" w:space="0" w:color="auto"/>
              <w:bottom w:val="single" w:sz="4" w:space="0" w:color="auto"/>
            </w:tcBorders>
          </w:tcPr>
          <w:p w:rsidR="009B5343" w:rsidRDefault="006D1451" w:rsidP="009B5343">
            <w:pPr>
              <w:rPr>
                <w:rFonts w:cs="Arial"/>
                <w:color w:val="363435"/>
              </w:rPr>
            </w:pPr>
            <w:r>
              <w:rPr>
                <w:rFonts w:cs="Arial"/>
                <w:color w:val="363435"/>
              </w:rPr>
              <w:t>3.</w:t>
            </w:r>
          </w:p>
        </w:tc>
        <w:tc>
          <w:tcPr>
            <w:tcW w:w="7796" w:type="dxa"/>
            <w:tcBorders>
              <w:top w:val="single" w:sz="4" w:space="0" w:color="auto"/>
              <w:bottom w:val="single" w:sz="4" w:space="0" w:color="auto"/>
              <w:right w:val="single" w:sz="4" w:space="0" w:color="auto"/>
            </w:tcBorders>
          </w:tcPr>
          <w:p w:rsidR="009B5343" w:rsidRDefault="006D1451" w:rsidP="009B5343">
            <w:pPr>
              <w:rPr>
                <w:color w:val="000000"/>
                <w:szCs w:val="22"/>
              </w:rPr>
            </w:pPr>
            <w:r w:rsidRPr="00B24D5D">
              <w:t>Details of the resources that will be applied to the preparation of the safety case, including, but not limited to:</w:t>
            </w:r>
          </w:p>
          <w:p w:rsidR="009B5343" w:rsidRPr="009B5343" w:rsidRDefault="006D1451" w:rsidP="009B5343">
            <w:pPr>
              <w:pStyle w:val="Bullet1"/>
              <w:rPr>
                <w:szCs w:val="22"/>
              </w:rPr>
            </w:pPr>
            <w:r w:rsidRPr="0057128C">
              <w:t>the number of persons to be involved and their relevant knowledge and experience and sources of technical information</w:t>
            </w:r>
          </w:p>
          <w:p w:rsidR="009B5343" w:rsidRDefault="006D1451" w:rsidP="009B5343">
            <w:pPr>
              <w:pStyle w:val="Bullet1"/>
            </w:pPr>
            <w:r w:rsidRPr="0057128C">
              <w:t>the software to be used for risk evaluation (if any)</w:t>
            </w:r>
            <w:r>
              <w:t>,</w:t>
            </w:r>
            <w:r w:rsidR="009B5343" w:rsidRPr="009B5343">
              <w:t xml:space="preserve"> together with information to support the appropriateness of the software for the intended use</w:t>
            </w:r>
            <w:r>
              <w:t>.</w:t>
            </w:r>
          </w:p>
        </w:tc>
        <w:tc>
          <w:tcPr>
            <w:tcW w:w="1077" w:type="dxa"/>
            <w:tcBorders>
              <w:top w:val="single" w:sz="4" w:space="0" w:color="auto"/>
              <w:left w:val="single" w:sz="4" w:space="0" w:color="auto"/>
              <w:bottom w:val="single" w:sz="4" w:space="0" w:color="auto"/>
            </w:tcBorders>
          </w:tcPr>
          <w:p w:rsidR="006D1451" w:rsidRPr="00E73240" w:rsidRDefault="006D1451" w:rsidP="00907CFA">
            <w:pPr>
              <w:widowControl w:val="0"/>
              <w:autoSpaceDE w:val="0"/>
              <w:autoSpaceDN w:val="0"/>
              <w:adjustRightInd w:val="0"/>
              <w:rPr>
                <w:rFonts w:cs="Arial"/>
              </w:rPr>
            </w:pPr>
          </w:p>
        </w:tc>
      </w:tr>
      <w:tr w:rsidR="006D1451" w:rsidRPr="00E73240" w:rsidTr="008C20F5">
        <w:tc>
          <w:tcPr>
            <w:tcW w:w="709" w:type="dxa"/>
            <w:tcBorders>
              <w:top w:val="single" w:sz="4" w:space="0" w:color="auto"/>
              <w:bottom w:val="single" w:sz="4" w:space="0" w:color="auto"/>
            </w:tcBorders>
          </w:tcPr>
          <w:p w:rsidR="009B5343" w:rsidRDefault="006D1451" w:rsidP="009B5343">
            <w:pPr>
              <w:rPr>
                <w:rFonts w:cs="Arial"/>
                <w:color w:val="363435"/>
              </w:rPr>
            </w:pPr>
            <w:r>
              <w:rPr>
                <w:rFonts w:cs="Arial"/>
                <w:color w:val="363435"/>
              </w:rPr>
              <w:t>4.</w:t>
            </w:r>
          </w:p>
        </w:tc>
        <w:tc>
          <w:tcPr>
            <w:tcW w:w="7796" w:type="dxa"/>
            <w:tcBorders>
              <w:top w:val="single" w:sz="4" w:space="0" w:color="auto"/>
              <w:bottom w:val="single" w:sz="4" w:space="0" w:color="auto"/>
              <w:right w:val="single" w:sz="4" w:space="0" w:color="auto"/>
            </w:tcBorders>
          </w:tcPr>
          <w:p w:rsidR="009B5343" w:rsidRDefault="006D1451" w:rsidP="009B5343">
            <w:r w:rsidRPr="00E73240">
              <w:t>A description of the consultation with workers that:</w:t>
            </w:r>
          </w:p>
          <w:p w:rsidR="009B5343" w:rsidRDefault="006D1451" w:rsidP="009B5343">
            <w:pPr>
              <w:pStyle w:val="Bullet1"/>
            </w:pPr>
            <w:r w:rsidRPr="00E73240">
              <w:t>occurred in the preparation of the safety case outline</w:t>
            </w:r>
          </w:p>
          <w:p w:rsidR="009B5343" w:rsidRDefault="006D1451" w:rsidP="009B5343">
            <w:pPr>
              <w:pStyle w:val="Bullet1"/>
            </w:pPr>
            <w:r w:rsidRPr="00E73240">
              <w:t>will occur in the preparation of the safety case.</w:t>
            </w:r>
          </w:p>
        </w:tc>
        <w:tc>
          <w:tcPr>
            <w:tcW w:w="1077" w:type="dxa"/>
            <w:tcBorders>
              <w:top w:val="single" w:sz="4" w:space="0" w:color="auto"/>
              <w:left w:val="single" w:sz="4" w:space="0" w:color="auto"/>
              <w:bottom w:val="single" w:sz="4" w:space="0" w:color="auto"/>
            </w:tcBorders>
          </w:tcPr>
          <w:p w:rsidR="006D1451" w:rsidRPr="00E73240" w:rsidRDefault="006D1451" w:rsidP="00907CFA">
            <w:pPr>
              <w:widowControl w:val="0"/>
              <w:autoSpaceDE w:val="0"/>
              <w:autoSpaceDN w:val="0"/>
              <w:adjustRightInd w:val="0"/>
              <w:rPr>
                <w:rFonts w:cs="Arial"/>
              </w:rPr>
            </w:pPr>
          </w:p>
        </w:tc>
      </w:tr>
      <w:tr w:rsidR="006D1451" w:rsidRPr="00E73240" w:rsidTr="008C20F5">
        <w:tc>
          <w:tcPr>
            <w:tcW w:w="709" w:type="dxa"/>
            <w:tcBorders>
              <w:top w:val="single" w:sz="4" w:space="0" w:color="auto"/>
              <w:bottom w:val="single" w:sz="4" w:space="0" w:color="auto"/>
            </w:tcBorders>
          </w:tcPr>
          <w:p w:rsidR="009B5343" w:rsidRDefault="006D1451" w:rsidP="009B5343">
            <w:pPr>
              <w:rPr>
                <w:rFonts w:cs="Arial"/>
                <w:color w:val="363435"/>
              </w:rPr>
            </w:pPr>
            <w:r>
              <w:rPr>
                <w:rFonts w:cs="Arial"/>
                <w:color w:val="363435"/>
              </w:rPr>
              <w:t>5.</w:t>
            </w:r>
          </w:p>
        </w:tc>
        <w:tc>
          <w:tcPr>
            <w:tcW w:w="7796" w:type="dxa"/>
            <w:tcBorders>
              <w:top w:val="single" w:sz="4" w:space="0" w:color="auto"/>
              <w:bottom w:val="single" w:sz="4" w:space="0" w:color="auto"/>
              <w:right w:val="single" w:sz="4" w:space="0" w:color="auto"/>
            </w:tcBorders>
          </w:tcPr>
          <w:p w:rsidR="009B5343" w:rsidRDefault="006D1451" w:rsidP="0016086D">
            <w:pPr>
              <w:rPr>
                <w:w w:val="103"/>
              </w:rPr>
            </w:pPr>
            <w:r w:rsidRPr="00E73240">
              <w:t>A draft of the emergency plan prepared or to be prepared</w:t>
            </w:r>
            <w:r>
              <w:t>.</w:t>
            </w:r>
          </w:p>
        </w:tc>
        <w:tc>
          <w:tcPr>
            <w:tcW w:w="1077" w:type="dxa"/>
            <w:tcBorders>
              <w:top w:val="single" w:sz="4" w:space="0" w:color="auto"/>
              <w:left w:val="single" w:sz="4" w:space="0" w:color="auto"/>
              <w:bottom w:val="single" w:sz="4" w:space="0" w:color="auto"/>
            </w:tcBorders>
          </w:tcPr>
          <w:p w:rsidR="006D1451" w:rsidRPr="00E73240" w:rsidRDefault="006D1451" w:rsidP="00907CFA">
            <w:pPr>
              <w:rPr>
                <w:rFonts w:cs="Arial"/>
              </w:rPr>
            </w:pPr>
          </w:p>
        </w:tc>
      </w:tr>
      <w:tr w:rsidR="006D1451" w:rsidRPr="00E73240" w:rsidTr="008C20F5">
        <w:tc>
          <w:tcPr>
            <w:tcW w:w="709" w:type="dxa"/>
            <w:tcBorders>
              <w:top w:val="single" w:sz="4" w:space="0" w:color="auto"/>
              <w:bottom w:val="single" w:sz="4" w:space="0" w:color="auto"/>
            </w:tcBorders>
          </w:tcPr>
          <w:p w:rsidR="009B5343" w:rsidRDefault="006D1451" w:rsidP="009B5343">
            <w:pPr>
              <w:rPr>
                <w:rFonts w:cs="Arial"/>
                <w:color w:val="363435"/>
              </w:rPr>
            </w:pPr>
            <w:r>
              <w:rPr>
                <w:rFonts w:cs="Arial"/>
                <w:color w:val="363435"/>
              </w:rPr>
              <w:t>6.</w:t>
            </w:r>
          </w:p>
        </w:tc>
        <w:tc>
          <w:tcPr>
            <w:tcW w:w="7796" w:type="dxa"/>
            <w:tcBorders>
              <w:top w:val="single" w:sz="4" w:space="0" w:color="auto"/>
              <w:bottom w:val="single" w:sz="4" w:space="0" w:color="auto"/>
              <w:right w:val="single" w:sz="4" w:space="0" w:color="auto"/>
            </w:tcBorders>
          </w:tcPr>
          <w:p w:rsidR="009B5343" w:rsidRDefault="006D1451" w:rsidP="009B5343">
            <w:r w:rsidRPr="00E73240">
              <w:t>A summary of any arrangements that are to be made in relation to the security of the major hazard facility.</w:t>
            </w:r>
          </w:p>
        </w:tc>
        <w:tc>
          <w:tcPr>
            <w:tcW w:w="1077" w:type="dxa"/>
            <w:tcBorders>
              <w:top w:val="single" w:sz="4" w:space="0" w:color="auto"/>
              <w:left w:val="single" w:sz="4" w:space="0" w:color="auto"/>
              <w:bottom w:val="single" w:sz="4" w:space="0" w:color="auto"/>
            </w:tcBorders>
          </w:tcPr>
          <w:p w:rsidR="006D1451" w:rsidRPr="00E73240" w:rsidRDefault="006D1451" w:rsidP="00907CFA">
            <w:pPr>
              <w:rPr>
                <w:rFonts w:cs="Arial"/>
              </w:rPr>
            </w:pPr>
          </w:p>
        </w:tc>
      </w:tr>
      <w:tr w:rsidR="006D1451" w:rsidRPr="00E73240" w:rsidTr="008C20F5">
        <w:tc>
          <w:tcPr>
            <w:tcW w:w="709" w:type="dxa"/>
            <w:tcBorders>
              <w:top w:val="single" w:sz="4" w:space="0" w:color="auto"/>
              <w:bottom w:val="single" w:sz="4" w:space="0" w:color="auto"/>
            </w:tcBorders>
          </w:tcPr>
          <w:p w:rsidR="009B5343" w:rsidRDefault="006D1451" w:rsidP="009B5343">
            <w:pPr>
              <w:rPr>
                <w:rFonts w:cs="Arial"/>
                <w:color w:val="363435"/>
              </w:rPr>
            </w:pPr>
            <w:r>
              <w:rPr>
                <w:rFonts w:cs="Arial"/>
                <w:color w:val="363435"/>
              </w:rPr>
              <w:t>7.</w:t>
            </w:r>
          </w:p>
        </w:tc>
        <w:tc>
          <w:tcPr>
            <w:tcW w:w="7796" w:type="dxa"/>
            <w:tcBorders>
              <w:top w:val="single" w:sz="4" w:space="0" w:color="auto"/>
              <w:bottom w:val="single" w:sz="4" w:space="0" w:color="auto"/>
              <w:right w:val="single" w:sz="4" w:space="0" w:color="auto"/>
            </w:tcBorders>
          </w:tcPr>
          <w:p w:rsidR="009B5343" w:rsidRDefault="006D1451" w:rsidP="009B5343">
            <w:pPr>
              <w:rPr>
                <w:szCs w:val="22"/>
              </w:rPr>
            </w:pPr>
            <w:r w:rsidRPr="00B24D5D">
              <w:t xml:space="preserve">A cover page listing the name and address of the MHF, </w:t>
            </w:r>
            <w:r w:rsidRPr="00A16666">
              <w:t>the name, title and contact details for the person the MHF Team should contact if details in the safety case outline require clarification, and the date of preparation of the safety case outline</w:t>
            </w:r>
            <w:r>
              <w:t>.</w:t>
            </w:r>
          </w:p>
        </w:tc>
        <w:tc>
          <w:tcPr>
            <w:tcW w:w="1077" w:type="dxa"/>
            <w:tcBorders>
              <w:top w:val="single" w:sz="4" w:space="0" w:color="auto"/>
              <w:left w:val="single" w:sz="4" w:space="0" w:color="auto"/>
              <w:bottom w:val="single" w:sz="4" w:space="0" w:color="auto"/>
            </w:tcBorders>
          </w:tcPr>
          <w:p w:rsidR="006D1451" w:rsidRPr="00E73240" w:rsidRDefault="006D1451" w:rsidP="00907CFA">
            <w:pPr>
              <w:widowControl w:val="0"/>
              <w:autoSpaceDE w:val="0"/>
              <w:autoSpaceDN w:val="0"/>
              <w:adjustRightInd w:val="0"/>
              <w:rPr>
                <w:rFonts w:cs="Arial"/>
              </w:rPr>
            </w:pPr>
          </w:p>
        </w:tc>
      </w:tr>
    </w:tbl>
    <w:p w:rsidR="006D1451" w:rsidRPr="00AB22B2" w:rsidRDefault="006D1451">
      <w:pPr>
        <w:rPr>
          <w:rFonts w:cs="Arial"/>
          <w:sz w:val="24"/>
        </w:rPr>
      </w:pPr>
    </w:p>
    <w:p w:rsidR="009B5343" w:rsidRDefault="006D1451" w:rsidP="009B5343">
      <w:pPr>
        <w:pStyle w:val="HeadingPlain"/>
      </w:pPr>
      <w:r>
        <w:br w:type="page"/>
      </w:r>
      <w:bookmarkStart w:id="26" w:name="_Toc319328244"/>
      <w:r w:rsidRPr="00CF576D">
        <w:lastRenderedPageBreak/>
        <w:t>Appendix A</w:t>
      </w:r>
      <w:r>
        <w:t xml:space="preserve"> – WHS Regulations</w:t>
      </w:r>
      <w:bookmarkEnd w:id="26"/>
    </w:p>
    <w:p w:rsidR="006D1451" w:rsidRPr="00AB22B2" w:rsidRDefault="006D1451" w:rsidP="00EC03F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221"/>
      </w:tblGrid>
      <w:tr w:rsidR="006D1451" w:rsidRPr="00E73240" w:rsidTr="0016086D">
        <w:tc>
          <w:tcPr>
            <w:tcW w:w="1526" w:type="dxa"/>
            <w:shd w:val="clear" w:color="auto" w:fill="D9D9D9"/>
          </w:tcPr>
          <w:p w:rsidR="009B5343" w:rsidRDefault="006D1451" w:rsidP="009B5343">
            <w:pPr>
              <w:pStyle w:val="TableBoldCentre"/>
            </w:pPr>
            <w:r w:rsidRPr="00E73240">
              <w:t>Regulation</w:t>
            </w:r>
          </w:p>
        </w:tc>
        <w:tc>
          <w:tcPr>
            <w:tcW w:w="8221" w:type="dxa"/>
            <w:shd w:val="clear" w:color="auto" w:fill="D9D9D9"/>
          </w:tcPr>
          <w:p w:rsidR="009B5343" w:rsidRDefault="006D1451" w:rsidP="009B5343">
            <w:pPr>
              <w:pStyle w:val="TableBoldCentre"/>
            </w:pPr>
            <w:r w:rsidRPr="00E73240">
              <w:t>Requirement</w:t>
            </w:r>
          </w:p>
        </w:tc>
      </w:tr>
      <w:tr w:rsidR="006D1451" w:rsidRPr="00E73240" w:rsidTr="0016086D">
        <w:tc>
          <w:tcPr>
            <w:tcW w:w="1526" w:type="dxa"/>
          </w:tcPr>
          <w:p w:rsidR="009B5343" w:rsidRDefault="006D1451" w:rsidP="009B5343">
            <w:pPr>
              <w:pStyle w:val="TableBold"/>
              <w:jc w:val="center"/>
            </w:pPr>
            <w:r w:rsidRPr="00E73240">
              <w:t>551</w:t>
            </w:r>
          </w:p>
        </w:tc>
        <w:tc>
          <w:tcPr>
            <w:tcW w:w="8221" w:type="dxa"/>
          </w:tcPr>
          <w:p w:rsidR="009B5343" w:rsidRDefault="006D1451" w:rsidP="009B5343">
            <w:pPr>
              <w:pStyle w:val="TableBold"/>
            </w:pPr>
            <w:r w:rsidRPr="00E73240">
              <w:t>Safety case outline must be provided</w:t>
            </w:r>
          </w:p>
          <w:p w:rsidR="009B5343" w:rsidRDefault="006D1451" w:rsidP="009B5343">
            <w:r w:rsidRPr="00E73240">
              <w:t xml:space="preserve">The operator of a determined major hazard facility must provide the regulator with a safety case outline for the major hazard facility within </w:t>
            </w:r>
            <w:r>
              <w:t>three</w:t>
            </w:r>
            <w:r w:rsidRPr="00E73240">
              <w:t xml:space="preserve"> months after the facility is determined to be a major hazard facility.</w:t>
            </w:r>
          </w:p>
        </w:tc>
      </w:tr>
      <w:tr w:rsidR="006D1451" w:rsidRPr="00E73240" w:rsidTr="0016086D">
        <w:tc>
          <w:tcPr>
            <w:tcW w:w="1526" w:type="dxa"/>
          </w:tcPr>
          <w:p w:rsidR="009B5343" w:rsidRDefault="006D1451" w:rsidP="009B5343">
            <w:pPr>
              <w:pStyle w:val="TableBold"/>
              <w:jc w:val="center"/>
            </w:pPr>
            <w:r w:rsidRPr="00E73240">
              <w:t>552</w:t>
            </w:r>
          </w:p>
        </w:tc>
        <w:tc>
          <w:tcPr>
            <w:tcW w:w="8221" w:type="dxa"/>
          </w:tcPr>
          <w:p w:rsidR="009B5343" w:rsidRDefault="006D1451" w:rsidP="009B5343">
            <w:pPr>
              <w:pStyle w:val="TableBold"/>
            </w:pPr>
            <w:r w:rsidRPr="00E73240">
              <w:t>Content</w:t>
            </w:r>
          </w:p>
          <w:p w:rsidR="009B5343" w:rsidRDefault="006D1451" w:rsidP="009B5343">
            <w:r w:rsidRPr="00E73240">
              <w:t>A safety case outline provided under regulation 551 must include the following:</w:t>
            </w:r>
          </w:p>
          <w:p w:rsidR="009B5343" w:rsidRDefault="006D1451" w:rsidP="009B5343">
            <w:pPr>
              <w:pStyle w:val="Bullet1"/>
            </w:pPr>
            <w:r w:rsidRPr="00E73240">
              <w:t>a written plan for the preparation of the safety case, including key steps and timelines, with reference being made to each element of the safety case</w:t>
            </w:r>
          </w:p>
          <w:p w:rsidR="009B5343" w:rsidRDefault="006D1451" w:rsidP="009B5343">
            <w:pPr>
              <w:pStyle w:val="Bullet1"/>
            </w:pPr>
            <w:r w:rsidRPr="00E73240">
              <w:t>a description of the methods to be used in preparing the safety case, including methods for ensuring that all the information contained in the safety case is accurate and up</w:t>
            </w:r>
            <w:r>
              <w:t>-</w:t>
            </w:r>
            <w:r w:rsidRPr="00E73240">
              <w:t>to</w:t>
            </w:r>
            <w:r>
              <w:t>-</w:t>
            </w:r>
            <w:r w:rsidRPr="00E73240">
              <w:t>date when the safety case is provided to</w:t>
            </w:r>
            <w:r>
              <w:t xml:space="preserve"> </w:t>
            </w:r>
            <w:r w:rsidRPr="00E73240">
              <w:t>the regulator</w:t>
            </w:r>
          </w:p>
          <w:p w:rsidR="009B5343" w:rsidRDefault="006D1451" w:rsidP="009B5343">
            <w:pPr>
              <w:pStyle w:val="Bullet1"/>
            </w:pPr>
            <w:r w:rsidRPr="00E73240">
              <w:t>details of the resources that will be applied to the preparation of the safety case, including the number of persons involved, their relevant knowledge and experience</w:t>
            </w:r>
            <w:r>
              <w:t>,</w:t>
            </w:r>
            <w:r w:rsidRPr="00E73240">
              <w:t xml:space="preserve"> and sources of technical information</w:t>
            </w:r>
          </w:p>
          <w:p w:rsidR="009B5343" w:rsidRDefault="006D1451" w:rsidP="009B5343">
            <w:pPr>
              <w:pStyle w:val="Bullet1"/>
            </w:pPr>
            <w:r w:rsidRPr="00E73240">
              <w:t>a description of the consultation with workers that:</w:t>
            </w:r>
          </w:p>
          <w:p w:rsidR="009B5343" w:rsidRDefault="006D1451" w:rsidP="009B5343">
            <w:pPr>
              <w:pStyle w:val="Bullet2"/>
              <w:rPr>
                <w:szCs w:val="24"/>
              </w:rPr>
            </w:pPr>
            <w:r w:rsidRPr="00E73240">
              <w:t>occurred in the preparation of the safety case outline; and</w:t>
            </w:r>
          </w:p>
          <w:p w:rsidR="009B5343" w:rsidRDefault="006D1451" w:rsidP="009B5343">
            <w:pPr>
              <w:pStyle w:val="Bullet2"/>
              <w:rPr>
                <w:szCs w:val="24"/>
              </w:rPr>
            </w:pPr>
            <w:r w:rsidRPr="00E73240">
              <w:t>will occur in the preparation of the safety case;</w:t>
            </w:r>
          </w:p>
          <w:p w:rsidR="009B5343" w:rsidRDefault="006D1451" w:rsidP="009B5343">
            <w:pPr>
              <w:pStyle w:val="Bullet1"/>
            </w:pPr>
            <w:r w:rsidRPr="00E73240">
              <w:t>a draft of the emergency plan prepared or to be prepared under regulation 557</w:t>
            </w:r>
          </w:p>
          <w:p w:rsidR="009B5343" w:rsidRDefault="006D1451" w:rsidP="009B5343">
            <w:pPr>
              <w:pStyle w:val="Bullet1"/>
            </w:pPr>
            <w:r w:rsidRPr="00E73240">
              <w:t>a summary of any arrangements that are to be made in relation to the security of the major hazard facility.</w:t>
            </w:r>
          </w:p>
        </w:tc>
      </w:tr>
      <w:tr w:rsidR="006D1451" w:rsidRPr="00E73240" w:rsidTr="0016086D">
        <w:tc>
          <w:tcPr>
            <w:tcW w:w="1526" w:type="dxa"/>
          </w:tcPr>
          <w:p w:rsidR="009B5343" w:rsidRDefault="006D1451" w:rsidP="009B5343">
            <w:pPr>
              <w:pStyle w:val="TableBold"/>
              <w:jc w:val="center"/>
            </w:pPr>
            <w:r w:rsidRPr="00E73240">
              <w:t>553</w:t>
            </w:r>
          </w:p>
        </w:tc>
        <w:tc>
          <w:tcPr>
            <w:tcW w:w="8221" w:type="dxa"/>
          </w:tcPr>
          <w:p w:rsidR="009B5343" w:rsidRDefault="006D1451" w:rsidP="009B5343">
            <w:pPr>
              <w:pStyle w:val="TableBold"/>
            </w:pPr>
            <w:r w:rsidRPr="00E73240">
              <w:t>Alteration</w:t>
            </w:r>
          </w:p>
          <w:p w:rsidR="009B5343" w:rsidRDefault="006D1451" w:rsidP="009B5343">
            <w:pPr>
              <w:pStyle w:val="Bullet1"/>
            </w:pPr>
            <w:r w:rsidRPr="00E73240">
              <w:t>If the regulator is not satisfied that a safety case outline provided by the operator of a determined major hazard facility will lead to the development of a safety case that complies with regulation 561,</w:t>
            </w:r>
            <w:r>
              <w:t xml:space="preserve"> </w:t>
            </w:r>
            <w:r w:rsidRPr="00E73240">
              <w:t>the regulator may require the operator to alter the outline.</w:t>
            </w:r>
          </w:p>
          <w:p w:rsidR="009B5343" w:rsidRDefault="006D1451" w:rsidP="009B5343">
            <w:pPr>
              <w:pStyle w:val="Bullet1"/>
            </w:pPr>
            <w:r w:rsidRPr="00E73240">
              <w:t>If the regulator proposes to require an operator to alter a safety case outline, the regulator must provide a written notice to the operator:</w:t>
            </w:r>
          </w:p>
          <w:p w:rsidR="009B5343" w:rsidRDefault="006D1451" w:rsidP="009B5343">
            <w:pPr>
              <w:pStyle w:val="Bullet2"/>
              <w:rPr>
                <w:szCs w:val="24"/>
              </w:rPr>
            </w:pPr>
            <w:r w:rsidRPr="00E73240">
              <w:t>informing the operator of the proposed requirement and the reasons for it</w:t>
            </w:r>
          </w:p>
          <w:p w:rsidR="009B5343" w:rsidRDefault="006D1451" w:rsidP="009B5343">
            <w:pPr>
              <w:pStyle w:val="Bullet2"/>
              <w:rPr>
                <w:szCs w:val="24"/>
              </w:rPr>
            </w:pPr>
            <w:r w:rsidRPr="00E73240">
              <w:t>advising the operator that the operator may make a submission to the regulator in relation to the proposed requirement</w:t>
            </w:r>
          </w:p>
          <w:p w:rsidR="009B5343" w:rsidRDefault="006D1451" w:rsidP="009B5343">
            <w:pPr>
              <w:pStyle w:val="Bullet2"/>
              <w:rPr>
                <w:szCs w:val="24"/>
              </w:rPr>
            </w:pPr>
            <w:r w:rsidRPr="00E73240">
              <w:t>specifying the date (being not less than 28 days) by which the submission must be made.</w:t>
            </w:r>
          </w:p>
          <w:p w:rsidR="009B5343" w:rsidRDefault="006D1451" w:rsidP="009B5343">
            <w:pPr>
              <w:pStyle w:val="Bullet1"/>
            </w:pPr>
            <w:r w:rsidRPr="00E73240">
              <w:t>The regulator must:</w:t>
            </w:r>
          </w:p>
          <w:p w:rsidR="009B5343" w:rsidRDefault="006D1451" w:rsidP="009B5343">
            <w:pPr>
              <w:pStyle w:val="Bullet2"/>
              <w:rPr>
                <w:szCs w:val="24"/>
              </w:rPr>
            </w:pPr>
            <w:r w:rsidRPr="00E73240">
              <w:t>if the operator has made a submission in relation to the proposed requirement to alter a safety case outline—consider that submission</w:t>
            </w:r>
          </w:p>
          <w:p w:rsidR="009B5343" w:rsidRDefault="006D1451" w:rsidP="009B5343">
            <w:pPr>
              <w:pStyle w:val="Bullet2"/>
              <w:rPr>
                <w:szCs w:val="24"/>
              </w:rPr>
            </w:pPr>
            <w:r w:rsidRPr="00E73240">
              <w:t>whether or not the operator has made a submission—decide whether or not to require the operator to alter the outline</w:t>
            </w:r>
          </w:p>
          <w:p w:rsidR="009B5343" w:rsidRDefault="006D1451" w:rsidP="009B5343">
            <w:pPr>
              <w:pStyle w:val="Bullet2"/>
              <w:rPr>
                <w:szCs w:val="24"/>
              </w:rPr>
            </w:pPr>
            <w:r w:rsidRPr="00E73240">
              <w:t xml:space="preserve">within 14 days after deciding, give the operator written notice of the </w:t>
            </w:r>
            <w:r w:rsidRPr="00E73240">
              <w:lastRenderedPageBreak/>
              <w:t>decision, including details of the alteration required and the reason</w:t>
            </w:r>
            <w:r>
              <w:t>/</w:t>
            </w:r>
            <w:r w:rsidRPr="00E73240">
              <w:t>s why it is required.</w:t>
            </w:r>
          </w:p>
          <w:p w:rsidR="009B5343" w:rsidRDefault="006D1451" w:rsidP="009B5343">
            <w:pPr>
              <w:pStyle w:val="Bullet1"/>
            </w:pPr>
            <w:r w:rsidRPr="00E73240">
              <w:t>The operator must alter the outline as required.</w:t>
            </w:r>
          </w:p>
          <w:p w:rsidR="009B5343" w:rsidRDefault="006D1451" w:rsidP="009B5343">
            <w:pPr>
              <w:pStyle w:val="Bullet1"/>
            </w:pPr>
            <w:r w:rsidRPr="00E73240">
              <w:t>The operator must give the regulator a copy of a safety case outline that has been altered:</w:t>
            </w:r>
          </w:p>
          <w:p w:rsidR="009B5343" w:rsidRDefault="006D1451" w:rsidP="009B5343">
            <w:pPr>
              <w:pStyle w:val="Bullet2"/>
              <w:rPr>
                <w:szCs w:val="24"/>
              </w:rPr>
            </w:pPr>
            <w:r w:rsidRPr="00E73240">
              <w:t>under this regulation</w:t>
            </w:r>
          </w:p>
          <w:p w:rsidR="009B5343" w:rsidRDefault="006D1451" w:rsidP="009B5343">
            <w:pPr>
              <w:pStyle w:val="Bullet2"/>
              <w:rPr>
                <w:szCs w:val="24"/>
              </w:rPr>
            </w:pPr>
            <w:r w:rsidRPr="00E73240">
              <w:t>by the operator on the operator's initiative.</w:t>
            </w:r>
          </w:p>
          <w:p w:rsidR="009B5343" w:rsidRDefault="006D1451" w:rsidP="009B5343">
            <w:pPr>
              <w:pStyle w:val="Bullet1"/>
              <w:rPr>
                <w:b/>
                <w:bCs/>
              </w:rPr>
            </w:pPr>
            <w:r w:rsidRPr="00E73240">
              <w:t>The safety case outline as altered becomes the safety case outline for the major hazard facility.</w:t>
            </w:r>
          </w:p>
        </w:tc>
      </w:tr>
    </w:tbl>
    <w:p w:rsidR="006D1451" w:rsidRPr="00AB22B2" w:rsidRDefault="006D1451" w:rsidP="00EC03FE">
      <w:pPr>
        <w:spacing w:after="120" w:line="20" w:lineRule="atLeast"/>
        <w:rPr>
          <w:rFonts w:cs="Arial"/>
          <w:sz w:val="24"/>
          <w:szCs w:val="28"/>
        </w:rPr>
      </w:pPr>
    </w:p>
    <w:p w:rsidR="009B5343" w:rsidRDefault="006D1451" w:rsidP="009B5343">
      <w:pPr>
        <w:pStyle w:val="HeadingPlain"/>
      </w:pPr>
      <w:r w:rsidRPr="00AB22B2">
        <w:rPr>
          <w:rFonts w:cs="Arial"/>
        </w:rPr>
        <w:br w:type="page"/>
      </w:r>
      <w:bookmarkStart w:id="27" w:name="_Toc319328245"/>
      <w:r w:rsidRPr="00CF576D">
        <w:lastRenderedPageBreak/>
        <w:t>A</w:t>
      </w:r>
      <w:r>
        <w:t xml:space="preserve">ppendix </w:t>
      </w:r>
      <w:r w:rsidRPr="00CF576D">
        <w:t>B</w:t>
      </w:r>
      <w:r>
        <w:t xml:space="preserve"> – Definitions</w:t>
      </w:r>
      <w:bookmarkEnd w:id="27"/>
    </w:p>
    <w:p w:rsidR="006D1451" w:rsidRPr="00AB22B2" w:rsidRDefault="006D1451" w:rsidP="009F6B94">
      <w:pPr>
        <w:rPr>
          <w:rFonts w:cs="Arial"/>
        </w:rPr>
      </w:pPr>
      <w:r>
        <w:rPr>
          <w:rFonts w:cs="Arial"/>
          <w:b/>
          <w:bCs/>
          <w:iCs/>
        </w:rPr>
        <w:t>C</w:t>
      </w:r>
      <w:r w:rsidRPr="00294974">
        <w:rPr>
          <w:rFonts w:cs="Arial"/>
          <w:b/>
          <w:bCs/>
          <w:iCs/>
        </w:rPr>
        <w:t>lass</w:t>
      </w:r>
      <w:r w:rsidRPr="00AB22B2">
        <w:rPr>
          <w:rFonts w:cs="Arial"/>
          <w:b/>
          <w:bCs/>
          <w:i/>
          <w:iCs/>
        </w:rPr>
        <w:t xml:space="preserve"> </w:t>
      </w:r>
      <w:r w:rsidRPr="00AB22B2">
        <w:rPr>
          <w:rFonts w:cs="Arial"/>
        </w:rPr>
        <w:t>has the same meaning as in the ADG Code.</w:t>
      </w:r>
    </w:p>
    <w:p w:rsidR="006D1451" w:rsidRPr="00AB22B2" w:rsidRDefault="006D1451" w:rsidP="009F6B94">
      <w:pPr>
        <w:rPr>
          <w:rFonts w:cs="Arial"/>
        </w:rPr>
      </w:pPr>
      <w:r>
        <w:rPr>
          <w:rFonts w:cs="Arial"/>
          <w:b/>
        </w:rPr>
        <w:t>C</w:t>
      </w:r>
      <w:r w:rsidRPr="00294974">
        <w:rPr>
          <w:rFonts w:cs="Arial"/>
          <w:b/>
        </w:rPr>
        <w:t>ontrol measure</w:t>
      </w:r>
      <w:r w:rsidRPr="00AB22B2">
        <w:rPr>
          <w:rFonts w:cs="Arial"/>
        </w:rPr>
        <w:t>, in relation to risk to health and safety, means a measure to eliminate or minimise the risk.</w:t>
      </w:r>
    </w:p>
    <w:p w:rsidR="006D1451" w:rsidRPr="00AB22B2" w:rsidRDefault="006D1451" w:rsidP="009F6B94">
      <w:pPr>
        <w:rPr>
          <w:rFonts w:cs="Arial"/>
        </w:rPr>
      </w:pPr>
      <w:r>
        <w:rPr>
          <w:rFonts w:cs="Arial"/>
          <w:b/>
          <w:bCs/>
          <w:iCs/>
        </w:rPr>
        <w:t>D</w:t>
      </w:r>
      <w:r w:rsidRPr="00294974">
        <w:rPr>
          <w:rFonts w:cs="Arial"/>
          <w:b/>
          <w:bCs/>
          <w:iCs/>
        </w:rPr>
        <w:t>etermined major hazard facility</w:t>
      </w:r>
      <w:r w:rsidRPr="00AB22B2">
        <w:rPr>
          <w:rFonts w:cs="Arial"/>
          <w:b/>
          <w:bCs/>
          <w:i/>
          <w:iCs/>
        </w:rPr>
        <w:t xml:space="preserve"> </w:t>
      </w:r>
      <w:r w:rsidRPr="00AB22B2">
        <w:rPr>
          <w:rFonts w:cs="Arial"/>
        </w:rPr>
        <w:t>means a facility that has been determined under regulation 541 or 542 to be a major hazard facility.</w:t>
      </w:r>
    </w:p>
    <w:p w:rsidR="006D1451" w:rsidRPr="00AB22B2" w:rsidRDefault="006D1451" w:rsidP="009F6B94">
      <w:pPr>
        <w:rPr>
          <w:rFonts w:cs="Arial"/>
        </w:rPr>
      </w:pPr>
      <w:r>
        <w:rPr>
          <w:rFonts w:cs="Arial"/>
          <w:b/>
          <w:bCs/>
          <w:iCs/>
        </w:rPr>
        <w:t>F</w:t>
      </w:r>
      <w:r w:rsidRPr="00294974">
        <w:rPr>
          <w:rFonts w:cs="Arial"/>
          <w:b/>
          <w:bCs/>
          <w:iCs/>
        </w:rPr>
        <w:t>acility</w:t>
      </w:r>
      <w:r w:rsidRPr="00AB22B2">
        <w:rPr>
          <w:rFonts w:cs="Arial"/>
        </w:rPr>
        <w:t xml:space="preserve"> means a workplace at which Schedule 15 chemicals are present or likely to be present.</w:t>
      </w:r>
    </w:p>
    <w:p w:rsidR="006D1451" w:rsidRPr="00AB22B2" w:rsidRDefault="006D1451" w:rsidP="009F6B94">
      <w:pPr>
        <w:rPr>
          <w:rFonts w:cs="Arial"/>
        </w:rPr>
      </w:pPr>
      <w:r>
        <w:rPr>
          <w:rFonts w:cs="Arial"/>
          <w:b/>
        </w:rPr>
        <w:t>F</w:t>
      </w:r>
      <w:r w:rsidRPr="00294974">
        <w:rPr>
          <w:rFonts w:cs="Arial"/>
          <w:b/>
        </w:rPr>
        <w:t>ailure of a control measure</w:t>
      </w:r>
      <w:r w:rsidRPr="00AB22B2">
        <w:rPr>
          <w:rFonts w:cs="Arial"/>
        </w:rPr>
        <w:t xml:space="preserve"> means:</w:t>
      </w:r>
    </w:p>
    <w:p w:rsidR="009B5343" w:rsidRDefault="006D1451" w:rsidP="009B5343">
      <w:pPr>
        <w:pStyle w:val="Bullet1"/>
      </w:pPr>
      <w:r w:rsidRPr="00AB22B2">
        <w:t>if the risk control measure is a positive action or event: the non-occurrence or the defective occurrence of that action or event</w:t>
      </w:r>
    </w:p>
    <w:p w:rsidR="009B5343" w:rsidRDefault="006D1451" w:rsidP="009B5343">
      <w:pPr>
        <w:pStyle w:val="Bullet1"/>
      </w:pPr>
      <w:r w:rsidRPr="00AB22B2">
        <w:t>if the risk control consists of a limitation on an operational activity, process or procedure</w:t>
      </w:r>
      <w:r>
        <w:t>:</w:t>
      </w:r>
      <w:r w:rsidRPr="00AB22B2">
        <w:t xml:space="preserve"> the breach of that limitation.</w:t>
      </w:r>
    </w:p>
    <w:p w:rsidR="006D1451" w:rsidRPr="00AB22B2" w:rsidRDefault="006D1451" w:rsidP="009F6B94">
      <w:pPr>
        <w:rPr>
          <w:rFonts w:cs="Arial"/>
          <w:b/>
          <w:bCs/>
          <w:iCs/>
        </w:rPr>
      </w:pPr>
      <w:r w:rsidRPr="00A16666">
        <w:rPr>
          <w:rFonts w:cs="Arial"/>
          <w:b/>
          <w:bCs/>
          <w:iCs/>
        </w:rPr>
        <w:t>HIPAP</w:t>
      </w:r>
      <w:r w:rsidR="009B5343" w:rsidRPr="009B5343">
        <w:rPr>
          <w:rFonts w:cs="Arial"/>
          <w:b/>
          <w:bCs/>
          <w:iCs/>
        </w:rPr>
        <w:t>s</w:t>
      </w:r>
      <w:r w:rsidRPr="00AB22B2">
        <w:rPr>
          <w:rFonts w:cs="Arial"/>
          <w:b/>
          <w:bCs/>
          <w:iCs/>
        </w:rPr>
        <w:t xml:space="preserve"> </w:t>
      </w:r>
      <w:r w:rsidRPr="00AB22B2">
        <w:rPr>
          <w:rFonts w:cs="Arial"/>
          <w:bCs/>
          <w:iCs/>
        </w:rPr>
        <w:t xml:space="preserve">are the </w:t>
      </w:r>
      <w:r w:rsidRPr="00AB22B2">
        <w:rPr>
          <w:rFonts w:cs="Arial"/>
          <w:bCs/>
          <w:i/>
          <w:iCs/>
        </w:rPr>
        <w:t xml:space="preserve">Hazardous Industry Planning Advisory Papers </w:t>
      </w:r>
      <w:r w:rsidRPr="00AB22B2">
        <w:rPr>
          <w:rFonts w:cs="Arial"/>
          <w:bCs/>
          <w:iCs/>
        </w:rPr>
        <w:t xml:space="preserve">published by the NSW Department of Planning &amp; Infrastructure. </w:t>
      </w:r>
      <w:r w:rsidRPr="00A16666">
        <w:t xml:space="preserve">See </w:t>
      </w:r>
      <w:r w:rsidR="009B5343" w:rsidRPr="009B5343">
        <w:t>Appendix C</w:t>
      </w:r>
      <w:r w:rsidRPr="00A16666">
        <w:t xml:space="preserve"> of th</w:t>
      </w:r>
      <w:r w:rsidRPr="00861616">
        <w:t>is</w:t>
      </w:r>
      <w:r w:rsidRPr="00AB22B2">
        <w:rPr>
          <w:rFonts w:cs="Arial"/>
          <w:bCs/>
          <w:iCs/>
        </w:rPr>
        <w:t xml:space="preserve"> guide for a list of HIPAPs.</w:t>
      </w:r>
    </w:p>
    <w:p w:rsidR="006D1451" w:rsidRPr="00AB22B2" w:rsidRDefault="006D1451" w:rsidP="009F6B94">
      <w:pPr>
        <w:rPr>
          <w:rFonts w:cs="Arial"/>
        </w:rPr>
      </w:pPr>
      <w:r>
        <w:rPr>
          <w:rFonts w:cs="Arial"/>
          <w:b/>
        </w:rPr>
        <w:t>I</w:t>
      </w:r>
      <w:r w:rsidRPr="00294974">
        <w:rPr>
          <w:rFonts w:cs="Arial"/>
          <w:b/>
        </w:rPr>
        <w:t>ncident</w:t>
      </w:r>
      <w:r w:rsidRPr="00294974">
        <w:rPr>
          <w:rFonts w:cs="Arial"/>
        </w:rPr>
        <w:t xml:space="preserve"> </w:t>
      </w:r>
      <w:r w:rsidR="009B5343" w:rsidRPr="009B5343">
        <w:t>i</w:t>
      </w:r>
      <w:r w:rsidRPr="00A16666">
        <w:t xml:space="preserve">s any </w:t>
      </w:r>
      <w:r w:rsidRPr="00AB22B2">
        <w:rPr>
          <w:rFonts w:cs="Arial"/>
        </w:rPr>
        <w:t>undesired event, including major incidents and near misses. The regulations do not use the term ‘near miss’ but incorporate the concept by reference to ‘potential occurrence of major incidents’</w:t>
      </w:r>
      <w:r>
        <w:rPr>
          <w:rFonts w:cs="Arial"/>
        </w:rPr>
        <w:t>.</w:t>
      </w:r>
      <w:r w:rsidRPr="00AB22B2">
        <w:rPr>
          <w:rFonts w:cs="Arial"/>
        </w:rPr>
        <w:t xml:space="preserve"> </w:t>
      </w:r>
      <w:r>
        <w:rPr>
          <w:rFonts w:cs="Arial"/>
        </w:rPr>
        <w:t>S</w:t>
      </w:r>
      <w:r w:rsidRPr="00AB22B2">
        <w:rPr>
          <w:rFonts w:cs="Arial"/>
        </w:rPr>
        <w:t>ee regulations 558(2)(a) and 561(4)(b), which relate to the SMS and the safety case.</w:t>
      </w:r>
    </w:p>
    <w:p w:rsidR="006D1451" w:rsidRPr="00AB22B2" w:rsidRDefault="006D1451" w:rsidP="009F6B94">
      <w:pPr>
        <w:rPr>
          <w:rFonts w:cs="Arial"/>
        </w:rPr>
      </w:pPr>
      <w:r>
        <w:rPr>
          <w:rFonts w:cs="Arial"/>
          <w:b/>
          <w:bCs/>
          <w:iCs/>
        </w:rPr>
        <w:t>M</w:t>
      </w:r>
      <w:r w:rsidRPr="00294974">
        <w:rPr>
          <w:rFonts w:cs="Arial"/>
          <w:b/>
          <w:bCs/>
          <w:iCs/>
        </w:rPr>
        <w:t>ajor hazard facility (MHF)</w:t>
      </w:r>
      <w:r w:rsidRPr="00AB22B2">
        <w:rPr>
          <w:rFonts w:cs="Arial"/>
          <w:b/>
          <w:bCs/>
          <w:i/>
          <w:iCs/>
        </w:rPr>
        <w:t xml:space="preserve"> </w:t>
      </w:r>
      <w:r w:rsidRPr="00AB22B2">
        <w:rPr>
          <w:rFonts w:cs="Arial"/>
        </w:rPr>
        <w:t>means a facility:</w:t>
      </w:r>
    </w:p>
    <w:p w:rsidR="009B5343" w:rsidRDefault="006D1451" w:rsidP="009B5343">
      <w:pPr>
        <w:pStyle w:val="Bullet1"/>
      </w:pPr>
      <w:r w:rsidRPr="00AB22B2">
        <w:t>at which Schedule 15 chemicals are present or likely to be present in a quantity that exceeds their threshold quantity</w:t>
      </w:r>
    </w:p>
    <w:p w:rsidR="009B5343" w:rsidRDefault="006D1451" w:rsidP="009B5343">
      <w:pPr>
        <w:pStyle w:val="Bullet1"/>
      </w:pPr>
      <w:r w:rsidRPr="00AB22B2">
        <w:t xml:space="preserve">that is determined by the regulator under Part 9.2 to be a major hazard facility. </w:t>
      </w:r>
    </w:p>
    <w:p w:rsidR="006D1451" w:rsidRPr="00AB22B2" w:rsidRDefault="006D1451" w:rsidP="009F6B94">
      <w:pPr>
        <w:rPr>
          <w:rFonts w:cs="Arial"/>
        </w:rPr>
      </w:pPr>
      <w:r>
        <w:rPr>
          <w:rFonts w:cs="Arial"/>
          <w:b/>
          <w:bCs/>
          <w:iCs/>
        </w:rPr>
        <w:t>M</w:t>
      </w:r>
      <w:r w:rsidRPr="00294974">
        <w:rPr>
          <w:rFonts w:cs="Arial"/>
          <w:b/>
          <w:bCs/>
          <w:iCs/>
        </w:rPr>
        <w:t>ajor hazard facility licence</w:t>
      </w:r>
      <w:r w:rsidRPr="00AB22B2">
        <w:rPr>
          <w:rFonts w:cs="Arial"/>
          <w:b/>
          <w:bCs/>
          <w:i/>
          <w:iCs/>
        </w:rPr>
        <w:t xml:space="preserve"> </w:t>
      </w:r>
      <w:r w:rsidRPr="00AB22B2">
        <w:rPr>
          <w:rFonts w:cs="Arial"/>
        </w:rPr>
        <w:t xml:space="preserve">means a licence granted to a major hazard facility under Part 9.7 of the Regulations. </w:t>
      </w:r>
    </w:p>
    <w:p w:rsidR="006D1451" w:rsidRPr="00AB22B2" w:rsidRDefault="006D1451" w:rsidP="009231C2">
      <w:pPr>
        <w:spacing w:after="120"/>
        <w:rPr>
          <w:rFonts w:cs="Arial"/>
        </w:rPr>
      </w:pPr>
      <w:r>
        <w:rPr>
          <w:rFonts w:cs="Arial"/>
          <w:b/>
          <w:bCs/>
          <w:iCs/>
        </w:rPr>
        <w:t>M</w:t>
      </w:r>
      <w:r w:rsidRPr="00294974">
        <w:rPr>
          <w:rFonts w:cs="Arial"/>
          <w:b/>
          <w:bCs/>
          <w:iCs/>
        </w:rPr>
        <w:t>ajor incident</w:t>
      </w:r>
      <w:r>
        <w:rPr>
          <w:rFonts w:cs="Arial"/>
          <w:b/>
          <w:bCs/>
          <w:i/>
          <w:iCs/>
        </w:rPr>
        <w:t xml:space="preserve"> </w:t>
      </w:r>
      <w:r w:rsidRPr="00AB22B2">
        <w:rPr>
          <w:rFonts w:cs="Arial"/>
        </w:rPr>
        <w:t>at a major hazard facility is an occurrence that:</w:t>
      </w:r>
    </w:p>
    <w:p w:rsidR="009B5343" w:rsidRDefault="006D1451" w:rsidP="009B5343">
      <w:pPr>
        <w:pStyle w:val="Bullet1"/>
      </w:pPr>
      <w:r w:rsidRPr="00AB22B2">
        <w:t>results from an uncontrolled event at the major hazard facility involving, or potentially involving, Schedule 15 chemicals</w:t>
      </w:r>
    </w:p>
    <w:p w:rsidR="009B5343" w:rsidRDefault="006D1451" w:rsidP="009B5343">
      <w:pPr>
        <w:pStyle w:val="Bullet1"/>
      </w:pPr>
      <w:r w:rsidRPr="00AB22B2">
        <w:t>exposes a person to a serious risk to health or safety emanating from an immediate or imminent exposure to the occurrence.</w:t>
      </w:r>
    </w:p>
    <w:p w:rsidR="006D1451" w:rsidRPr="00AB22B2" w:rsidRDefault="006D1451" w:rsidP="009231C2">
      <w:pPr>
        <w:ind w:left="360"/>
        <w:rPr>
          <w:rFonts w:cs="Arial"/>
        </w:rPr>
      </w:pPr>
      <w:r>
        <w:rPr>
          <w:rFonts w:cs="Arial"/>
        </w:rPr>
        <w:t>A</w:t>
      </w:r>
      <w:r w:rsidRPr="00AB22B2">
        <w:rPr>
          <w:rFonts w:cs="Arial"/>
        </w:rPr>
        <w:t xml:space="preserve">n </w:t>
      </w:r>
      <w:r w:rsidRPr="00AB22B2">
        <w:rPr>
          <w:rFonts w:cs="Arial"/>
          <w:b/>
          <w:bCs/>
          <w:i/>
          <w:iCs/>
        </w:rPr>
        <w:t xml:space="preserve">occurrence </w:t>
      </w:r>
      <w:r w:rsidRPr="00AB22B2">
        <w:rPr>
          <w:rFonts w:cs="Arial"/>
        </w:rPr>
        <w:t>includes any of the following</w:t>
      </w:r>
    </w:p>
    <w:p w:rsidR="009B5343" w:rsidRDefault="006D1451" w:rsidP="009B5343">
      <w:pPr>
        <w:pStyle w:val="Bullet2"/>
      </w:pPr>
      <w:r w:rsidRPr="00AB22B2">
        <w:t>escape, spillage or leakage</w:t>
      </w:r>
    </w:p>
    <w:p w:rsidR="009B5343" w:rsidRDefault="006D1451" w:rsidP="009B5343">
      <w:pPr>
        <w:pStyle w:val="Bullet2"/>
      </w:pPr>
      <w:r w:rsidRPr="00AB22B2">
        <w:t>implosion, explosion or fire.</w:t>
      </w:r>
    </w:p>
    <w:p w:rsidR="006D1451" w:rsidRPr="00AB22B2" w:rsidRDefault="006D1451" w:rsidP="009F6B94">
      <w:pPr>
        <w:rPr>
          <w:rFonts w:cs="Arial"/>
        </w:rPr>
      </w:pPr>
      <w:r>
        <w:rPr>
          <w:rFonts w:cs="Arial"/>
          <w:b/>
          <w:bCs/>
          <w:iCs/>
        </w:rPr>
        <w:t>M</w:t>
      </w:r>
      <w:r w:rsidRPr="00294974">
        <w:rPr>
          <w:rFonts w:cs="Arial"/>
          <w:b/>
          <w:bCs/>
          <w:iCs/>
        </w:rPr>
        <w:t>ajor incident hazard</w:t>
      </w:r>
      <w:r w:rsidRPr="00AB22B2">
        <w:rPr>
          <w:rFonts w:cs="Arial"/>
          <w:b/>
          <w:bCs/>
          <w:i/>
          <w:iCs/>
        </w:rPr>
        <w:t xml:space="preserve"> </w:t>
      </w:r>
      <w:r w:rsidRPr="00AB22B2">
        <w:rPr>
          <w:rFonts w:cs="Arial"/>
        </w:rPr>
        <w:t>means a hazard that could cause, or contribute to causing, a major incident.</w:t>
      </w:r>
    </w:p>
    <w:p w:rsidR="006D1451" w:rsidRPr="00AB22B2" w:rsidRDefault="006D1451" w:rsidP="009F6B94">
      <w:pPr>
        <w:rPr>
          <w:rFonts w:cs="Arial"/>
          <w:bCs/>
          <w:iCs/>
        </w:rPr>
      </w:pPr>
      <w:r w:rsidRPr="00294974">
        <w:rPr>
          <w:rFonts w:cs="Arial"/>
          <w:b/>
          <w:bCs/>
          <w:iCs/>
        </w:rPr>
        <w:t>MIHAPs</w:t>
      </w:r>
      <w:r w:rsidRPr="00AB22B2">
        <w:rPr>
          <w:rFonts w:cs="Arial"/>
          <w:bCs/>
          <w:iCs/>
        </w:rPr>
        <w:t xml:space="preserve"> are the Major Industrial Hazards Planning Advisory Papers published by the NSW Department of Planning &amp; Infrastructure. </w:t>
      </w:r>
      <w:r w:rsidRPr="00A16666">
        <w:t xml:space="preserve">See </w:t>
      </w:r>
      <w:r w:rsidR="009B5343" w:rsidRPr="009B5343">
        <w:t>Appendix C</w:t>
      </w:r>
      <w:r w:rsidRPr="00A16666">
        <w:t xml:space="preserve"> of this</w:t>
      </w:r>
      <w:r w:rsidRPr="00AB22B2">
        <w:rPr>
          <w:rFonts w:cs="Arial"/>
          <w:bCs/>
          <w:iCs/>
        </w:rPr>
        <w:t xml:space="preserve"> guide for a list of MIHAPs.</w:t>
      </w:r>
    </w:p>
    <w:p w:rsidR="006D1451" w:rsidRPr="00294974" w:rsidRDefault="006D1451" w:rsidP="009231C2">
      <w:pPr>
        <w:rPr>
          <w:rFonts w:cs="Arial"/>
          <w:b/>
          <w:bCs/>
          <w:iCs/>
        </w:rPr>
      </w:pPr>
      <w:r w:rsidRPr="00294974">
        <w:rPr>
          <w:rFonts w:cs="Arial"/>
          <w:b/>
          <w:bCs/>
          <w:iCs/>
        </w:rPr>
        <w:t>Modification</w:t>
      </w:r>
    </w:p>
    <w:p w:rsidR="009B5343" w:rsidRDefault="006D1451" w:rsidP="009B5343">
      <w:pPr>
        <w:pStyle w:val="Bullet1"/>
      </w:pPr>
      <w:r>
        <w:t>A</w:t>
      </w:r>
      <w:r w:rsidRPr="009231C2">
        <w:t xml:space="preserve"> reference to a </w:t>
      </w:r>
      <w:r w:rsidRPr="009231C2">
        <w:rPr>
          <w:b/>
          <w:bCs/>
          <w:i/>
          <w:iCs/>
        </w:rPr>
        <w:t xml:space="preserve">modification </w:t>
      </w:r>
      <w:r w:rsidRPr="009231C2">
        <w:t>of a major hazard facility is a reference to a change or proposed change at the major hazard facility that has or would have the effect of:</w:t>
      </w:r>
    </w:p>
    <w:p w:rsidR="009B5343" w:rsidRDefault="006D1451" w:rsidP="009B5343">
      <w:pPr>
        <w:pStyle w:val="Bullet2"/>
      </w:pPr>
      <w:r w:rsidRPr="00AB22B2">
        <w:t>creating a major incident hazard that has not previously been identified</w:t>
      </w:r>
    </w:p>
    <w:p w:rsidR="009B5343" w:rsidRDefault="006D1451" w:rsidP="009B5343">
      <w:pPr>
        <w:pStyle w:val="Bullet2"/>
      </w:pPr>
      <w:r w:rsidRPr="00AB22B2">
        <w:t>significantly increasing the likelihood of a major incident occurring</w:t>
      </w:r>
    </w:p>
    <w:p w:rsidR="009B5343" w:rsidRDefault="006D1451" w:rsidP="009B5343">
      <w:pPr>
        <w:pStyle w:val="Bullet2"/>
      </w:pPr>
      <w:r w:rsidRPr="00AB22B2">
        <w:t>in relation to a major incident that may occur, significantly increasing:</w:t>
      </w:r>
    </w:p>
    <w:p w:rsidR="009B5343" w:rsidRDefault="006D1451" w:rsidP="009B5343">
      <w:pPr>
        <w:pStyle w:val="Bullet2"/>
        <w:numPr>
          <w:ilvl w:val="1"/>
          <w:numId w:val="43"/>
        </w:numPr>
      </w:pPr>
      <w:r w:rsidRPr="00AB22B2">
        <w:t>its magnitude</w:t>
      </w:r>
    </w:p>
    <w:p w:rsidR="009B5343" w:rsidRDefault="006D1451" w:rsidP="009B5343">
      <w:pPr>
        <w:pStyle w:val="Bullet2"/>
        <w:numPr>
          <w:ilvl w:val="1"/>
          <w:numId w:val="43"/>
        </w:numPr>
      </w:pPr>
      <w:r w:rsidRPr="00AB22B2">
        <w:t>the severity o</w:t>
      </w:r>
      <w:bookmarkStart w:id="28" w:name="_GoBack"/>
      <w:bookmarkEnd w:id="28"/>
      <w:r w:rsidRPr="00AB22B2">
        <w:t>f its health and safety consequences.</w:t>
      </w:r>
    </w:p>
    <w:p w:rsidR="006D1451" w:rsidRPr="009231C2" w:rsidRDefault="006D1451" w:rsidP="009231C2">
      <w:pPr>
        <w:ind w:left="360"/>
        <w:rPr>
          <w:rFonts w:cs="Arial"/>
        </w:rPr>
      </w:pPr>
      <w:r>
        <w:rPr>
          <w:rFonts w:cs="Arial"/>
        </w:rPr>
        <w:lastRenderedPageBreak/>
        <w:t>A</w:t>
      </w:r>
      <w:r w:rsidRPr="009231C2">
        <w:rPr>
          <w:rFonts w:cs="Arial"/>
        </w:rPr>
        <w:t xml:space="preserve"> </w:t>
      </w:r>
      <w:r w:rsidRPr="009231C2">
        <w:rPr>
          <w:rFonts w:cs="Arial"/>
          <w:b/>
          <w:bCs/>
          <w:i/>
          <w:iCs/>
        </w:rPr>
        <w:t xml:space="preserve">change or proposed change </w:t>
      </w:r>
      <w:r w:rsidRPr="009231C2">
        <w:rPr>
          <w:rFonts w:cs="Arial"/>
        </w:rPr>
        <w:t>at a major hazard facility means a change or proposed change of any kind</w:t>
      </w:r>
      <w:r>
        <w:rPr>
          <w:rFonts w:cs="Arial"/>
        </w:rPr>
        <w:t>,</w:t>
      </w:r>
      <w:r w:rsidRPr="009231C2">
        <w:rPr>
          <w:rFonts w:cs="Arial"/>
        </w:rPr>
        <w:t xml:space="preserve"> including:</w:t>
      </w:r>
    </w:p>
    <w:p w:rsidR="009B5343" w:rsidRDefault="006D1451" w:rsidP="009B5343">
      <w:pPr>
        <w:pStyle w:val="Bullet2"/>
      </w:pPr>
      <w:r w:rsidRPr="00AB22B2">
        <w:t>a change to any plant, structure, process</w:t>
      </w:r>
      <w:r>
        <w:t>,</w:t>
      </w:r>
      <w:r w:rsidRPr="00AB22B2">
        <w:t xml:space="preserve"> chemical or other substance used in a process, including the introduction of new plant, a new structure, a new process or a new chemical</w:t>
      </w:r>
    </w:p>
    <w:p w:rsidR="009B5343" w:rsidRDefault="006D1451" w:rsidP="009B5343">
      <w:pPr>
        <w:pStyle w:val="Bullet2"/>
      </w:pPr>
      <w:r w:rsidRPr="00AB22B2">
        <w:t>a change to the quantity of Schedule 15 chemicals present or likely to be present at the major hazard facility</w:t>
      </w:r>
    </w:p>
    <w:p w:rsidR="009B5343" w:rsidRDefault="006D1451" w:rsidP="009B5343">
      <w:pPr>
        <w:pStyle w:val="Bullet2"/>
      </w:pPr>
      <w:r w:rsidRPr="00AB22B2">
        <w:t>a change to the operation, or the nature of the operation, of the major hazard facility</w:t>
      </w:r>
    </w:p>
    <w:p w:rsidR="009B5343" w:rsidRDefault="006D1451" w:rsidP="009B5343">
      <w:pPr>
        <w:pStyle w:val="Bullet2"/>
      </w:pPr>
      <w:r w:rsidRPr="00AB22B2">
        <w:t>a change in the workers' safety role</w:t>
      </w:r>
    </w:p>
    <w:p w:rsidR="009B5343" w:rsidRDefault="006D1451" w:rsidP="009B5343">
      <w:pPr>
        <w:pStyle w:val="Bullet2"/>
      </w:pPr>
      <w:r w:rsidRPr="00AB22B2">
        <w:t>a change to the major hazard facility's safety management system</w:t>
      </w:r>
    </w:p>
    <w:p w:rsidR="009B5343" w:rsidRDefault="006D1451" w:rsidP="009B5343">
      <w:pPr>
        <w:pStyle w:val="Bullet2"/>
      </w:pPr>
      <w:r w:rsidRPr="00AB22B2">
        <w:t>an organisational change at the major hazard facility, including a change in its senior management.</w:t>
      </w:r>
    </w:p>
    <w:p w:rsidR="006D1451" w:rsidRPr="00AB22B2" w:rsidRDefault="006D1451" w:rsidP="009F6B94">
      <w:pPr>
        <w:rPr>
          <w:rFonts w:cs="Arial"/>
        </w:rPr>
      </w:pPr>
      <w:r>
        <w:rPr>
          <w:rFonts w:cs="Arial"/>
          <w:b/>
        </w:rPr>
        <w:t>N</w:t>
      </w:r>
      <w:r w:rsidRPr="00294974">
        <w:rPr>
          <w:rFonts w:cs="Arial"/>
          <w:b/>
        </w:rPr>
        <w:t>ear miss</w:t>
      </w:r>
      <w:r w:rsidRPr="00AB22B2">
        <w:rPr>
          <w:rFonts w:cs="Arial"/>
        </w:rPr>
        <w:t xml:space="preserve"> is any accident that, but for mitigating effects, actions or systems, could have escalated into a major incident.  </w:t>
      </w:r>
    </w:p>
    <w:p w:rsidR="006D1451" w:rsidRPr="006844A9" w:rsidRDefault="006D1451" w:rsidP="009231C2">
      <w:pPr>
        <w:autoSpaceDE w:val="0"/>
        <w:autoSpaceDN w:val="0"/>
        <w:adjustRightInd w:val="0"/>
        <w:rPr>
          <w:rFonts w:cs="Arial"/>
          <w:b/>
          <w:bCs/>
          <w:iCs/>
        </w:rPr>
      </w:pPr>
      <w:r>
        <w:rPr>
          <w:rFonts w:cs="Arial"/>
          <w:b/>
          <w:bCs/>
          <w:iCs/>
        </w:rPr>
        <w:t>O</w:t>
      </w:r>
      <w:r w:rsidRPr="006844A9">
        <w:rPr>
          <w:rFonts w:cs="Arial"/>
          <w:b/>
          <w:bCs/>
          <w:iCs/>
        </w:rPr>
        <w:t>perator</w:t>
      </w:r>
    </w:p>
    <w:p w:rsidR="009B5343" w:rsidRDefault="006D1451" w:rsidP="009B5343">
      <w:pPr>
        <w:pStyle w:val="Bullet1"/>
      </w:pPr>
      <w:r w:rsidRPr="006844A9">
        <w:t>in relation to a facility, means the person conducting the business or undertaking of operating the facility, who has:</w:t>
      </w:r>
    </w:p>
    <w:p w:rsidR="009B5343" w:rsidRDefault="006D1451" w:rsidP="009B5343">
      <w:pPr>
        <w:pStyle w:val="Bullet2"/>
      </w:pPr>
      <w:r w:rsidRPr="006844A9">
        <w:t>management or control of the facility</w:t>
      </w:r>
    </w:p>
    <w:p w:rsidR="009B5343" w:rsidRDefault="006D1451" w:rsidP="009B5343">
      <w:pPr>
        <w:pStyle w:val="Bullet2"/>
      </w:pPr>
      <w:r w:rsidRPr="006844A9">
        <w:t>the power to direct that the whole facility be shut down</w:t>
      </w:r>
    </w:p>
    <w:p w:rsidR="009B5343" w:rsidRDefault="006D1451" w:rsidP="009B5343">
      <w:pPr>
        <w:pStyle w:val="Bullet1"/>
      </w:pPr>
      <w:r w:rsidRPr="006844A9">
        <w:t>in relation to a proposed facility, means</w:t>
      </w:r>
      <w:r>
        <w:t>:</w:t>
      </w:r>
    </w:p>
    <w:p w:rsidR="009B5343" w:rsidRDefault="006D1451" w:rsidP="009B5343">
      <w:pPr>
        <w:pStyle w:val="Bullet2"/>
      </w:pPr>
      <w:r w:rsidRPr="006844A9">
        <w:t>the operator of a proposed facility that is an existing workplace</w:t>
      </w:r>
    </w:p>
    <w:p w:rsidR="009B5343" w:rsidRDefault="006D1451" w:rsidP="009B5343">
      <w:pPr>
        <w:pStyle w:val="Bullet2"/>
      </w:pPr>
      <w:r w:rsidRPr="006844A9">
        <w:t xml:space="preserve">the person who is to be the operator of a proposed facility that is being designed or constructed. </w:t>
      </w:r>
    </w:p>
    <w:p w:rsidR="006D1451" w:rsidRPr="00AB22B2" w:rsidRDefault="006D1451" w:rsidP="009F6B94">
      <w:pPr>
        <w:rPr>
          <w:rFonts w:cs="Arial"/>
        </w:rPr>
      </w:pPr>
      <w:r>
        <w:rPr>
          <w:rFonts w:cs="Arial"/>
          <w:b/>
          <w:bCs/>
          <w:iCs/>
        </w:rPr>
        <w:t>P</w:t>
      </w:r>
      <w:r w:rsidRPr="00294974">
        <w:rPr>
          <w:rFonts w:cs="Arial"/>
          <w:b/>
          <w:bCs/>
          <w:iCs/>
        </w:rPr>
        <w:t>ipe work</w:t>
      </w:r>
      <w:r w:rsidRPr="00AB22B2">
        <w:rPr>
          <w:rFonts w:cs="Arial"/>
          <w:b/>
          <w:bCs/>
          <w:i/>
          <w:iCs/>
        </w:rPr>
        <w:t xml:space="preserve"> </w:t>
      </w:r>
      <w:r w:rsidRPr="00AB22B2">
        <w:rPr>
          <w:rFonts w:cs="Arial"/>
        </w:rPr>
        <w:t>means a pipe or assembly of pipes, pipe fittings, valves and pipe accessories used to convey a hazardous chemical.</w:t>
      </w:r>
    </w:p>
    <w:p w:rsidR="006D1451" w:rsidRPr="006844A9" w:rsidRDefault="006D1451" w:rsidP="009231C2">
      <w:pPr>
        <w:rPr>
          <w:rFonts w:cs="Arial"/>
        </w:rPr>
      </w:pPr>
      <w:r>
        <w:rPr>
          <w:rFonts w:cs="Arial"/>
          <w:b/>
        </w:rPr>
        <w:t>P</w:t>
      </w:r>
      <w:r w:rsidRPr="006844A9">
        <w:rPr>
          <w:rFonts w:cs="Arial"/>
          <w:b/>
        </w:rPr>
        <w:t>resent or likely to be present</w:t>
      </w:r>
      <w:r w:rsidRPr="006844A9">
        <w:rPr>
          <w:rFonts w:cs="Arial"/>
        </w:rPr>
        <w:t xml:space="preserve"> </w:t>
      </w:r>
      <w:r>
        <w:rPr>
          <w:rFonts w:cs="Arial"/>
        </w:rPr>
        <w:t>is</w:t>
      </w:r>
      <w:r w:rsidRPr="006844A9">
        <w:rPr>
          <w:rFonts w:cs="Arial"/>
        </w:rPr>
        <w:t xml:space="preserve"> a reference to the quantity of hazardous chemicals that would meet the maximum capacity of the facility, including:</w:t>
      </w:r>
    </w:p>
    <w:p w:rsidR="009B5343" w:rsidRDefault="006D1451" w:rsidP="009B5343">
      <w:pPr>
        <w:pStyle w:val="Bullet1"/>
      </w:pPr>
      <w:r w:rsidRPr="006844A9">
        <w:t>the maximum capacity of process vessels and interconnecting pipe systems that contain the hazardous chemicals</w:t>
      </w:r>
    </w:p>
    <w:p w:rsidR="009B5343" w:rsidRDefault="006D1451" w:rsidP="009B5343">
      <w:pPr>
        <w:pStyle w:val="Bullet1"/>
      </w:pPr>
      <w:r w:rsidRPr="006844A9">
        <w:t>the maximum capacity of storage tanks and vessels used for the hazardous chemicals</w:t>
      </w:r>
    </w:p>
    <w:p w:rsidR="009B5343" w:rsidRDefault="006D1451" w:rsidP="009B5343">
      <w:pPr>
        <w:pStyle w:val="Bullet1"/>
      </w:pPr>
      <w:r w:rsidRPr="006844A9">
        <w:t>the maximum capacity of other storage areas at the facility that could contain the hazardous chemicals</w:t>
      </w:r>
    </w:p>
    <w:p w:rsidR="009B5343" w:rsidRDefault="006D1451" w:rsidP="009B5343">
      <w:pPr>
        <w:pStyle w:val="Bullet1"/>
      </w:pPr>
      <w:r w:rsidRPr="006844A9">
        <w:t>the maximum capacity of pipe</w:t>
      </w:r>
      <w:r>
        <w:t xml:space="preserve"> work</w:t>
      </w:r>
      <w:r w:rsidRPr="006844A9">
        <w:t xml:space="preserve"> outside process areas to contain the hazardous chemicals</w:t>
      </w:r>
    </w:p>
    <w:p w:rsidR="009B5343" w:rsidRDefault="006D1451" w:rsidP="009B5343">
      <w:pPr>
        <w:pStyle w:val="Bullet1"/>
      </w:pPr>
      <w:r w:rsidRPr="006844A9">
        <w:t xml:space="preserve">the maximum quantity of hazardous chemicals that would, in the event of failure, escape into the facility from </w:t>
      </w:r>
      <w:r>
        <w:t>pipe work</w:t>
      </w:r>
      <w:r w:rsidRPr="006844A9">
        <w:t xml:space="preserve"> that is situated off the premises but is connected to the facility</w:t>
      </w:r>
    </w:p>
    <w:p w:rsidR="009B5343" w:rsidRDefault="006D1451" w:rsidP="009B5343">
      <w:pPr>
        <w:pStyle w:val="Bullet1"/>
      </w:pPr>
      <w:r w:rsidRPr="006844A9">
        <w:t>the maximum quantity of hazardous chemicals loaded into or onto, or unloaded from, vehicles, trailers, rolling stock and ships that are from time to time present at the facility in the course of the facility's operations.</w:t>
      </w:r>
    </w:p>
    <w:p w:rsidR="006D1451" w:rsidRPr="00B84690" w:rsidRDefault="006D1451" w:rsidP="009231C2">
      <w:pPr>
        <w:autoSpaceDE w:val="0"/>
        <w:autoSpaceDN w:val="0"/>
        <w:adjustRightInd w:val="0"/>
        <w:ind w:left="720"/>
        <w:rPr>
          <w:rFonts w:cs="Arial"/>
          <w:i/>
        </w:rPr>
      </w:pPr>
      <w:r>
        <w:rPr>
          <w:rFonts w:cs="Arial"/>
          <w:i/>
        </w:rPr>
        <w:t>Note: Schedule 15 chemicals present or likely to be present in the tailings dam of a mine are not to be considered in determining whether a mine is a facility or a major hazard facility</w:t>
      </w:r>
    </w:p>
    <w:p w:rsidR="006D1451" w:rsidRPr="00AB22B2" w:rsidRDefault="006D1451" w:rsidP="009F6B94">
      <w:pPr>
        <w:rPr>
          <w:rFonts w:cs="Arial"/>
        </w:rPr>
      </w:pPr>
      <w:r>
        <w:rPr>
          <w:rFonts w:cs="Arial"/>
          <w:b/>
          <w:bCs/>
          <w:iCs/>
        </w:rPr>
        <w:t>P</w:t>
      </w:r>
      <w:r w:rsidRPr="00294974">
        <w:rPr>
          <w:rFonts w:cs="Arial"/>
          <w:b/>
          <w:bCs/>
          <w:iCs/>
        </w:rPr>
        <w:t>roposed facility</w:t>
      </w:r>
      <w:r w:rsidRPr="00AB22B2">
        <w:rPr>
          <w:rFonts w:cs="Arial"/>
          <w:b/>
          <w:bCs/>
          <w:i/>
          <w:iCs/>
        </w:rPr>
        <w:t xml:space="preserve"> </w:t>
      </w:r>
      <w:r w:rsidRPr="00AB22B2">
        <w:rPr>
          <w:rFonts w:cs="Arial"/>
        </w:rPr>
        <w:t>means:</w:t>
      </w:r>
    </w:p>
    <w:p w:rsidR="006D1451" w:rsidRPr="00AB22B2" w:rsidRDefault="006D1451" w:rsidP="00A16666">
      <w:pPr>
        <w:pStyle w:val="Bullet1"/>
      </w:pPr>
      <w:r w:rsidRPr="00AB22B2">
        <w:t xml:space="preserve">an existing </w:t>
      </w:r>
      <w:r w:rsidRPr="00A16666">
        <w:t>workplace</w:t>
      </w:r>
      <w:r w:rsidRPr="00AB22B2">
        <w:t xml:space="preserve"> that is to become a facility due to the introduction of</w:t>
      </w:r>
      <w:r>
        <w:t xml:space="preserve"> </w:t>
      </w:r>
      <w:r w:rsidRPr="00AB22B2">
        <w:t>Schedule 15 chemicals</w:t>
      </w:r>
    </w:p>
    <w:p w:rsidR="009B5343" w:rsidRDefault="006D1451" w:rsidP="009B5343">
      <w:pPr>
        <w:pStyle w:val="Bullet1"/>
      </w:pPr>
      <w:r w:rsidRPr="00AB22B2">
        <w:t xml:space="preserve">a facility that is being designed or constructed. </w:t>
      </w:r>
    </w:p>
    <w:p w:rsidR="006D1451" w:rsidRPr="00AB22B2" w:rsidRDefault="006D1451" w:rsidP="009F6B94">
      <w:pPr>
        <w:rPr>
          <w:rFonts w:cs="Arial"/>
        </w:rPr>
      </w:pPr>
      <w:r>
        <w:rPr>
          <w:rFonts w:cs="Arial"/>
          <w:b/>
          <w:bCs/>
          <w:iCs/>
        </w:rPr>
        <w:lastRenderedPageBreak/>
        <w:t>P</w:t>
      </w:r>
      <w:r w:rsidRPr="00294974">
        <w:rPr>
          <w:rFonts w:cs="Arial"/>
          <w:b/>
          <w:bCs/>
          <w:iCs/>
        </w:rPr>
        <w:t>roposed major hazard facility</w:t>
      </w:r>
      <w:r w:rsidRPr="00AB22B2">
        <w:rPr>
          <w:rFonts w:cs="Arial"/>
          <w:b/>
          <w:bCs/>
          <w:i/>
          <w:iCs/>
        </w:rPr>
        <w:t xml:space="preserve"> </w:t>
      </w:r>
      <w:r w:rsidRPr="00AB22B2">
        <w:rPr>
          <w:rFonts w:cs="Arial"/>
        </w:rPr>
        <w:t>means:</w:t>
      </w:r>
    </w:p>
    <w:p w:rsidR="006D1451" w:rsidRPr="00AB22B2" w:rsidRDefault="006D1451" w:rsidP="00F25F0A">
      <w:pPr>
        <w:pStyle w:val="Bullet1"/>
      </w:pPr>
      <w:r w:rsidRPr="00AB22B2">
        <w:t>an existing facility or other workplace that is to become a major hazard</w:t>
      </w:r>
      <w:r>
        <w:t xml:space="preserve"> </w:t>
      </w:r>
      <w:r w:rsidRPr="00AB22B2">
        <w:t>facility due to the introduction of Schedule 15 chemicals or the addition of further Schedule 15 chemicals</w:t>
      </w:r>
    </w:p>
    <w:p w:rsidR="009B5343" w:rsidRDefault="006D1451" w:rsidP="009B5343">
      <w:pPr>
        <w:pStyle w:val="Bullet1"/>
      </w:pPr>
      <w:r w:rsidRPr="00AB22B2">
        <w:t xml:space="preserve">a major hazard facility that is being designed or constructed. </w:t>
      </w:r>
    </w:p>
    <w:p w:rsidR="006D1451" w:rsidRPr="00AB22B2" w:rsidRDefault="006D1451" w:rsidP="009F6B94">
      <w:pPr>
        <w:rPr>
          <w:rFonts w:cs="Arial"/>
          <w:bCs/>
          <w:iCs/>
        </w:rPr>
      </w:pPr>
      <w:r>
        <w:rPr>
          <w:rFonts w:cs="Arial"/>
          <w:b/>
        </w:rPr>
        <w:t>Risk assessment</w:t>
      </w:r>
      <w:r>
        <w:rPr>
          <w:rFonts w:cs="Arial"/>
        </w:rPr>
        <w:t xml:space="preserve"> involves considering what could happen if someone is exposed to a hazard and the likelihood of it happening</w:t>
      </w:r>
      <w:r>
        <w:t>.</w:t>
      </w:r>
    </w:p>
    <w:p w:rsidR="006D1451" w:rsidRPr="00AB22B2" w:rsidRDefault="006D1451" w:rsidP="00555201">
      <w:pPr>
        <w:spacing w:after="120" w:line="20" w:lineRule="atLeast"/>
        <w:rPr>
          <w:rFonts w:cs="Arial"/>
        </w:rPr>
      </w:pPr>
      <w:r>
        <w:rPr>
          <w:rFonts w:cs="Arial"/>
          <w:b/>
          <w:bCs/>
          <w:iCs/>
        </w:rPr>
        <w:t>R</w:t>
      </w:r>
      <w:r w:rsidRPr="00294974">
        <w:rPr>
          <w:rFonts w:cs="Arial"/>
          <w:b/>
          <w:bCs/>
          <w:iCs/>
        </w:rPr>
        <w:t>isk control</w:t>
      </w:r>
      <w:r w:rsidRPr="00AB22B2">
        <w:rPr>
          <w:rFonts w:cs="Arial"/>
          <w:bCs/>
          <w:iCs/>
        </w:rPr>
        <w:t xml:space="preserve"> means </w:t>
      </w:r>
      <w:r>
        <w:rPr>
          <w:rFonts w:cs="Arial"/>
          <w:bCs/>
          <w:iCs/>
        </w:rPr>
        <w:t>taking action to eliminate health and safety risks so far as is reasonably practicable, and if that is not possible, minimising the risks so far as is reasonably practicable.</w:t>
      </w:r>
    </w:p>
    <w:p w:rsidR="006D1451" w:rsidRPr="00AB22B2" w:rsidRDefault="006D1451" w:rsidP="009F6B94">
      <w:pPr>
        <w:spacing w:after="60" w:line="20" w:lineRule="atLeast"/>
        <w:rPr>
          <w:rFonts w:cs="Arial"/>
        </w:rPr>
      </w:pPr>
      <w:r>
        <w:rPr>
          <w:rFonts w:cs="Arial"/>
          <w:b/>
          <w:bCs/>
          <w:iCs/>
        </w:rPr>
        <w:t>R</w:t>
      </w:r>
      <w:r w:rsidRPr="00294974">
        <w:rPr>
          <w:rFonts w:cs="Arial"/>
          <w:b/>
          <w:bCs/>
          <w:iCs/>
        </w:rPr>
        <w:t>isk management</w:t>
      </w:r>
      <w:r w:rsidRPr="00AB22B2">
        <w:rPr>
          <w:rFonts w:cs="Arial"/>
          <w:bCs/>
          <w:iCs/>
        </w:rPr>
        <w:t xml:space="preserve"> in this guide means the </w:t>
      </w:r>
      <w:r w:rsidRPr="00AB22B2">
        <w:rPr>
          <w:rFonts w:cs="Arial"/>
        </w:rPr>
        <w:t>processes of:</w:t>
      </w:r>
    </w:p>
    <w:p w:rsidR="009B5343" w:rsidRDefault="006D1451" w:rsidP="009B5343">
      <w:pPr>
        <w:pStyle w:val="Bullet1"/>
      </w:pPr>
      <w:r w:rsidRPr="00AB22B2">
        <w:t xml:space="preserve"> identification of major incidents and major incident hazards</w:t>
      </w:r>
    </w:p>
    <w:p w:rsidR="009B5343" w:rsidRDefault="006D1451" w:rsidP="009B5343">
      <w:pPr>
        <w:pStyle w:val="Bullet1"/>
      </w:pPr>
      <w:r w:rsidRPr="00AB22B2">
        <w:t>safety assessment, including:</w:t>
      </w:r>
    </w:p>
    <w:p w:rsidR="009B5343" w:rsidRDefault="006D1451" w:rsidP="009B5343">
      <w:pPr>
        <w:pStyle w:val="Bullet2"/>
      </w:pPr>
      <w:r w:rsidRPr="00AB22B2">
        <w:t>risk analysis (likelihood and consequences)</w:t>
      </w:r>
    </w:p>
    <w:p w:rsidR="009B5343" w:rsidRDefault="006D1451" w:rsidP="009B5343">
      <w:pPr>
        <w:pStyle w:val="Bullet2"/>
      </w:pPr>
      <w:r w:rsidRPr="00AB22B2">
        <w:t>risk evaluation against risk criteria</w:t>
      </w:r>
    </w:p>
    <w:p w:rsidR="009B5343" w:rsidRDefault="006D1451" w:rsidP="009B5343">
      <w:pPr>
        <w:pStyle w:val="Bullet1"/>
      </w:pPr>
      <w:r w:rsidRPr="00AB22B2">
        <w:t>risk control (risk treatment)</w:t>
      </w:r>
    </w:p>
    <w:p w:rsidR="009B5343" w:rsidRDefault="006D1451" w:rsidP="009B5343">
      <w:pPr>
        <w:pStyle w:val="Bullet1"/>
      </w:pPr>
      <w:r w:rsidRPr="00AB22B2">
        <w:t>review and revision of the:</w:t>
      </w:r>
    </w:p>
    <w:p w:rsidR="009B5343" w:rsidRDefault="006D1451" w:rsidP="009B5343">
      <w:pPr>
        <w:pStyle w:val="Bullet2"/>
      </w:pPr>
      <w:r w:rsidRPr="00AB22B2">
        <w:t>safety assessment</w:t>
      </w:r>
    </w:p>
    <w:p w:rsidR="009B5343" w:rsidRDefault="006D1451" w:rsidP="009B5343">
      <w:pPr>
        <w:pStyle w:val="Bullet2"/>
      </w:pPr>
      <w:r w:rsidRPr="00AB22B2">
        <w:t>emergency plan</w:t>
      </w:r>
    </w:p>
    <w:p w:rsidR="009B5343" w:rsidRDefault="006D1451" w:rsidP="009B5343">
      <w:pPr>
        <w:pStyle w:val="Bullet2"/>
      </w:pPr>
      <w:r w:rsidRPr="00AB22B2">
        <w:t>safety management system</w:t>
      </w:r>
    </w:p>
    <w:p w:rsidR="006D1451" w:rsidRDefault="006D1451" w:rsidP="009F6B94">
      <w:pPr>
        <w:spacing w:after="120" w:line="20" w:lineRule="atLeast"/>
        <w:rPr>
          <w:rFonts w:cs="Calibri"/>
        </w:rPr>
      </w:pPr>
      <w:r>
        <w:rPr>
          <w:rFonts w:cs="Arial"/>
          <w:b/>
        </w:rPr>
        <w:t>S</w:t>
      </w:r>
      <w:r w:rsidRPr="00294974">
        <w:rPr>
          <w:rFonts w:cs="Arial"/>
          <w:b/>
        </w:rPr>
        <w:t>afety assessment</w:t>
      </w:r>
      <w:r w:rsidRPr="0053247B">
        <w:rPr>
          <w:rFonts w:cs="Arial"/>
        </w:rPr>
        <w:t xml:space="preserve"> </w:t>
      </w:r>
      <w:r>
        <w:rPr>
          <w:rFonts w:cs="Arial"/>
        </w:rPr>
        <w:t>is</w:t>
      </w:r>
      <w:r w:rsidRPr="0053247B">
        <w:rPr>
          <w:rFonts w:cs="Arial"/>
        </w:rPr>
        <w:t xml:space="preserve"> the process by which the operator of a major hazard facility systematically and comprehensively investigates and analyses all aspects of risks to health and safety associated with all major incidents that could occur in the course of the operation of the major hazard facility</w:t>
      </w:r>
      <w:r>
        <w:rPr>
          <w:rFonts w:cs="Calibri"/>
        </w:rPr>
        <w:t>.</w:t>
      </w:r>
    </w:p>
    <w:p w:rsidR="006D1451" w:rsidRPr="00AB22B2" w:rsidRDefault="006D1451" w:rsidP="009F6B94">
      <w:pPr>
        <w:spacing w:after="120" w:line="20" w:lineRule="atLeast"/>
        <w:rPr>
          <w:rFonts w:cs="Arial"/>
          <w:b/>
          <w:i/>
        </w:rPr>
      </w:pPr>
      <w:r w:rsidRPr="00AB22B2">
        <w:rPr>
          <w:rFonts w:cs="Arial"/>
        </w:rPr>
        <w:t xml:space="preserve">The safety assessment is a significant body of work that is drawn upon to demonstrate adequate safety in the safety case. </w:t>
      </w:r>
    </w:p>
    <w:p w:rsidR="006D1451" w:rsidRPr="00AB22B2" w:rsidRDefault="006D1451" w:rsidP="009F6B94">
      <w:pPr>
        <w:spacing w:after="120" w:line="20" w:lineRule="atLeast"/>
        <w:rPr>
          <w:rFonts w:cs="Arial"/>
        </w:rPr>
      </w:pPr>
      <w:r>
        <w:rPr>
          <w:rFonts w:cs="Arial"/>
          <w:b/>
        </w:rPr>
        <w:t>S</w:t>
      </w:r>
      <w:r w:rsidRPr="00294974">
        <w:rPr>
          <w:rFonts w:cs="Arial"/>
          <w:b/>
        </w:rPr>
        <w:t>afety case</w:t>
      </w:r>
      <w:r w:rsidRPr="00AB22B2">
        <w:rPr>
          <w:rFonts w:cs="Arial"/>
        </w:rPr>
        <w:t xml:space="preserve"> is a written presentation of the technical, management and operational information covering the hazards and risks that may lead to a major incident at a major hazard facility and their control, and which provides justification for the measures taken to ensure the safe operation of the facility.</w:t>
      </w:r>
    </w:p>
    <w:p w:rsidR="006D1451" w:rsidRDefault="006D1451" w:rsidP="00294974">
      <w:pPr>
        <w:spacing w:after="120"/>
        <w:rPr>
          <w:rFonts w:cs="Arial"/>
        </w:rPr>
      </w:pPr>
      <w:r>
        <w:rPr>
          <w:rFonts w:cs="Arial"/>
          <w:b/>
        </w:rPr>
        <w:t>S</w:t>
      </w:r>
      <w:r w:rsidRPr="00AF4804">
        <w:rPr>
          <w:rFonts w:cs="Arial"/>
          <w:b/>
        </w:rPr>
        <w:t>afety management system</w:t>
      </w:r>
      <w:r w:rsidRPr="00AB22B2">
        <w:rPr>
          <w:rFonts w:cs="Arial"/>
        </w:rPr>
        <w:t xml:space="preserve"> as set out in the Regulations (558 and 568) and Schedule 17 means the comprehensive integrated system for managing all aspects of risk control in relation to the possible occurrence of major incidents at a major hazard facility and is used by the operator as the primary means of ensuring safe operation of the MHF</w:t>
      </w:r>
      <w:r>
        <w:rPr>
          <w:rFonts w:cs="Arial"/>
        </w:rPr>
        <w:t>.</w:t>
      </w:r>
    </w:p>
    <w:p w:rsidR="006D1451" w:rsidRPr="00AB22B2" w:rsidRDefault="006D1451" w:rsidP="009F6B94">
      <w:pPr>
        <w:spacing w:after="120"/>
        <w:rPr>
          <w:rFonts w:cs="Arial"/>
        </w:rPr>
      </w:pPr>
      <w:r w:rsidRPr="00AF4804">
        <w:rPr>
          <w:rFonts w:cs="Arial"/>
          <w:b/>
          <w:bCs/>
          <w:iCs/>
        </w:rPr>
        <w:t>Schedule 15 chemical</w:t>
      </w:r>
      <w:r w:rsidRPr="00AB22B2">
        <w:rPr>
          <w:rFonts w:cs="Arial"/>
          <w:b/>
          <w:bCs/>
          <w:i/>
          <w:iCs/>
        </w:rPr>
        <w:t xml:space="preserve"> </w:t>
      </w:r>
      <w:r w:rsidRPr="00AB22B2">
        <w:rPr>
          <w:rFonts w:cs="Arial"/>
        </w:rPr>
        <w:t>means a hazardous chemical that:</w:t>
      </w:r>
    </w:p>
    <w:p w:rsidR="009B5343" w:rsidRDefault="006D1451" w:rsidP="009B5343">
      <w:pPr>
        <w:pStyle w:val="Bullet1"/>
      </w:pPr>
      <w:r w:rsidRPr="00AB22B2">
        <w:t xml:space="preserve">is specified in Schedule 15, table 15.1 of the </w:t>
      </w:r>
      <w:r>
        <w:t xml:space="preserve">WHS </w:t>
      </w:r>
      <w:r w:rsidRPr="00AB22B2">
        <w:t>Regulations</w:t>
      </w:r>
    </w:p>
    <w:p w:rsidR="009B5343" w:rsidRDefault="006D1451" w:rsidP="009B5343">
      <w:pPr>
        <w:pStyle w:val="Bullet1"/>
      </w:pPr>
      <w:r w:rsidRPr="00AB22B2">
        <w:t xml:space="preserve">belongs to a class, type or category of hazardous chemicals specified in Schedule 15, table 15.2 of the Regulations. </w:t>
      </w:r>
    </w:p>
    <w:p w:rsidR="006D1451" w:rsidRPr="00AB22B2" w:rsidRDefault="006D1451" w:rsidP="009F6B94">
      <w:pPr>
        <w:rPr>
          <w:rFonts w:cs="Arial"/>
        </w:rPr>
      </w:pPr>
      <w:r w:rsidRPr="00AF4804">
        <w:rPr>
          <w:rFonts w:cs="Arial"/>
          <w:b/>
        </w:rPr>
        <w:t xml:space="preserve">SIL </w:t>
      </w:r>
      <w:r w:rsidRPr="00AB22B2">
        <w:rPr>
          <w:rFonts w:cs="Arial"/>
        </w:rPr>
        <w:t>means Safety Integrity Level.</w:t>
      </w:r>
    </w:p>
    <w:p w:rsidR="006D1451" w:rsidRPr="00AB22B2" w:rsidRDefault="006D1451" w:rsidP="009F6B94">
      <w:pPr>
        <w:rPr>
          <w:rFonts w:cs="Arial"/>
        </w:rPr>
      </w:pPr>
      <w:r>
        <w:rPr>
          <w:rFonts w:cs="Arial"/>
          <w:b/>
          <w:bCs/>
          <w:iCs/>
        </w:rPr>
        <w:t>T</w:t>
      </w:r>
      <w:r w:rsidRPr="00AF4804">
        <w:rPr>
          <w:rFonts w:cs="Arial"/>
          <w:b/>
          <w:bCs/>
          <w:iCs/>
        </w:rPr>
        <w:t>hreshold quantity</w:t>
      </w:r>
      <w:r w:rsidRPr="00AB22B2">
        <w:rPr>
          <w:rFonts w:cs="Arial"/>
        </w:rPr>
        <w:t>, in relation to a Schedule 15 chemical, means:</w:t>
      </w:r>
    </w:p>
    <w:p w:rsidR="009B5343" w:rsidRDefault="006D1451" w:rsidP="009B5343">
      <w:pPr>
        <w:pStyle w:val="Bullet1"/>
      </w:pPr>
      <w:r w:rsidRPr="00AB22B2">
        <w:t>the threshold quantity of a specific hazardous chemical as determined under clause 3 of Schedule 15</w:t>
      </w:r>
    </w:p>
    <w:p w:rsidR="009B5343" w:rsidRDefault="006D1451" w:rsidP="009B5343">
      <w:pPr>
        <w:pStyle w:val="Bullet1"/>
        <w:rPr>
          <w:rFonts w:cs="Arial"/>
        </w:rPr>
      </w:pPr>
      <w:r w:rsidRPr="00AB22B2">
        <w:t>the aggregate threshold quantity of 2 or more hazardous chemicals as determined under clause 4 of Schedule 15.</w:t>
      </w:r>
    </w:p>
    <w:p w:rsidR="009B5343" w:rsidRDefault="006D1451" w:rsidP="009B5343">
      <w:pPr>
        <w:pStyle w:val="HeadingPlain"/>
      </w:pPr>
      <w:r>
        <w:rPr>
          <w:rFonts w:cs="Arial"/>
        </w:rPr>
        <w:br w:type="page"/>
      </w:r>
      <w:bookmarkStart w:id="29" w:name="_Toc319328246"/>
      <w:r w:rsidRPr="00E133B9">
        <w:lastRenderedPageBreak/>
        <w:t>Appendix C</w:t>
      </w:r>
      <w:r>
        <w:t xml:space="preserve"> – Further information</w:t>
      </w:r>
      <w:bookmarkEnd w:id="29"/>
    </w:p>
    <w:p w:rsidR="009B5343" w:rsidRDefault="006D1451" w:rsidP="009B5343">
      <w:r w:rsidRPr="00E133B9">
        <w:t xml:space="preserve">This section is not an exhaustive list of references but simply a list of additional information regarding safety cases for MHFs. Note that some of these references have been written </w:t>
      </w:r>
      <w:r w:rsidRPr="00A16666">
        <w:t xml:space="preserve">specifically for different regulatory regimes, but have some similarities to the requirements under the </w:t>
      </w:r>
      <w:r w:rsidR="009B5343" w:rsidRPr="009B5343">
        <w:t>WHS Regulations.</w:t>
      </w:r>
    </w:p>
    <w:p w:rsidR="009B5343" w:rsidRDefault="006D1451" w:rsidP="009B5343">
      <w:pPr>
        <w:pStyle w:val="Heading3"/>
      </w:pPr>
      <w:r w:rsidRPr="00E133B9">
        <w:t>A guide to the control of major incident hazards regulations 1999</w:t>
      </w:r>
    </w:p>
    <w:p w:rsidR="009B5343" w:rsidRDefault="006D1451" w:rsidP="009B5343">
      <w:r w:rsidRPr="00E133B9">
        <w:t xml:space="preserve">UK Health and Safety Executive ISBN 0 7176 1604 5 </w:t>
      </w:r>
      <w:hyperlink r:id="rId16" w:history="1">
        <w:r w:rsidRPr="00E133B9">
          <w:rPr>
            <w:rStyle w:val="Hyperlink"/>
            <w:rFonts w:cs="Arial"/>
          </w:rPr>
          <w:t>www.hse.gov.uk/comah/</w:t>
        </w:r>
      </w:hyperlink>
    </w:p>
    <w:p w:rsidR="009B5343" w:rsidRDefault="006D1451" w:rsidP="009B5343">
      <w:pPr>
        <w:pStyle w:val="Heading3"/>
      </w:pPr>
      <w:r w:rsidRPr="00E133B9">
        <w:t>A qualitative model to evaluate the risk potential of major hazardous industrial plants</w:t>
      </w:r>
    </w:p>
    <w:p w:rsidR="009B5343" w:rsidRDefault="006D1451" w:rsidP="009B5343">
      <w:r w:rsidRPr="00E133B9">
        <w:t>Suarez A. and Kirchsteiger C. 1998</w:t>
      </w:r>
    </w:p>
    <w:p w:rsidR="009B5343" w:rsidRDefault="006D1451" w:rsidP="009B5343">
      <w:r w:rsidRPr="00E133B9">
        <w:t>EUR 18128 EN</w:t>
      </w:r>
    </w:p>
    <w:p w:rsidR="009B5343" w:rsidRDefault="006D1451" w:rsidP="009B5343">
      <w:pPr>
        <w:pStyle w:val="Heading3"/>
        <w:rPr>
          <w:bCs/>
          <w:iCs/>
        </w:rPr>
      </w:pPr>
      <w:r w:rsidRPr="00E133B9">
        <w:rPr>
          <w:bCs/>
          <w:iCs/>
        </w:rPr>
        <w:t xml:space="preserve">Guidance for major hazard facilities: J-safety report </w:t>
      </w:r>
    </w:p>
    <w:p w:rsidR="009B5343" w:rsidRDefault="006D1451" w:rsidP="009B5343">
      <w:r w:rsidRPr="00E133B9">
        <w:t>Queensland Department of Justice and Attorney General November 2008</w:t>
      </w:r>
    </w:p>
    <w:p w:rsidR="009B5343" w:rsidRDefault="006D1451" w:rsidP="009B5343">
      <w:pPr>
        <w:pStyle w:val="Heading3"/>
        <w:rPr>
          <w:bCs/>
          <w:iCs/>
        </w:rPr>
      </w:pPr>
      <w:r w:rsidRPr="00E133B9">
        <w:rPr>
          <w:bCs/>
          <w:iCs/>
        </w:rPr>
        <w:t xml:space="preserve">Guidance note: safety report content and level of detail </w:t>
      </w:r>
    </w:p>
    <w:p w:rsidR="009B5343" w:rsidRDefault="006D1451" w:rsidP="009B5343">
      <w:r w:rsidRPr="00E133B9">
        <w:t>National Offshore Petroleum Safety Authority (NOPSA) Revision 1, June 2009</w:t>
      </w:r>
    </w:p>
    <w:p w:rsidR="009B5343" w:rsidRDefault="006D1451" w:rsidP="009B5343">
      <w:pPr>
        <w:pStyle w:val="Heading3"/>
      </w:pPr>
      <w:r w:rsidRPr="00E133B9">
        <w:t>Guidance on the preparation of a safety report (Seveso II)</w:t>
      </w:r>
    </w:p>
    <w:p w:rsidR="006D1451" w:rsidRPr="00E133B9" w:rsidRDefault="006D1451" w:rsidP="00E133B9">
      <w:pPr>
        <w:spacing w:after="60" w:line="20" w:lineRule="atLeast"/>
        <w:rPr>
          <w:rFonts w:cs="Arial"/>
        </w:rPr>
      </w:pPr>
      <w:r w:rsidRPr="00E133B9">
        <w:rPr>
          <w:rFonts w:cs="Arial"/>
        </w:rPr>
        <w:t xml:space="preserve">Joint Research Center European Commission ISBN 92 828 1451 3 </w:t>
      </w:r>
      <w:hyperlink r:id="rId17" w:history="1">
        <w:r w:rsidRPr="00E133B9">
          <w:rPr>
            <w:rStyle w:val="Hyperlink"/>
            <w:rFonts w:cs="Arial"/>
          </w:rPr>
          <w:t>http://mahbsrv.jrc.it/GuidanceDocs-SafetyReport.html</w:t>
        </w:r>
      </w:hyperlink>
    </w:p>
    <w:p w:rsidR="009B5343" w:rsidRDefault="006D1451" w:rsidP="009B5343">
      <w:pPr>
        <w:pStyle w:val="Heading3"/>
      </w:pPr>
      <w:r w:rsidRPr="00E133B9">
        <w:t>Guidelines for integrated risk assessment and management in large industrial areas</w:t>
      </w:r>
    </w:p>
    <w:p w:rsidR="006D1451" w:rsidRPr="00E133B9" w:rsidRDefault="006D1451" w:rsidP="00E133B9">
      <w:pPr>
        <w:spacing w:after="60" w:line="20" w:lineRule="atLeast"/>
        <w:rPr>
          <w:rFonts w:cs="Arial"/>
        </w:rPr>
      </w:pPr>
      <w:r w:rsidRPr="00E133B9">
        <w:rPr>
          <w:rFonts w:cs="Arial"/>
        </w:rPr>
        <w:t>International Atomic Energy Agency, Vienna 1998</w:t>
      </w:r>
    </w:p>
    <w:p w:rsidR="006D1451" w:rsidRPr="00E133B9" w:rsidRDefault="006D1451" w:rsidP="00E133B9">
      <w:pPr>
        <w:spacing w:after="60" w:line="20" w:lineRule="atLeast"/>
        <w:rPr>
          <w:rFonts w:cs="Arial"/>
        </w:rPr>
      </w:pPr>
      <w:r w:rsidRPr="00E133B9">
        <w:rPr>
          <w:rFonts w:cs="Arial"/>
        </w:rPr>
        <w:t xml:space="preserve">IAEA-TECDOC-994 </w:t>
      </w:r>
      <w:hyperlink r:id="rId18" w:history="1">
        <w:r w:rsidRPr="00E133B9">
          <w:rPr>
            <w:rStyle w:val="Hyperlink"/>
            <w:rFonts w:cs="Arial"/>
          </w:rPr>
          <w:t>www.iaea.org/index.html</w:t>
        </w:r>
      </w:hyperlink>
    </w:p>
    <w:p w:rsidR="009B5343" w:rsidRDefault="006D1451" w:rsidP="009B5343">
      <w:pPr>
        <w:pStyle w:val="Heading3"/>
      </w:pPr>
      <w:r w:rsidRPr="00E133B9">
        <w:t>Guidelines for quantitative risk assessment ‘Purple Book’</w:t>
      </w:r>
    </w:p>
    <w:p w:rsidR="006D1451" w:rsidRPr="00E133B9" w:rsidRDefault="006D1451" w:rsidP="00E133B9">
      <w:pPr>
        <w:spacing w:after="60" w:line="20" w:lineRule="atLeast"/>
        <w:rPr>
          <w:rFonts w:cs="Arial"/>
        </w:rPr>
      </w:pPr>
      <w:r w:rsidRPr="00E133B9">
        <w:rPr>
          <w:rFonts w:cs="Arial"/>
        </w:rPr>
        <w:t>TNO, The Hague First Edition, 1999</w:t>
      </w:r>
    </w:p>
    <w:p w:rsidR="006D1451" w:rsidRPr="00E133B9" w:rsidRDefault="006D1451" w:rsidP="00E133B9">
      <w:pPr>
        <w:spacing w:after="60" w:line="20" w:lineRule="atLeast"/>
        <w:rPr>
          <w:rFonts w:cs="Arial"/>
        </w:rPr>
      </w:pPr>
      <w:r w:rsidRPr="00E133B9">
        <w:rPr>
          <w:rFonts w:cs="Arial"/>
        </w:rPr>
        <w:t>CPR 18E</w:t>
      </w:r>
    </w:p>
    <w:p w:rsidR="009B5343" w:rsidRDefault="006D1451" w:rsidP="009B5343">
      <w:pPr>
        <w:pStyle w:val="Heading3"/>
      </w:pPr>
      <w:r w:rsidRPr="00E133B9">
        <w:t>Guidelines on a major incident prevention policy and safety management system, as required by council directive 96/82/EC (Seveso II)</w:t>
      </w:r>
    </w:p>
    <w:p w:rsidR="006D1451" w:rsidRPr="00E133B9" w:rsidRDefault="006D1451" w:rsidP="00E133B9">
      <w:pPr>
        <w:spacing w:after="60" w:line="20" w:lineRule="atLeast"/>
        <w:rPr>
          <w:rFonts w:cs="Arial"/>
        </w:rPr>
      </w:pPr>
      <w:r w:rsidRPr="00E133B9">
        <w:rPr>
          <w:rFonts w:cs="Arial"/>
        </w:rPr>
        <w:t>European Commission, Italy 1998</w:t>
      </w:r>
    </w:p>
    <w:p w:rsidR="006D1451" w:rsidRPr="00E133B9" w:rsidRDefault="006D1451" w:rsidP="00E133B9">
      <w:pPr>
        <w:spacing w:after="60" w:line="20" w:lineRule="atLeast"/>
        <w:rPr>
          <w:rFonts w:cs="Arial"/>
        </w:rPr>
      </w:pPr>
      <w:r w:rsidRPr="00E133B9">
        <w:rPr>
          <w:rFonts w:cs="Arial"/>
        </w:rPr>
        <w:t>EUR 18123</w:t>
      </w:r>
    </w:p>
    <w:p w:rsidR="006D1451" w:rsidRPr="00E133B9" w:rsidRDefault="009C5AC8" w:rsidP="00E133B9">
      <w:pPr>
        <w:spacing w:after="60" w:line="20" w:lineRule="atLeast"/>
        <w:rPr>
          <w:rFonts w:cs="Arial"/>
        </w:rPr>
      </w:pPr>
      <w:hyperlink r:id="rId19" w:history="1">
        <w:r w:rsidR="006D1451" w:rsidRPr="00E133B9">
          <w:rPr>
            <w:rStyle w:val="Hyperlink"/>
            <w:rFonts w:cs="Arial"/>
          </w:rPr>
          <w:t>http://mahbsrv.jrc.it/GuidanceDocs-SafetyManagementSystems.html</w:t>
        </w:r>
      </w:hyperlink>
    </w:p>
    <w:p w:rsidR="009B5343" w:rsidRDefault="006D1451" w:rsidP="009B5343">
      <w:pPr>
        <w:pStyle w:val="Heading3"/>
      </w:pPr>
      <w:r w:rsidRPr="00E133B9">
        <w:t>Hazardous industry planning advisory papers (HIPAPs)</w:t>
      </w:r>
    </w:p>
    <w:p w:rsidR="006D1451" w:rsidRPr="00E133B9" w:rsidRDefault="006D1451" w:rsidP="00E133B9">
      <w:pPr>
        <w:spacing w:after="60" w:line="20" w:lineRule="atLeast"/>
        <w:rPr>
          <w:rFonts w:cs="Arial"/>
          <w:i/>
          <w:iCs/>
        </w:rPr>
      </w:pPr>
      <w:r w:rsidRPr="00E133B9">
        <w:rPr>
          <w:rFonts w:cs="Arial"/>
          <w:i/>
          <w:iCs/>
        </w:rPr>
        <w:t xml:space="preserve">No.1 – Emergency Planning (HIPAP 1) </w:t>
      </w:r>
    </w:p>
    <w:p w:rsidR="006D1451" w:rsidRPr="00E133B9" w:rsidRDefault="006D1451" w:rsidP="00E133B9">
      <w:pPr>
        <w:spacing w:after="60" w:line="20" w:lineRule="atLeast"/>
        <w:rPr>
          <w:rFonts w:cs="Arial"/>
        </w:rPr>
      </w:pPr>
      <w:r w:rsidRPr="00E133B9">
        <w:rPr>
          <w:rFonts w:cs="Arial"/>
          <w:i/>
          <w:iCs/>
        </w:rPr>
        <w:t>No.2 – Fire Safety Study Guidelines (HIPAP 2)</w:t>
      </w:r>
    </w:p>
    <w:p w:rsidR="006D1451" w:rsidRPr="00E133B9" w:rsidRDefault="006D1451" w:rsidP="00E133B9">
      <w:pPr>
        <w:spacing w:after="60" w:line="20" w:lineRule="atLeast"/>
        <w:rPr>
          <w:rFonts w:cs="Arial"/>
          <w:i/>
          <w:iCs/>
        </w:rPr>
      </w:pPr>
      <w:r w:rsidRPr="00E133B9">
        <w:rPr>
          <w:rFonts w:cs="Arial"/>
          <w:i/>
          <w:iCs/>
        </w:rPr>
        <w:t xml:space="preserve">No.3 – Risk Assessment (HIPAP 3) </w:t>
      </w:r>
    </w:p>
    <w:p w:rsidR="006D1451" w:rsidRPr="00E133B9" w:rsidRDefault="006D1451" w:rsidP="00E133B9">
      <w:pPr>
        <w:spacing w:after="60" w:line="20" w:lineRule="atLeast"/>
        <w:rPr>
          <w:rFonts w:cs="Arial"/>
        </w:rPr>
      </w:pPr>
      <w:r w:rsidRPr="00E133B9">
        <w:rPr>
          <w:rFonts w:cs="Arial"/>
          <w:i/>
          <w:iCs/>
        </w:rPr>
        <w:t>No.4 – Risk Criteria for Land Use Safety Planning (HIPAP 4)</w:t>
      </w:r>
    </w:p>
    <w:p w:rsidR="006D1451" w:rsidRPr="00E133B9" w:rsidRDefault="006D1451" w:rsidP="00E133B9">
      <w:pPr>
        <w:spacing w:after="60" w:line="20" w:lineRule="atLeast"/>
        <w:rPr>
          <w:rFonts w:cs="Arial"/>
        </w:rPr>
      </w:pPr>
      <w:r w:rsidRPr="00E133B9">
        <w:rPr>
          <w:rFonts w:cs="Arial"/>
          <w:i/>
          <w:iCs/>
        </w:rPr>
        <w:t>No.5 – Hazard Audit Guidelines (HIPAP 5)</w:t>
      </w:r>
    </w:p>
    <w:p w:rsidR="006D1451" w:rsidRPr="00E133B9" w:rsidRDefault="006D1451" w:rsidP="00E133B9">
      <w:pPr>
        <w:spacing w:after="60" w:line="20" w:lineRule="atLeast"/>
        <w:rPr>
          <w:rFonts w:cs="Arial"/>
          <w:i/>
          <w:iCs/>
        </w:rPr>
      </w:pPr>
      <w:r w:rsidRPr="00E133B9">
        <w:rPr>
          <w:rFonts w:cs="Arial"/>
          <w:i/>
          <w:iCs/>
        </w:rPr>
        <w:t xml:space="preserve">No.6 – Hazard Analysis (HIPAP 6) </w:t>
      </w:r>
    </w:p>
    <w:p w:rsidR="006D1451" w:rsidRPr="00E133B9" w:rsidRDefault="006D1451" w:rsidP="00E133B9">
      <w:pPr>
        <w:spacing w:after="60" w:line="20" w:lineRule="atLeast"/>
        <w:rPr>
          <w:rFonts w:cs="Arial"/>
          <w:i/>
          <w:iCs/>
        </w:rPr>
      </w:pPr>
      <w:r w:rsidRPr="00E133B9">
        <w:rPr>
          <w:rFonts w:cs="Arial"/>
          <w:i/>
          <w:iCs/>
        </w:rPr>
        <w:lastRenderedPageBreak/>
        <w:t>No.7 – Construction Safety (HIPAP 7)</w:t>
      </w:r>
    </w:p>
    <w:p w:rsidR="006D1451" w:rsidRPr="00E133B9" w:rsidRDefault="006D1451" w:rsidP="00E133B9">
      <w:pPr>
        <w:spacing w:after="60" w:line="20" w:lineRule="atLeast"/>
        <w:rPr>
          <w:rFonts w:cs="Arial"/>
        </w:rPr>
      </w:pPr>
      <w:r w:rsidRPr="00E133B9">
        <w:rPr>
          <w:rFonts w:cs="Arial"/>
          <w:i/>
          <w:iCs/>
        </w:rPr>
        <w:t>No.8 – HAZOP Guidelines (HIPAP 8)</w:t>
      </w:r>
    </w:p>
    <w:p w:rsidR="006D1451" w:rsidRPr="00E133B9" w:rsidRDefault="006D1451" w:rsidP="00E133B9">
      <w:pPr>
        <w:spacing w:after="60" w:line="20" w:lineRule="atLeast"/>
        <w:rPr>
          <w:rFonts w:cs="Arial"/>
        </w:rPr>
      </w:pPr>
      <w:r w:rsidRPr="00E133B9">
        <w:rPr>
          <w:rFonts w:cs="Arial"/>
          <w:i/>
          <w:iCs/>
        </w:rPr>
        <w:t>No.9 – Safety Management (HIPAP 9)</w:t>
      </w:r>
    </w:p>
    <w:p w:rsidR="006D1451" w:rsidRPr="00E133B9" w:rsidRDefault="006D1451" w:rsidP="00E133B9">
      <w:pPr>
        <w:spacing w:after="60" w:line="20" w:lineRule="atLeast"/>
        <w:rPr>
          <w:rFonts w:cs="Arial"/>
        </w:rPr>
      </w:pPr>
      <w:r w:rsidRPr="00E133B9">
        <w:rPr>
          <w:rFonts w:cs="Arial"/>
        </w:rPr>
        <w:t xml:space="preserve">NSW Department of Planning &amp; Infrastructure </w:t>
      </w:r>
      <w:hyperlink r:id="rId20" w:history="1">
        <w:r w:rsidRPr="00E133B9">
          <w:rPr>
            <w:rStyle w:val="Hyperlink"/>
            <w:rFonts w:cs="Arial"/>
          </w:rPr>
          <w:t>www.planning.nsw.gov.au</w:t>
        </w:r>
      </w:hyperlink>
    </w:p>
    <w:p w:rsidR="009B5343" w:rsidRDefault="006D1451" w:rsidP="009B5343">
      <w:pPr>
        <w:pStyle w:val="Heading3"/>
      </w:pPr>
      <w:r w:rsidRPr="00E133B9">
        <w:t>Major hazard control: A practical manual</w:t>
      </w:r>
    </w:p>
    <w:p w:rsidR="006D1451" w:rsidRPr="00E133B9" w:rsidRDefault="006D1451" w:rsidP="00E133B9">
      <w:pPr>
        <w:spacing w:after="60" w:line="20" w:lineRule="atLeast"/>
        <w:rPr>
          <w:rFonts w:cs="Arial"/>
        </w:rPr>
      </w:pPr>
      <w:r w:rsidRPr="00E133B9">
        <w:rPr>
          <w:rFonts w:cs="Arial"/>
        </w:rPr>
        <w:t>International Labour Organisation, Geneva 1993</w:t>
      </w:r>
    </w:p>
    <w:p w:rsidR="006D1451" w:rsidRPr="00E133B9" w:rsidRDefault="006D1451" w:rsidP="00E133B9">
      <w:pPr>
        <w:spacing w:after="60" w:line="20" w:lineRule="atLeast"/>
        <w:rPr>
          <w:rFonts w:cs="Arial"/>
        </w:rPr>
      </w:pPr>
      <w:r w:rsidRPr="00E133B9">
        <w:rPr>
          <w:rFonts w:cs="Arial"/>
        </w:rPr>
        <w:t>Third impression (with corrections) ISBN: 92-2-106432-8</w:t>
      </w:r>
    </w:p>
    <w:p w:rsidR="009B5343" w:rsidRDefault="006D1451" w:rsidP="009B5343">
      <w:pPr>
        <w:pStyle w:val="Heading3"/>
      </w:pPr>
      <w:r w:rsidRPr="00E133B9">
        <w:t>Major industrial hazards advisory papers (MIHAPs) (Drafts)</w:t>
      </w:r>
    </w:p>
    <w:p w:rsidR="006D1451" w:rsidRPr="00E133B9" w:rsidRDefault="006D1451" w:rsidP="00E133B9">
      <w:pPr>
        <w:spacing w:after="60" w:line="20" w:lineRule="atLeast"/>
        <w:rPr>
          <w:rFonts w:cs="Arial"/>
        </w:rPr>
      </w:pPr>
      <w:r w:rsidRPr="00E133B9">
        <w:rPr>
          <w:rFonts w:cs="Arial"/>
        </w:rPr>
        <w:t>These documents provide relevant technical information but do not reflect legislative requirements in the WHS Regulations.</w:t>
      </w:r>
    </w:p>
    <w:p w:rsidR="006D1451" w:rsidRPr="00E133B9" w:rsidRDefault="006D1451" w:rsidP="00E133B9">
      <w:pPr>
        <w:spacing w:after="60" w:line="20" w:lineRule="atLeast"/>
        <w:rPr>
          <w:rFonts w:cs="Arial"/>
        </w:rPr>
      </w:pPr>
      <w:r w:rsidRPr="00E133B9">
        <w:rPr>
          <w:rFonts w:cs="Arial"/>
          <w:i/>
          <w:iCs/>
        </w:rPr>
        <w:t>No. 1 – Safety Assurance</w:t>
      </w:r>
    </w:p>
    <w:p w:rsidR="006D1451" w:rsidRPr="00E133B9" w:rsidRDefault="006D1451" w:rsidP="00E133B9">
      <w:pPr>
        <w:spacing w:after="60" w:line="20" w:lineRule="atLeast"/>
        <w:rPr>
          <w:rFonts w:cs="Arial"/>
        </w:rPr>
      </w:pPr>
      <w:r w:rsidRPr="00E133B9">
        <w:rPr>
          <w:rFonts w:cs="Arial"/>
          <w:i/>
          <w:iCs/>
        </w:rPr>
        <w:t>No. 3 – Hazard Identification, Risk Assessment and Risk Control</w:t>
      </w:r>
    </w:p>
    <w:p w:rsidR="006D1451" w:rsidRPr="00E133B9" w:rsidRDefault="006D1451" w:rsidP="00E133B9">
      <w:pPr>
        <w:spacing w:after="60" w:line="20" w:lineRule="atLeast"/>
        <w:rPr>
          <w:rFonts w:cs="Arial"/>
        </w:rPr>
      </w:pPr>
      <w:r w:rsidRPr="00E133B9">
        <w:rPr>
          <w:rFonts w:cs="Arial"/>
          <w:i/>
          <w:iCs/>
        </w:rPr>
        <w:t>No. 6 – Training and Education</w:t>
      </w:r>
    </w:p>
    <w:p w:rsidR="006D1451" w:rsidRPr="00E133B9" w:rsidRDefault="006D1451" w:rsidP="00E133B9">
      <w:pPr>
        <w:spacing w:after="60" w:line="20" w:lineRule="atLeast"/>
        <w:rPr>
          <w:rFonts w:cs="Arial"/>
          <w:i/>
          <w:iCs/>
        </w:rPr>
      </w:pPr>
      <w:r w:rsidRPr="00E133B9">
        <w:rPr>
          <w:rFonts w:cs="Arial"/>
          <w:i/>
          <w:iCs/>
        </w:rPr>
        <w:t xml:space="preserve">No. 9 – Incident Reporting and Investigation </w:t>
      </w:r>
    </w:p>
    <w:p w:rsidR="006D1451" w:rsidRPr="00E133B9" w:rsidRDefault="006D1451" w:rsidP="00E133B9">
      <w:pPr>
        <w:spacing w:after="60" w:line="20" w:lineRule="atLeast"/>
        <w:rPr>
          <w:rFonts w:cs="Arial"/>
        </w:rPr>
      </w:pPr>
      <w:r w:rsidRPr="00E133B9">
        <w:rPr>
          <w:rFonts w:cs="Arial"/>
        </w:rPr>
        <w:t xml:space="preserve">NSW Department of Planning &amp; Infrastructure </w:t>
      </w:r>
      <w:hyperlink r:id="rId21" w:history="1">
        <w:r w:rsidRPr="00E133B9">
          <w:rPr>
            <w:rStyle w:val="Hyperlink"/>
            <w:rFonts w:cs="Arial"/>
          </w:rPr>
          <w:t>www.planning.nsw.gov.au</w:t>
        </w:r>
      </w:hyperlink>
      <w:r w:rsidRPr="00E133B9">
        <w:rPr>
          <w:rFonts w:cs="Arial"/>
        </w:rPr>
        <w:t xml:space="preserve"> or </w:t>
      </w:r>
      <w:hyperlink r:id="rId22" w:history="1">
        <w:r w:rsidRPr="002D41B1">
          <w:rPr>
            <w:rStyle w:val="Hyperlink"/>
            <w:rFonts w:cs="Arial"/>
          </w:rPr>
          <w:t>www.workcover.nsw.gov.au</w:t>
        </w:r>
      </w:hyperlink>
      <w:r>
        <w:rPr>
          <w:rFonts w:cs="Arial"/>
        </w:rPr>
        <w:t xml:space="preserve"> </w:t>
      </w:r>
    </w:p>
    <w:p w:rsidR="009B5343" w:rsidRDefault="006D1451" w:rsidP="009B5343">
      <w:pPr>
        <w:pStyle w:val="Heading3"/>
      </w:pPr>
      <w:r w:rsidRPr="00E133B9">
        <w:t>Manual for the classification and prioritisation of risks due to major incidents in process and related industries</w:t>
      </w:r>
    </w:p>
    <w:p w:rsidR="006D1451" w:rsidRPr="00E133B9" w:rsidRDefault="006D1451" w:rsidP="00E133B9">
      <w:pPr>
        <w:spacing w:after="60" w:line="20" w:lineRule="atLeast"/>
        <w:rPr>
          <w:rFonts w:cs="Arial"/>
        </w:rPr>
      </w:pPr>
      <w:r w:rsidRPr="00E133B9">
        <w:rPr>
          <w:rFonts w:cs="Arial"/>
        </w:rPr>
        <w:t>Inter-Agency Programme on the Assessment and Management of Health and Environmental</w:t>
      </w:r>
      <w:r>
        <w:rPr>
          <w:rFonts w:cs="Arial"/>
        </w:rPr>
        <w:t xml:space="preserve"> </w:t>
      </w:r>
      <w:r w:rsidRPr="00E133B9">
        <w:rPr>
          <w:rFonts w:cs="Arial"/>
        </w:rPr>
        <w:t>Risks from Energy and Other Complex Industrial Systems</w:t>
      </w:r>
    </w:p>
    <w:p w:rsidR="006D1451" w:rsidRPr="00E133B9" w:rsidRDefault="006D1451" w:rsidP="00E133B9">
      <w:pPr>
        <w:spacing w:after="60" w:line="20" w:lineRule="atLeast"/>
        <w:rPr>
          <w:rFonts w:cs="Arial"/>
        </w:rPr>
      </w:pPr>
      <w:r w:rsidRPr="00E133B9">
        <w:rPr>
          <w:rFonts w:cs="Arial"/>
        </w:rPr>
        <w:t>International Atomic Energy Agency, Vienna December 1993 and December 1996 (Rev. 1)</w:t>
      </w:r>
    </w:p>
    <w:p w:rsidR="006D1451" w:rsidRPr="00E133B9" w:rsidRDefault="006D1451" w:rsidP="00E133B9">
      <w:pPr>
        <w:spacing w:after="60" w:line="20" w:lineRule="atLeast"/>
        <w:rPr>
          <w:rFonts w:cs="Arial"/>
        </w:rPr>
      </w:pPr>
      <w:r w:rsidRPr="00E133B9">
        <w:rPr>
          <w:rFonts w:cs="Arial"/>
        </w:rPr>
        <w:t>IAEA-TECDOC-727 and IAEA-TECDOC-727 (Rev. 1)</w:t>
      </w:r>
    </w:p>
    <w:p w:rsidR="009B5343" w:rsidRDefault="006D1451" w:rsidP="009B5343">
      <w:pPr>
        <w:pStyle w:val="Heading3"/>
      </w:pPr>
      <w:r w:rsidRPr="00E133B9">
        <w:t>Multi-level risk assessment</w:t>
      </w:r>
    </w:p>
    <w:p w:rsidR="006D1451" w:rsidRPr="00E133B9" w:rsidRDefault="006D1451" w:rsidP="00E133B9">
      <w:pPr>
        <w:spacing w:after="60" w:line="20" w:lineRule="atLeast"/>
        <w:rPr>
          <w:rFonts w:cs="Arial"/>
        </w:rPr>
      </w:pPr>
      <w:r w:rsidRPr="00E133B9">
        <w:rPr>
          <w:rFonts w:cs="Arial"/>
        </w:rPr>
        <w:t xml:space="preserve">NSW Department of Planning &amp; Infrastructure 2011 </w:t>
      </w:r>
      <w:hyperlink r:id="rId23" w:history="1">
        <w:r w:rsidRPr="00E133B9">
          <w:rPr>
            <w:rStyle w:val="Hyperlink"/>
            <w:rFonts w:cs="Arial"/>
          </w:rPr>
          <w:t>www.planning.nsw.gov.au</w:t>
        </w:r>
      </w:hyperlink>
    </w:p>
    <w:p w:rsidR="009B5343" w:rsidRDefault="006D1451" w:rsidP="009B5343">
      <w:pPr>
        <w:pStyle w:val="Heading3"/>
      </w:pPr>
      <w:r w:rsidRPr="00E133B9">
        <w:t>Preliminary environmental risk ranking</w:t>
      </w:r>
    </w:p>
    <w:p w:rsidR="006D1451" w:rsidRPr="00E133B9" w:rsidRDefault="006D1451" w:rsidP="00E133B9">
      <w:pPr>
        <w:spacing w:after="60" w:line="20" w:lineRule="atLeast"/>
        <w:rPr>
          <w:rFonts w:cs="Arial"/>
        </w:rPr>
      </w:pPr>
      <w:r w:rsidRPr="00E133B9">
        <w:rPr>
          <w:rFonts w:cs="Arial"/>
        </w:rPr>
        <w:t>Hutchison R.B., Perera J., Witt H.H. 1996</w:t>
      </w:r>
    </w:p>
    <w:p w:rsidR="006D1451" w:rsidRPr="00E133B9" w:rsidRDefault="006D1451" w:rsidP="00E133B9">
      <w:pPr>
        <w:spacing w:after="60" w:line="20" w:lineRule="atLeast"/>
        <w:rPr>
          <w:rFonts w:cs="Arial"/>
        </w:rPr>
      </w:pPr>
      <w:r w:rsidRPr="00E133B9">
        <w:rPr>
          <w:rFonts w:cs="Arial"/>
        </w:rPr>
        <w:t>ANSTO Safety and Reliability, Risk Engineering Seminar Munro Centre for Civil and Environmental Engineering, University of NSW</w:t>
      </w:r>
    </w:p>
    <w:p w:rsidR="009B5343" w:rsidRDefault="006D1451" w:rsidP="009B5343">
      <w:pPr>
        <w:pStyle w:val="Heading3"/>
      </w:pPr>
      <w:r w:rsidRPr="00E133B9">
        <w:t>Preparing safety rep</w:t>
      </w:r>
      <w:r w:rsidRPr="00862C48">
        <w:t>o</w:t>
      </w:r>
      <w:r w:rsidRPr="00E133B9">
        <w:t>rts: Control of major incident hazards regulations 1999</w:t>
      </w:r>
    </w:p>
    <w:p w:rsidR="006D1451" w:rsidRPr="00E133B9" w:rsidRDefault="006D1451" w:rsidP="00E133B9">
      <w:pPr>
        <w:spacing w:after="60" w:line="20" w:lineRule="atLeast"/>
        <w:rPr>
          <w:rFonts w:cs="Arial"/>
        </w:rPr>
      </w:pPr>
      <w:r w:rsidRPr="00E133B9">
        <w:rPr>
          <w:rFonts w:cs="Arial"/>
        </w:rPr>
        <w:t>UK Health and Safety Executive HSG190</w:t>
      </w:r>
    </w:p>
    <w:p w:rsidR="006D1451" w:rsidRPr="00E133B9" w:rsidRDefault="006D1451" w:rsidP="00E133B9">
      <w:pPr>
        <w:spacing w:after="60" w:line="20" w:lineRule="atLeast"/>
        <w:rPr>
          <w:rFonts w:cs="Arial"/>
        </w:rPr>
      </w:pPr>
      <w:r w:rsidRPr="00E133B9">
        <w:rPr>
          <w:rFonts w:cs="Arial"/>
        </w:rPr>
        <w:t>ISBN 9780717616879</w:t>
      </w:r>
    </w:p>
    <w:p w:rsidR="009B5343" w:rsidRDefault="006D1451" w:rsidP="009B5343">
      <w:pPr>
        <w:pStyle w:val="Heading3"/>
      </w:pPr>
      <w:r w:rsidRPr="00E133B9">
        <w:t>AS HB 167:2006 Security risk management</w:t>
      </w:r>
    </w:p>
    <w:p w:rsidR="006D1451" w:rsidRPr="00E133B9" w:rsidRDefault="006D1451" w:rsidP="00E133B9">
      <w:pPr>
        <w:spacing w:after="60" w:line="20" w:lineRule="atLeast"/>
        <w:rPr>
          <w:rFonts w:cs="Arial"/>
        </w:rPr>
      </w:pPr>
      <w:r w:rsidRPr="00E133B9">
        <w:rPr>
          <w:rFonts w:cs="Arial"/>
        </w:rPr>
        <w:t>Standards Australia</w:t>
      </w:r>
    </w:p>
    <w:p w:rsidR="009B5343" w:rsidRDefault="006D1451" w:rsidP="009B5343">
      <w:pPr>
        <w:pStyle w:val="Heading3"/>
      </w:pPr>
      <w:r w:rsidRPr="00E133B9">
        <w:t>AS/NZS ISO 31000:2009 Risk management – Principles and guidelines</w:t>
      </w:r>
    </w:p>
    <w:p w:rsidR="006D1451" w:rsidRPr="00AB22B2" w:rsidRDefault="006D1451" w:rsidP="006E0172">
      <w:pPr>
        <w:rPr>
          <w:rFonts w:cs="Arial"/>
          <w:sz w:val="24"/>
        </w:rPr>
      </w:pPr>
      <w:r w:rsidRPr="00E133B9">
        <w:rPr>
          <w:rFonts w:cs="Arial"/>
        </w:rPr>
        <w:t>Standards Australia</w:t>
      </w:r>
    </w:p>
    <w:sectPr w:rsidR="006D1451" w:rsidRPr="00AB22B2" w:rsidSect="004949EE">
      <w:headerReference w:type="first" r:id="rId24"/>
      <w:pgSz w:w="11906" w:h="16838" w:code="9"/>
      <w:pgMar w:top="1418" w:right="1134" w:bottom="1418" w:left="1134" w:header="709" w:footer="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53A" w:rsidRDefault="000D553A" w:rsidP="005A4C62">
      <w:r>
        <w:separator/>
      </w:r>
    </w:p>
  </w:endnote>
  <w:endnote w:type="continuationSeparator" w:id="0">
    <w:p w:rsidR="000D553A" w:rsidRDefault="000D553A" w:rsidP="005A4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otham Medium">
    <w:altName w:val="Arial"/>
    <w:panose1 w:val="00000000000000000000"/>
    <w:charset w:val="00"/>
    <w:family w:val="modern"/>
    <w:notTrueType/>
    <w:pitch w:val="variable"/>
    <w:sig w:usb0="00000001" w:usb1="4000005B" w:usb2="00000000" w:usb3="00000000" w:csb0="0000009B" w:csb1="00000000"/>
  </w:font>
  <w:font w:name="Gotham-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3A" w:rsidRPr="004C334A" w:rsidRDefault="000D553A" w:rsidP="00905CF3">
    <w:pPr>
      <w:pStyle w:val="Footer"/>
      <w:pBdr>
        <w:bottom w:val="single" w:sz="6" w:space="1" w:color="auto"/>
      </w:pBdr>
      <w:rPr>
        <w:rFonts w:cs="Arial"/>
        <w:sz w:val="20"/>
        <w:szCs w:val="20"/>
      </w:rPr>
    </w:pPr>
  </w:p>
  <w:p w:rsidR="000D553A" w:rsidRPr="004C334A" w:rsidRDefault="000D553A" w:rsidP="00905CF3">
    <w:pPr>
      <w:pStyle w:val="Footer"/>
      <w:rPr>
        <w:rFonts w:cs="Arial"/>
        <w:caps/>
        <w:sz w:val="20"/>
        <w:szCs w:val="20"/>
      </w:rPr>
    </w:pPr>
  </w:p>
  <w:tbl>
    <w:tblPr>
      <w:tblW w:w="9889" w:type="dxa"/>
      <w:tblLayout w:type="fixed"/>
      <w:tblLook w:val="01E0"/>
    </w:tblPr>
    <w:tblGrid>
      <w:gridCol w:w="4608"/>
      <w:gridCol w:w="5281"/>
    </w:tblGrid>
    <w:tr w:rsidR="000D553A" w:rsidRPr="00DA1129" w:rsidTr="00C20501">
      <w:trPr>
        <w:trHeight w:val="284"/>
      </w:trPr>
      <w:tc>
        <w:tcPr>
          <w:tcW w:w="4608" w:type="dxa"/>
        </w:tcPr>
        <w:p w:rsidR="000D553A" w:rsidRPr="00485689" w:rsidRDefault="000D553A" w:rsidP="00D3545A">
          <w:pPr>
            <w:pStyle w:val="Footer"/>
            <w:tabs>
              <w:tab w:val="clear" w:pos="4153"/>
              <w:tab w:val="clear" w:pos="8306"/>
              <w:tab w:val="left" w:pos="0"/>
              <w:tab w:val="right" w:pos="9360"/>
            </w:tabs>
            <w:ind w:right="432"/>
            <w:rPr>
              <w:rFonts w:cs="Arial"/>
              <w:caps/>
              <w:sz w:val="20"/>
              <w:szCs w:val="20"/>
            </w:rPr>
          </w:pPr>
          <w:r w:rsidRPr="004C334A">
            <w:rPr>
              <w:rFonts w:cs="Arial"/>
              <w:sz w:val="20"/>
              <w:szCs w:val="20"/>
            </w:rPr>
            <w:t xml:space="preserve">Page </w:t>
          </w:r>
          <w:r w:rsidR="009C5AC8" w:rsidRPr="004C334A">
            <w:rPr>
              <w:rStyle w:val="PageNumber"/>
              <w:sz w:val="20"/>
              <w:szCs w:val="20"/>
            </w:rPr>
            <w:fldChar w:fldCharType="begin"/>
          </w:r>
          <w:r w:rsidRPr="004C334A">
            <w:rPr>
              <w:rStyle w:val="PageNumber"/>
              <w:sz w:val="20"/>
              <w:szCs w:val="20"/>
            </w:rPr>
            <w:instrText xml:space="preserve"> PAGE </w:instrText>
          </w:r>
          <w:r w:rsidR="009C5AC8" w:rsidRPr="004C334A">
            <w:rPr>
              <w:rStyle w:val="PageNumber"/>
              <w:sz w:val="20"/>
              <w:szCs w:val="20"/>
            </w:rPr>
            <w:fldChar w:fldCharType="separate"/>
          </w:r>
          <w:r w:rsidR="005907F4">
            <w:rPr>
              <w:rStyle w:val="PageNumber"/>
              <w:noProof/>
              <w:sz w:val="20"/>
              <w:szCs w:val="20"/>
            </w:rPr>
            <w:t>5</w:t>
          </w:r>
          <w:r w:rsidR="009C5AC8" w:rsidRPr="004C334A">
            <w:rPr>
              <w:rStyle w:val="PageNumber"/>
              <w:sz w:val="20"/>
              <w:szCs w:val="20"/>
            </w:rPr>
            <w:fldChar w:fldCharType="end"/>
          </w:r>
          <w:r w:rsidRPr="004C334A">
            <w:rPr>
              <w:rStyle w:val="PageNumber"/>
              <w:sz w:val="20"/>
              <w:szCs w:val="20"/>
            </w:rPr>
            <w:t xml:space="preserve"> of </w:t>
          </w:r>
          <w:r w:rsidR="009C5AC8" w:rsidRPr="004C334A">
            <w:rPr>
              <w:rStyle w:val="PageNumber"/>
              <w:sz w:val="20"/>
              <w:szCs w:val="20"/>
            </w:rPr>
            <w:fldChar w:fldCharType="begin"/>
          </w:r>
          <w:r w:rsidRPr="004C334A">
            <w:rPr>
              <w:rStyle w:val="PageNumber"/>
              <w:sz w:val="20"/>
              <w:szCs w:val="20"/>
            </w:rPr>
            <w:instrText xml:space="preserve"> NUMPAGES </w:instrText>
          </w:r>
          <w:r w:rsidR="009C5AC8" w:rsidRPr="004C334A">
            <w:rPr>
              <w:rStyle w:val="PageNumber"/>
              <w:sz w:val="20"/>
              <w:szCs w:val="20"/>
            </w:rPr>
            <w:fldChar w:fldCharType="separate"/>
          </w:r>
          <w:r w:rsidR="005907F4">
            <w:rPr>
              <w:rStyle w:val="PageNumber"/>
              <w:noProof/>
              <w:sz w:val="20"/>
              <w:szCs w:val="20"/>
            </w:rPr>
            <w:t>19</w:t>
          </w:r>
          <w:r w:rsidR="009C5AC8" w:rsidRPr="004C334A">
            <w:rPr>
              <w:rStyle w:val="PageNumber"/>
              <w:sz w:val="20"/>
              <w:szCs w:val="20"/>
            </w:rPr>
            <w:fldChar w:fldCharType="end"/>
          </w:r>
          <w:r w:rsidRPr="00485689">
            <w:rPr>
              <w:rFonts w:cs="Arial"/>
              <w:caps/>
              <w:sz w:val="20"/>
              <w:szCs w:val="20"/>
            </w:rPr>
            <w:tab/>
            <w:t xml:space="preserve">SAFE WORK </w:t>
          </w:r>
          <w:smartTag w:uri="urn:schemas-microsoft-com:office:smarttags" w:element="country-region">
            <w:smartTag w:uri="urn:schemas-microsoft-com:office:smarttags" w:element="place">
              <w:r w:rsidRPr="00485689">
                <w:rPr>
                  <w:rFonts w:cs="Arial"/>
                  <w:caps/>
                  <w:sz w:val="20"/>
                  <w:szCs w:val="20"/>
                </w:rPr>
                <w:t>AUSTRALIA</w:t>
              </w:r>
            </w:smartTag>
          </w:smartTag>
          <w:r w:rsidRPr="00485689">
            <w:rPr>
              <w:rFonts w:cs="Arial"/>
              <w:caps/>
              <w:sz w:val="20"/>
              <w:szCs w:val="20"/>
            </w:rPr>
            <w:t xml:space="preserve"> MEMBERS’ MEETING 6</w:t>
          </w:r>
        </w:p>
      </w:tc>
      <w:tc>
        <w:tcPr>
          <w:tcW w:w="5281" w:type="dxa"/>
        </w:tcPr>
        <w:p w:rsidR="000D553A" w:rsidRDefault="000D553A" w:rsidP="009B5343">
          <w:pPr>
            <w:pStyle w:val="Footer"/>
            <w:tabs>
              <w:tab w:val="clear" w:pos="4153"/>
              <w:tab w:val="clear" w:pos="8306"/>
              <w:tab w:val="right" w:pos="4923"/>
              <w:tab w:val="right" w:pos="9360"/>
            </w:tabs>
            <w:jc w:val="right"/>
            <w:rPr>
              <w:rFonts w:cs="Arial"/>
              <w:caps/>
              <w:sz w:val="20"/>
              <w:szCs w:val="20"/>
            </w:rPr>
          </w:pPr>
          <w:r>
            <w:rPr>
              <w:rFonts w:cs="Arial"/>
              <w:caps/>
              <w:sz w:val="20"/>
              <w:szCs w:val="20"/>
            </w:rPr>
            <w:t>JANUARY 2012</w:t>
          </w:r>
        </w:p>
      </w:tc>
    </w:tr>
  </w:tbl>
  <w:p w:rsidR="000D553A" w:rsidRDefault="000D55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3A" w:rsidRPr="004C334A" w:rsidRDefault="000D553A" w:rsidP="00905CF3">
    <w:pPr>
      <w:pStyle w:val="Footer"/>
      <w:pBdr>
        <w:bottom w:val="single" w:sz="6" w:space="1" w:color="auto"/>
      </w:pBdr>
      <w:rPr>
        <w:rFonts w:cs="Arial"/>
        <w:sz w:val="20"/>
        <w:szCs w:val="20"/>
      </w:rPr>
    </w:pPr>
  </w:p>
  <w:p w:rsidR="000D553A" w:rsidRPr="004C334A" w:rsidRDefault="000D553A" w:rsidP="00905CF3">
    <w:pPr>
      <w:pStyle w:val="Footer"/>
      <w:rPr>
        <w:rFonts w:cs="Arial"/>
        <w:caps/>
        <w:sz w:val="20"/>
        <w:szCs w:val="20"/>
      </w:rPr>
    </w:pPr>
  </w:p>
  <w:tbl>
    <w:tblPr>
      <w:tblW w:w="9889" w:type="dxa"/>
      <w:tblLayout w:type="fixed"/>
      <w:tblLook w:val="01E0"/>
    </w:tblPr>
    <w:tblGrid>
      <w:gridCol w:w="4608"/>
      <w:gridCol w:w="5281"/>
    </w:tblGrid>
    <w:tr w:rsidR="000D553A" w:rsidRPr="00DA1129" w:rsidTr="008C20F5">
      <w:trPr>
        <w:trHeight w:val="284"/>
      </w:trPr>
      <w:tc>
        <w:tcPr>
          <w:tcW w:w="4608" w:type="dxa"/>
        </w:tcPr>
        <w:p w:rsidR="000D553A" w:rsidRPr="00485689" w:rsidRDefault="000D553A" w:rsidP="00D3545A">
          <w:pPr>
            <w:pStyle w:val="Footer"/>
            <w:tabs>
              <w:tab w:val="clear" w:pos="4153"/>
              <w:tab w:val="clear" w:pos="8306"/>
              <w:tab w:val="left" w:pos="0"/>
              <w:tab w:val="right" w:pos="9360"/>
            </w:tabs>
            <w:ind w:right="432"/>
            <w:rPr>
              <w:rFonts w:cs="Arial"/>
              <w:caps/>
              <w:sz w:val="20"/>
              <w:szCs w:val="20"/>
            </w:rPr>
          </w:pPr>
          <w:r w:rsidRPr="00485689">
            <w:rPr>
              <w:rFonts w:cs="Arial"/>
              <w:caps/>
              <w:sz w:val="20"/>
              <w:szCs w:val="20"/>
            </w:rPr>
            <w:tab/>
            <w:t xml:space="preserve">SAFE WORK </w:t>
          </w:r>
          <w:smartTag w:uri="urn:schemas-microsoft-com:office:smarttags" w:element="country-region">
            <w:smartTag w:uri="urn:schemas-microsoft-com:office:smarttags" w:element="place">
              <w:r w:rsidRPr="00485689">
                <w:rPr>
                  <w:rFonts w:cs="Arial"/>
                  <w:caps/>
                  <w:sz w:val="20"/>
                  <w:szCs w:val="20"/>
                </w:rPr>
                <w:t>AUSTRALIA</w:t>
              </w:r>
            </w:smartTag>
          </w:smartTag>
          <w:r w:rsidRPr="00485689">
            <w:rPr>
              <w:rFonts w:cs="Arial"/>
              <w:caps/>
              <w:sz w:val="20"/>
              <w:szCs w:val="20"/>
            </w:rPr>
            <w:t xml:space="preserve"> MEMBERS’ MEETING 6</w:t>
          </w:r>
        </w:p>
      </w:tc>
      <w:tc>
        <w:tcPr>
          <w:tcW w:w="5281" w:type="dxa"/>
        </w:tcPr>
        <w:p w:rsidR="000D553A" w:rsidRPr="00485689" w:rsidRDefault="000D553A" w:rsidP="00D3545A">
          <w:pPr>
            <w:pStyle w:val="Footer"/>
            <w:tabs>
              <w:tab w:val="clear" w:pos="4153"/>
              <w:tab w:val="clear" w:pos="8306"/>
              <w:tab w:val="right" w:pos="4752"/>
              <w:tab w:val="right" w:pos="9360"/>
            </w:tabs>
            <w:jc w:val="right"/>
            <w:rPr>
              <w:rFonts w:cs="Arial"/>
              <w:caps/>
              <w:sz w:val="20"/>
              <w:szCs w:val="20"/>
            </w:rPr>
          </w:pPr>
          <w:r>
            <w:rPr>
              <w:rFonts w:cs="Arial"/>
              <w:caps/>
              <w:sz w:val="20"/>
              <w:szCs w:val="20"/>
            </w:rPr>
            <w:t>JANUARY 2012</w:t>
          </w:r>
        </w:p>
      </w:tc>
    </w:tr>
  </w:tbl>
  <w:p w:rsidR="000D553A" w:rsidRDefault="000D553A" w:rsidP="00905C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3A" w:rsidRPr="004C334A" w:rsidRDefault="000D553A" w:rsidP="00A70077">
    <w:pPr>
      <w:pStyle w:val="Footer"/>
      <w:pBdr>
        <w:bottom w:val="single" w:sz="6" w:space="1" w:color="auto"/>
      </w:pBdr>
      <w:rPr>
        <w:rFonts w:cs="Arial"/>
        <w:sz w:val="20"/>
        <w:szCs w:val="20"/>
      </w:rPr>
    </w:pPr>
  </w:p>
  <w:p w:rsidR="000D553A" w:rsidRPr="004C334A" w:rsidRDefault="000D553A" w:rsidP="00A70077">
    <w:pPr>
      <w:pStyle w:val="Footer"/>
      <w:rPr>
        <w:rFonts w:cs="Arial"/>
        <w:caps/>
        <w:sz w:val="20"/>
        <w:szCs w:val="20"/>
      </w:rPr>
    </w:pPr>
  </w:p>
  <w:tbl>
    <w:tblPr>
      <w:tblW w:w="0" w:type="auto"/>
      <w:tblLayout w:type="fixed"/>
      <w:tblLook w:val="01E0"/>
    </w:tblPr>
    <w:tblGrid>
      <w:gridCol w:w="4608"/>
      <w:gridCol w:w="4968"/>
    </w:tblGrid>
    <w:tr w:rsidR="000D553A" w:rsidRPr="00DA1129" w:rsidTr="003E5D35">
      <w:trPr>
        <w:trHeight w:val="284"/>
      </w:trPr>
      <w:tc>
        <w:tcPr>
          <w:tcW w:w="4608" w:type="dxa"/>
          <w:vAlign w:val="center"/>
        </w:tcPr>
        <w:p w:rsidR="000D553A" w:rsidRPr="00485689" w:rsidRDefault="000D553A" w:rsidP="003E5D35">
          <w:pPr>
            <w:pStyle w:val="Footer"/>
            <w:tabs>
              <w:tab w:val="clear" w:pos="4153"/>
              <w:tab w:val="clear" w:pos="8306"/>
              <w:tab w:val="left" w:pos="0"/>
              <w:tab w:val="right" w:pos="9360"/>
            </w:tabs>
            <w:ind w:right="432"/>
            <w:rPr>
              <w:rFonts w:cs="Arial"/>
              <w:caps/>
              <w:sz w:val="20"/>
              <w:szCs w:val="20"/>
            </w:rPr>
          </w:pPr>
          <w:r w:rsidRPr="004C334A">
            <w:rPr>
              <w:rFonts w:cs="Arial"/>
              <w:sz w:val="20"/>
              <w:szCs w:val="20"/>
            </w:rPr>
            <w:t xml:space="preserve">Page </w:t>
          </w:r>
          <w:r w:rsidR="009C5AC8" w:rsidRPr="004C334A">
            <w:rPr>
              <w:rStyle w:val="PageNumber"/>
              <w:sz w:val="20"/>
              <w:szCs w:val="20"/>
            </w:rPr>
            <w:fldChar w:fldCharType="begin"/>
          </w:r>
          <w:r w:rsidRPr="004C334A">
            <w:rPr>
              <w:rStyle w:val="PageNumber"/>
              <w:sz w:val="20"/>
              <w:szCs w:val="20"/>
            </w:rPr>
            <w:instrText xml:space="preserve"> PAGE </w:instrText>
          </w:r>
          <w:r w:rsidR="009C5AC8" w:rsidRPr="004C334A">
            <w:rPr>
              <w:rStyle w:val="PageNumber"/>
              <w:sz w:val="20"/>
              <w:szCs w:val="20"/>
            </w:rPr>
            <w:fldChar w:fldCharType="separate"/>
          </w:r>
          <w:r w:rsidR="005907F4">
            <w:rPr>
              <w:rStyle w:val="PageNumber"/>
              <w:noProof/>
              <w:sz w:val="20"/>
              <w:szCs w:val="20"/>
            </w:rPr>
            <w:t>6</w:t>
          </w:r>
          <w:r w:rsidR="009C5AC8" w:rsidRPr="004C334A">
            <w:rPr>
              <w:rStyle w:val="PageNumber"/>
              <w:sz w:val="20"/>
              <w:szCs w:val="20"/>
            </w:rPr>
            <w:fldChar w:fldCharType="end"/>
          </w:r>
          <w:r w:rsidRPr="004C334A">
            <w:rPr>
              <w:rStyle w:val="PageNumber"/>
              <w:sz w:val="20"/>
              <w:szCs w:val="20"/>
            </w:rPr>
            <w:t xml:space="preserve"> of </w:t>
          </w:r>
          <w:r w:rsidR="009C5AC8" w:rsidRPr="004C334A">
            <w:rPr>
              <w:rStyle w:val="PageNumber"/>
              <w:sz w:val="20"/>
              <w:szCs w:val="20"/>
            </w:rPr>
            <w:fldChar w:fldCharType="begin"/>
          </w:r>
          <w:r w:rsidRPr="004C334A">
            <w:rPr>
              <w:rStyle w:val="PageNumber"/>
              <w:sz w:val="20"/>
              <w:szCs w:val="20"/>
            </w:rPr>
            <w:instrText xml:space="preserve"> NUMPAGES </w:instrText>
          </w:r>
          <w:r w:rsidR="009C5AC8" w:rsidRPr="004C334A">
            <w:rPr>
              <w:rStyle w:val="PageNumber"/>
              <w:sz w:val="20"/>
              <w:szCs w:val="20"/>
            </w:rPr>
            <w:fldChar w:fldCharType="separate"/>
          </w:r>
          <w:r w:rsidR="005907F4">
            <w:rPr>
              <w:rStyle w:val="PageNumber"/>
              <w:noProof/>
              <w:sz w:val="20"/>
              <w:szCs w:val="20"/>
            </w:rPr>
            <w:t>19</w:t>
          </w:r>
          <w:r w:rsidR="009C5AC8" w:rsidRPr="004C334A">
            <w:rPr>
              <w:rStyle w:val="PageNumber"/>
              <w:sz w:val="20"/>
              <w:szCs w:val="20"/>
            </w:rPr>
            <w:fldChar w:fldCharType="end"/>
          </w:r>
          <w:r w:rsidRPr="00485689">
            <w:rPr>
              <w:rFonts w:cs="Arial"/>
              <w:caps/>
              <w:sz w:val="20"/>
              <w:szCs w:val="20"/>
            </w:rPr>
            <w:tab/>
            <w:t xml:space="preserve">SAFE WORK </w:t>
          </w:r>
          <w:smartTag w:uri="urn:schemas-microsoft-com:office:smarttags" w:element="country-region">
            <w:smartTag w:uri="urn:schemas-microsoft-com:office:smarttags" w:element="place">
              <w:r w:rsidRPr="00485689">
                <w:rPr>
                  <w:rFonts w:cs="Arial"/>
                  <w:caps/>
                  <w:sz w:val="20"/>
                  <w:szCs w:val="20"/>
                </w:rPr>
                <w:t>AUSTRALIA</w:t>
              </w:r>
            </w:smartTag>
          </w:smartTag>
          <w:r w:rsidRPr="00485689">
            <w:rPr>
              <w:rFonts w:cs="Arial"/>
              <w:caps/>
              <w:sz w:val="20"/>
              <w:szCs w:val="20"/>
            </w:rPr>
            <w:t xml:space="preserve"> MEMBERS’ MEETING 6</w:t>
          </w:r>
        </w:p>
      </w:tc>
      <w:tc>
        <w:tcPr>
          <w:tcW w:w="4968" w:type="dxa"/>
          <w:vAlign w:val="center"/>
        </w:tcPr>
        <w:p w:rsidR="000D553A" w:rsidRPr="00485689" w:rsidRDefault="000D553A" w:rsidP="003E5D35">
          <w:pPr>
            <w:pStyle w:val="Footer"/>
            <w:tabs>
              <w:tab w:val="clear" w:pos="4153"/>
              <w:tab w:val="clear" w:pos="8306"/>
              <w:tab w:val="right" w:pos="4752"/>
              <w:tab w:val="right" w:pos="9360"/>
            </w:tabs>
            <w:jc w:val="right"/>
            <w:rPr>
              <w:rFonts w:cs="Arial"/>
              <w:caps/>
              <w:sz w:val="20"/>
              <w:szCs w:val="20"/>
            </w:rPr>
          </w:pPr>
          <w:r>
            <w:rPr>
              <w:rFonts w:cs="Arial"/>
              <w:caps/>
              <w:sz w:val="20"/>
              <w:szCs w:val="20"/>
            </w:rPr>
            <w:t>JANUARY 2012</w:t>
          </w:r>
        </w:p>
      </w:tc>
    </w:tr>
  </w:tbl>
  <w:p w:rsidR="000D553A" w:rsidRDefault="000D553A" w:rsidP="00905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53A" w:rsidRDefault="000D553A" w:rsidP="005A4C62">
      <w:r>
        <w:separator/>
      </w:r>
    </w:p>
  </w:footnote>
  <w:footnote w:type="continuationSeparator" w:id="0">
    <w:p w:rsidR="000D553A" w:rsidRDefault="000D553A" w:rsidP="005A4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3A" w:rsidRDefault="000D553A">
    <w:pPr>
      <w:pStyle w:val="Header"/>
    </w:pPr>
  </w:p>
  <w:p w:rsidR="000D553A" w:rsidRDefault="000D55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3A" w:rsidRDefault="009C5AC8">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ew Picture" style="width:195.05pt;height:39.3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3A" w:rsidRDefault="000D553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3A" w:rsidRDefault="000D55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324D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560C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2C78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3E63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2CF4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6011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6821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10A2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E665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44939A"/>
    <w:lvl w:ilvl="0">
      <w:start w:val="1"/>
      <w:numFmt w:val="bullet"/>
      <w:lvlText w:val=""/>
      <w:lvlJc w:val="left"/>
      <w:pPr>
        <w:tabs>
          <w:tab w:val="num" w:pos="360"/>
        </w:tabs>
        <w:ind w:left="360" w:hanging="360"/>
      </w:pPr>
      <w:rPr>
        <w:rFonts w:ascii="Symbol" w:hAnsi="Symbol" w:hint="default"/>
      </w:rPr>
    </w:lvl>
  </w:abstractNum>
  <w:abstractNum w:abstractNumId="10">
    <w:nsid w:val="03C96324"/>
    <w:multiLevelType w:val="hybridMultilevel"/>
    <w:tmpl w:val="63C84D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0431083C"/>
    <w:multiLevelType w:val="hybridMultilevel"/>
    <w:tmpl w:val="474453B2"/>
    <w:lvl w:ilvl="0" w:tplc="A42A7728">
      <w:start w:val="1"/>
      <w:numFmt w:val="lowerLetter"/>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2">
    <w:nsid w:val="04BB3599"/>
    <w:multiLevelType w:val="hybridMultilevel"/>
    <w:tmpl w:val="FE46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FB5597"/>
    <w:multiLevelType w:val="hybridMultilevel"/>
    <w:tmpl w:val="4720148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0FB6752F"/>
    <w:multiLevelType w:val="hybridMultilevel"/>
    <w:tmpl w:val="F6746132"/>
    <w:lvl w:ilvl="0" w:tplc="CA76C04C">
      <w:numFmt w:val="bullet"/>
      <w:lvlText w:val="•"/>
      <w:lvlJc w:val="left"/>
      <w:pPr>
        <w:ind w:left="720" w:hanging="72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00538A8"/>
    <w:multiLevelType w:val="hybridMultilevel"/>
    <w:tmpl w:val="9AC2826A"/>
    <w:lvl w:ilvl="0" w:tplc="7B4C93CC">
      <w:numFmt w:val="bullet"/>
      <w:lvlText w:val="•"/>
      <w:lvlJc w:val="left"/>
      <w:pPr>
        <w:ind w:left="1080" w:hanging="72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D8312D"/>
    <w:multiLevelType w:val="hybridMultilevel"/>
    <w:tmpl w:val="F154E1DA"/>
    <w:lvl w:ilvl="0" w:tplc="60B6B7F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7">
    <w:nsid w:val="1F570B7D"/>
    <w:multiLevelType w:val="hybridMultilevel"/>
    <w:tmpl w:val="D0DC073C"/>
    <w:lvl w:ilvl="0" w:tplc="5908135E">
      <w:start w:val="1"/>
      <w:numFmt w:val="bullet"/>
      <w:pStyle w:val="Box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4382850"/>
    <w:multiLevelType w:val="hybridMultilevel"/>
    <w:tmpl w:val="A42C9E46"/>
    <w:lvl w:ilvl="0" w:tplc="A42A7728">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nsid w:val="2FAC1D5B"/>
    <w:multiLevelType w:val="hybridMultilevel"/>
    <w:tmpl w:val="1B027B0A"/>
    <w:lvl w:ilvl="0" w:tplc="9E804282">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4EE53D5"/>
    <w:multiLevelType w:val="hybridMultilevel"/>
    <w:tmpl w:val="58E6F47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361F744F"/>
    <w:multiLevelType w:val="hybridMultilevel"/>
    <w:tmpl w:val="76922C56"/>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2">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23">
    <w:nsid w:val="3A12762B"/>
    <w:multiLevelType w:val="hybridMultilevel"/>
    <w:tmpl w:val="679E70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nsid w:val="40C05909"/>
    <w:multiLevelType w:val="hybridMultilevel"/>
    <w:tmpl w:val="BA4A207C"/>
    <w:lvl w:ilvl="0" w:tplc="0C090001">
      <w:start w:val="1"/>
      <w:numFmt w:val="bullet"/>
      <w:lvlText w:val=""/>
      <w:lvlJc w:val="left"/>
      <w:pPr>
        <w:ind w:left="1125" w:hanging="360"/>
      </w:pPr>
      <w:rPr>
        <w:rFonts w:ascii="Symbol" w:hAnsi="Symbol" w:hint="default"/>
      </w:rPr>
    </w:lvl>
    <w:lvl w:ilvl="1" w:tplc="0C090003">
      <w:start w:val="1"/>
      <w:numFmt w:val="bullet"/>
      <w:lvlText w:val="o"/>
      <w:lvlJc w:val="left"/>
      <w:pPr>
        <w:ind w:left="1845" w:hanging="360"/>
      </w:pPr>
      <w:rPr>
        <w:rFonts w:ascii="Courier New" w:hAnsi="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5">
    <w:nsid w:val="40D030F2"/>
    <w:multiLevelType w:val="hybridMultilevel"/>
    <w:tmpl w:val="D09A1C2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nsid w:val="442B5E0A"/>
    <w:multiLevelType w:val="hybridMultilevel"/>
    <w:tmpl w:val="DC6220EA"/>
    <w:lvl w:ilvl="0" w:tplc="7B4C93CC">
      <w:numFmt w:val="bullet"/>
      <w:lvlText w:val="•"/>
      <w:lvlJc w:val="left"/>
      <w:pPr>
        <w:ind w:left="1078" w:hanging="720"/>
      </w:pPr>
      <w:rPr>
        <w:rFonts w:ascii="Calibri" w:eastAsia="Times New Roman" w:hAnsi="Calibri" w:hint="default"/>
      </w:rPr>
    </w:lvl>
    <w:lvl w:ilvl="1" w:tplc="0C090003">
      <w:start w:val="1"/>
      <w:numFmt w:val="bullet"/>
      <w:lvlText w:val="o"/>
      <w:lvlJc w:val="left"/>
      <w:pPr>
        <w:ind w:left="1438" w:hanging="360"/>
      </w:pPr>
      <w:rPr>
        <w:rFonts w:ascii="Courier New" w:hAnsi="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27">
    <w:nsid w:val="44CA48C2"/>
    <w:multiLevelType w:val="hybridMultilevel"/>
    <w:tmpl w:val="4A4A8DA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nsid w:val="4C133BFB"/>
    <w:multiLevelType w:val="hybridMultilevel"/>
    <w:tmpl w:val="942CD3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4FD26262"/>
    <w:multiLevelType w:val="multilevel"/>
    <w:tmpl w:val="3926CD9A"/>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tabs>
          <w:tab w:val="num" w:pos="720"/>
        </w:tabs>
        <w:ind w:left="720" w:hanging="720"/>
      </w:pPr>
      <w:rPr>
        <w:rFonts w:ascii="Arial" w:hAnsi="Arial" w:cs="Times New Roman"/>
        <w:b/>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D0430DF"/>
    <w:multiLevelType w:val="multilevel"/>
    <w:tmpl w:val="07C200E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5D084BDA"/>
    <w:multiLevelType w:val="hybridMultilevel"/>
    <w:tmpl w:val="451A5C64"/>
    <w:lvl w:ilvl="0" w:tplc="6AF6FE24">
      <w:start w:val="1"/>
      <w:numFmt w:val="lowerLetter"/>
      <w:lvlText w:val="(%1)"/>
      <w:lvlJc w:val="left"/>
      <w:pPr>
        <w:tabs>
          <w:tab w:val="num" w:pos="1485"/>
        </w:tabs>
        <w:ind w:left="1485" w:hanging="360"/>
      </w:pPr>
      <w:rPr>
        <w:rFonts w:cs="Times New Roman"/>
      </w:rPr>
    </w:lvl>
    <w:lvl w:ilvl="1" w:tplc="6AF6FE24">
      <w:start w:val="1"/>
      <w:numFmt w:val="lowerLetter"/>
      <w:lvlText w:val="(%2)"/>
      <w:lvlJc w:val="left"/>
      <w:pPr>
        <w:tabs>
          <w:tab w:val="num" w:pos="1485"/>
        </w:tabs>
        <w:ind w:left="1485" w:hanging="360"/>
      </w:pPr>
      <w:rPr>
        <w:rFonts w:cs="Times New Roman"/>
      </w:rPr>
    </w:lvl>
    <w:lvl w:ilvl="2" w:tplc="0C09001B">
      <w:start w:val="1"/>
      <w:numFmt w:val="decimal"/>
      <w:lvlText w:val="%3."/>
      <w:lvlJc w:val="left"/>
      <w:pPr>
        <w:tabs>
          <w:tab w:val="num" w:pos="2565"/>
        </w:tabs>
        <w:ind w:left="2565" w:hanging="360"/>
      </w:pPr>
      <w:rPr>
        <w:rFonts w:cs="Times New Roman"/>
      </w:rPr>
    </w:lvl>
    <w:lvl w:ilvl="3" w:tplc="0C09000F">
      <w:start w:val="1"/>
      <w:numFmt w:val="decimal"/>
      <w:lvlText w:val="%4."/>
      <w:lvlJc w:val="left"/>
      <w:pPr>
        <w:tabs>
          <w:tab w:val="num" w:pos="3285"/>
        </w:tabs>
        <w:ind w:left="3285" w:hanging="360"/>
      </w:pPr>
      <w:rPr>
        <w:rFonts w:cs="Times New Roman"/>
      </w:rPr>
    </w:lvl>
    <w:lvl w:ilvl="4" w:tplc="0C090019">
      <w:start w:val="1"/>
      <w:numFmt w:val="decimal"/>
      <w:lvlText w:val="%5."/>
      <w:lvlJc w:val="left"/>
      <w:pPr>
        <w:tabs>
          <w:tab w:val="num" w:pos="4005"/>
        </w:tabs>
        <w:ind w:left="4005" w:hanging="360"/>
      </w:pPr>
      <w:rPr>
        <w:rFonts w:cs="Times New Roman"/>
      </w:rPr>
    </w:lvl>
    <w:lvl w:ilvl="5" w:tplc="0C09001B">
      <w:start w:val="1"/>
      <w:numFmt w:val="decimal"/>
      <w:lvlText w:val="%6."/>
      <w:lvlJc w:val="left"/>
      <w:pPr>
        <w:tabs>
          <w:tab w:val="num" w:pos="4725"/>
        </w:tabs>
        <w:ind w:left="4725" w:hanging="360"/>
      </w:pPr>
      <w:rPr>
        <w:rFonts w:cs="Times New Roman"/>
      </w:rPr>
    </w:lvl>
    <w:lvl w:ilvl="6" w:tplc="0C09000F">
      <w:start w:val="1"/>
      <w:numFmt w:val="decimal"/>
      <w:lvlText w:val="%7."/>
      <w:lvlJc w:val="left"/>
      <w:pPr>
        <w:tabs>
          <w:tab w:val="num" w:pos="5445"/>
        </w:tabs>
        <w:ind w:left="5445" w:hanging="360"/>
      </w:pPr>
      <w:rPr>
        <w:rFonts w:cs="Times New Roman"/>
      </w:rPr>
    </w:lvl>
    <w:lvl w:ilvl="7" w:tplc="0C090019">
      <w:start w:val="1"/>
      <w:numFmt w:val="decimal"/>
      <w:lvlText w:val="%8."/>
      <w:lvlJc w:val="left"/>
      <w:pPr>
        <w:tabs>
          <w:tab w:val="num" w:pos="6165"/>
        </w:tabs>
        <w:ind w:left="6165" w:hanging="360"/>
      </w:pPr>
      <w:rPr>
        <w:rFonts w:cs="Times New Roman"/>
      </w:rPr>
    </w:lvl>
    <w:lvl w:ilvl="8" w:tplc="0C09001B">
      <w:start w:val="1"/>
      <w:numFmt w:val="decimal"/>
      <w:lvlText w:val="%9."/>
      <w:lvlJc w:val="left"/>
      <w:pPr>
        <w:tabs>
          <w:tab w:val="num" w:pos="6885"/>
        </w:tabs>
        <w:ind w:left="6885" w:hanging="360"/>
      </w:pPr>
      <w:rPr>
        <w:rFonts w:cs="Times New Roman"/>
      </w:rPr>
    </w:lvl>
  </w:abstractNum>
  <w:abstractNum w:abstractNumId="32">
    <w:nsid w:val="64E72DFA"/>
    <w:multiLevelType w:val="hybridMultilevel"/>
    <w:tmpl w:val="3CE0CD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9470A97"/>
    <w:multiLevelType w:val="hybridMultilevel"/>
    <w:tmpl w:val="E29ADE3A"/>
    <w:lvl w:ilvl="0" w:tplc="A42A7728">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nsid w:val="6AEB7EED"/>
    <w:multiLevelType w:val="hybridMultilevel"/>
    <w:tmpl w:val="4044EE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C4F531F"/>
    <w:multiLevelType w:val="hybridMultilevel"/>
    <w:tmpl w:val="4A4A8DA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6C5675EB"/>
    <w:multiLevelType w:val="hybridMultilevel"/>
    <w:tmpl w:val="48E85F38"/>
    <w:lvl w:ilvl="0" w:tplc="7714D1DC">
      <w:start w:val="1"/>
      <w:numFmt w:val="bullet"/>
      <w:pStyle w:val="Table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6D1504BF"/>
    <w:multiLevelType w:val="hybridMultilevel"/>
    <w:tmpl w:val="8B4EAFDE"/>
    <w:lvl w:ilvl="0" w:tplc="A42A7728">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8">
    <w:nsid w:val="6F65465C"/>
    <w:multiLevelType w:val="hybridMultilevel"/>
    <w:tmpl w:val="D1FE86D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9">
    <w:nsid w:val="75A50077"/>
    <w:multiLevelType w:val="hybridMultilevel"/>
    <w:tmpl w:val="08E4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CA13C6"/>
    <w:multiLevelType w:val="hybridMultilevel"/>
    <w:tmpl w:val="B1AC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6D6293"/>
    <w:multiLevelType w:val="hybridMultilevel"/>
    <w:tmpl w:val="FFBA50FA"/>
    <w:lvl w:ilvl="0" w:tplc="A42A7728">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nsid w:val="7AA9756A"/>
    <w:multiLevelType w:val="multilevel"/>
    <w:tmpl w:val="D236E84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nsid w:val="7BB64B08"/>
    <w:multiLevelType w:val="multilevel"/>
    <w:tmpl w:val="3B1C10B0"/>
    <w:lvl w:ilvl="0">
      <w:start w:val="1"/>
      <w:numFmt w:val="decimal"/>
      <w:lvlText w:val="%1."/>
      <w:lvlJc w:val="left"/>
      <w:pPr>
        <w:ind w:left="432" w:hanging="432"/>
      </w:pPr>
      <w:rPr>
        <w:rFonts w:cs="Times New Roman"/>
        <w:b/>
        <w:sz w:val="28"/>
        <w:szCs w:val="28"/>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4"/>
  </w:num>
  <w:num w:numId="2">
    <w:abstractNumId w:val="43"/>
  </w:num>
  <w:num w:numId="3">
    <w:abstractNumId w:val="35"/>
  </w:num>
  <w:num w:numId="4">
    <w:abstractNumId w:val="13"/>
  </w:num>
  <w:num w:numId="5">
    <w:abstractNumId w:val="16"/>
  </w:num>
  <w:num w:numId="6">
    <w:abstractNumId w:val="26"/>
  </w:num>
  <w:num w:numId="7">
    <w:abstractNumId w:val="15"/>
  </w:num>
  <w:num w:numId="8">
    <w:abstractNumId w:val="41"/>
  </w:num>
  <w:num w:numId="9">
    <w:abstractNumId w:val="11"/>
  </w:num>
  <w:num w:numId="10">
    <w:abstractNumId w:val="37"/>
  </w:num>
  <w:num w:numId="11">
    <w:abstractNumId w:val="33"/>
  </w:num>
  <w:num w:numId="12">
    <w:abstractNumId w:val="18"/>
  </w:num>
  <w:num w:numId="13">
    <w:abstractNumId w:val="42"/>
  </w:num>
  <w:num w:numId="14">
    <w:abstractNumId w:val="30"/>
  </w:num>
  <w:num w:numId="15">
    <w:abstractNumId w:val="32"/>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7"/>
  </w:num>
  <w:num w:numId="19">
    <w:abstractNumId w:val="20"/>
  </w:num>
  <w:num w:numId="20">
    <w:abstractNumId w:val="25"/>
  </w:num>
  <w:num w:numId="21">
    <w:abstractNumId w:val="40"/>
  </w:num>
  <w:num w:numId="22">
    <w:abstractNumId w:val="43"/>
    <w:lvlOverride w:ilvl="0">
      <w:startOverride w:val="8"/>
    </w:lvlOverride>
    <w:lvlOverride w:ilvl="1">
      <w:startOverride w:val="5"/>
    </w:lvlOverride>
  </w:num>
  <w:num w:numId="23">
    <w:abstractNumId w:val="3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 w:numId="27">
    <w:abstractNumId w:val="17"/>
  </w:num>
  <w:num w:numId="28">
    <w:abstractNumId w:val="19"/>
  </w:num>
  <w:num w:numId="29">
    <w:abstractNumId w:val="22"/>
  </w:num>
  <w:num w:numId="30">
    <w:abstractNumId w:val="29"/>
  </w:num>
  <w:num w:numId="31">
    <w:abstractNumId w:val="36"/>
  </w:num>
  <w:num w:numId="32">
    <w:abstractNumId w:val="2"/>
  </w:num>
  <w:num w:numId="33">
    <w:abstractNumId w:val="3"/>
  </w:num>
  <w:num w:numId="34">
    <w:abstractNumId w:val="8"/>
  </w:num>
  <w:num w:numId="35">
    <w:abstractNumId w:val="1"/>
  </w:num>
  <w:num w:numId="36">
    <w:abstractNumId w:val="0"/>
  </w:num>
  <w:num w:numId="37">
    <w:abstractNumId w:val="4"/>
  </w:num>
  <w:num w:numId="38">
    <w:abstractNumId w:val="5"/>
  </w:num>
  <w:num w:numId="39">
    <w:abstractNumId w:val="6"/>
  </w:num>
  <w:num w:numId="40">
    <w:abstractNumId w:val="7"/>
  </w:num>
  <w:num w:numId="41">
    <w:abstractNumId w:val="9"/>
  </w:num>
  <w:num w:numId="42">
    <w:abstractNumId w:val="22"/>
  </w:num>
  <w:num w:numId="43">
    <w:abstractNumId w:val="22"/>
  </w:num>
  <w:num w:numId="44">
    <w:abstractNumId w:val="28"/>
  </w:num>
  <w:num w:numId="45">
    <w:abstractNumId w:val="10"/>
  </w:num>
  <w:num w:numId="46">
    <w:abstractNumId w:val="34"/>
  </w:num>
  <w:num w:numId="47">
    <w:abstractNumId w:val="38"/>
  </w:num>
  <w:num w:numId="48">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008"/>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723"/>
    <w:rsid w:val="000138FB"/>
    <w:rsid w:val="000313E1"/>
    <w:rsid w:val="00031513"/>
    <w:rsid w:val="000342C0"/>
    <w:rsid w:val="00035EB5"/>
    <w:rsid w:val="00044AC1"/>
    <w:rsid w:val="0004780A"/>
    <w:rsid w:val="00051777"/>
    <w:rsid w:val="00060323"/>
    <w:rsid w:val="00067ECC"/>
    <w:rsid w:val="00070B61"/>
    <w:rsid w:val="000756DB"/>
    <w:rsid w:val="00083056"/>
    <w:rsid w:val="00083BB2"/>
    <w:rsid w:val="00086CE2"/>
    <w:rsid w:val="00092364"/>
    <w:rsid w:val="00093F66"/>
    <w:rsid w:val="00095325"/>
    <w:rsid w:val="00095540"/>
    <w:rsid w:val="00096486"/>
    <w:rsid w:val="000A012A"/>
    <w:rsid w:val="000A1714"/>
    <w:rsid w:val="000A1C61"/>
    <w:rsid w:val="000B188A"/>
    <w:rsid w:val="000B1B34"/>
    <w:rsid w:val="000B7D79"/>
    <w:rsid w:val="000C0911"/>
    <w:rsid w:val="000D32B5"/>
    <w:rsid w:val="000D428E"/>
    <w:rsid w:val="000D553A"/>
    <w:rsid w:val="000D5C58"/>
    <w:rsid w:val="000D788E"/>
    <w:rsid w:val="000E09B4"/>
    <w:rsid w:val="000E3AC0"/>
    <w:rsid w:val="000E6159"/>
    <w:rsid w:val="000E68C7"/>
    <w:rsid w:val="000E6B85"/>
    <w:rsid w:val="000F01A7"/>
    <w:rsid w:val="000F1B94"/>
    <w:rsid w:val="000F1D3A"/>
    <w:rsid w:val="000F1F32"/>
    <w:rsid w:val="000F309D"/>
    <w:rsid w:val="00105F96"/>
    <w:rsid w:val="00107F26"/>
    <w:rsid w:val="00110A4B"/>
    <w:rsid w:val="0011185B"/>
    <w:rsid w:val="00113CE2"/>
    <w:rsid w:val="00120D62"/>
    <w:rsid w:val="00140D57"/>
    <w:rsid w:val="001413F4"/>
    <w:rsid w:val="00144FC4"/>
    <w:rsid w:val="00146038"/>
    <w:rsid w:val="00152401"/>
    <w:rsid w:val="001567AA"/>
    <w:rsid w:val="00160698"/>
    <w:rsid w:val="0016086D"/>
    <w:rsid w:val="0016560E"/>
    <w:rsid w:val="00173C00"/>
    <w:rsid w:val="00175580"/>
    <w:rsid w:val="00195CF4"/>
    <w:rsid w:val="001A7878"/>
    <w:rsid w:val="001A7AC7"/>
    <w:rsid w:val="001B152C"/>
    <w:rsid w:val="001B269D"/>
    <w:rsid w:val="001B4B0C"/>
    <w:rsid w:val="001B7057"/>
    <w:rsid w:val="001C3D20"/>
    <w:rsid w:val="001C3D7E"/>
    <w:rsid w:val="001C4B54"/>
    <w:rsid w:val="001C6172"/>
    <w:rsid w:val="001C75A7"/>
    <w:rsid w:val="001C75CF"/>
    <w:rsid w:val="001D2096"/>
    <w:rsid w:val="001E2687"/>
    <w:rsid w:val="001E5747"/>
    <w:rsid w:val="001E7145"/>
    <w:rsid w:val="001F2B5D"/>
    <w:rsid w:val="001F4D42"/>
    <w:rsid w:val="001F700A"/>
    <w:rsid w:val="00201ABF"/>
    <w:rsid w:val="00203C31"/>
    <w:rsid w:val="002042DA"/>
    <w:rsid w:val="00212AA1"/>
    <w:rsid w:val="002145DE"/>
    <w:rsid w:val="00214D2C"/>
    <w:rsid w:val="00216452"/>
    <w:rsid w:val="00217E44"/>
    <w:rsid w:val="002200B2"/>
    <w:rsid w:val="002275C6"/>
    <w:rsid w:val="002305A2"/>
    <w:rsid w:val="00232A09"/>
    <w:rsid w:val="00232F38"/>
    <w:rsid w:val="002332AE"/>
    <w:rsid w:val="00235980"/>
    <w:rsid w:val="00237F9C"/>
    <w:rsid w:val="00240AD9"/>
    <w:rsid w:val="002458F3"/>
    <w:rsid w:val="002503E4"/>
    <w:rsid w:val="002521DC"/>
    <w:rsid w:val="002545BC"/>
    <w:rsid w:val="00262936"/>
    <w:rsid w:val="00263AEE"/>
    <w:rsid w:val="002647A7"/>
    <w:rsid w:val="00264B3F"/>
    <w:rsid w:val="00265DB9"/>
    <w:rsid w:val="00266F1C"/>
    <w:rsid w:val="002726DF"/>
    <w:rsid w:val="0028026C"/>
    <w:rsid w:val="00282AD9"/>
    <w:rsid w:val="002834C9"/>
    <w:rsid w:val="00293E78"/>
    <w:rsid w:val="00294974"/>
    <w:rsid w:val="00296250"/>
    <w:rsid w:val="002A2A09"/>
    <w:rsid w:val="002A4540"/>
    <w:rsid w:val="002B1CFC"/>
    <w:rsid w:val="002C467E"/>
    <w:rsid w:val="002D0B5F"/>
    <w:rsid w:val="002D41B1"/>
    <w:rsid w:val="002E59DA"/>
    <w:rsid w:val="002E5C72"/>
    <w:rsid w:val="002E6C62"/>
    <w:rsid w:val="002F4732"/>
    <w:rsid w:val="00300DF7"/>
    <w:rsid w:val="00304099"/>
    <w:rsid w:val="0030613F"/>
    <w:rsid w:val="0031033B"/>
    <w:rsid w:val="00314C2A"/>
    <w:rsid w:val="00315D6B"/>
    <w:rsid w:val="003211ED"/>
    <w:rsid w:val="003233B6"/>
    <w:rsid w:val="00335107"/>
    <w:rsid w:val="00352E5E"/>
    <w:rsid w:val="003540AA"/>
    <w:rsid w:val="00354844"/>
    <w:rsid w:val="00361959"/>
    <w:rsid w:val="0036303F"/>
    <w:rsid w:val="00364AB6"/>
    <w:rsid w:val="00365D25"/>
    <w:rsid w:val="00375FA8"/>
    <w:rsid w:val="00380FB2"/>
    <w:rsid w:val="00385A2C"/>
    <w:rsid w:val="00386D37"/>
    <w:rsid w:val="003877C5"/>
    <w:rsid w:val="00390AB4"/>
    <w:rsid w:val="00392FA9"/>
    <w:rsid w:val="00397230"/>
    <w:rsid w:val="003A2C81"/>
    <w:rsid w:val="003A5D21"/>
    <w:rsid w:val="003B1B6B"/>
    <w:rsid w:val="003B7B33"/>
    <w:rsid w:val="003E531D"/>
    <w:rsid w:val="003E5D35"/>
    <w:rsid w:val="003E64FF"/>
    <w:rsid w:val="003F2F80"/>
    <w:rsid w:val="003F794B"/>
    <w:rsid w:val="00401381"/>
    <w:rsid w:val="00417B3A"/>
    <w:rsid w:val="00420356"/>
    <w:rsid w:val="00421AC6"/>
    <w:rsid w:val="004230DA"/>
    <w:rsid w:val="004268F2"/>
    <w:rsid w:val="004301B5"/>
    <w:rsid w:val="0043484A"/>
    <w:rsid w:val="0044090A"/>
    <w:rsid w:val="004469B1"/>
    <w:rsid w:val="0044708C"/>
    <w:rsid w:val="00452404"/>
    <w:rsid w:val="00453F1E"/>
    <w:rsid w:val="00455452"/>
    <w:rsid w:val="004571FD"/>
    <w:rsid w:val="00461392"/>
    <w:rsid w:val="004659D0"/>
    <w:rsid w:val="00466625"/>
    <w:rsid w:val="00473B5E"/>
    <w:rsid w:val="00476F2A"/>
    <w:rsid w:val="00476F68"/>
    <w:rsid w:val="0047748A"/>
    <w:rsid w:val="00477FD0"/>
    <w:rsid w:val="00483B2C"/>
    <w:rsid w:val="00483D08"/>
    <w:rsid w:val="00485689"/>
    <w:rsid w:val="004949EE"/>
    <w:rsid w:val="00495404"/>
    <w:rsid w:val="004A337B"/>
    <w:rsid w:val="004B3169"/>
    <w:rsid w:val="004B74DD"/>
    <w:rsid w:val="004C2B4A"/>
    <w:rsid w:val="004C334A"/>
    <w:rsid w:val="004D0437"/>
    <w:rsid w:val="004D253D"/>
    <w:rsid w:val="004D2858"/>
    <w:rsid w:val="004D41EA"/>
    <w:rsid w:val="004D4A6D"/>
    <w:rsid w:val="004D4B0A"/>
    <w:rsid w:val="004D5DBB"/>
    <w:rsid w:val="004D69B7"/>
    <w:rsid w:val="004E57C1"/>
    <w:rsid w:val="004E7619"/>
    <w:rsid w:val="004F57C2"/>
    <w:rsid w:val="004F70E9"/>
    <w:rsid w:val="005038D7"/>
    <w:rsid w:val="0051026D"/>
    <w:rsid w:val="00510B1C"/>
    <w:rsid w:val="00511487"/>
    <w:rsid w:val="0051186C"/>
    <w:rsid w:val="00512ED5"/>
    <w:rsid w:val="0051776B"/>
    <w:rsid w:val="00520801"/>
    <w:rsid w:val="00524638"/>
    <w:rsid w:val="00525180"/>
    <w:rsid w:val="0052608B"/>
    <w:rsid w:val="0053247B"/>
    <w:rsid w:val="005429FA"/>
    <w:rsid w:val="00545C29"/>
    <w:rsid w:val="00555201"/>
    <w:rsid w:val="0055678F"/>
    <w:rsid w:val="005622EF"/>
    <w:rsid w:val="00562F74"/>
    <w:rsid w:val="005644C4"/>
    <w:rsid w:val="0057128C"/>
    <w:rsid w:val="00571A47"/>
    <w:rsid w:val="00574D26"/>
    <w:rsid w:val="0057524D"/>
    <w:rsid w:val="0058051E"/>
    <w:rsid w:val="005845E2"/>
    <w:rsid w:val="00584DFC"/>
    <w:rsid w:val="00586C63"/>
    <w:rsid w:val="005907F4"/>
    <w:rsid w:val="00594865"/>
    <w:rsid w:val="00595A37"/>
    <w:rsid w:val="005A43F3"/>
    <w:rsid w:val="005A4C62"/>
    <w:rsid w:val="005B2DD0"/>
    <w:rsid w:val="005B4B5C"/>
    <w:rsid w:val="005C0323"/>
    <w:rsid w:val="005C3B1F"/>
    <w:rsid w:val="005C4923"/>
    <w:rsid w:val="005C53A8"/>
    <w:rsid w:val="005D0029"/>
    <w:rsid w:val="005D3B6E"/>
    <w:rsid w:val="005E18B7"/>
    <w:rsid w:val="005E47E8"/>
    <w:rsid w:val="005E5A70"/>
    <w:rsid w:val="005E6E7F"/>
    <w:rsid w:val="005E76A1"/>
    <w:rsid w:val="005E7B94"/>
    <w:rsid w:val="005F1F5F"/>
    <w:rsid w:val="005F2402"/>
    <w:rsid w:val="005F47D1"/>
    <w:rsid w:val="0060016E"/>
    <w:rsid w:val="006017EA"/>
    <w:rsid w:val="00603FE1"/>
    <w:rsid w:val="006064D3"/>
    <w:rsid w:val="00611E90"/>
    <w:rsid w:val="00620B9D"/>
    <w:rsid w:val="00621A87"/>
    <w:rsid w:val="00625484"/>
    <w:rsid w:val="00630C55"/>
    <w:rsid w:val="006350B4"/>
    <w:rsid w:val="00636E3A"/>
    <w:rsid w:val="00641F10"/>
    <w:rsid w:val="00643C81"/>
    <w:rsid w:val="00644809"/>
    <w:rsid w:val="00662F14"/>
    <w:rsid w:val="006636D4"/>
    <w:rsid w:val="00666FE3"/>
    <w:rsid w:val="00674D5E"/>
    <w:rsid w:val="006816E1"/>
    <w:rsid w:val="00683474"/>
    <w:rsid w:val="006844A9"/>
    <w:rsid w:val="00687D39"/>
    <w:rsid w:val="00691664"/>
    <w:rsid w:val="006927F1"/>
    <w:rsid w:val="006934BC"/>
    <w:rsid w:val="0069742F"/>
    <w:rsid w:val="006A3208"/>
    <w:rsid w:val="006B7311"/>
    <w:rsid w:val="006C4595"/>
    <w:rsid w:val="006D1451"/>
    <w:rsid w:val="006D4EC4"/>
    <w:rsid w:val="006D5689"/>
    <w:rsid w:val="006D62DB"/>
    <w:rsid w:val="006E0172"/>
    <w:rsid w:val="006E41D2"/>
    <w:rsid w:val="006F200B"/>
    <w:rsid w:val="006F6B49"/>
    <w:rsid w:val="00700012"/>
    <w:rsid w:val="0070055E"/>
    <w:rsid w:val="00703799"/>
    <w:rsid w:val="007101AB"/>
    <w:rsid w:val="007128AC"/>
    <w:rsid w:val="00712B97"/>
    <w:rsid w:val="00716054"/>
    <w:rsid w:val="0072025B"/>
    <w:rsid w:val="00724E48"/>
    <w:rsid w:val="00735D96"/>
    <w:rsid w:val="00737A98"/>
    <w:rsid w:val="007445CE"/>
    <w:rsid w:val="0074777C"/>
    <w:rsid w:val="00747A1D"/>
    <w:rsid w:val="007504F5"/>
    <w:rsid w:val="00753133"/>
    <w:rsid w:val="00755799"/>
    <w:rsid w:val="00757C3A"/>
    <w:rsid w:val="0076204D"/>
    <w:rsid w:val="0076326B"/>
    <w:rsid w:val="00766049"/>
    <w:rsid w:val="00770E68"/>
    <w:rsid w:val="007724ED"/>
    <w:rsid w:val="00782F66"/>
    <w:rsid w:val="00783EFF"/>
    <w:rsid w:val="00784DC0"/>
    <w:rsid w:val="007852BF"/>
    <w:rsid w:val="00785369"/>
    <w:rsid w:val="00786852"/>
    <w:rsid w:val="007968F6"/>
    <w:rsid w:val="00796D11"/>
    <w:rsid w:val="007A6788"/>
    <w:rsid w:val="007A6C1D"/>
    <w:rsid w:val="007C66C1"/>
    <w:rsid w:val="007D312F"/>
    <w:rsid w:val="007D7B95"/>
    <w:rsid w:val="007E3D41"/>
    <w:rsid w:val="007E5F21"/>
    <w:rsid w:val="00800A6A"/>
    <w:rsid w:val="00806A21"/>
    <w:rsid w:val="008209AE"/>
    <w:rsid w:val="00821940"/>
    <w:rsid w:val="00822565"/>
    <w:rsid w:val="00826C36"/>
    <w:rsid w:val="00842AF3"/>
    <w:rsid w:val="0085160B"/>
    <w:rsid w:val="00854050"/>
    <w:rsid w:val="00860F2D"/>
    <w:rsid w:val="00860FCF"/>
    <w:rsid w:val="00861616"/>
    <w:rsid w:val="00862C48"/>
    <w:rsid w:val="00862CF9"/>
    <w:rsid w:val="00864A08"/>
    <w:rsid w:val="00864DAD"/>
    <w:rsid w:val="00867240"/>
    <w:rsid w:val="00870A49"/>
    <w:rsid w:val="008939D7"/>
    <w:rsid w:val="008A01FD"/>
    <w:rsid w:val="008A11D6"/>
    <w:rsid w:val="008A2045"/>
    <w:rsid w:val="008A21E9"/>
    <w:rsid w:val="008B1B63"/>
    <w:rsid w:val="008C019E"/>
    <w:rsid w:val="008C20F5"/>
    <w:rsid w:val="008C66A6"/>
    <w:rsid w:val="008C7E22"/>
    <w:rsid w:val="008D0C96"/>
    <w:rsid w:val="008E11BC"/>
    <w:rsid w:val="008F282D"/>
    <w:rsid w:val="008F5FAD"/>
    <w:rsid w:val="008F70FA"/>
    <w:rsid w:val="00901625"/>
    <w:rsid w:val="00901C23"/>
    <w:rsid w:val="00901D6F"/>
    <w:rsid w:val="009040A4"/>
    <w:rsid w:val="00905CF3"/>
    <w:rsid w:val="0090692C"/>
    <w:rsid w:val="00907855"/>
    <w:rsid w:val="00907CFA"/>
    <w:rsid w:val="009104F3"/>
    <w:rsid w:val="009106DF"/>
    <w:rsid w:val="0091277B"/>
    <w:rsid w:val="009127E0"/>
    <w:rsid w:val="00915B3E"/>
    <w:rsid w:val="00923002"/>
    <w:rsid w:val="009231C2"/>
    <w:rsid w:val="00924529"/>
    <w:rsid w:val="00926685"/>
    <w:rsid w:val="00926CD4"/>
    <w:rsid w:val="0093354D"/>
    <w:rsid w:val="00933F53"/>
    <w:rsid w:val="009351A7"/>
    <w:rsid w:val="00945179"/>
    <w:rsid w:val="00945D23"/>
    <w:rsid w:val="00945FAA"/>
    <w:rsid w:val="00951027"/>
    <w:rsid w:val="00956D3B"/>
    <w:rsid w:val="009605FE"/>
    <w:rsid w:val="00963F1C"/>
    <w:rsid w:val="00967BAC"/>
    <w:rsid w:val="00982FC8"/>
    <w:rsid w:val="00991E7A"/>
    <w:rsid w:val="00992B06"/>
    <w:rsid w:val="0099459F"/>
    <w:rsid w:val="00996D7E"/>
    <w:rsid w:val="009979BB"/>
    <w:rsid w:val="009A7758"/>
    <w:rsid w:val="009B3352"/>
    <w:rsid w:val="009B5271"/>
    <w:rsid w:val="009B5343"/>
    <w:rsid w:val="009B608D"/>
    <w:rsid w:val="009C5AC8"/>
    <w:rsid w:val="009C7992"/>
    <w:rsid w:val="009D2D6A"/>
    <w:rsid w:val="009D4952"/>
    <w:rsid w:val="009F0E58"/>
    <w:rsid w:val="009F2A35"/>
    <w:rsid w:val="009F6723"/>
    <w:rsid w:val="009F6B94"/>
    <w:rsid w:val="00A0178B"/>
    <w:rsid w:val="00A071FD"/>
    <w:rsid w:val="00A16565"/>
    <w:rsid w:val="00A16666"/>
    <w:rsid w:val="00A23A0E"/>
    <w:rsid w:val="00A311DD"/>
    <w:rsid w:val="00A37184"/>
    <w:rsid w:val="00A40838"/>
    <w:rsid w:val="00A4270E"/>
    <w:rsid w:val="00A43750"/>
    <w:rsid w:val="00A454CA"/>
    <w:rsid w:val="00A50126"/>
    <w:rsid w:val="00A5024B"/>
    <w:rsid w:val="00A564FB"/>
    <w:rsid w:val="00A5699B"/>
    <w:rsid w:val="00A609CA"/>
    <w:rsid w:val="00A63E0C"/>
    <w:rsid w:val="00A6565F"/>
    <w:rsid w:val="00A6677E"/>
    <w:rsid w:val="00A70077"/>
    <w:rsid w:val="00A74B12"/>
    <w:rsid w:val="00A844BB"/>
    <w:rsid w:val="00A87B4F"/>
    <w:rsid w:val="00A90D84"/>
    <w:rsid w:val="00A958AC"/>
    <w:rsid w:val="00AA0215"/>
    <w:rsid w:val="00AB22B2"/>
    <w:rsid w:val="00AB3D87"/>
    <w:rsid w:val="00AB5890"/>
    <w:rsid w:val="00AB628D"/>
    <w:rsid w:val="00AB758B"/>
    <w:rsid w:val="00AD3A99"/>
    <w:rsid w:val="00AD7F7D"/>
    <w:rsid w:val="00AE01E9"/>
    <w:rsid w:val="00AE0CFC"/>
    <w:rsid w:val="00AE1405"/>
    <w:rsid w:val="00AF4804"/>
    <w:rsid w:val="00AF5C73"/>
    <w:rsid w:val="00AF6D76"/>
    <w:rsid w:val="00B01241"/>
    <w:rsid w:val="00B01B4C"/>
    <w:rsid w:val="00B05FC3"/>
    <w:rsid w:val="00B13423"/>
    <w:rsid w:val="00B13EF3"/>
    <w:rsid w:val="00B246C6"/>
    <w:rsid w:val="00B24D5D"/>
    <w:rsid w:val="00B37FA2"/>
    <w:rsid w:val="00B43D6D"/>
    <w:rsid w:val="00B4564D"/>
    <w:rsid w:val="00B46B1A"/>
    <w:rsid w:val="00B5241D"/>
    <w:rsid w:val="00B526C8"/>
    <w:rsid w:val="00B539EB"/>
    <w:rsid w:val="00B54E53"/>
    <w:rsid w:val="00B559BC"/>
    <w:rsid w:val="00B55FCC"/>
    <w:rsid w:val="00B628BB"/>
    <w:rsid w:val="00B63240"/>
    <w:rsid w:val="00B65B28"/>
    <w:rsid w:val="00B66791"/>
    <w:rsid w:val="00B67674"/>
    <w:rsid w:val="00B70EE9"/>
    <w:rsid w:val="00B7167A"/>
    <w:rsid w:val="00B74E3C"/>
    <w:rsid w:val="00B7569B"/>
    <w:rsid w:val="00B773D8"/>
    <w:rsid w:val="00B82168"/>
    <w:rsid w:val="00B82AC7"/>
    <w:rsid w:val="00B84690"/>
    <w:rsid w:val="00B86B21"/>
    <w:rsid w:val="00B94928"/>
    <w:rsid w:val="00B95A78"/>
    <w:rsid w:val="00B9656F"/>
    <w:rsid w:val="00BA4262"/>
    <w:rsid w:val="00BA4AD8"/>
    <w:rsid w:val="00BB1A49"/>
    <w:rsid w:val="00BB2D47"/>
    <w:rsid w:val="00BB4362"/>
    <w:rsid w:val="00BB5E9C"/>
    <w:rsid w:val="00BB6066"/>
    <w:rsid w:val="00BB654D"/>
    <w:rsid w:val="00BB6A6D"/>
    <w:rsid w:val="00BC2013"/>
    <w:rsid w:val="00BD31EF"/>
    <w:rsid w:val="00BD46C8"/>
    <w:rsid w:val="00BD46F2"/>
    <w:rsid w:val="00BD7365"/>
    <w:rsid w:val="00BF08F5"/>
    <w:rsid w:val="00BF2BE4"/>
    <w:rsid w:val="00BF68A5"/>
    <w:rsid w:val="00BF7477"/>
    <w:rsid w:val="00C00187"/>
    <w:rsid w:val="00C00699"/>
    <w:rsid w:val="00C04461"/>
    <w:rsid w:val="00C061B3"/>
    <w:rsid w:val="00C06A23"/>
    <w:rsid w:val="00C11F8D"/>
    <w:rsid w:val="00C13327"/>
    <w:rsid w:val="00C15B5E"/>
    <w:rsid w:val="00C16E41"/>
    <w:rsid w:val="00C202BC"/>
    <w:rsid w:val="00C20501"/>
    <w:rsid w:val="00C2375E"/>
    <w:rsid w:val="00C31251"/>
    <w:rsid w:val="00C440E3"/>
    <w:rsid w:val="00C46458"/>
    <w:rsid w:val="00C46676"/>
    <w:rsid w:val="00C46AB2"/>
    <w:rsid w:val="00C525CC"/>
    <w:rsid w:val="00C53549"/>
    <w:rsid w:val="00C5605D"/>
    <w:rsid w:val="00C62343"/>
    <w:rsid w:val="00C65947"/>
    <w:rsid w:val="00C71E7E"/>
    <w:rsid w:val="00C72954"/>
    <w:rsid w:val="00C730C0"/>
    <w:rsid w:val="00C7312C"/>
    <w:rsid w:val="00C74CCD"/>
    <w:rsid w:val="00C80181"/>
    <w:rsid w:val="00C809F0"/>
    <w:rsid w:val="00C8183A"/>
    <w:rsid w:val="00C93A29"/>
    <w:rsid w:val="00CA03CE"/>
    <w:rsid w:val="00CA139A"/>
    <w:rsid w:val="00CA2BCE"/>
    <w:rsid w:val="00CA67D6"/>
    <w:rsid w:val="00CB0A35"/>
    <w:rsid w:val="00CC148D"/>
    <w:rsid w:val="00CC40AB"/>
    <w:rsid w:val="00CD099A"/>
    <w:rsid w:val="00CD645F"/>
    <w:rsid w:val="00CD6883"/>
    <w:rsid w:val="00CE0154"/>
    <w:rsid w:val="00CE0780"/>
    <w:rsid w:val="00CE0905"/>
    <w:rsid w:val="00CE3F23"/>
    <w:rsid w:val="00CE432A"/>
    <w:rsid w:val="00CE67D1"/>
    <w:rsid w:val="00CE691D"/>
    <w:rsid w:val="00CE6A11"/>
    <w:rsid w:val="00CF576D"/>
    <w:rsid w:val="00D071E8"/>
    <w:rsid w:val="00D16984"/>
    <w:rsid w:val="00D16CCF"/>
    <w:rsid w:val="00D219B3"/>
    <w:rsid w:val="00D2207C"/>
    <w:rsid w:val="00D23626"/>
    <w:rsid w:val="00D269D1"/>
    <w:rsid w:val="00D2729A"/>
    <w:rsid w:val="00D27F52"/>
    <w:rsid w:val="00D31032"/>
    <w:rsid w:val="00D3545A"/>
    <w:rsid w:val="00D431C2"/>
    <w:rsid w:val="00D43EC1"/>
    <w:rsid w:val="00D46243"/>
    <w:rsid w:val="00D55937"/>
    <w:rsid w:val="00D5640D"/>
    <w:rsid w:val="00D56ED8"/>
    <w:rsid w:val="00D62667"/>
    <w:rsid w:val="00D63EC5"/>
    <w:rsid w:val="00D64BD0"/>
    <w:rsid w:val="00D74753"/>
    <w:rsid w:val="00D918BE"/>
    <w:rsid w:val="00D95BA7"/>
    <w:rsid w:val="00D978C5"/>
    <w:rsid w:val="00DA0511"/>
    <w:rsid w:val="00DA1129"/>
    <w:rsid w:val="00DA15AF"/>
    <w:rsid w:val="00DA2D29"/>
    <w:rsid w:val="00DB19A9"/>
    <w:rsid w:val="00DB4159"/>
    <w:rsid w:val="00DB52D6"/>
    <w:rsid w:val="00DC29B1"/>
    <w:rsid w:val="00DC4CAF"/>
    <w:rsid w:val="00DC5316"/>
    <w:rsid w:val="00DD1BAB"/>
    <w:rsid w:val="00DD379C"/>
    <w:rsid w:val="00DD46B0"/>
    <w:rsid w:val="00DD65FC"/>
    <w:rsid w:val="00DE4A05"/>
    <w:rsid w:val="00DF23E5"/>
    <w:rsid w:val="00DF28EA"/>
    <w:rsid w:val="00DF2E06"/>
    <w:rsid w:val="00DF5B86"/>
    <w:rsid w:val="00E078F0"/>
    <w:rsid w:val="00E133B9"/>
    <w:rsid w:val="00E1406A"/>
    <w:rsid w:val="00E15BC9"/>
    <w:rsid w:val="00E248ED"/>
    <w:rsid w:val="00E33266"/>
    <w:rsid w:val="00E33E3F"/>
    <w:rsid w:val="00E36574"/>
    <w:rsid w:val="00E401E0"/>
    <w:rsid w:val="00E56472"/>
    <w:rsid w:val="00E6243E"/>
    <w:rsid w:val="00E63777"/>
    <w:rsid w:val="00E63D3D"/>
    <w:rsid w:val="00E67DEE"/>
    <w:rsid w:val="00E73240"/>
    <w:rsid w:val="00E74208"/>
    <w:rsid w:val="00E752D8"/>
    <w:rsid w:val="00E82D0D"/>
    <w:rsid w:val="00E95B8E"/>
    <w:rsid w:val="00EB0F53"/>
    <w:rsid w:val="00EB43D4"/>
    <w:rsid w:val="00EB4786"/>
    <w:rsid w:val="00EB52BC"/>
    <w:rsid w:val="00EC03FE"/>
    <w:rsid w:val="00EC0D7C"/>
    <w:rsid w:val="00EC375E"/>
    <w:rsid w:val="00EC391D"/>
    <w:rsid w:val="00ED3743"/>
    <w:rsid w:val="00ED5407"/>
    <w:rsid w:val="00EE6EA2"/>
    <w:rsid w:val="00EF5D16"/>
    <w:rsid w:val="00EF5F2C"/>
    <w:rsid w:val="00EF6FCB"/>
    <w:rsid w:val="00F063EC"/>
    <w:rsid w:val="00F1123B"/>
    <w:rsid w:val="00F1295B"/>
    <w:rsid w:val="00F12B9F"/>
    <w:rsid w:val="00F209FB"/>
    <w:rsid w:val="00F213FF"/>
    <w:rsid w:val="00F25F0A"/>
    <w:rsid w:val="00F300C9"/>
    <w:rsid w:val="00F33192"/>
    <w:rsid w:val="00F351E9"/>
    <w:rsid w:val="00F46ED9"/>
    <w:rsid w:val="00F503C9"/>
    <w:rsid w:val="00F54F1B"/>
    <w:rsid w:val="00F6477E"/>
    <w:rsid w:val="00F64E6C"/>
    <w:rsid w:val="00F6717A"/>
    <w:rsid w:val="00F71BEA"/>
    <w:rsid w:val="00F72775"/>
    <w:rsid w:val="00F743A9"/>
    <w:rsid w:val="00F74D57"/>
    <w:rsid w:val="00F75964"/>
    <w:rsid w:val="00F776CB"/>
    <w:rsid w:val="00F8330D"/>
    <w:rsid w:val="00F8552F"/>
    <w:rsid w:val="00F9062A"/>
    <w:rsid w:val="00F90BA6"/>
    <w:rsid w:val="00F918EF"/>
    <w:rsid w:val="00F91ACE"/>
    <w:rsid w:val="00FA0B8D"/>
    <w:rsid w:val="00FA0D94"/>
    <w:rsid w:val="00FD68CB"/>
    <w:rsid w:val="00FD7D46"/>
    <w:rsid w:val="00FF5C9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8"/>
    <o:shapelayout v:ext="edit">
      <o:idmap v:ext="edit" data="1"/>
      <o:rules v:ext="edit">
        <o:r id="V:Rule13" type="connector" idref="#_x0000_s1027"/>
        <o:r id="V:Rule14" type="connector" idref="#_x0000_s1046"/>
        <o:r id="V:Rule15" type="connector" idref="#_x0000_s1036"/>
        <o:r id="V:Rule16" type="connector" idref="#_x0000_s1035"/>
        <o:r id="V:Rule17" type="connector" idref="#_x0000_s1028"/>
        <o:r id="V:Rule18" type="connector" idref="#_x0000_s1041"/>
        <o:r id="V:Rule19" type="connector" idref="#_x0000_s1047"/>
        <o:r id="V:Rule20" type="connector" idref="#_x0000_s1043"/>
        <o:r id="V:Rule21" type="connector" idref="#_x0000_s1048"/>
        <o:r id="V:Rule22" type="connector" idref="#_x0000_s1040"/>
        <o:r id="V:Rule23" type="connector" idref="#_x0000_s1034"/>
        <o:r id="V:Rule2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21A87"/>
    <w:pPr>
      <w:spacing w:before="120"/>
    </w:pPr>
    <w:rPr>
      <w:rFonts w:ascii="Arial" w:hAnsi="Arial"/>
      <w:sz w:val="22"/>
      <w:szCs w:val="24"/>
    </w:rPr>
  </w:style>
  <w:style w:type="paragraph" w:styleId="Heading1">
    <w:name w:val="heading 1"/>
    <w:basedOn w:val="Normal"/>
    <w:next w:val="Normal"/>
    <w:link w:val="Heading1Char"/>
    <w:uiPriority w:val="99"/>
    <w:qFormat/>
    <w:rsid w:val="00862C48"/>
    <w:pPr>
      <w:keepNext/>
      <w:numPr>
        <w:numId w:val="30"/>
      </w:numPr>
      <w:pBdr>
        <w:bottom w:val="single" w:sz="4" w:space="1" w:color="auto"/>
      </w:pBdr>
      <w:spacing w:before="240"/>
      <w:ind w:left="720" w:hanging="720"/>
      <w:outlineLvl w:val="0"/>
    </w:pPr>
    <w:rPr>
      <w:rFonts w:ascii="Arial Bold" w:hAnsi="Arial Bold"/>
      <w:b/>
      <w:caps/>
      <w:kern w:val="32"/>
      <w:sz w:val="24"/>
      <w:szCs w:val="20"/>
    </w:rPr>
  </w:style>
  <w:style w:type="paragraph" w:styleId="Heading2">
    <w:name w:val="heading 2"/>
    <w:basedOn w:val="Normal"/>
    <w:next w:val="Normal"/>
    <w:link w:val="Heading2Char"/>
    <w:uiPriority w:val="99"/>
    <w:qFormat/>
    <w:rsid w:val="006934BC"/>
    <w:pPr>
      <w:numPr>
        <w:ilvl w:val="1"/>
        <w:numId w:val="30"/>
      </w:numPr>
      <w:spacing w:before="240"/>
      <w:contextualSpacing/>
      <w:outlineLvl w:val="1"/>
    </w:pPr>
    <w:rPr>
      <w:b/>
      <w:sz w:val="24"/>
    </w:rPr>
  </w:style>
  <w:style w:type="paragraph" w:styleId="Heading3">
    <w:name w:val="heading 3"/>
    <w:basedOn w:val="Normal"/>
    <w:next w:val="Normal"/>
    <w:link w:val="Heading3Char"/>
    <w:uiPriority w:val="99"/>
    <w:qFormat/>
    <w:rsid w:val="006934BC"/>
    <w:pPr>
      <w:tabs>
        <w:tab w:val="num" w:pos="432"/>
      </w:tabs>
      <w:spacing w:before="240"/>
      <w:outlineLvl w:val="2"/>
    </w:pPr>
    <w:rPr>
      <w:rFonts w:cs="Arial"/>
      <w:b/>
      <w:i/>
      <w:color w:val="000000"/>
    </w:rPr>
  </w:style>
  <w:style w:type="paragraph" w:styleId="Heading4">
    <w:name w:val="heading 4"/>
    <w:basedOn w:val="Normal"/>
    <w:next w:val="Normal"/>
    <w:link w:val="Heading4Char"/>
    <w:uiPriority w:val="99"/>
    <w:qFormat/>
    <w:rsid w:val="006934BC"/>
    <w:pPr>
      <w:tabs>
        <w:tab w:val="num" w:pos="432"/>
      </w:tabs>
      <w:outlineLvl w:val="3"/>
    </w:pPr>
    <w:rPr>
      <w:rFonts w:cs="Arial"/>
      <w:bCs/>
      <w:i/>
      <w:iCs/>
    </w:rPr>
  </w:style>
  <w:style w:type="paragraph" w:styleId="Heading5">
    <w:name w:val="heading 5"/>
    <w:basedOn w:val="Normal"/>
    <w:next w:val="Normal"/>
    <w:link w:val="Heading5Char"/>
    <w:uiPriority w:val="99"/>
    <w:qFormat/>
    <w:rsid w:val="00C00699"/>
    <w:pPr>
      <w:keepNext/>
      <w:keepLines/>
      <w:numPr>
        <w:ilvl w:val="4"/>
        <w:numId w:val="2"/>
      </w:numPr>
      <w:spacing w:before="200"/>
      <w:outlineLvl w:val="4"/>
    </w:pPr>
    <w:rPr>
      <w:rFonts w:ascii="Cambria" w:eastAsia="SimSun" w:hAnsi="Cambria"/>
      <w:color w:val="243F60"/>
    </w:rPr>
  </w:style>
  <w:style w:type="paragraph" w:styleId="Heading6">
    <w:name w:val="heading 6"/>
    <w:basedOn w:val="Normal"/>
    <w:next w:val="Normal"/>
    <w:link w:val="Heading6Char"/>
    <w:uiPriority w:val="99"/>
    <w:qFormat/>
    <w:rsid w:val="00C00699"/>
    <w:pPr>
      <w:keepNext/>
      <w:keepLines/>
      <w:numPr>
        <w:ilvl w:val="5"/>
        <w:numId w:val="2"/>
      </w:numPr>
      <w:spacing w:before="200"/>
      <w:outlineLvl w:val="5"/>
    </w:pPr>
    <w:rPr>
      <w:rFonts w:ascii="Cambria" w:eastAsia="SimSun" w:hAnsi="Cambria"/>
      <w:i/>
      <w:iCs/>
      <w:color w:val="243F60"/>
    </w:rPr>
  </w:style>
  <w:style w:type="paragraph" w:styleId="Heading7">
    <w:name w:val="heading 7"/>
    <w:basedOn w:val="Normal"/>
    <w:next w:val="Normal"/>
    <w:link w:val="Heading7Char"/>
    <w:uiPriority w:val="99"/>
    <w:qFormat/>
    <w:rsid w:val="00C00699"/>
    <w:pPr>
      <w:keepNext/>
      <w:keepLines/>
      <w:numPr>
        <w:ilvl w:val="6"/>
        <w:numId w:val="2"/>
      </w:numPr>
      <w:spacing w:before="200"/>
      <w:outlineLvl w:val="6"/>
    </w:pPr>
    <w:rPr>
      <w:rFonts w:ascii="Cambria" w:eastAsia="SimSun" w:hAnsi="Cambria"/>
      <w:i/>
      <w:iCs/>
      <w:color w:val="404040"/>
    </w:rPr>
  </w:style>
  <w:style w:type="paragraph" w:styleId="Heading8">
    <w:name w:val="heading 8"/>
    <w:basedOn w:val="Normal"/>
    <w:next w:val="Normal"/>
    <w:link w:val="Heading8Char"/>
    <w:uiPriority w:val="99"/>
    <w:qFormat/>
    <w:rsid w:val="00C00699"/>
    <w:pPr>
      <w:keepNext/>
      <w:keepLines/>
      <w:numPr>
        <w:ilvl w:val="7"/>
        <w:numId w:val="2"/>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uiPriority w:val="99"/>
    <w:qFormat/>
    <w:rsid w:val="00C00699"/>
    <w:pPr>
      <w:keepNext/>
      <w:keepLines/>
      <w:numPr>
        <w:ilvl w:val="8"/>
        <w:numId w:val="2"/>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2C48"/>
    <w:rPr>
      <w:rFonts w:ascii="Arial Bold" w:hAnsi="Arial Bold" w:cs="Times New Roman"/>
      <w:b/>
      <w:caps/>
      <w:kern w:val="32"/>
      <w:sz w:val="24"/>
      <w:lang w:val="en-AU" w:eastAsia="en-AU" w:bidi="ar-SA"/>
    </w:rPr>
  </w:style>
  <w:style w:type="character" w:customStyle="1" w:styleId="Heading2Char">
    <w:name w:val="Heading 2 Char"/>
    <w:basedOn w:val="DefaultParagraphFont"/>
    <w:link w:val="Heading2"/>
    <w:uiPriority w:val="99"/>
    <w:locked/>
    <w:rsid w:val="00C00699"/>
    <w:rPr>
      <w:rFonts w:ascii="Arial" w:hAnsi="Arial" w:cs="Times New Roman"/>
      <w:b/>
      <w:sz w:val="24"/>
      <w:szCs w:val="24"/>
      <w:lang w:val="en-AU" w:eastAsia="en-AU" w:bidi="ar-SA"/>
    </w:rPr>
  </w:style>
  <w:style w:type="character" w:customStyle="1" w:styleId="Heading3Char">
    <w:name w:val="Heading 3 Char"/>
    <w:basedOn w:val="DefaultParagraphFont"/>
    <w:link w:val="Heading3"/>
    <w:uiPriority w:val="99"/>
    <w:semiHidden/>
    <w:locked/>
    <w:rsid w:val="00C00699"/>
    <w:rPr>
      <w:rFonts w:ascii="Arial" w:hAnsi="Arial" w:cs="Arial"/>
      <w:b/>
      <w:i/>
      <w:color w:val="000000"/>
      <w:sz w:val="22"/>
      <w:szCs w:val="22"/>
      <w:lang w:val="en-AU" w:eastAsia="en-AU" w:bidi="ar-SA"/>
    </w:rPr>
  </w:style>
  <w:style w:type="character" w:customStyle="1" w:styleId="Heading4Char">
    <w:name w:val="Heading 4 Char"/>
    <w:basedOn w:val="DefaultParagraphFont"/>
    <w:link w:val="Heading4"/>
    <w:uiPriority w:val="99"/>
    <w:semiHidden/>
    <w:locked/>
    <w:rsid w:val="00C00699"/>
    <w:rPr>
      <w:rFonts w:ascii="Arial" w:hAnsi="Arial" w:cs="Arial"/>
      <w:bCs/>
      <w:i/>
      <w:iCs/>
      <w:sz w:val="22"/>
      <w:szCs w:val="22"/>
      <w:lang w:val="en-AU" w:eastAsia="en-AU" w:bidi="ar-SA"/>
    </w:rPr>
  </w:style>
  <w:style w:type="character" w:customStyle="1" w:styleId="Heading5Char">
    <w:name w:val="Heading 5 Char"/>
    <w:basedOn w:val="DefaultParagraphFont"/>
    <w:link w:val="Heading5"/>
    <w:uiPriority w:val="99"/>
    <w:semiHidden/>
    <w:locked/>
    <w:rsid w:val="00C00699"/>
    <w:rPr>
      <w:rFonts w:ascii="Cambria" w:eastAsia="SimSun" w:hAnsi="Cambria" w:cs="Times New Roman"/>
      <w:color w:val="243F60"/>
      <w:sz w:val="24"/>
      <w:szCs w:val="24"/>
      <w:lang w:val="en-AU" w:eastAsia="en-AU" w:bidi="ar-SA"/>
    </w:rPr>
  </w:style>
  <w:style w:type="character" w:customStyle="1" w:styleId="Heading6Char">
    <w:name w:val="Heading 6 Char"/>
    <w:basedOn w:val="DefaultParagraphFont"/>
    <w:link w:val="Heading6"/>
    <w:uiPriority w:val="99"/>
    <w:semiHidden/>
    <w:locked/>
    <w:rsid w:val="00C00699"/>
    <w:rPr>
      <w:rFonts w:ascii="Cambria" w:eastAsia="SimSun" w:hAnsi="Cambria" w:cs="Times New Roman"/>
      <w:i/>
      <w:iCs/>
      <w:color w:val="243F60"/>
      <w:sz w:val="24"/>
      <w:szCs w:val="24"/>
      <w:lang w:val="en-AU" w:eastAsia="en-AU" w:bidi="ar-SA"/>
    </w:rPr>
  </w:style>
  <w:style w:type="character" w:customStyle="1" w:styleId="Heading7Char">
    <w:name w:val="Heading 7 Char"/>
    <w:basedOn w:val="DefaultParagraphFont"/>
    <w:link w:val="Heading7"/>
    <w:uiPriority w:val="99"/>
    <w:semiHidden/>
    <w:locked/>
    <w:rsid w:val="00C00699"/>
    <w:rPr>
      <w:rFonts w:ascii="Cambria" w:eastAsia="SimSun" w:hAnsi="Cambria" w:cs="Times New Roman"/>
      <w:i/>
      <w:iCs/>
      <w:color w:val="404040"/>
      <w:sz w:val="24"/>
      <w:szCs w:val="24"/>
      <w:lang w:val="en-AU" w:eastAsia="en-AU" w:bidi="ar-SA"/>
    </w:rPr>
  </w:style>
  <w:style w:type="character" w:customStyle="1" w:styleId="Heading8Char">
    <w:name w:val="Heading 8 Char"/>
    <w:basedOn w:val="DefaultParagraphFont"/>
    <w:link w:val="Heading8"/>
    <w:uiPriority w:val="99"/>
    <w:semiHidden/>
    <w:locked/>
    <w:rsid w:val="00C00699"/>
    <w:rPr>
      <w:rFonts w:ascii="Cambria" w:eastAsia="SimSun" w:hAnsi="Cambria" w:cs="Times New Roman"/>
      <w:color w:val="404040"/>
      <w:lang w:val="en-AU" w:eastAsia="en-AU" w:bidi="ar-SA"/>
    </w:rPr>
  </w:style>
  <w:style w:type="character" w:customStyle="1" w:styleId="Heading9Char">
    <w:name w:val="Heading 9 Char"/>
    <w:basedOn w:val="DefaultParagraphFont"/>
    <w:link w:val="Heading9"/>
    <w:uiPriority w:val="99"/>
    <w:semiHidden/>
    <w:locked/>
    <w:rsid w:val="00C00699"/>
    <w:rPr>
      <w:rFonts w:ascii="Cambria" w:eastAsia="SimSun" w:hAnsi="Cambria" w:cs="Times New Roman"/>
      <w:i/>
      <w:iCs/>
      <w:color w:val="404040"/>
      <w:lang w:val="en-AU" w:eastAsia="en-AU" w:bidi="ar-SA"/>
    </w:rPr>
  </w:style>
  <w:style w:type="paragraph" w:styleId="ListParagraph">
    <w:name w:val="List Paragraph"/>
    <w:basedOn w:val="Normal"/>
    <w:uiPriority w:val="99"/>
    <w:qFormat/>
    <w:rsid w:val="00CC148D"/>
    <w:pPr>
      <w:ind w:left="720"/>
      <w:contextualSpacing/>
    </w:pPr>
  </w:style>
  <w:style w:type="paragraph" w:styleId="Header">
    <w:name w:val="header"/>
    <w:basedOn w:val="Normal"/>
    <w:link w:val="HeaderChar"/>
    <w:uiPriority w:val="99"/>
    <w:rsid w:val="005A4C62"/>
    <w:pPr>
      <w:tabs>
        <w:tab w:val="center" w:pos="4513"/>
        <w:tab w:val="right" w:pos="9026"/>
      </w:tabs>
    </w:pPr>
  </w:style>
  <w:style w:type="character" w:customStyle="1" w:styleId="HeaderChar">
    <w:name w:val="Header Char"/>
    <w:basedOn w:val="DefaultParagraphFont"/>
    <w:link w:val="Header"/>
    <w:uiPriority w:val="99"/>
    <w:locked/>
    <w:rsid w:val="005A4C62"/>
    <w:rPr>
      <w:rFonts w:cs="Times New Roman"/>
    </w:rPr>
  </w:style>
  <w:style w:type="paragraph" w:styleId="Footer">
    <w:name w:val="footer"/>
    <w:basedOn w:val="Normal"/>
    <w:link w:val="FooterChar"/>
    <w:uiPriority w:val="99"/>
    <w:semiHidden/>
    <w:rsid w:val="006934BC"/>
    <w:pPr>
      <w:tabs>
        <w:tab w:val="center" w:pos="4153"/>
        <w:tab w:val="right" w:pos="8306"/>
      </w:tabs>
    </w:pPr>
  </w:style>
  <w:style w:type="character" w:customStyle="1" w:styleId="FooterChar">
    <w:name w:val="Footer Char"/>
    <w:basedOn w:val="DefaultParagraphFont"/>
    <w:link w:val="Footer"/>
    <w:uiPriority w:val="99"/>
    <w:locked/>
    <w:rsid w:val="005A4C62"/>
    <w:rPr>
      <w:rFonts w:ascii="Arial" w:hAnsi="Arial" w:cs="Times New Roman"/>
      <w:sz w:val="24"/>
      <w:szCs w:val="24"/>
      <w:lang w:val="en-AU" w:eastAsia="en-AU" w:bidi="ar-SA"/>
    </w:rPr>
  </w:style>
  <w:style w:type="paragraph" w:styleId="BalloonText">
    <w:name w:val="Balloon Text"/>
    <w:basedOn w:val="Normal"/>
    <w:link w:val="BalloonTextChar"/>
    <w:uiPriority w:val="99"/>
    <w:semiHidden/>
    <w:rsid w:val="005A4C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4C62"/>
    <w:rPr>
      <w:rFonts w:ascii="Tahoma" w:hAnsi="Tahoma" w:cs="Tahoma"/>
      <w:sz w:val="16"/>
      <w:szCs w:val="16"/>
    </w:rPr>
  </w:style>
  <w:style w:type="character" w:styleId="Hyperlink">
    <w:name w:val="Hyperlink"/>
    <w:basedOn w:val="DefaultParagraphFont"/>
    <w:uiPriority w:val="99"/>
    <w:rsid w:val="00120D62"/>
    <w:rPr>
      <w:rFonts w:cs="Times New Roman"/>
      <w:color w:val="0000FF"/>
      <w:u w:val="single"/>
    </w:rPr>
  </w:style>
  <w:style w:type="paragraph" w:styleId="FootnoteText">
    <w:name w:val="footnote text"/>
    <w:basedOn w:val="Normal"/>
    <w:link w:val="FootnoteTextChar"/>
    <w:uiPriority w:val="99"/>
    <w:semiHidden/>
    <w:rsid w:val="006934BC"/>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120D62"/>
    <w:rPr>
      <w:rFonts w:cs="Times New Roman"/>
      <w:lang w:val="en-AU" w:eastAsia="en-AU" w:bidi="ar-SA"/>
    </w:rPr>
  </w:style>
  <w:style w:type="character" w:styleId="FootnoteReference">
    <w:name w:val="footnote reference"/>
    <w:basedOn w:val="DefaultParagraphFont"/>
    <w:uiPriority w:val="99"/>
    <w:semiHidden/>
    <w:rsid w:val="006934BC"/>
    <w:rPr>
      <w:rFonts w:cs="Times New Roman"/>
      <w:vertAlign w:val="superscript"/>
    </w:rPr>
  </w:style>
  <w:style w:type="paragraph" w:styleId="TOC1">
    <w:name w:val="toc 1"/>
    <w:basedOn w:val="Normal"/>
    <w:next w:val="Normal"/>
    <w:autoRedefine/>
    <w:uiPriority w:val="39"/>
    <w:rsid w:val="006934BC"/>
    <w:pPr>
      <w:tabs>
        <w:tab w:val="left" w:pos="567"/>
        <w:tab w:val="right" w:leader="dot" w:pos="9498"/>
      </w:tabs>
      <w:ind w:left="567" w:hanging="567"/>
    </w:pPr>
    <w:rPr>
      <w:rFonts w:ascii="Arial Bold" w:hAnsi="Arial Bold" w:cs="Arial"/>
      <w:b/>
      <w:caps/>
      <w:noProof/>
      <w:sz w:val="24"/>
      <w:szCs w:val="22"/>
    </w:rPr>
  </w:style>
  <w:style w:type="paragraph" w:styleId="TOC2">
    <w:name w:val="toc 2"/>
    <w:basedOn w:val="Normal"/>
    <w:next w:val="Normal"/>
    <w:autoRedefine/>
    <w:uiPriority w:val="39"/>
    <w:rsid w:val="006934BC"/>
    <w:pPr>
      <w:tabs>
        <w:tab w:val="left" w:pos="960"/>
        <w:tab w:val="right" w:leader="dot" w:pos="9498"/>
      </w:tabs>
      <w:spacing w:before="0"/>
      <w:ind w:left="238"/>
    </w:pPr>
    <w:rPr>
      <w:rFonts w:cs="Arial"/>
      <w:bCs/>
      <w:kern w:val="32"/>
      <w:szCs w:val="32"/>
    </w:rPr>
  </w:style>
  <w:style w:type="paragraph" w:styleId="TOC3">
    <w:name w:val="toc 3"/>
    <w:basedOn w:val="Normal"/>
    <w:next w:val="Normal"/>
    <w:autoRedefine/>
    <w:uiPriority w:val="99"/>
    <w:semiHidden/>
    <w:rsid w:val="006934BC"/>
    <w:pPr>
      <w:tabs>
        <w:tab w:val="num" w:pos="432"/>
      </w:tabs>
      <w:spacing w:before="0" w:after="120"/>
      <w:ind w:left="442"/>
    </w:pPr>
    <w:rPr>
      <w:rFonts w:cs="Arial"/>
      <w:b/>
      <w:i/>
      <w:color w:val="000000"/>
      <w:szCs w:val="22"/>
    </w:rPr>
  </w:style>
  <w:style w:type="paragraph" w:styleId="CommentText">
    <w:name w:val="annotation text"/>
    <w:basedOn w:val="Normal"/>
    <w:link w:val="CommentTextChar"/>
    <w:uiPriority w:val="99"/>
    <w:semiHidden/>
    <w:rsid w:val="00BF7477"/>
    <w:rPr>
      <w:sz w:val="20"/>
      <w:szCs w:val="20"/>
    </w:rPr>
  </w:style>
  <w:style w:type="character" w:customStyle="1" w:styleId="CommentTextChar">
    <w:name w:val="Comment Text Char"/>
    <w:basedOn w:val="DefaultParagraphFont"/>
    <w:link w:val="CommentText"/>
    <w:uiPriority w:val="99"/>
    <w:semiHidden/>
    <w:locked/>
    <w:rsid w:val="00BF7477"/>
    <w:rPr>
      <w:rFonts w:cs="Times New Roman"/>
      <w:sz w:val="20"/>
      <w:szCs w:val="20"/>
    </w:rPr>
  </w:style>
  <w:style w:type="character" w:styleId="CommentReference">
    <w:name w:val="annotation reference"/>
    <w:basedOn w:val="DefaultParagraphFont"/>
    <w:uiPriority w:val="99"/>
    <w:semiHidden/>
    <w:rsid w:val="00BF7477"/>
    <w:rPr>
      <w:rFonts w:cs="Times New Roman"/>
      <w:sz w:val="16"/>
      <w:szCs w:val="16"/>
    </w:rPr>
  </w:style>
  <w:style w:type="paragraph" w:styleId="Revision">
    <w:name w:val="Revision"/>
    <w:hidden/>
    <w:uiPriority w:val="99"/>
    <w:semiHidden/>
    <w:rsid w:val="00ED5407"/>
    <w:rPr>
      <w:sz w:val="22"/>
      <w:szCs w:val="22"/>
      <w:lang w:eastAsia="en-US"/>
    </w:rPr>
  </w:style>
  <w:style w:type="table" w:styleId="TableGrid">
    <w:name w:val="Table Grid"/>
    <w:basedOn w:val="TableNormal"/>
    <w:uiPriority w:val="99"/>
    <w:rsid w:val="000F1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A">
    <w:name w:val="Heading A"/>
    <w:basedOn w:val="Normal"/>
    <w:uiPriority w:val="99"/>
    <w:rsid w:val="00EC03FE"/>
    <w:pPr>
      <w:spacing w:after="60"/>
    </w:pPr>
    <w:rPr>
      <w:b/>
      <w:sz w:val="28"/>
      <w:szCs w:val="28"/>
    </w:rPr>
  </w:style>
  <w:style w:type="paragraph" w:customStyle="1" w:styleId="BoxText">
    <w:name w:val="Box Text"/>
    <w:basedOn w:val="Normal"/>
    <w:uiPriority w:val="99"/>
    <w:rsid w:val="006934BC"/>
    <w:pPr>
      <w:pBdr>
        <w:top w:val="single" w:sz="4" w:space="1" w:color="auto"/>
        <w:left w:val="single" w:sz="4" w:space="4" w:color="auto"/>
        <w:bottom w:val="single" w:sz="4" w:space="7" w:color="auto"/>
        <w:right w:val="single" w:sz="4" w:space="4" w:color="auto"/>
      </w:pBdr>
      <w:shd w:val="clear" w:color="auto" w:fill="D9D9D9"/>
    </w:pPr>
    <w:rPr>
      <w:rFonts w:cs="Arial"/>
      <w:color w:val="000000"/>
    </w:rPr>
  </w:style>
  <w:style w:type="paragraph" w:customStyle="1" w:styleId="BoxBullet">
    <w:name w:val="Box Bullet"/>
    <w:basedOn w:val="BoxText"/>
    <w:uiPriority w:val="99"/>
    <w:rsid w:val="006934BC"/>
    <w:pPr>
      <w:numPr>
        <w:numId w:val="27"/>
      </w:numPr>
      <w:spacing w:before="60"/>
    </w:pPr>
  </w:style>
  <w:style w:type="paragraph" w:customStyle="1" w:styleId="Bullet1">
    <w:name w:val="Bullet 1"/>
    <w:basedOn w:val="Normal"/>
    <w:uiPriority w:val="99"/>
    <w:rsid w:val="006934BC"/>
    <w:pPr>
      <w:numPr>
        <w:numId w:val="28"/>
      </w:numPr>
      <w:spacing w:before="60"/>
    </w:pPr>
  </w:style>
  <w:style w:type="paragraph" w:styleId="Caption">
    <w:name w:val="caption"/>
    <w:basedOn w:val="Normal"/>
    <w:next w:val="Normal"/>
    <w:uiPriority w:val="99"/>
    <w:qFormat/>
    <w:locked/>
    <w:rsid w:val="006934BC"/>
    <w:rPr>
      <w:b/>
      <w:bCs/>
      <w:sz w:val="20"/>
      <w:szCs w:val="20"/>
    </w:rPr>
  </w:style>
  <w:style w:type="paragraph" w:customStyle="1" w:styleId="HeadingPlain">
    <w:name w:val="Heading Plain"/>
    <w:basedOn w:val="Heading1"/>
    <w:uiPriority w:val="99"/>
    <w:rsid w:val="00862C48"/>
    <w:pPr>
      <w:keepNext w:val="0"/>
      <w:widowControl w:val="0"/>
      <w:numPr>
        <w:numId w:val="0"/>
      </w:numPr>
      <w:tabs>
        <w:tab w:val="left" w:pos="720"/>
      </w:tabs>
    </w:pPr>
    <w:rPr>
      <w:szCs w:val="24"/>
    </w:rPr>
  </w:style>
  <w:style w:type="paragraph" w:customStyle="1" w:styleId="HeadingTOC">
    <w:name w:val="Heading: TOC"/>
    <w:basedOn w:val="Normal"/>
    <w:uiPriority w:val="99"/>
    <w:rsid w:val="006934BC"/>
    <w:pPr>
      <w:autoSpaceDE w:val="0"/>
      <w:autoSpaceDN w:val="0"/>
      <w:adjustRightInd w:val="0"/>
      <w:jc w:val="center"/>
    </w:pPr>
    <w:rPr>
      <w:b/>
      <w:sz w:val="24"/>
    </w:rPr>
  </w:style>
  <w:style w:type="paragraph" w:styleId="NormalIndent">
    <w:name w:val="Normal Indent"/>
    <w:basedOn w:val="Normal"/>
    <w:uiPriority w:val="99"/>
    <w:semiHidden/>
    <w:rsid w:val="006934BC"/>
    <w:pPr>
      <w:ind w:left="720"/>
    </w:pPr>
  </w:style>
  <w:style w:type="paragraph" w:customStyle="1" w:styleId="TableBold">
    <w:name w:val="Table Bold"/>
    <w:basedOn w:val="Normal"/>
    <w:uiPriority w:val="99"/>
    <w:rsid w:val="006934BC"/>
    <w:pPr>
      <w:spacing w:before="60" w:after="60"/>
      <w:contextualSpacing/>
    </w:pPr>
    <w:rPr>
      <w:b/>
      <w:szCs w:val="22"/>
    </w:rPr>
  </w:style>
  <w:style w:type="paragraph" w:customStyle="1" w:styleId="TableBoldCentre">
    <w:name w:val="Table Bold Centre"/>
    <w:basedOn w:val="Normal"/>
    <w:uiPriority w:val="99"/>
    <w:rsid w:val="006934BC"/>
    <w:pPr>
      <w:jc w:val="center"/>
    </w:pPr>
    <w:rPr>
      <w:b/>
    </w:rPr>
  </w:style>
  <w:style w:type="paragraph" w:customStyle="1" w:styleId="TableBoldItalic">
    <w:name w:val="Table Bold Italic"/>
    <w:basedOn w:val="Normal"/>
    <w:uiPriority w:val="99"/>
    <w:rsid w:val="006934BC"/>
    <w:pPr>
      <w:spacing w:before="60" w:after="60"/>
    </w:pPr>
    <w:rPr>
      <w:b/>
      <w:i/>
      <w:szCs w:val="22"/>
    </w:rPr>
  </w:style>
  <w:style w:type="paragraph" w:customStyle="1" w:styleId="TableBullet">
    <w:name w:val="Table Bullet"/>
    <w:basedOn w:val="Normal"/>
    <w:uiPriority w:val="99"/>
    <w:rsid w:val="000D428E"/>
    <w:pPr>
      <w:numPr>
        <w:numId w:val="31"/>
      </w:numPr>
      <w:spacing w:before="60"/>
      <w:contextualSpacing/>
    </w:pPr>
    <w:rPr>
      <w:szCs w:val="22"/>
    </w:rPr>
  </w:style>
  <w:style w:type="paragraph" w:customStyle="1" w:styleId="TableText">
    <w:name w:val="Table Text"/>
    <w:basedOn w:val="Normal"/>
    <w:uiPriority w:val="99"/>
    <w:rsid w:val="000D428E"/>
    <w:pPr>
      <w:spacing w:before="60"/>
    </w:pPr>
    <w:rPr>
      <w:rFonts w:cs="Arial"/>
      <w:szCs w:val="20"/>
    </w:rPr>
  </w:style>
  <w:style w:type="paragraph" w:customStyle="1" w:styleId="TableTextBold">
    <w:name w:val="Table Text Bold"/>
    <w:basedOn w:val="TableText"/>
    <w:uiPriority w:val="99"/>
    <w:rsid w:val="006934BC"/>
    <w:rPr>
      <w:b/>
    </w:rPr>
  </w:style>
  <w:style w:type="paragraph" w:customStyle="1" w:styleId="TitlePage1">
    <w:name w:val="Title Page 1"/>
    <w:basedOn w:val="Normal"/>
    <w:uiPriority w:val="99"/>
    <w:rsid w:val="006934BC"/>
    <w:pPr>
      <w:spacing w:after="120"/>
      <w:jc w:val="center"/>
    </w:pPr>
    <w:rPr>
      <w:rFonts w:cs="Arial"/>
      <w:b/>
      <w:sz w:val="52"/>
      <w:szCs w:val="52"/>
    </w:rPr>
  </w:style>
  <w:style w:type="paragraph" w:customStyle="1" w:styleId="TitlePage2">
    <w:name w:val="Title Page 2"/>
    <w:basedOn w:val="Normal"/>
    <w:uiPriority w:val="99"/>
    <w:rsid w:val="006934BC"/>
    <w:pPr>
      <w:autoSpaceDE w:val="0"/>
      <w:autoSpaceDN w:val="0"/>
      <w:adjustRightInd w:val="0"/>
      <w:jc w:val="center"/>
    </w:pPr>
    <w:rPr>
      <w:rFonts w:cs="Arial"/>
      <w:b/>
      <w:bCs/>
      <w:i/>
      <w:color w:val="000000"/>
      <w:sz w:val="44"/>
      <w:szCs w:val="44"/>
    </w:rPr>
  </w:style>
  <w:style w:type="paragraph" w:customStyle="1" w:styleId="TitlePage3">
    <w:name w:val="Title Page 3"/>
    <w:basedOn w:val="Normal"/>
    <w:uiPriority w:val="99"/>
    <w:rsid w:val="006934BC"/>
    <w:pPr>
      <w:autoSpaceDE w:val="0"/>
      <w:autoSpaceDN w:val="0"/>
      <w:adjustRightInd w:val="0"/>
      <w:jc w:val="center"/>
    </w:pPr>
    <w:rPr>
      <w:rFonts w:cs="Arial"/>
      <w:b/>
      <w:bCs/>
      <w:color w:val="000000"/>
      <w:sz w:val="44"/>
      <w:szCs w:val="44"/>
    </w:rPr>
  </w:style>
  <w:style w:type="character" w:styleId="PageNumber">
    <w:name w:val="page number"/>
    <w:basedOn w:val="DefaultParagraphFont"/>
    <w:uiPriority w:val="99"/>
    <w:locked/>
    <w:rsid w:val="00905CF3"/>
    <w:rPr>
      <w:rFonts w:cs="Times New Roman"/>
    </w:rPr>
  </w:style>
  <w:style w:type="paragraph" w:styleId="CommentSubject">
    <w:name w:val="annotation subject"/>
    <w:basedOn w:val="CommentText"/>
    <w:next w:val="CommentText"/>
    <w:link w:val="CommentSubjectChar"/>
    <w:uiPriority w:val="99"/>
    <w:semiHidden/>
    <w:locked/>
    <w:rsid w:val="00C62343"/>
    <w:rPr>
      <w:b/>
      <w:bCs/>
    </w:rPr>
  </w:style>
  <w:style w:type="character" w:customStyle="1" w:styleId="CommentSubjectChar">
    <w:name w:val="Comment Subject Char"/>
    <w:basedOn w:val="CommentTextChar"/>
    <w:link w:val="CommentSubject"/>
    <w:uiPriority w:val="99"/>
    <w:semiHidden/>
    <w:locked/>
    <w:rsid w:val="00C62343"/>
    <w:rPr>
      <w:rFonts w:ascii="Arial" w:hAnsi="Arial"/>
      <w:b/>
      <w:bCs/>
      <w:lang w:eastAsia="en-AU"/>
    </w:rPr>
  </w:style>
  <w:style w:type="paragraph" w:customStyle="1" w:styleId="Bullet2">
    <w:name w:val="Bullet 2"/>
    <w:basedOn w:val="Normal"/>
    <w:link w:val="Bullet2Char"/>
    <w:uiPriority w:val="99"/>
    <w:rsid w:val="00EF5D16"/>
    <w:pPr>
      <w:numPr>
        <w:numId w:val="43"/>
      </w:numPr>
      <w:autoSpaceDE w:val="0"/>
      <w:autoSpaceDN w:val="0"/>
      <w:adjustRightInd w:val="0"/>
      <w:spacing w:before="60"/>
      <w:ind w:left="1071" w:hanging="357"/>
    </w:pPr>
    <w:rPr>
      <w:rFonts w:eastAsia="Times New Roman" w:cs="Arial"/>
      <w:szCs w:val="22"/>
    </w:rPr>
  </w:style>
  <w:style w:type="character" w:customStyle="1" w:styleId="Bullet2Char">
    <w:name w:val="Bullet 2 Char"/>
    <w:basedOn w:val="DefaultParagraphFont"/>
    <w:link w:val="Bullet2"/>
    <w:uiPriority w:val="99"/>
    <w:locked/>
    <w:rsid w:val="00EF5D16"/>
    <w:rPr>
      <w:rFonts w:ascii="Arial" w:hAnsi="Arial" w:cs="Arial"/>
      <w:lang w:eastAsia="en-AU"/>
    </w:rPr>
  </w:style>
  <w:style w:type="character" w:customStyle="1" w:styleId="Bodycopyboldemphasis">
    <w:name w:val="Body copy bold (emphasis)"/>
    <w:uiPriority w:val="99"/>
    <w:rsid w:val="00766049"/>
    <w:rPr>
      <w:rFonts w:ascii="Gotham Medium" w:hAnsi="Gotham Medium" w:cs="Gotham Medium"/>
      <w:sz w:val="18"/>
      <w:szCs w:val="18"/>
    </w:rPr>
  </w:style>
  <w:style w:type="paragraph" w:styleId="NoSpacing">
    <w:name w:val="No Spacing"/>
    <w:uiPriority w:val="1"/>
    <w:qFormat/>
    <w:rsid w:val="00766049"/>
    <w:rPr>
      <w:rFonts w:ascii="Arial" w:eastAsia="Times New Roman" w:hAnsi="Arial"/>
      <w:sz w:val="22"/>
      <w:szCs w:val="24"/>
    </w:rPr>
  </w:style>
</w:styles>
</file>

<file path=word/webSettings.xml><?xml version="1.0" encoding="utf-8"?>
<w:webSettings xmlns:r="http://schemas.openxmlformats.org/officeDocument/2006/relationships" xmlns:w="http://schemas.openxmlformats.org/wordprocessingml/2006/main">
  <w:divs>
    <w:div w:id="347098153">
      <w:marLeft w:val="0"/>
      <w:marRight w:val="0"/>
      <w:marTop w:val="0"/>
      <w:marBottom w:val="0"/>
      <w:divBdr>
        <w:top w:val="none" w:sz="0" w:space="0" w:color="auto"/>
        <w:left w:val="none" w:sz="0" w:space="0" w:color="auto"/>
        <w:bottom w:val="none" w:sz="0" w:space="0" w:color="auto"/>
        <w:right w:val="none" w:sz="0" w:space="0" w:color="auto"/>
      </w:divBdr>
    </w:div>
    <w:div w:id="347098154">
      <w:marLeft w:val="0"/>
      <w:marRight w:val="0"/>
      <w:marTop w:val="0"/>
      <w:marBottom w:val="0"/>
      <w:divBdr>
        <w:top w:val="none" w:sz="0" w:space="0" w:color="auto"/>
        <w:left w:val="none" w:sz="0" w:space="0" w:color="auto"/>
        <w:bottom w:val="none" w:sz="0" w:space="0" w:color="auto"/>
        <w:right w:val="none" w:sz="0" w:space="0" w:color="auto"/>
      </w:divBdr>
    </w:div>
    <w:div w:id="347098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iaea.org/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ning.nsw.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mahbsrv.jrc.it/GuidanceDocs-SafetyReport.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e.gov.uk/comah/" TargetMode="External"/><Relationship Id="rId20" Type="http://schemas.openxmlformats.org/officeDocument/2006/relationships/hyperlink" Target="http://www.planning.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lanning.nsw.gov.au" TargetMode="Externa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mahbsrv.jrc.it/GuidanceDocs-SafetyManagementSystems.html" TargetMode="External"/><Relationship Id="rId4" Type="http://schemas.openxmlformats.org/officeDocument/2006/relationships/settings" Target="settings.xml"/><Relationship Id="rId9" Type="http://schemas.openxmlformats.org/officeDocument/2006/relationships/hyperlink" Target="http://creativecommons.org/licenses/by-nc/3.0/au/" TargetMode="External"/><Relationship Id="rId14" Type="http://schemas.openxmlformats.org/officeDocument/2006/relationships/header" Target="header3.xml"/><Relationship Id="rId22" Type="http://schemas.openxmlformats.org/officeDocument/2006/relationships/hyperlink" Target="http://www.workcover.nsw.gov.au" TargetMode="External"/><Relationship Id="rId27"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cationIdentifier xmlns="http://schemas.microsoft.com/sharepoint/v3/fields">978-0-642-33395-7</PublicationIdentifier>
    <ParentFolderID xmlns="http://schemas.microsoft.com/sharepoint/v3/fields">676</ParentFolderID>
  </documentManagement>
</p:properties>
</file>

<file path=customXml/itemProps1.xml><?xml version="1.0" encoding="utf-8"?>
<ds:datastoreItem xmlns:ds="http://schemas.openxmlformats.org/officeDocument/2006/customXml" ds:itemID="{FAFAFB7E-E9F1-4498-8199-B290FD28B86E}"/>
</file>

<file path=customXml/itemProps2.xml><?xml version="1.0" encoding="utf-8"?>
<ds:datastoreItem xmlns:ds="http://schemas.openxmlformats.org/officeDocument/2006/customXml" ds:itemID="{CF033C40-D78F-4987-BA30-64FA5325189F}"/>
</file>

<file path=customXml/itemProps3.xml><?xml version="1.0" encoding="utf-8"?>
<ds:datastoreItem xmlns:ds="http://schemas.openxmlformats.org/officeDocument/2006/customXml" ds:itemID="{4505F462-E099-4A5F-AD80-BB2CE2B82241}"/>
</file>

<file path=docProps/app.xml><?xml version="1.0" encoding="utf-8"?>
<Properties xmlns="http://schemas.openxmlformats.org/officeDocument/2006/extended-properties" xmlns:vt="http://schemas.openxmlformats.org/officeDocument/2006/docPropsVTypes">
  <Template>Normal.dotm</Template>
  <TotalTime>410</TotalTime>
  <Pages>19</Pages>
  <Words>5608</Words>
  <Characters>30717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Major Hazard Facilities - Developing a Safety Case Outlin</dc:title>
  <dc:subject/>
  <dc:creator>PARSONS,Bob</dc:creator>
  <cp:keywords/>
  <dc:description/>
  <cp:lastModifiedBy>Adam Bowler</cp:lastModifiedBy>
  <cp:revision>88</cp:revision>
  <cp:lastPrinted>2012-01-05T04:55:00Z</cp:lastPrinted>
  <dcterms:created xsi:type="dcterms:W3CDTF">2012-01-12T02:49:00Z</dcterms:created>
  <dcterms:modified xsi:type="dcterms:W3CDTF">2012-03-20T04:52:00Z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0x010100A3147459CEFB4138ACF45C1B93E95121001AC9209C673FD1488F9C0FD06E69F9BE</vt:lpwstr>
  </property>
</Properties>
</file>