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harts/chart3.xml" ContentType="application/vnd.openxmlformats-officedocument.drawingml.chart+xml"/>
  <Override PartName="/word/charts/chart5.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4.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28" w:rsidRDefault="00A26428" w:rsidP="00A26428">
      <w:pPr>
        <w:pStyle w:val="Title"/>
        <w:spacing w:before="4800" w:after="120"/>
      </w:pPr>
      <w:bookmarkStart w:id="0" w:name="_Toc33496911"/>
      <w:r>
        <w:t>The Australian Work Exposures Study (AWES)</w:t>
      </w:r>
      <w:proofErr w:type="gramStart"/>
      <w:r>
        <w:t>:</w:t>
      </w:r>
      <w:proofErr w:type="gramEnd"/>
      <w:r>
        <w:br/>
        <w:t>Polycyclic aromatic hydrocarbons</w:t>
      </w:r>
    </w:p>
    <w:p w:rsidR="00A26428" w:rsidRDefault="00A26428" w:rsidP="00A26428">
      <w:pPr>
        <w:pStyle w:val="Title"/>
        <w:spacing w:before="2400"/>
      </w:pPr>
      <w:r>
        <w:t>November 2014</w:t>
      </w:r>
    </w:p>
    <w:p w:rsidR="00A26428" w:rsidRDefault="00A26428" w:rsidP="00A26428">
      <w:pPr>
        <w:spacing w:before="3960"/>
        <w:ind w:left="4536"/>
      </w:pPr>
      <w:r>
        <w:t>The views in this report should not be taken to represent the views of Safe Work Australia unless otherwise expressly stated.</w:t>
      </w:r>
    </w:p>
    <w:p w:rsidR="00ED423B" w:rsidRDefault="00ED423B" w:rsidP="00BB6679"/>
    <w:p w:rsidR="00ED423B" w:rsidRPr="00424389" w:rsidRDefault="00ED423B" w:rsidP="00BB6679">
      <w:pPr>
        <w:sectPr w:rsidR="00ED423B" w:rsidRPr="00424389" w:rsidSect="00BB6679">
          <w:headerReference w:type="default" r:id="rId8"/>
          <w:footerReference w:type="even" r:id="rId9"/>
          <w:pgSz w:w="11906" w:h="16838"/>
          <w:pgMar w:top="1440" w:right="1440" w:bottom="1440" w:left="1440" w:header="708" w:footer="708" w:gutter="0"/>
          <w:cols w:space="708"/>
          <w:docGrid w:linePitch="360"/>
        </w:sectPr>
      </w:pPr>
    </w:p>
    <w:p w:rsidR="00ED423B" w:rsidRPr="00570F26" w:rsidRDefault="00ED423B" w:rsidP="00BB6679">
      <w:r w:rsidRPr="00570F26">
        <w:lastRenderedPageBreak/>
        <w:t>This report was prepared by Dr Tim Driscoll (</w:t>
      </w:r>
      <w:proofErr w:type="spellStart"/>
      <w:r w:rsidRPr="00570F26">
        <w:t>MBBS</w:t>
      </w:r>
      <w:proofErr w:type="spellEnd"/>
      <w:r w:rsidRPr="00570F26">
        <w:t xml:space="preserve"> BSc (Med) </w:t>
      </w:r>
      <w:proofErr w:type="spellStart"/>
      <w:r w:rsidRPr="00570F26">
        <w:t>MOHS</w:t>
      </w:r>
      <w:proofErr w:type="spellEnd"/>
      <w:r w:rsidRPr="00570F26">
        <w:t xml:space="preserve"> PhD </w:t>
      </w:r>
      <w:proofErr w:type="spellStart"/>
      <w:r w:rsidRPr="00570F26">
        <w:t>FAFOEM</w:t>
      </w:r>
      <w:proofErr w:type="spellEnd"/>
      <w:r w:rsidRPr="00570F26">
        <w:t xml:space="preserve"> </w:t>
      </w:r>
      <w:proofErr w:type="spellStart"/>
      <w:r w:rsidRPr="00570F26">
        <w:t>FAFPHM</w:t>
      </w:r>
      <w:proofErr w:type="spellEnd"/>
      <w:r w:rsidRPr="00570F26">
        <w:t>). Dr Driscoll is an independent consultant in epidemiology, occupational health and public health, and a specialist in occupational medicine and public health medicine, and a Fellow of the Australasian Faculties of Occupational and Environmental Medicine and Public Health Medicine.</w:t>
      </w:r>
    </w:p>
    <w:p w:rsidR="00ED423B" w:rsidRPr="00570F26" w:rsidRDefault="00ED423B" w:rsidP="00BB6679">
      <w:pPr>
        <w:pStyle w:val="Heading2-NoTOC"/>
      </w:pPr>
      <w:r w:rsidRPr="00570F26">
        <w:t>Acknowledgements</w:t>
      </w:r>
    </w:p>
    <w:p w:rsidR="00ED423B" w:rsidRPr="00826347" w:rsidRDefault="00ED423B" w:rsidP="00BB6679">
      <w:r w:rsidRPr="00301E7B">
        <w:t xml:space="preserve">The author would like to thank Dr Renee Carey for supply of AWES data and background information on the study methodology; Dr Susan Peters and Professor Lin Fritschi for clarification of data issues; and staff at Safe Work Australia for their assistance in preparing this report. The AWES study was funded by </w:t>
      </w:r>
      <w:r w:rsidR="00651F62">
        <w:t>the National Health and Medical Research Council (</w:t>
      </w:r>
      <w:proofErr w:type="spellStart"/>
      <w:r w:rsidRPr="00301E7B">
        <w:t>NHMRC</w:t>
      </w:r>
      <w:proofErr w:type="spellEnd"/>
      <w:r w:rsidRPr="00301E7B">
        <w:t xml:space="preserve"> grant number 1003563) and the Cancer Council Western Australia and was designed and managed by Professor Lin Fritschi, Associate Professor Deborah Glass, Dr Geza Benke, Professor Tim Driscoll, and Associate Professor Alison Reid.</w:t>
      </w:r>
    </w:p>
    <w:p w:rsidR="00ED423B" w:rsidRDefault="00ED423B" w:rsidP="00BB6679">
      <w:pPr>
        <w:pStyle w:val="Heading2-NoTOC"/>
      </w:pPr>
      <w:r>
        <w:t>Disclaimer</w:t>
      </w:r>
    </w:p>
    <w:p w:rsidR="00ED423B" w:rsidRPr="00180D88" w:rsidRDefault="00ED423B" w:rsidP="00BB6679">
      <w:r w:rsidRPr="00BB2BEA">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ED423B" w:rsidRDefault="00ED423B" w:rsidP="00BB6679">
      <w:pPr>
        <w:pStyle w:val="Heading2-NoTOC"/>
      </w:pPr>
      <w:r>
        <w:t>Creative commons</w:t>
      </w:r>
    </w:p>
    <w:p w:rsidR="00ED423B" w:rsidRDefault="00ED423B" w:rsidP="00BB6679">
      <w:r w:rsidRPr="0069533F">
        <w:rPr>
          <w:rFonts w:cs="Arial"/>
          <w:noProof/>
          <w:szCs w:val="22"/>
          <w:lang w:eastAsia="en-AU"/>
        </w:rPr>
        <w:drawing>
          <wp:inline distT="0" distB="0" distL="0" distR="0" wp14:anchorId="4A19B7EC" wp14:editId="57B1A54F">
            <wp:extent cx="1530985" cy="531495"/>
            <wp:effectExtent l="0" t="0" r="0" b="0"/>
            <wp:docPr id="2" name="Picture 0" descr="Creative commons 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ative commons CC B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985" cy="531495"/>
                    </a:xfrm>
                    <a:prstGeom prst="rect">
                      <a:avLst/>
                    </a:prstGeom>
                    <a:noFill/>
                    <a:ln>
                      <a:noFill/>
                    </a:ln>
                  </pic:spPr>
                </pic:pic>
              </a:graphicData>
            </a:graphic>
          </wp:inline>
        </w:drawing>
      </w:r>
    </w:p>
    <w:p w:rsidR="00ED423B" w:rsidRDefault="00ED423B" w:rsidP="00BB6679">
      <w:r>
        <w:t xml:space="preserve">With the exception of the Safe Work Australia logo, this report is licensed by Safe Work Australia under a Creative Commons 3.0 Australia Licence. To view a copy of this licence, visit </w:t>
      </w:r>
      <w:hyperlink r:id="rId11" w:history="1">
        <w:r w:rsidRPr="00651F62">
          <w:rPr>
            <w:rStyle w:val="Hyperlink"/>
          </w:rPr>
          <w:t>http://creativecommons.org/licenses/by/3.0/au/deed.en</w:t>
        </w:r>
      </w:hyperlink>
      <w:r w:rsidR="00651F62">
        <w:t>.</w:t>
      </w:r>
    </w:p>
    <w:p w:rsidR="00ED423B" w:rsidRPr="00180D88" w:rsidRDefault="00ED423B" w:rsidP="00BB6679">
      <w:r>
        <w:t>In essence you are free to copy, communicate and adapt the work as long as you attribute the work to Safe Work Australia and abide by the other licensing terms.</w:t>
      </w:r>
    </w:p>
    <w:p w:rsidR="00ED423B" w:rsidRDefault="00ED423B" w:rsidP="00BB6679">
      <w:pPr>
        <w:pStyle w:val="Heading2-NoTOC"/>
      </w:pPr>
      <w:r>
        <w:t>Suggested citation</w:t>
      </w:r>
    </w:p>
    <w:p w:rsidR="00ED423B" w:rsidRPr="00180D88" w:rsidRDefault="00ED423B" w:rsidP="00BB6679">
      <w:r>
        <w:rPr>
          <w:rFonts w:cs="Arial"/>
          <w:szCs w:val="22"/>
        </w:rPr>
        <w:t xml:space="preserve">Driscoll, T. R. (2014). </w:t>
      </w:r>
      <w:r w:rsidRPr="00BB2BEA">
        <w:rPr>
          <w:rFonts w:cs="Arial"/>
          <w:szCs w:val="22"/>
        </w:rPr>
        <w:t>The Australian Work Exposures Study (AWES):</w:t>
      </w:r>
      <w:r>
        <w:rPr>
          <w:rFonts w:cs="Arial"/>
          <w:szCs w:val="22"/>
        </w:rPr>
        <w:t xml:space="preserve"> </w:t>
      </w:r>
      <w:r w:rsidR="00651F62">
        <w:rPr>
          <w:rFonts w:cs="Arial"/>
          <w:szCs w:val="22"/>
        </w:rPr>
        <w:t>Polycyclic Aromatic Hydrocarbons</w:t>
      </w:r>
      <w:r>
        <w:rPr>
          <w:rFonts w:cs="Arial"/>
          <w:szCs w:val="22"/>
        </w:rPr>
        <w:t>. Canberra: Safe Work Australia.</w:t>
      </w:r>
    </w:p>
    <w:p w:rsidR="00ED423B" w:rsidRDefault="00ED423B" w:rsidP="00BB6679">
      <w:pPr>
        <w:pStyle w:val="Heading2-NoTOC"/>
      </w:pPr>
      <w:r>
        <w:t>Contact details</w:t>
      </w:r>
    </w:p>
    <w:p w:rsidR="00ED423B" w:rsidRDefault="00ED423B" w:rsidP="00BB6679">
      <w:r>
        <w:t xml:space="preserve">Enquiries regarding the licence and any use of the report are welcome at: </w:t>
      </w:r>
    </w:p>
    <w:p w:rsidR="00ED423B" w:rsidRDefault="00ED423B" w:rsidP="00BB6679">
      <w:r>
        <w:t xml:space="preserve">Copyright Officer </w:t>
      </w:r>
    </w:p>
    <w:p w:rsidR="00ED423B" w:rsidRDefault="00ED423B" w:rsidP="00BB6679">
      <w:r>
        <w:t xml:space="preserve">Safe Work Australia </w:t>
      </w:r>
    </w:p>
    <w:p w:rsidR="00ED423B" w:rsidRDefault="00ED423B" w:rsidP="00BB6679">
      <w:r>
        <w:t xml:space="preserve">GPO Box 641 Canberra ACT 2601 </w:t>
      </w:r>
    </w:p>
    <w:p w:rsidR="00ED423B" w:rsidRDefault="00ED423B" w:rsidP="00BB6679">
      <w:r>
        <w:t>Email: copyrightrequests@swa.gov.au</w:t>
      </w:r>
    </w:p>
    <w:p w:rsidR="00ED423B" w:rsidRDefault="00ED423B" w:rsidP="00BB6679">
      <w:r>
        <w:t xml:space="preserve">ISBN </w:t>
      </w:r>
      <w:r w:rsidRPr="00B57EBD">
        <w:t xml:space="preserve">978-1-74361-927-8 </w:t>
      </w:r>
      <w:r>
        <w:t>PDF]</w:t>
      </w:r>
    </w:p>
    <w:p w:rsidR="00ED423B" w:rsidRPr="00570F26" w:rsidRDefault="00ED423B" w:rsidP="00BB6679">
      <w:pPr>
        <w:rPr>
          <w:highlight w:val="green"/>
        </w:rPr>
      </w:pPr>
      <w:r>
        <w:t xml:space="preserve">ISBN </w:t>
      </w:r>
      <w:r w:rsidRPr="00EB3005">
        <w:t>978-1-74361-900-1</w:t>
      </w:r>
      <w:r>
        <w:t xml:space="preserve"> [</w:t>
      </w:r>
      <w:proofErr w:type="spellStart"/>
      <w:r>
        <w:t>DOCX</w:t>
      </w:r>
      <w:proofErr w:type="spellEnd"/>
      <w:r>
        <w:t>]</w:t>
      </w:r>
      <w:r w:rsidRPr="00570F26">
        <w:rPr>
          <w:highlight w:val="green"/>
        </w:rPr>
        <w:br w:type="page"/>
      </w:r>
    </w:p>
    <w:p w:rsidR="00ED423B" w:rsidRPr="004E56ED" w:rsidRDefault="00ED423B" w:rsidP="00BB6679">
      <w:pPr>
        <w:pStyle w:val="Heading2-NoTOC"/>
      </w:pPr>
      <w:r w:rsidRPr="004E56ED">
        <w:lastRenderedPageBreak/>
        <w:t>Preface</w:t>
      </w:r>
    </w:p>
    <w:p w:rsidR="00ED423B" w:rsidRDefault="00ED423B" w:rsidP="00BB6679">
      <w:r w:rsidRPr="00E8619A">
        <w:rPr>
          <w:rStyle w:val="Emphasis"/>
        </w:rPr>
        <w:t>The Australian Work Health and Safety Strategy 2012-2022</w:t>
      </w:r>
      <w:r>
        <w:t xml:space="preserve"> (the Strategy) describes work-related cancer as a priority disorder and </w:t>
      </w:r>
      <w:r w:rsidRPr="00724D9E">
        <w:t xml:space="preserve">understanding current hazardous exposures and the effectiveness of controls </w:t>
      </w:r>
      <w:r>
        <w:t xml:space="preserve">as a research priority. </w:t>
      </w:r>
      <w:r w:rsidRPr="00724D9E">
        <w:t xml:space="preserve">The Australian Work Exposures Study (AWES) </w:t>
      </w:r>
      <w:r>
        <w:t xml:space="preserve">was a national survey that </w:t>
      </w:r>
      <w:r w:rsidRPr="00724D9E">
        <w:t>investigated work-related exposure</w:t>
      </w:r>
      <w:r>
        <w:t>s among Australian workers</w:t>
      </w:r>
      <w:r w:rsidRPr="00724D9E">
        <w:t xml:space="preserve"> to </w:t>
      </w:r>
      <w:r>
        <w:t>38 agents classified by</w:t>
      </w:r>
      <w:r w:rsidR="00651F62">
        <w:t xml:space="preserve"> the</w:t>
      </w:r>
      <w:r>
        <w:t xml:space="preserve"> International Agency for Research on Cancer (</w:t>
      </w:r>
      <w:proofErr w:type="spellStart"/>
      <w:r>
        <w:t>IARC</w:t>
      </w:r>
      <w:proofErr w:type="spellEnd"/>
      <w:r>
        <w:t>) as</w:t>
      </w:r>
      <w:r w:rsidRPr="00724D9E">
        <w:t xml:space="preserve"> known or suspected carcinogens</w:t>
      </w:r>
      <w:r>
        <w:t>.</w:t>
      </w:r>
    </w:p>
    <w:p w:rsidR="00ED423B" w:rsidRDefault="00ED423B" w:rsidP="00BB6679">
      <w:r>
        <w:t>Some polycyclic aromatic hydrocarbons (</w:t>
      </w:r>
      <w:proofErr w:type="spellStart"/>
      <w:r>
        <w:t>PAHs</w:t>
      </w:r>
      <w:proofErr w:type="spellEnd"/>
      <w:r>
        <w:t xml:space="preserve">) are classified as a known or suspected human carcinogens by the </w:t>
      </w:r>
      <w:proofErr w:type="spellStart"/>
      <w:r>
        <w:t>IARC</w:t>
      </w:r>
      <w:proofErr w:type="spellEnd"/>
      <w:r>
        <w:t xml:space="preserve"> and t</w:t>
      </w:r>
      <w:r w:rsidRPr="00724D9E">
        <w:t xml:space="preserve">he </w:t>
      </w:r>
      <w:r>
        <w:t xml:space="preserve">work described in </w:t>
      </w:r>
      <w:r w:rsidRPr="00724D9E">
        <w:t xml:space="preserve">this report </w:t>
      </w:r>
      <w:r>
        <w:t>uses AWES data to:</w:t>
      </w:r>
    </w:p>
    <w:p w:rsidR="00ED423B" w:rsidRDefault="00ED423B">
      <w:pPr>
        <w:pStyle w:val="ListParagraph"/>
        <w:numPr>
          <w:ilvl w:val="0"/>
          <w:numId w:val="19"/>
        </w:numPr>
      </w:pPr>
      <w:r w:rsidRPr="00950249">
        <w:t>estimate</w:t>
      </w:r>
      <w:r>
        <w:t xml:space="preserve"> </w:t>
      </w:r>
      <w:r w:rsidRPr="00950249">
        <w:t xml:space="preserve">the prevalence of work-related exposure to </w:t>
      </w:r>
      <w:r>
        <w:t>polycyclic aromatic hydrocarbons during relatively common workplace activities</w:t>
      </w:r>
    </w:p>
    <w:p w:rsidR="00ED423B" w:rsidRDefault="00ED423B">
      <w:pPr>
        <w:pStyle w:val="ListParagraph"/>
        <w:numPr>
          <w:ilvl w:val="0"/>
          <w:numId w:val="19"/>
        </w:numPr>
      </w:pPr>
      <w:r w:rsidRPr="00950249">
        <w:t xml:space="preserve">identify the main circumstances of </w:t>
      </w:r>
      <w:r>
        <w:t>those exposures, and</w:t>
      </w:r>
    </w:p>
    <w:p w:rsidR="00ED423B" w:rsidRDefault="00ED423B">
      <w:pPr>
        <w:pStyle w:val="ListParagraph"/>
        <w:numPr>
          <w:ilvl w:val="0"/>
          <w:numId w:val="19"/>
        </w:numPr>
      </w:pPr>
      <w:proofErr w:type="gramStart"/>
      <w:r w:rsidRPr="00950249">
        <w:t>identify</w:t>
      </w:r>
      <w:proofErr w:type="gramEnd"/>
      <w:r w:rsidRPr="00950249">
        <w:t xml:space="preserve"> the use of workplace control measures designed to decrease </w:t>
      </w:r>
      <w:r>
        <w:t xml:space="preserve">those </w:t>
      </w:r>
      <w:r w:rsidRPr="00950249">
        <w:t>exposure</w:t>
      </w:r>
      <w:r>
        <w:t>s</w:t>
      </w:r>
      <w:r w:rsidRPr="00950249">
        <w:t>.</w:t>
      </w:r>
    </w:p>
    <w:p w:rsidR="00ED423B" w:rsidRDefault="00ED423B" w:rsidP="00BB6679">
      <w:r w:rsidRPr="00950249">
        <w:t>Th</w:t>
      </w:r>
      <w:r>
        <w:t xml:space="preserve">is </w:t>
      </w:r>
      <w:r w:rsidRPr="00A91F60">
        <w:t xml:space="preserve">report </w:t>
      </w:r>
      <w:r>
        <w:t>describes</w:t>
      </w:r>
      <w:r w:rsidRPr="00A91F60">
        <w:t xml:space="preserve"> those exposures that occur when typical work activities are carried out by Australian workers—</w:t>
      </w:r>
      <w:r>
        <w:t>it does not specifically focus on industries suspected of high exposures to polycyclic aromatic hydrocarbons.</w:t>
      </w:r>
    </w:p>
    <w:p w:rsidR="00ED423B" w:rsidRDefault="00ED423B" w:rsidP="00BB6679">
      <w:pPr>
        <w:pStyle w:val="Heading1"/>
      </w:pPr>
      <w:bookmarkStart w:id="1" w:name="_Toc400715461"/>
      <w:bookmarkStart w:id="2" w:name="_Toc401068274"/>
      <w:r w:rsidRPr="00BB6679">
        <w:lastRenderedPageBreak/>
        <w:t>KEY MESSAGES</w:t>
      </w:r>
      <w:bookmarkEnd w:id="1"/>
      <w:bookmarkEnd w:id="2"/>
    </w:p>
    <w:p w:rsidR="00ED423B" w:rsidRPr="000D3E01" w:rsidRDefault="00ED423B" w:rsidP="00BB6679">
      <w:pPr>
        <w:pStyle w:val="ListBullet"/>
        <w:tabs>
          <w:tab w:val="clear" w:pos="720"/>
        </w:tabs>
        <w:ind w:hanging="360"/>
      </w:pPr>
      <w:r w:rsidRPr="000D3E01">
        <w:t xml:space="preserve">Approximately </w:t>
      </w:r>
      <w:r>
        <w:t>297 (5.9</w:t>
      </w:r>
      <w:r w:rsidRPr="000D3E01">
        <w:t xml:space="preserve">%) of workers who participated in the Australian Work Exposures Study (AWES) were probably exposed to </w:t>
      </w:r>
      <w:r>
        <w:t>polycyclic aromatic hydrocarbons (</w:t>
      </w:r>
      <w:proofErr w:type="spellStart"/>
      <w:r>
        <w:t>PAHs</w:t>
      </w:r>
      <w:proofErr w:type="spellEnd"/>
      <w:r>
        <w:t>)</w:t>
      </w:r>
      <w:r w:rsidRPr="000D3E01">
        <w:t xml:space="preserve"> when performing common tasks like </w:t>
      </w:r>
      <w:r>
        <w:t xml:space="preserve">burning waste, repairing </w:t>
      </w:r>
      <w:r w:rsidR="00BB6679">
        <w:t>equipment powered by combustion engines like mowers</w:t>
      </w:r>
      <w:r>
        <w:t xml:space="preserve"> or similar equipment, cooking, fighting fires, and fire overhaul and clean-up.</w:t>
      </w:r>
    </w:p>
    <w:p w:rsidR="00ED423B" w:rsidRDefault="00ED423B" w:rsidP="00BB6679">
      <w:pPr>
        <w:pStyle w:val="ListBullet"/>
        <w:tabs>
          <w:tab w:val="clear" w:pos="720"/>
        </w:tabs>
        <w:ind w:hanging="360"/>
      </w:pPr>
      <w:r>
        <w:t>T</w:t>
      </w:r>
      <w:r w:rsidRPr="00A16C06">
        <w:t xml:space="preserve">he health risks posed by </w:t>
      </w:r>
      <w:r>
        <w:t xml:space="preserve">some </w:t>
      </w:r>
      <w:r w:rsidRPr="00A16C06">
        <w:t xml:space="preserve">exposures </w:t>
      </w:r>
      <w:r>
        <w:t xml:space="preserve">to </w:t>
      </w:r>
      <w:proofErr w:type="spellStart"/>
      <w:r>
        <w:t>PAHs</w:t>
      </w:r>
      <w:proofErr w:type="spellEnd"/>
      <w:r>
        <w:t xml:space="preserve"> </w:t>
      </w:r>
      <w:r w:rsidRPr="00A16C06">
        <w:t xml:space="preserve">should be well understood, particularly by those undertaking work which </w:t>
      </w:r>
      <w:r>
        <w:t xml:space="preserve">is highlighted in work health and safety guides for health surveillance or in guides for specific work activities like foundry work. General information on methods for preventing inhalation and skin contact with chemicals is also provided in </w:t>
      </w:r>
      <w:r w:rsidR="00F07553">
        <w:t xml:space="preserve">the </w:t>
      </w:r>
      <w:r>
        <w:t>code of practice for hazardous workplace chemicals.</w:t>
      </w:r>
    </w:p>
    <w:p w:rsidR="00F07553" w:rsidRPr="00CC11C3" w:rsidRDefault="00F07553" w:rsidP="00F07553">
      <w:pPr>
        <w:pStyle w:val="ListBullet"/>
        <w:tabs>
          <w:tab w:val="clear" w:pos="720"/>
        </w:tabs>
        <w:ind w:hanging="360"/>
      </w:pPr>
      <w:r>
        <w:t>I</w:t>
      </w:r>
      <w:r w:rsidR="00ED423B" w:rsidRPr="00A16C06">
        <w:t xml:space="preserve">nformation on the use of controls </w:t>
      </w:r>
      <w:r>
        <w:t xml:space="preserve">was not collected for many of the common tasks highlighted above. Information was available for fire fighting, back burning and welding and only </w:t>
      </w:r>
      <w:r w:rsidRPr="00CC11C3">
        <w:t xml:space="preserve">about 40% </w:t>
      </w:r>
      <w:r>
        <w:t xml:space="preserve">AWES respondents performing these tasks </w:t>
      </w:r>
      <w:r w:rsidRPr="00CC11C3">
        <w:t xml:space="preserve">appeared to be </w:t>
      </w:r>
      <w:r>
        <w:t>using</w:t>
      </w:r>
      <w:r w:rsidRPr="00CC11C3">
        <w:t xml:space="preserve"> appropriate respiratory protection.</w:t>
      </w:r>
    </w:p>
    <w:p w:rsidR="00ED423B" w:rsidRPr="00BB6679" w:rsidRDefault="00ED423B" w:rsidP="00BB6679">
      <w:pPr>
        <w:pStyle w:val="ListBullet"/>
        <w:tabs>
          <w:tab w:val="clear" w:pos="720"/>
        </w:tabs>
        <w:ind w:hanging="360"/>
      </w:pPr>
      <w:r w:rsidRPr="00BB6679">
        <w:t xml:space="preserve">As a result, about two thirds of exposed workers </w:t>
      </w:r>
      <w:r w:rsidR="00F07553">
        <w:t xml:space="preserve">were </w:t>
      </w:r>
      <w:r w:rsidRPr="00BB6679">
        <w:t xml:space="preserve">assessed as having high or medium task-based exposures to </w:t>
      </w:r>
      <w:proofErr w:type="spellStart"/>
      <w:r w:rsidR="00F07553">
        <w:t>PAHs</w:t>
      </w:r>
      <w:proofErr w:type="spellEnd"/>
      <w:r w:rsidRPr="00BB6679">
        <w:t xml:space="preserve">. While most of these workers will not develop cancer as a result of work-related exposures to </w:t>
      </w:r>
      <w:proofErr w:type="spellStart"/>
      <w:r w:rsidR="00F07553">
        <w:t>PAHs</w:t>
      </w:r>
      <w:proofErr w:type="spellEnd"/>
      <w:r w:rsidRPr="00BB6679">
        <w:t>, they are at greater risk.</w:t>
      </w:r>
    </w:p>
    <w:p w:rsidR="00ED423B" w:rsidRDefault="00ED423B" w:rsidP="00BB6679">
      <w:pPr>
        <w:pStyle w:val="ListBullet"/>
        <w:tabs>
          <w:tab w:val="clear" w:pos="720"/>
        </w:tabs>
        <w:ind w:hanging="360"/>
      </w:pPr>
      <w:r>
        <w:t>Awareness-raising and education efforts are required to increase the use of</w:t>
      </w:r>
      <w:r w:rsidRPr="00D83269">
        <w:t xml:space="preserve"> well-known and readily available controls to prevent exposures </w:t>
      </w:r>
      <w:r>
        <w:t>when burning wastes, cleaning ash from fire sites or furnaces, fighting fires or back burning and repairing motors</w:t>
      </w:r>
      <w:r w:rsidRPr="006E3CD5">
        <w:t>.</w:t>
      </w:r>
    </w:p>
    <w:p w:rsidR="00ED423B" w:rsidRPr="0072102C" w:rsidRDefault="00ED423B" w:rsidP="00BB6679">
      <w:pPr>
        <w:rPr>
          <w:highlight w:val="green"/>
        </w:rPr>
      </w:pPr>
    </w:p>
    <w:p w:rsidR="00ED423B" w:rsidRDefault="00ED423B" w:rsidP="00BB6679">
      <w:pPr>
        <w:pStyle w:val="Heading1-NoTOC"/>
      </w:pPr>
      <w:r w:rsidRPr="00367B30">
        <w:lastRenderedPageBreak/>
        <w:t>TABLE OF CONTENTS</w:t>
      </w:r>
    </w:p>
    <w:p w:rsidR="00ED423B" w:rsidRDefault="00ED423B">
      <w:pPr>
        <w:pStyle w:val="TOC1"/>
        <w:rPr>
          <w:rFonts w:asciiTheme="minorHAnsi" w:eastAsiaTheme="minorEastAsia" w:hAnsiTheme="minorHAnsi" w:cstheme="minorBidi"/>
          <w:b w:val="0"/>
          <w:bCs w:val="0"/>
          <w:szCs w:val="22"/>
          <w:lang w:eastAsia="en-AU"/>
        </w:rPr>
      </w:pPr>
      <w:r>
        <w:rPr>
          <w:rFonts w:cs="Arial"/>
          <w:szCs w:val="22"/>
          <w:highlight w:val="green"/>
        </w:rPr>
        <w:fldChar w:fldCharType="begin"/>
      </w:r>
      <w:r>
        <w:rPr>
          <w:rFonts w:cs="Arial"/>
          <w:szCs w:val="22"/>
          <w:highlight w:val="green"/>
        </w:rPr>
        <w:instrText xml:space="preserve"> TOC \h \z \t "Heading 1,1,Heading 2,2,Heading 3,3,Title,1" </w:instrText>
      </w:r>
      <w:r>
        <w:rPr>
          <w:rFonts w:cs="Arial"/>
          <w:szCs w:val="22"/>
          <w:highlight w:val="green"/>
        </w:rPr>
        <w:fldChar w:fldCharType="separate"/>
      </w:r>
      <w:hyperlink w:anchor="_Toc401068274" w:history="1">
        <w:r w:rsidRPr="00BB6679">
          <w:rPr>
            <w:rStyle w:val="Hyperlink"/>
          </w:rPr>
          <w:t>KEY MESSAGES</w:t>
        </w:r>
        <w:r>
          <w:rPr>
            <w:webHidden/>
          </w:rPr>
          <w:tab/>
        </w:r>
        <w:r>
          <w:rPr>
            <w:webHidden/>
          </w:rPr>
          <w:fldChar w:fldCharType="begin"/>
        </w:r>
        <w:r>
          <w:rPr>
            <w:webHidden/>
          </w:rPr>
          <w:instrText xml:space="preserve"> PAGEREF _Toc401068274 \h </w:instrText>
        </w:r>
        <w:r>
          <w:rPr>
            <w:webHidden/>
          </w:rPr>
        </w:r>
        <w:r>
          <w:rPr>
            <w:webHidden/>
          </w:rPr>
          <w:fldChar w:fldCharType="separate"/>
        </w:r>
        <w:r>
          <w:rPr>
            <w:webHidden/>
          </w:rPr>
          <w:t>iv</w:t>
        </w:r>
        <w:r>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275" w:history="1">
        <w:r w:rsidR="00ED423B" w:rsidRPr="00662792">
          <w:rPr>
            <w:rStyle w:val="Hyperlink"/>
          </w:rPr>
          <w:t>EXECUTIVE SUMMARY</w:t>
        </w:r>
        <w:r w:rsidR="00ED423B">
          <w:rPr>
            <w:webHidden/>
          </w:rPr>
          <w:tab/>
        </w:r>
        <w:r w:rsidR="00ED423B">
          <w:rPr>
            <w:webHidden/>
          </w:rPr>
          <w:fldChar w:fldCharType="begin"/>
        </w:r>
        <w:r w:rsidR="00ED423B">
          <w:rPr>
            <w:webHidden/>
          </w:rPr>
          <w:instrText xml:space="preserve"> PAGEREF _Toc401068275 \h </w:instrText>
        </w:r>
        <w:r w:rsidR="00ED423B">
          <w:rPr>
            <w:webHidden/>
          </w:rPr>
        </w:r>
        <w:r w:rsidR="00ED423B">
          <w:rPr>
            <w:webHidden/>
          </w:rPr>
          <w:fldChar w:fldCharType="separate"/>
        </w:r>
        <w:r w:rsidR="00ED423B">
          <w:rPr>
            <w:webHidden/>
          </w:rPr>
          <w:t>vii</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276" w:history="1">
        <w:r w:rsidR="00ED423B" w:rsidRPr="00662792">
          <w:rPr>
            <w:rStyle w:val="Hyperlink"/>
          </w:rPr>
          <w:t>BACKGROUND</w:t>
        </w:r>
        <w:r w:rsidR="00ED423B">
          <w:rPr>
            <w:webHidden/>
          </w:rPr>
          <w:tab/>
        </w:r>
        <w:r w:rsidR="00ED423B">
          <w:rPr>
            <w:webHidden/>
          </w:rPr>
          <w:fldChar w:fldCharType="begin"/>
        </w:r>
        <w:r w:rsidR="00ED423B">
          <w:rPr>
            <w:webHidden/>
          </w:rPr>
          <w:instrText xml:space="preserve"> PAGEREF _Toc401068276 \h </w:instrText>
        </w:r>
        <w:r w:rsidR="00ED423B">
          <w:rPr>
            <w:webHidden/>
          </w:rPr>
        </w:r>
        <w:r w:rsidR="00ED423B">
          <w:rPr>
            <w:webHidden/>
          </w:rPr>
          <w:fldChar w:fldCharType="separate"/>
        </w:r>
        <w:r w:rsidR="00ED423B">
          <w:rPr>
            <w:webHidden/>
          </w:rPr>
          <w:t>1</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277" w:history="1">
        <w:r w:rsidR="00ED423B" w:rsidRPr="00662792">
          <w:rPr>
            <w:rStyle w:val="Hyperlink"/>
          </w:rPr>
          <w:t>Introduction</w:t>
        </w:r>
        <w:r w:rsidR="00ED423B">
          <w:rPr>
            <w:webHidden/>
          </w:rPr>
          <w:tab/>
        </w:r>
        <w:r w:rsidR="00ED423B">
          <w:rPr>
            <w:webHidden/>
          </w:rPr>
          <w:fldChar w:fldCharType="begin"/>
        </w:r>
        <w:r w:rsidR="00ED423B">
          <w:rPr>
            <w:webHidden/>
          </w:rPr>
          <w:instrText xml:space="preserve"> PAGEREF _Toc401068277 \h </w:instrText>
        </w:r>
        <w:r w:rsidR="00ED423B">
          <w:rPr>
            <w:webHidden/>
          </w:rPr>
        </w:r>
        <w:r w:rsidR="00ED423B">
          <w:rPr>
            <w:webHidden/>
          </w:rPr>
          <w:fldChar w:fldCharType="separate"/>
        </w:r>
        <w:r w:rsidR="00ED423B">
          <w:rPr>
            <w:webHidden/>
          </w:rPr>
          <w:t>1</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278" w:history="1">
        <w:r w:rsidR="00ED423B" w:rsidRPr="00662792">
          <w:rPr>
            <w:rStyle w:val="Hyperlink"/>
          </w:rPr>
          <w:t>The carcinogenicity of PAHs</w:t>
        </w:r>
        <w:r w:rsidR="00ED423B">
          <w:rPr>
            <w:webHidden/>
          </w:rPr>
          <w:tab/>
        </w:r>
        <w:r w:rsidR="00ED423B">
          <w:rPr>
            <w:webHidden/>
          </w:rPr>
          <w:fldChar w:fldCharType="begin"/>
        </w:r>
        <w:r w:rsidR="00ED423B">
          <w:rPr>
            <w:webHidden/>
          </w:rPr>
          <w:instrText xml:space="preserve"> PAGEREF _Toc401068278 \h </w:instrText>
        </w:r>
        <w:r w:rsidR="00ED423B">
          <w:rPr>
            <w:webHidden/>
          </w:rPr>
        </w:r>
        <w:r w:rsidR="00ED423B">
          <w:rPr>
            <w:webHidden/>
          </w:rPr>
          <w:fldChar w:fldCharType="separate"/>
        </w:r>
        <w:r w:rsidR="00ED423B">
          <w:rPr>
            <w:webHidden/>
          </w:rPr>
          <w:t>1</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279" w:history="1">
        <w:r w:rsidR="00ED423B" w:rsidRPr="00662792">
          <w:rPr>
            <w:rStyle w:val="Hyperlink"/>
          </w:rPr>
          <w:t>Information on exposure and control measures</w:t>
        </w:r>
        <w:r w:rsidR="00ED423B">
          <w:rPr>
            <w:webHidden/>
          </w:rPr>
          <w:tab/>
        </w:r>
        <w:r w:rsidR="00ED423B">
          <w:rPr>
            <w:webHidden/>
          </w:rPr>
          <w:fldChar w:fldCharType="begin"/>
        </w:r>
        <w:r w:rsidR="00ED423B">
          <w:rPr>
            <w:webHidden/>
          </w:rPr>
          <w:instrText xml:space="preserve"> PAGEREF _Toc401068279 \h </w:instrText>
        </w:r>
        <w:r w:rsidR="00ED423B">
          <w:rPr>
            <w:webHidden/>
          </w:rPr>
        </w:r>
        <w:r w:rsidR="00ED423B">
          <w:rPr>
            <w:webHidden/>
          </w:rPr>
          <w:fldChar w:fldCharType="separate"/>
        </w:r>
        <w:r w:rsidR="00ED423B">
          <w:rPr>
            <w:webHidden/>
          </w:rPr>
          <w:t>2</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80" w:history="1">
        <w:r w:rsidR="00ED423B" w:rsidRPr="00662792">
          <w:rPr>
            <w:rStyle w:val="Hyperlink"/>
          </w:rPr>
          <w:t>Information from published literature</w:t>
        </w:r>
        <w:r w:rsidR="00ED423B">
          <w:rPr>
            <w:webHidden/>
          </w:rPr>
          <w:tab/>
        </w:r>
        <w:r w:rsidR="00ED423B">
          <w:rPr>
            <w:webHidden/>
          </w:rPr>
          <w:fldChar w:fldCharType="begin"/>
        </w:r>
        <w:r w:rsidR="00ED423B">
          <w:rPr>
            <w:webHidden/>
          </w:rPr>
          <w:instrText xml:space="preserve"> PAGEREF _Toc401068280 \h </w:instrText>
        </w:r>
        <w:r w:rsidR="00ED423B">
          <w:rPr>
            <w:webHidden/>
          </w:rPr>
        </w:r>
        <w:r w:rsidR="00ED423B">
          <w:rPr>
            <w:webHidden/>
          </w:rPr>
          <w:fldChar w:fldCharType="separate"/>
        </w:r>
        <w:r w:rsidR="00ED423B">
          <w:rPr>
            <w:webHidden/>
          </w:rPr>
          <w:t>2</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81" w:history="1">
        <w:r w:rsidR="00ED423B" w:rsidRPr="00662792">
          <w:rPr>
            <w:rStyle w:val="Hyperlink"/>
          </w:rPr>
          <w:t>Information on Australian workplaces</w:t>
        </w:r>
        <w:r w:rsidR="00ED423B">
          <w:rPr>
            <w:webHidden/>
          </w:rPr>
          <w:tab/>
        </w:r>
        <w:r w:rsidR="00ED423B">
          <w:rPr>
            <w:webHidden/>
          </w:rPr>
          <w:fldChar w:fldCharType="begin"/>
        </w:r>
        <w:r w:rsidR="00ED423B">
          <w:rPr>
            <w:webHidden/>
          </w:rPr>
          <w:instrText xml:space="preserve"> PAGEREF _Toc401068281 \h </w:instrText>
        </w:r>
        <w:r w:rsidR="00ED423B">
          <w:rPr>
            <w:webHidden/>
          </w:rPr>
        </w:r>
        <w:r w:rsidR="00ED423B">
          <w:rPr>
            <w:webHidden/>
          </w:rPr>
          <w:fldChar w:fldCharType="separate"/>
        </w:r>
        <w:r w:rsidR="00ED423B">
          <w:rPr>
            <w:webHidden/>
          </w:rPr>
          <w:t>3</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82" w:history="1">
        <w:r w:rsidR="00ED423B" w:rsidRPr="00662792">
          <w:rPr>
            <w:rStyle w:val="Hyperlink"/>
          </w:rPr>
          <w:t>Information from NHEWS</w:t>
        </w:r>
        <w:r w:rsidR="00ED423B">
          <w:rPr>
            <w:webHidden/>
          </w:rPr>
          <w:tab/>
        </w:r>
        <w:r w:rsidR="00ED423B">
          <w:rPr>
            <w:webHidden/>
          </w:rPr>
          <w:fldChar w:fldCharType="begin"/>
        </w:r>
        <w:r w:rsidR="00ED423B">
          <w:rPr>
            <w:webHidden/>
          </w:rPr>
          <w:instrText xml:space="preserve"> PAGEREF _Toc401068282 \h </w:instrText>
        </w:r>
        <w:r w:rsidR="00ED423B">
          <w:rPr>
            <w:webHidden/>
          </w:rPr>
        </w:r>
        <w:r w:rsidR="00ED423B">
          <w:rPr>
            <w:webHidden/>
          </w:rPr>
          <w:fldChar w:fldCharType="separate"/>
        </w:r>
        <w:r w:rsidR="00ED423B">
          <w:rPr>
            <w:webHidden/>
          </w:rPr>
          <w:t>3</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83" w:history="1">
        <w:r w:rsidR="00ED423B" w:rsidRPr="00662792">
          <w:rPr>
            <w:rStyle w:val="Hyperlink"/>
          </w:rPr>
          <w:t>Australian workplace chemical regulations and guides</w:t>
        </w:r>
        <w:r w:rsidR="00ED423B">
          <w:rPr>
            <w:webHidden/>
          </w:rPr>
          <w:tab/>
        </w:r>
        <w:r w:rsidR="00ED423B">
          <w:rPr>
            <w:webHidden/>
          </w:rPr>
          <w:fldChar w:fldCharType="begin"/>
        </w:r>
        <w:r w:rsidR="00ED423B">
          <w:rPr>
            <w:webHidden/>
          </w:rPr>
          <w:instrText xml:space="preserve"> PAGEREF _Toc401068283 \h </w:instrText>
        </w:r>
        <w:r w:rsidR="00ED423B">
          <w:rPr>
            <w:webHidden/>
          </w:rPr>
        </w:r>
        <w:r w:rsidR="00ED423B">
          <w:rPr>
            <w:webHidden/>
          </w:rPr>
          <w:fldChar w:fldCharType="separate"/>
        </w:r>
        <w:r w:rsidR="00ED423B">
          <w:rPr>
            <w:webHidden/>
          </w:rPr>
          <w:t>4</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284" w:history="1">
        <w:r w:rsidR="00ED423B" w:rsidRPr="00662792">
          <w:rPr>
            <w:rStyle w:val="Hyperlink"/>
          </w:rPr>
          <w:t>METHODS</w:t>
        </w:r>
        <w:r w:rsidR="00ED423B">
          <w:rPr>
            <w:webHidden/>
          </w:rPr>
          <w:tab/>
        </w:r>
        <w:r w:rsidR="00ED423B">
          <w:rPr>
            <w:webHidden/>
          </w:rPr>
          <w:fldChar w:fldCharType="begin"/>
        </w:r>
        <w:r w:rsidR="00ED423B">
          <w:rPr>
            <w:webHidden/>
          </w:rPr>
          <w:instrText xml:space="preserve"> PAGEREF _Toc401068284 \h </w:instrText>
        </w:r>
        <w:r w:rsidR="00ED423B">
          <w:rPr>
            <w:webHidden/>
          </w:rPr>
        </w:r>
        <w:r w:rsidR="00ED423B">
          <w:rPr>
            <w:webHidden/>
          </w:rPr>
          <w:fldChar w:fldCharType="separate"/>
        </w:r>
        <w:r w:rsidR="00ED423B">
          <w:rPr>
            <w:webHidden/>
          </w:rPr>
          <w:t>5</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285" w:history="1">
        <w:r w:rsidR="00ED423B" w:rsidRPr="00662792">
          <w:rPr>
            <w:rStyle w:val="Hyperlink"/>
          </w:rPr>
          <w:t>Australian Workplace Exposure Study</w:t>
        </w:r>
        <w:r w:rsidR="00ED423B">
          <w:rPr>
            <w:webHidden/>
          </w:rPr>
          <w:tab/>
        </w:r>
        <w:r w:rsidR="00ED423B">
          <w:rPr>
            <w:webHidden/>
          </w:rPr>
          <w:fldChar w:fldCharType="begin"/>
        </w:r>
        <w:r w:rsidR="00ED423B">
          <w:rPr>
            <w:webHidden/>
          </w:rPr>
          <w:instrText xml:space="preserve"> PAGEREF _Toc401068285 \h </w:instrText>
        </w:r>
        <w:r w:rsidR="00ED423B">
          <w:rPr>
            <w:webHidden/>
          </w:rPr>
        </w:r>
        <w:r w:rsidR="00ED423B">
          <w:rPr>
            <w:webHidden/>
          </w:rPr>
          <w:fldChar w:fldCharType="separate"/>
        </w:r>
        <w:r w:rsidR="00ED423B">
          <w:rPr>
            <w:webHidden/>
          </w:rPr>
          <w:t>5</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86" w:history="1">
        <w:r w:rsidR="00ED423B" w:rsidRPr="00662792">
          <w:rPr>
            <w:rStyle w:val="Hyperlink"/>
          </w:rPr>
          <w:t>Study Population</w:t>
        </w:r>
        <w:r w:rsidR="00ED423B">
          <w:rPr>
            <w:webHidden/>
          </w:rPr>
          <w:tab/>
        </w:r>
        <w:r w:rsidR="00ED423B">
          <w:rPr>
            <w:webHidden/>
          </w:rPr>
          <w:fldChar w:fldCharType="begin"/>
        </w:r>
        <w:r w:rsidR="00ED423B">
          <w:rPr>
            <w:webHidden/>
          </w:rPr>
          <w:instrText xml:space="preserve"> PAGEREF _Toc401068286 \h </w:instrText>
        </w:r>
        <w:r w:rsidR="00ED423B">
          <w:rPr>
            <w:webHidden/>
          </w:rPr>
        </w:r>
        <w:r w:rsidR="00ED423B">
          <w:rPr>
            <w:webHidden/>
          </w:rPr>
          <w:fldChar w:fldCharType="separate"/>
        </w:r>
        <w:r w:rsidR="00ED423B">
          <w:rPr>
            <w:webHidden/>
          </w:rPr>
          <w:t>5</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87" w:history="1">
        <w:r w:rsidR="00ED423B" w:rsidRPr="00662792">
          <w:rPr>
            <w:rStyle w:val="Hyperlink"/>
          </w:rPr>
          <w:t>Data Collection</w:t>
        </w:r>
        <w:r w:rsidR="00ED423B">
          <w:rPr>
            <w:webHidden/>
          </w:rPr>
          <w:tab/>
        </w:r>
        <w:r w:rsidR="00ED423B">
          <w:rPr>
            <w:webHidden/>
          </w:rPr>
          <w:fldChar w:fldCharType="begin"/>
        </w:r>
        <w:r w:rsidR="00ED423B">
          <w:rPr>
            <w:webHidden/>
          </w:rPr>
          <w:instrText xml:space="preserve"> PAGEREF _Toc401068287 \h </w:instrText>
        </w:r>
        <w:r w:rsidR="00ED423B">
          <w:rPr>
            <w:webHidden/>
          </w:rPr>
        </w:r>
        <w:r w:rsidR="00ED423B">
          <w:rPr>
            <w:webHidden/>
          </w:rPr>
          <w:fldChar w:fldCharType="separate"/>
        </w:r>
        <w:r w:rsidR="00ED423B">
          <w:rPr>
            <w:webHidden/>
          </w:rPr>
          <w:t>5</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88" w:history="1">
        <w:r w:rsidR="00ED423B" w:rsidRPr="00662792">
          <w:rPr>
            <w:rStyle w:val="Hyperlink"/>
          </w:rPr>
          <w:t>Exposure Assessment</w:t>
        </w:r>
        <w:r w:rsidR="00ED423B">
          <w:rPr>
            <w:webHidden/>
          </w:rPr>
          <w:tab/>
        </w:r>
        <w:r w:rsidR="00ED423B">
          <w:rPr>
            <w:webHidden/>
          </w:rPr>
          <w:fldChar w:fldCharType="begin"/>
        </w:r>
        <w:r w:rsidR="00ED423B">
          <w:rPr>
            <w:webHidden/>
          </w:rPr>
          <w:instrText xml:space="preserve"> PAGEREF _Toc401068288 \h </w:instrText>
        </w:r>
        <w:r w:rsidR="00ED423B">
          <w:rPr>
            <w:webHidden/>
          </w:rPr>
        </w:r>
        <w:r w:rsidR="00ED423B">
          <w:rPr>
            <w:webHidden/>
          </w:rPr>
          <w:fldChar w:fldCharType="separate"/>
        </w:r>
        <w:r w:rsidR="00ED423B">
          <w:rPr>
            <w:webHidden/>
          </w:rPr>
          <w:t>6</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89" w:history="1">
        <w:r w:rsidR="00ED423B" w:rsidRPr="00662792">
          <w:rPr>
            <w:rStyle w:val="Hyperlink"/>
          </w:rPr>
          <w:t>Statistical Analysis</w:t>
        </w:r>
        <w:r w:rsidR="00ED423B">
          <w:rPr>
            <w:webHidden/>
          </w:rPr>
          <w:tab/>
        </w:r>
        <w:r w:rsidR="00ED423B">
          <w:rPr>
            <w:webHidden/>
          </w:rPr>
          <w:fldChar w:fldCharType="begin"/>
        </w:r>
        <w:r w:rsidR="00ED423B">
          <w:rPr>
            <w:webHidden/>
          </w:rPr>
          <w:instrText xml:space="preserve"> PAGEREF _Toc401068289 \h </w:instrText>
        </w:r>
        <w:r w:rsidR="00ED423B">
          <w:rPr>
            <w:webHidden/>
          </w:rPr>
        </w:r>
        <w:r w:rsidR="00ED423B">
          <w:rPr>
            <w:webHidden/>
          </w:rPr>
          <w:fldChar w:fldCharType="separate"/>
        </w:r>
        <w:r w:rsidR="00ED423B">
          <w:rPr>
            <w:webHidden/>
          </w:rPr>
          <w:t>6</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290" w:history="1">
        <w:r w:rsidR="00ED423B" w:rsidRPr="00662792">
          <w:rPr>
            <w:rStyle w:val="Hyperlink"/>
          </w:rPr>
          <w:t>RESULTS: Information on exposure and control measures from the Australian Workplace Exposure Study</w:t>
        </w:r>
        <w:r w:rsidR="00ED423B">
          <w:rPr>
            <w:webHidden/>
          </w:rPr>
          <w:tab/>
        </w:r>
        <w:r w:rsidR="00ED423B">
          <w:rPr>
            <w:webHidden/>
          </w:rPr>
          <w:fldChar w:fldCharType="begin"/>
        </w:r>
        <w:r w:rsidR="00ED423B">
          <w:rPr>
            <w:webHidden/>
          </w:rPr>
          <w:instrText xml:space="preserve"> PAGEREF _Toc401068290 \h </w:instrText>
        </w:r>
        <w:r w:rsidR="00ED423B">
          <w:rPr>
            <w:webHidden/>
          </w:rPr>
        </w:r>
        <w:r w:rsidR="00ED423B">
          <w:rPr>
            <w:webHidden/>
          </w:rPr>
          <w:fldChar w:fldCharType="separate"/>
        </w:r>
        <w:r w:rsidR="00ED423B">
          <w:rPr>
            <w:webHidden/>
          </w:rPr>
          <w:t>7</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291" w:history="1">
        <w:r w:rsidR="00ED423B" w:rsidRPr="00662792">
          <w:rPr>
            <w:rStyle w:val="Hyperlink"/>
          </w:rPr>
          <w:t>Overall results</w:t>
        </w:r>
        <w:r w:rsidR="00ED423B">
          <w:rPr>
            <w:webHidden/>
          </w:rPr>
          <w:tab/>
        </w:r>
        <w:r w:rsidR="00ED423B">
          <w:rPr>
            <w:webHidden/>
          </w:rPr>
          <w:fldChar w:fldCharType="begin"/>
        </w:r>
        <w:r w:rsidR="00ED423B">
          <w:rPr>
            <w:webHidden/>
          </w:rPr>
          <w:instrText xml:space="preserve"> PAGEREF _Toc401068291 \h </w:instrText>
        </w:r>
        <w:r w:rsidR="00ED423B">
          <w:rPr>
            <w:webHidden/>
          </w:rPr>
        </w:r>
        <w:r w:rsidR="00ED423B">
          <w:rPr>
            <w:webHidden/>
          </w:rPr>
          <w:fldChar w:fldCharType="separate"/>
        </w:r>
        <w:r w:rsidR="00ED423B">
          <w:rPr>
            <w:webHidden/>
          </w:rPr>
          <w:t>7</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292" w:history="1">
        <w:r w:rsidR="00ED423B" w:rsidRPr="00662792">
          <w:rPr>
            <w:rStyle w:val="Hyperlink"/>
          </w:rPr>
          <w:t>The prevalence of exposure to PAHs in the Australian workforce</w:t>
        </w:r>
        <w:r w:rsidR="00ED423B">
          <w:rPr>
            <w:webHidden/>
          </w:rPr>
          <w:tab/>
        </w:r>
        <w:r w:rsidR="00ED423B">
          <w:rPr>
            <w:webHidden/>
          </w:rPr>
          <w:fldChar w:fldCharType="begin"/>
        </w:r>
        <w:r w:rsidR="00ED423B">
          <w:rPr>
            <w:webHidden/>
          </w:rPr>
          <w:instrText xml:space="preserve"> PAGEREF _Toc401068292 \h </w:instrText>
        </w:r>
        <w:r w:rsidR="00ED423B">
          <w:rPr>
            <w:webHidden/>
          </w:rPr>
        </w:r>
        <w:r w:rsidR="00ED423B">
          <w:rPr>
            <w:webHidden/>
          </w:rPr>
          <w:fldChar w:fldCharType="separate"/>
        </w:r>
        <w:r w:rsidR="00ED423B">
          <w:rPr>
            <w:webHidden/>
          </w:rPr>
          <w:t>10</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293" w:history="1">
        <w:r w:rsidR="00ED423B" w:rsidRPr="00662792">
          <w:rPr>
            <w:rStyle w:val="Hyperlink"/>
          </w:rPr>
          <w:t>Circumstances of exposure</w:t>
        </w:r>
        <w:r w:rsidR="00ED423B">
          <w:rPr>
            <w:webHidden/>
          </w:rPr>
          <w:tab/>
        </w:r>
        <w:r w:rsidR="00ED423B">
          <w:rPr>
            <w:webHidden/>
          </w:rPr>
          <w:fldChar w:fldCharType="begin"/>
        </w:r>
        <w:r w:rsidR="00ED423B">
          <w:rPr>
            <w:webHidden/>
          </w:rPr>
          <w:instrText xml:space="preserve"> PAGEREF _Toc401068293 \h </w:instrText>
        </w:r>
        <w:r w:rsidR="00ED423B">
          <w:rPr>
            <w:webHidden/>
          </w:rPr>
        </w:r>
        <w:r w:rsidR="00ED423B">
          <w:rPr>
            <w:webHidden/>
          </w:rPr>
          <w:fldChar w:fldCharType="separate"/>
        </w:r>
        <w:r w:rsidR="00ED423B">
          <w:rPr>
            <w:webHidden/>
          </w:rPr>
          <w:t>12</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94" w:history="1">
        <w:r w:rsidR="00ED423B" w:rsidRPr="00662792">
          <w:rPr>
            <w:rStyle w:val="Hyperlink"/>
          </w:rPr>
          <w:t>Burning waste</w:t>
        </w:r>
        <w:r w:rsidR="00ED423B">
          <w:rPr>
            <w:webHidden/>
          </w:rPr>
          <w:tab/>
        </w:r>
        <w:r w:rsidR="00ED423B">
          <w:rPr>
            <w:webHidden/>
          </w:rPr>
          <w:fldChar w:fldCharType="begin"/>
        </w:r>
        <w:r w:rsidR="00ED423B">
          <w:rPr>
            <w:webHidden/>
          </w:rPr>
          <w:instrText xml:space="preserve"> PAGEREF _Toc401068294 \h </w:instrText>
        </w:r>
        <w:r w:rsidR="00ED423B">
          <w:rPr>
            <w:webHidden/>
          </w:rPr>
        </w:r>
        <w:r w:rsidR="00ED423B">
          <w:rPr>
            <w:webHidden/>
          </w:rPr>
          <w:fldChar w:fldCharType="separate"/>
        </w:r>
        <w:r w:rsidR="00ED423B">
          <w:rPr>
            <w:webHidden/>
          </w:rPr>
          <w:t>13</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95" w:history="1">
        <w:r w:rsidR="00ED423B" w:rsidRPr="00662792">
          <w:rPr>
            <w:rStyle w:val="Hyperlink"/>
          </w:rPr>
          <w:t>Maintaining power mowers or other equipment</w:t>
        </w:r>
        <w:r w:rsidR="00ED423B">
          <w:rPr>
            <w:webHidden/>
          </w:rPr>
          <w:tab/>
        </w:r>
        <w:r w:rsidR="00ED423B">
          <w:rPr>
            <w:webHidden/>
          </w:rPr>
          <w:fldChar w:fldCharType="begin"/>
        </w:r>
        <w:r w:rsidR="00ED423B">
          <w:rPr>
            <w:webHidden/>
          </w:rPr>
          <w:instrText xml:space="preserve"> PAGEREF _Toc401068295 \h </w:instrText>
        </w:r>
        <w:r w:rsidR="00ED423B">
          <w:rPr>
            <w:webHidden/>
          </w:rPr>
        </w:r>
        <w:r w:rsidR="00ED423B">
          <w:rPr>
            <w:webHidden/>
          </w:rPr>
          <w:fldChar w:fldCharType="separate"/>
        </w:r>
        <w:r w:rsidR="00ED423B">
          <w:rPr>
            <w:webHidden/>
          </w:rPr>
          <w:t>13</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96" w:history="1">
        <w:r w:rsidR="00ED423B" w:rsidRPr="00662792">
          <w:rPr>
            <w:rStyle w:val="Hyperlink"/>
          </w:rPr>
          <w:t>Fire fighting, fire overhaul and clean-up, and back-burning</w:t>
        </w:r>
        <w:r w:rsidR="00ED423B">
          <w:rPr>
            <w:webHidden/>
          </w:rPr>
          <w:tab/>
        </w:r>
        <w:r w:rsidR="00ED423B">
          <w:rPr>
            <w:webHidden/>
          </w:rPr>
          <w:fldChar w:fldCharType="begin"/>
        </w:r>
        <w:r w:rsidR="00ED423B">
          <w:rPr>
            <w:webHidden/>
          </w:rPr>
          <w:instrText xml:space="preserve"> PAGEREF _Toc401068296 \h </w:instrText>
        </w:r>
        <w:r w:rsidR="00ED423B">
          <w:rPr>
            <w:webHidden/>
          </w:rPr>
        </w:r>
        <w:r w:rsidR="00ED423B">
          <w:rPr>
            <w:webHidden/>
          </w:rPr>
          <w:fldChar w:fldCharType="separate"/>
        </w:r>
        <w:r w:rsidR="00ED423B">
          <w:rPr>
            <w:webHidden/>
          </w:rPr>
          <w:t>13</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97" w:history="1">
        <w:r w:rsidR="00ED423B" w:rsidRPr="00662792">
          <w:rPr>
            <w:rStyle w:val="Hyperlink"/>
          </w:rPr>
          <w:t>Removing or cleaning out the ash from fire sites</w:t>
        </w:r>
        <w:r w:rsidR="00ED423B">
          <w:rPr>
            <w:webHidden/>
          </w:rPr>
          <w:tab/>
        </w:r>
        <w:r w:rsidR="00ED423B">
          <w:rPr>
            <w:webHidden/>
          </w:rPr>
          <w:fldChar w:fldCharType="begin"/>
        </w:r>
        <w:r w:rsidR="00ED423B">
          <w:rPr>
            <w:webHidden/>
          </w:rPr>
          <w:instrText xml:space="preserve"> PAGEREF _Toc401068297 \h </w:instrText>
        </w:r>
        <w:r w:rsidR="00ED423B">
          <w:rPr>
            <w:webHidden/>
          </w:rPr>
        </w:r>
        <w:r w:rsidR="00ED423B">
          <w:rPr>
            <w:webHidden/>
          </w:rPr>
          <w:fldChar w:fldCharType="separate"/>
        </w:r>
        <w:r w:rsidR="00ED423B">
          <w:rPr>
            <w:webHidden/>
          </w:rPr>
          <w:t>13</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98" w:history="1">
        <w:r w:rsidR="00ED423B" w:rsidRPr="00662792">
          <w:rPr>
            <w:rStyle w:val="Hyperlink"/>
          </w:rPr>
          <w:t>Cooking</w:t>
        </w:r>
        <w:r w:rsidR="00ED423B">
          <w:rPr>
            <w:webHidden/>
          </w:rPr>
          <w:tab/>
        </w:r>
        <w:r w:rsidR="00ED423B">
          <w:rPr>
            <w:webHidden/>
          </w:rPr>
          <w:fldChar w:fldCharType="begin"/>
        </w:r>
        <w:r w:rsidR="00ED423B">
          <w:rPr>
            <w:webHidden/>
          </w:rPr>
          <w:instrText xml:space="preserve"> PAGEREF _Toc401068298 \h </w:instrText>
        </w:r>
        <w:r w:rsidR="00ED423B">
          <w:rPr>
            <w:webHidden/>
          </w:rPr>
        </w:r>
        <w:r w:rsidR="00ED423B">
          <w:rPr>
            <w:webHidden/>
          </w:rPr>
          <w:fldChar w:fldCharType="separate"/>
        </w:r>
        <w:r w:rsidR="00ED423B">
          <w:rPr>
            <w:webHidden/>
          </w:rPr>
          <w:t>13</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299" w:history="1">
        <w:r w:rsidR="00ED423B" w:rsidRPr="00662792">
          <w:rPr>
            <w:rStyle w:val="Hyperlink"/>
          </w:rPr>
          <w:t>Welding material with a coating</w:t>
        </w:r>
        <w:r w:rsidR="00ED423B">
          <w:rPr>
            <w:webHidden/>
          </w:rPr>
          <w:tab/>
        </w:r>
        <w:r w:rsidR="00ED423B">
          <w:rPr>
            <w:webHidden/>
          </w:rPr>
          <w:fldChar w:fldCharType="begin"/>
        </w:r>
        <w:r w:rsidR="00ED423B">
          <w:rPr>
            <w:webHidden/>
          </w:rPr>
          <w:instrText xml:space="preserve"> PAGEREF _Toc401068299 \h </w:instrText>
        </w:r>
        <w:r w:rsidR="00ED423B">
          <w:rPr>
            <w:webHidden/>
          </w:rPr>
        </w:r>
        <w:r w:rsidR="00ED423B">
          <w:rPr>
            <w:webHidden/>
          </w:rPr>
          <w:fldChar w:fldCharType="separate"/>
        </w:r>
        <w:r w:rsidR="00ED423B">
          <w:rPr>
            <w:webHidden/>
          </w:rPr>
          <w:t>13</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300" w:history="1">
        <w:r w:rsidR="00ED423B" w:rsidRPr="00662792">
          <w:rPr>
            <w:rStyle w:val="Hyperlink"/>
          </w:rPr>
          <w:t>Diathermy</w:t>
        </w:r>
        <w:r w:rsidR="00ED423B">
          <w:rPr>
            <w:webHidden/>
          </w:rPr>
          <w:tab/>
        </w:r>
        <w:r w:rsidR="00ED423B">
          <w:rPr>
            <w:webHidden/>
          </w:rPr>
          <w:fldChar w:fldCharType="begin"/>
        </w:r>
        <w:r w:rsidR="00ED423B">
          <w:rPr>
            <w:webHidden/>
          </w:rPr>
          <w:instrText xml:space="preserve"> PAGEREF _Toc401068300 \h </w:instrText>
        </w:r>
        <w:r w:rsidR="00ED423B">
          <w:rPr>
            <w:webHidden/>
          </w:rPr>
        </w:r>
        <w:r w:rsidR="00ED423B">
          <w:rPr>
            <w:webHidden/>
          </w:rPr>
          <w:fldChar w:fldCharType="separate"/>
        </w:r>
        <w:r w:rsidR="00ED423B">
          <w:rPr>
            <w:webHidden/>
          </w:rPr>
          <w:t>13</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301" w:history="1">
        <w:r w:rsidR="00ED423B" w:rsidRPr="00662792">
          <w:rPr>
            <w:rStyle w:val="Hyperlink"/>
          </w:rPr>
          <w:t>Working with asphalt or tar</w:t>
        </w:r>
        <w:r w:rsidR="00ED423B">
          <w:rPr>
            <w:webHidden/>
          </w:rPr>
          <w:tab/>
        </w:r>
        <w:r w:rsidR="00ED423B">
          <w:rPr>
            <w:webHidden/>
          </w:rPr>
          <w:fldChar w:fldCharType="begin"/>
        </w:r>
        <w:r w:rsidR="00ED423B">
          <w:rPr>
            <w:webHidden/>
          </w:rPr>
          <w:instrText xml:space="preserve"> PAGEREF _Toc401068301 \h </w:instrText>
        </w:r>
        <w:r w:rsidR="00ED423B">
          <w:rPr>
            <w:webHidden/>
          </w:rPr>
        </w:r>
        <w:r w:rsidR="00ED423B">
          <w:rPr>
            <w:webHidden/>
          </w:rPr>
          <w:fldChar w:fldCharType="separate"/>
        </w:r>
        <w:r w:rsidR="00ED423B">
          <w:rPr>
            <w:webHidden/>
          </w:rPr>
          <w:t>14</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302" w:history="1">
        <w:r w:rsidR="00ED423B" w:rsidRPr="00662792">
          <w:rPr>
            <w:rStyle w:val="Hyperlink"/>
          </w:rPr>
          <w:t>Working with creosote</w:t>
        </w:r>
        <w:r w:rsidR="00ED423B">
          <w:rPr>
            <w:webHidden/>
          </w:rPr>
          <w:tab/>
        </w:r>
        <w:r w:rsidR="00ED423B">
          <w:rPr>
            <w:webHidden/>
          </w:rPr>
          <w:fldChar w:fldCharType="begin"/>
        </w:r>
        <w:r w:rsidR="00ED423B">
          <w:rPr>
            <w:webHidden/>
          </w:rPr>
          <w:instrText xml:space="preserve"> PAGEREF _Toc401068302 \h </w:instrText>
        </w:r>
        <w:r w:rsidR="00ED423B">
          <w:rPr>
            <w:webHidden/>
          </w:rPr>
        </w:r>
        <w:r w:rsidR="00ED423B">
          <w:rPr>
            <w:webHidden/>
          </w:rPr>
          <w:fldChar w:fldCharType="separate"/>
        </w:r>
        <w:r w:rsidR="00ED423B">
          <w:rPr>
            <w:webHidden/>
          </w:rPr>
          <w:t>14</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303" w:history="1">
        <w:r w:rsidR="00ED423B" w:rsidRPr="00662792">
          <w:rPr>
            <w:rStyle w:val="Hyperlink"/>
          </w:rPr>
          <w:t>Miners</w:t>
        </w:r>
        <w:r w:rsidR="00ED423B">
          <w:rPr>
            <w:webHidden/>
          </w:rPr>
          <w:tab/>
        </w:r>
        <w:r w:rsidR="00ED423B">
          <w:rPr>
            <w:webHidden/>
          </w:rPr>
          <w:fldChar w:fldCharType="begin"/>
        </w:r>
        <w:r w:rsidR="00ED423B">
          <w:rPr>
            <w:webHidden/>
          </w:rPr>
          <w:instrText xml:space="preserve"> PAGEREF _Toc401068303 \h </w:instrText>
        </w:r>
        <w:r w:rsidR="00ED423B">
          <w:rPr>
            <w:webHidden/>
          </w:rPr>
        </w:r>
        <w:r w:rsidR="00ED423B">
          <w:rPr>
            <w:webHidden/>
          </w:rPr>
          <w:fldChar w:fldCharType="separate"/>
        </w:r>
        <w:r w:rsidR="00ED423B">
          <w:rPr>
            <w:webHidden/>
          </w:rPr>
          <w:t>14</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304" w:history="1">
        <w:r w:rsidR="00ED423B" w:rsidRPr="00662792">
          <w:rPr>
            <w:rStyle w:val="Hyperlink"/>
          </w:rPr>
          <w:t>Firing range</w:t>
        </w:r>
        <w:r w:rsidR="00ED423B">
          <w:rPr>
            <w:webHidden/>
          </w:rPr>
          <w:tab/>
        </w:r>
        <w:r w:rsidR="00ED423B">
          <w:rPr>
            <w:webHidden/>
          </w:rPr>
          <w:fldChar w:fldCharType="begin"/>
        </w:r>
        <w:r w:rsidR="00ED423B">
          <w:rPr>
            <w:webHidden/>
          </w:rPr>
          <w:instrText xml:space="preserve"> PAGEREF _Toc401068304 \h </w:instrText>
        </w:r>
        <w:r w:rsidR="00ED423B">
          <w:rPr>
            <w:webHidden/>
          </w:rPr>
        </w:r>
        <w:r w:rsidR="00ED423B">
          <w:rPr>
            <w:webHidden/>
          </w:rPr>
          <w:fldChar w:fldCharType="separate"/>
        </w:r>
        <w:r w:rsidR="00ED423B">
          <w:rPr>
            <w:webHidden/>
          </w:rPr>
          <w:t>14</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305" w:history="1">
        <w:r w:rsidR="00ED423B" w:rsidRPr="00662792">
          <w:rPr>
            <w:rStyle w:val="Hyperlink"/>
          </w:rPr>
          <w:t>Other exposure circumstances</w:t>
        </w:r>
        <w:r w:rsidR="00ED423B">
          <w:rPr>
            <w:webHidden/>
          </w:rPr>
          <w:tab/>
        </w:r>
        <w:r w:rsidR="00ED423B">
          <w:rPr>
            <w:webHidden/>
          </w:rPr>
          <w:fldChar w:fldCharType="begin"/>
        </w:r>
        <w:r w:rsidR="00ED423B">
          <w:rPr>
            <w:webHidden/>
          </w:rPr>
          <w:instrText xml:space="preserve"> PAGEREF _Toc401068305 \h </w:instrText>
        </w:r>
        <w:r w:rsidR="00ED423B">
          <w:rPr>
            <w:webHidden/>
          </w:rPr>
        </w:r>
        <w:r w:rsidR="00ED423B">
          <w:rPr>
            <w:webHidden/>
          </w:rPr>
          <w:fldChar w:fldCharType="separate"/>
        </w:r>
        <w:r w:rsidR="00ED423B">
          <w:rPr>
            <w:webHidden/>
          </w:rPr>
          <w:t>14</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306" w:history="1">
        <w:r w:rsidR="00ED423B" w:rsidRPr="00662792">
          <w:rPr>
            <w:rStyle w:val="Hyperlink"/>
          </w:rPr>
          <w:t>The use of respiratory protection equipment</w:t>
        </w:r>
        <w:r w:rsidR="00ED423B">
          <w:rPr>
            <w:webHidden/>
          </w:rPr>
          <w:tab/>
        </w:r>
        <w:r w:rsidR="00ED423B">
          <w:rPr>
            <w:webHidden/>
          </w:rPr>
          <w:fldChar w:fldCharType="begin"/>
        </w:r>
        <w:r w:rsidR="00ED423B">
          <w:rPr>
            <w:webHidden/>
          </w:rPr>
          <w:instrText xml:space="preserve"> PAGEREF _Toc401068306 \h </w:instrText>
        </w:r>
        <w:r w:rsidR="00ED423B">
          <w:rPr>
            <w:webHidden/>
          </w:rPr>
        </w:r>
        <w:r w:rsidR="00ED423B">
          <w:rPr>
            <w:webHidden/>
          </w:rPr>
          <w:fldChar w:fldCharType="separate"/>
        </w:r>
        <w:r w:rsidR="00ED423B">
          <w:rPr>
            <w:webHidden/>
          </w:rPr>
          <w:t>14</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307" w:history="1">
        <w:r w:rsidR="00ED423B" w:rsidRPr="00662792">
          <w:rPr>
            <w:rStyle w:val="Hyperlink"/>
          </w:rPr>
          <w:t>DISCUSSION AND INTERPRETATION OF THE STUDY FINDINGS</w:t>
        </w:r>
        <w:r w:rsidR="00ED423B">
          <w:rPr>
            <w:webHidden/>
          </w:rPr>
          <w:tab/>
        </w:r>
        <w:r w:rsidR="00ED423B">
          <w:rPr>
            <w:webHidden/>
          </w:rPr>
          <w:fldChar w:fldCharType="begin"/>
        </w:r>
        <w:r w:rsidR="00ED423B">
          <w:rPr>
            <w:webHidden/>
          </w:rPr>
          <w:instrText xml:space="preserve"> PAGEREF _Toc401068307 \h </w:instrText>
        </w:r>
        <w:r w:rsidR="00ED423B">
          <w:rPr>
            <w:webHidden/>
          </w:rPr>
        </w:r>
        <w:r w:rsidR="00ED423B">
          <w:rPr>
            <w:webHidden/>
          </w:rPr>
          <w:fldChar w:fldCharType="separate"/>
        </w:r>
        <w:r w:rsidR="00ED423B">
          <w:rPr>
            <w:webHidden/>
          </w:rPr>
          <w:t>16</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308" w:history="1">
        <w:r w:rsidR="00ED423B" w:rsidRPr="00662792">
          <w:rPr>
            <w:rStyle w:val="Hyperlink"/>
          </w:rPr>
          <w:t>Exposures</w:t>
        </w:r>
        <w:r w:rsidR="00ED423B">
          <w:rPr>
            <w:webHidden/>
          </w:rPr>
          <w:tab/>
        </w:r>
        <w:r w:rsidR="00ED423B">
          <w:rPr>
            <w:webHidden/>
          </w:rPr>
          <w:fldChar w:fldCharType="begin"/>
        </w:r>
        <w:r w:rsidR="00ED423B">
          <w:rPr>
            <w:webHidden/>
          </w:rPr>
          <w:instrText xml:space="preserve"> PAGEREF _Toc401068308 \h </w:instrText>
        </w:r>
        <w:r w:rsidR="00ED423B">
          <w:rPr>
            <w:webHidden/>
          </w:rPr>
        </w:r>
        <w:r w:rsidR="00ED423B">
          <w:rPr>
            <w:webHidden/>
          </w:rPr>
          <w:fldChar w:fldCharType="separate"/>
        </w:r>
        <w:r w:rsidR="00ED423B">
          <w:rPr>
            <w:webHidden/>
          </w:rPr>
          <w:t>16</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309" w:history="1">
        <w:r w:rsidR="00ED423B" w:rsidRPr="00662792">
          <w:rPr>
            <w:rStyle w:val="Hyperlink"/>
          </w:rPr>
          <w:t>Use of control measures</w:t>
        </w:r>
        <w:r w:rsidR="00ED423B">
          <w:rPr>
            <w:webHidden/>
          </w:rPr>
          <w:tab/>
        </w:r>
        <w:r w:rsidR="00ED423B">
          <w:rPr>
            <w:webHidden/>
          </w:rPr>
          <w:fldChar w:fldCharType="begin"/>
        </w:r>
        <w:r w:rsidR="00ED423B">
          <w:rPr>
            <w:webHidden/>
          </w:rPr>
          <w:instrText xml:space="preserve"> PAGEREF _Toc401068309 \h </w:instrText>
        </w:r>
        <w:r w:rsidR="00ED423B">
          <w:rPr>
            <w:webHidden/>
          </w:rPr>
        </w:r>
        <w:r w:rsidR="00ED423B">
          <w:rPr>
            <w:webHidden/>
          </w:rPr>
          <w:fldChar w:fldCharType="separate"/>
        </w:r>
        <w:r w:rsidR="00ED423B">
          <w:rPr>
            <w:webHidden/>
          </w:rPr>
          <w:t>17</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310" w:history="1">
        <w:r w:rsidR="00ED423B" w:rsidRPr="00662792">
          <w:rPr>
            <w:rStyle w:val="Hyperlink"/>
          </w:rPr>
          <w:t>Gaps, strengths and weaknesses</w:t>
        </w:r>
        <w:r w:rsidR="00ED423B">
          <w:rPr>
            <w:webHidden/>
          </w:rPr>
          <w:tab/>
        </w:r>
        <w:r w:rsidR="00ED423B">
          <w:rPr>
            <w:webHidden/>
          </w:rPr>
          <w:fldChar w:fldCharType="begin"/>
        </w:r>
        <w:r w:rsidR="00ED423B">
          <w:rPr>
            <w:webHidden/>
          </w:rPr>
          <w:instrText xml:space="preserve"> PAGEREF _Toc401068310 \h </w:instrText>
        </w:r>
        <w:r w:rsidR="00ED423B">
          <w:rPr>
            <w:webHidden/>
          </w:rPr>
        </w:r>
        <w:r w:rsidR="00ED423B">
          <w:rPr>
            <w:webHidden/>
          </w:rPr>
          <w:fldChar w:fldCharType="separate"/>
        </w:r>
        <w:r w:rsidR="00ED423B">
          <w:rPr>
            <w:webHidden/>
          </w:rPr>
          <w:t>17</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311" w:history="1">
        <w:r w:rsidR="00ED423B" w:rsidRPr="00662792">
          <w:rPr>
            <w:rStyle w:val="Hyperlink"/>
          </w:rPr>
          <w:t>Policy implications</w:t>
        </w:r>
        <w:r w:rsidR="00ED423B">
          <w:rPr>
            <w:webHidden/>
          </w:rPr>
          <w:tab/>
        </w:r>
        <w:r w:rsidR="00ED423B">
          <w:rPr>
            <w:webHidden/>
          </w:rPr>
          <w:fldChar w:fldCharType="begin"/>
        </w:r>
        <w:r w:rsidR="00ED423B">
          <w:rPr>
            <w:webHidden/>
          </w:rPr>
          <w:instrText xml:space="preserve"> PAGEREF _Toc401068311 \h </w:instrText>
        </w:r>
        <w:r w:rsidR="00ED423B">
          <w:rPr>
            <w:webHidden/>
          </w:rPr>
        </w:r>
        <w:r w:rsidR="00ED423B">
          <w:rPr>
            <w:webHidden/>
          </w:rPr>
          <w:fldChar w:fldCharType="separate"/>
        </w:r>
        <w:r w:rsidR="00ED423B">
          <w:rPr>
            <w:webHidden/>
          </w:rPr>
          <w:t>18</w:t>
        </w:r>
        <w:r w:rsidR="00ED423B">
          <w:rPr>
            <w:webHidden/>
          </w:rPr>
          <w:fldChar w:fldCharType="end"/>
        </w:r>
      </w:hyperlink>
    </w:p>
    <w:p w:rsidR="00ED423B" w:rsidRDefault="00AC004A">
      <w:pPr>
        <w:pStyle w:val="TOC2"/>
        <w:rPr>
          <w:rFonts w:asciiTheme="minorHAnsi" w:eastAsiaTheme="minorEastAsia" w:hAnsiTheme="minorHAnsi" w:cstheme="minorBidi"/>
          <w:szCs w:val="22"/>
          <w:lang w:eastAsia="en-AU"/>
        </w:rPr>
      </w:pPr>
      <w:hyperlink w:anchor="_Toc401068312" w:history="1">
        <w:r w:rsidR="00ED423B" w:rsidRPr="00662792">
          <w:rPr>
            <w:rStyle w:val="Hyperlink"/>
          </w:rPr>
          <w:t>Research opportunities</w:t>
        </w:r>
        <w:r w:rsidR="00ED423B">
          <w:rPr>
            <w:webHidden/>
          </w:rPr>
          <w:tab/>
        </w:r>
        <w:r w:rsidR="00ED423B">
          <w:rPr>
            <w:webHidden/>
          </w:rPr>
          <w:fldChar w:fldCharType="begin"/>
        </w:r>
        <w:r w:rsidR="00ED423B">
          <w:rPr>
            <w:webHidden/>
          </w:rPr>
          <w:instrText xml:space="preserve"> PAGEREF _Toc401068312 \h </w:instrText>
        </w:r>
        <w:r w:rsidR="00ED423B">
          <w:rPr>
            <w:webHidden/>
          </w:rPr>
        </w:r>
        <w:r w:rsidR="00ED423B">
          <w:rPr>
            <w:webHidden/>
          </w:rPr>
          <w:fldChar w:fldCharType="separate"/>
        </w:r>
        <w:r w:rsidR="00ED423B">
          <w:rPr>
            <w:webHidden/>
          </w:rPr>
          <w:t>19</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313" w:history="1">
        <w:r w:rsidR="00ED423B" w:rsidRPr="00662792">
          <w:rPr>
            <w:rStyle w:val="Hyperlink"/>
          </w:rPr>
          <w:t>Exposures</w:t>
        </w:r>
        <w:r w:rsidR="00ED423B">
          <w:rPr>
            <w:webHidden/>
          </w:rPr>
          <w:tab/>
        </w:r>
        <w:r w:rsidR="00ED423B">
          <w:rPr>
            <w:webHidden/>
          </w:rPr>
          <w:fldChar w:fldCharType="begin"/>
        </w:r>
        <w:r w:rsidR="00ED423B">
          <w:rPr>
            <w:webHidden/>
          </w:rPr>
          <w:instrText xml:space="preserve"> PAGEREF _Toc401068313 \h </w:instrText>
        </w:r>
        <w:r w:rsidR="00ED423B">
          <w:rPr>
            <w:webHidden/>
          </w:rPr>
        </w:r>
        <w:r w:rsidR="00ED423B">
          <w:rPr>
            <w:webHidden/>
          </w:rPr>
          <w:fldChar w:fldCharType="separate"/>
        </w:r>
        <w:r w:rsidR="00ED423B">
          <w:rPr>
            <w:webHidden/>
          </w:rPr>
          <w:t>19</w:t>
        </w:r>
        <w:r w:rsidR="00ED423B">
          <w:rPr>
            <w:webHidden/>
          </w:rPr>
          <w:fldChar w:fldCharType="end"/>
        </w:r>
      </w:hyperlink>
    </w:p>
    <w:p w:rsidR="00ED423B" w:rsidRDefault="00AC004A">
      <w:pPr>
        <w:pStyle w:val="TOC3"/>
        <w:rPr>
          <w:rFonts w:asciiTheme="minorHAnsi" w:eastAsiaTheme="minorEastAsia" w:hAnsiTheme="minorHAnsi"/>
          <w:szCs w:val="22"/>
          <w:lang w:eastAsia="en-AU"/>
        </w:rPr>
      </w:pPr>
      <w:hyperlink w:anchor="_Toc401068314" w:history="1">
        <w:r w:rsidR="00ED423B" w:rsidRPr="00662792">
          <w:rPr>
            <w:rStyle w:val="Hyperlink"/>
          </w:rPr>
          <w:t>The use of control measures</w:t>
        </w:r>
        <w:r w:rsidR="00ED423B">
          <w:rPr>
            <w:webHidden/>
          </w:rPr>
          <w:tab/>
        </w:r>
        <w:r w:rsidR="00ED423B">
          <w:rPr>
            <w:webHidden/>
          </w:rPr>
          <w:fldChar w:fldCharType="begin"/>
        </w:r>
        <w:r w:rsidR="00ED423B">
          <w:rPr>
            <w:webHidden/>
          </w:rPr>
          <w:instrText xml:space="preserve"> PAGEREF _Toc401068314 \h </w:instrText>
        </w:r>
        <w:r w:rsidR="00ED423B">
          <w:rPr>
            <w:webHidden/>
          </w:rPr>
        </w:r>
        <w:r w:rsidR="00ED423B">
          <w:rPr>
            <w:webHidden/>
          </w:rPr>
          <w:fldChar w:fldCharType="separate"/>
        </w:r>
        <w:r w:rsidR="00ED423B">
          <w:rPr>
            <w:webHidden/>
          </w:rPr>
          <w:t>19</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315" w:history="1">
        <w:r w:rsidR="00ED423B" w:rsidRPr="00662792">
          <w:rPr>
            <w:rStyle w:val="Hyperlink"/>
          </w:rPr>
          <w:t>REFERENCES</w:t>
        </w:r>
        <w:r w:rsidR="00ED423B">
          <w:rPr>
            <w:webHidden/>
          </w:rPr>
          <w:tab/>
        </w:r>
        <w:r w:rsidR="00ED423B">
          <w:rPr>
            <w:webHidden/>
          </w:rPr>
          <w:fldChar w:fldCharType="begin"/>
        </w:r>
        <w:r w:rsidR="00ED423B">
          <w:rPr>
            <w:webHidden/>
          </w:rPr>
          <w:instrText xml:space="preserve"> PAGEREF _Toc401068315 \h </w:instrText>
        </w:r>
        <w:r w:rsidR="00ED423B">
          <w:rPr>
            <w:webHidden/>
          </w:rPr>
        </w:r>
        <w:r w:rsidR="00ED423B">
          <w:rPr>
            <w:webHidden/>
          </w:rPr>
          <w:fldChar w:fldCharType="separate"/>
        </w:r>
        <w:r w:rsidR="00ED423B">
          <w:rPr>
            <w:webHidden/>
          </w:rPr>
          <w:t>20</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316" w:history="1">
        <w:r w:rsidR="00ED423B" w:rsidRPr="00662792">
          <w:rPr>
            <w:rStyle w:val="Hyperlink"/>
          </w:rPr>
          <w:t>LIST OF TABLES</w:t>
        </w:r>
        <w:r w:rsidR="00ED423B">
          <w:rPr>
            <w:webHidden/>
          </w:rPr>
          <w:tab/>
        </w:r>
        <w:r w:rsidR="00ED423B">
          <w:rPr>
            <w:webHidden/>
          </w:rPr>
          <w:fldChar w:fldCharType="begin"/>
        </w:r>
        <w:r w:rsidR="00ED423B">
          <w:rPr>
            <w:webHidden/>
          </w:rPr>
          <w:instrText xml:space="preserve"> PAGEREF _Toc401068316 \h </w:instrText>
        </w:r>
        <w:r w:rsidR="00ED423B">
          <w:rPr>
            <w:webHidden/>
          </w:rPr>
        </w:r>
        <w:r w:rsidR="00ED423B">
          <w:rPr>
            <w:webHidden/>
          </w:rPr>
          <w:fldChar w:fldCharType="separate"/>
        </w:r>
        <w:r w:rsidR="00ED423B">
          <w:rPr>
            <w:webHidden/>
          </w:rPr>
          <w:t>23</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317" w:history="1">
        <w:r w:rsidR="00ED423B" w:rsidRPr="00662792">
          <w:rPr>
            <w:rStyle w:val="Hyperlink"/>
          </w:rPr>
          <w:t>LIST OF FIGURES</w:t>
        </w:r>
        <w:r w:rsidR="00ED423B">
          <w:rPr>
            <w:webHidden/>
          </w:rPr>
          <w:tab/>
        </w:r>
        <w:r w:rsidR="00ED423B">
          <w:rPr>
            <w:webHidden/>
          </w:rPr>
          <w:fldChar w:fldCharType="begin"/>
        </w:r>
        <w:r w:rsidR="00ED423B">
          <w:rPr>
            <w:webHidden/>
          </w:rPr>
          <w:instrText xml:space="preserve"> PAGEREF _Toc401068317 \h </w:instrText>
        </w:r>
        <w:r w:rsidR="00ED423B">
          <w:rPr>
            <w:webHidden/>
          </w:rPr>
        </w:r>
        <w:r w:rsidR="00ED423B">
          <w:rPr>
            <w:webHidden/>
          </w:rPr>
          <w:fldChar w:fldCharType="separate"/>
        </w:r>
        <w:r w:rsidR="00ED423B">
          <w:rPr>
            <w:webHidden/>
          </w:rPr>
          <w:t>24</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318" w:history="1">
        <w:r w:rsidR="00ED423B" w:rsidRPr="00662792">
          <w:rPr>
            <w:rStyle w:val="Hyperlink"/>
          </w:rPr>
          <w:t>GLOSSARY</w:t>
        </w:r>
        <w:r w:rsidR="00ED423B">
          <w:rPr>
            <w:webHidden/>
          </w:rPr>
          <w:tab/>
        </w:r>
        <w:r w:rsidR="00ED423B">
          <w:rPr>
            <w:webHidden/>
          </w:rPr>
          <w:fldChar w:fldCharType="begin"/>
        </w:r>
        <w:r w:rsidR="00ED423B">
          <w:rPr>
            <w:webHidden/>
          </w:rPr>
          <w:instrText xml:space="preserve"> PAGEREF _Toc401068318 \h </w:instrText>
        </w:r>
        <w:r w:rsidR="00ED423B">
          <w:rPr>
            <w:webHidden/>
          </w:rPr>
        </w:r>
        <w:r w:rsidR="00ED423B">
          <w:rPr>
            <w:webHidden/>
          </w:rPr>
          <w:fldChar w:fldCharType="separate"/>
        </w:r>
        <w:r w:rsidR="00ED423B">
          <w:rPr>
            <w:webHidden/>
          </w:rPr>
          <w:t>25</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319" w:history="1">
        <w:r w:rsidR="00ED423B" w:rsidRPr="00662792">
          <w:rPr>
            <w:rStyle w:val="Hyperlink"/>
          </w:rPr>
          <w:t>APPENDIX 1: Classification of carcinogens</w:t>
        </w:r>
        <w:r w:rsidR="00ED423B">
          <w:rPr>
            <w:webHidden/>
          </w:rPr>
          <w:tab/>
        </w:r>
        <w:r w:rsidR="00ED423B">
          <w:rPr>
            <w:webHidden/>
          </w:rPr>
          <w:fldChar w:fldCharType="begin"/>
        </w:r>
        <w:r w:rsidR="00ED423B">
          <w:rPr>
            <w:webHidden/>
          </w:rPr>
          <w:instrText xml:space="preserve"> PAGEREF _Toc401068319 \h </w:instrText>
        </w:r>
        <w:r w:rsidR="00ED423B">
          <w:rPr>
            <w:webHidden/>
          </w:rPr>
        </w:r>
        <w:r w:rsidR="00ED423B">
          <w:rPr>
            <w:webHidden/>
          </w:rPr>
          <w:fldChar w:fldCharType="separate"/>
        </w:r>
        <w:r w:rsidR="00ED423B">
          <w:rPr>
            <w:webHidden/>
          </w:rPr>
          <w:t>26</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320" w:history="1">
        <w:r w:rsidR="00ED423B" w:rsidRPr="00662792">
          <w:rPr>
            <w:rStyle w:val="Hyperlink"/>
          </w:rPr>
          <w:t>APPENDIX 2: Classification of some exposure circumstances and some specific PAHs</w:t>
        </w:r>
        <w:r w:rsidR="00ED423B">
          <w:rPr>
            <w:webHidden/>
          </w:rPr>
          <w:tab/>
        </w:r>
        <w:r w:rsidR="00ED423B">
          <w:rPr>
            <w:webHidden/>
          </w:rPr>
          <w:fldChar w:fldCharType="begin"/>
        </w:r>
        <w:r w:rsidR="00ED423B">
          <w:rPr>
            <w:webHidden/>
          </w:rPr>
          <w:instrText xml:space="preserve"> PAGEREF _Toc401068320 \h </w:instrText>
        </w:r>
        <w:r w:rsidR="00ED423B">
          <w:rPr>
            <w:webHidden/>
          </w:rPr>
        </w:r>
        <w:r w:rsidR="00ED423B">
          <w:rPr>
            <w:webHidden/>
          </w:rPr>
          <w:fldChar w:fldCharType="separate"/>
        </w:r>
        <w:r w:rsidR="00ED423B">
          <w:rPr>
            <w:webHidden/>
          </w:rPr>
          <w:t>27</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321" w:history="1">
        <w:r w:rsidR="00ED423B" w:rsidRPr="00662792">
          <w:rPr>
            <w:rStyle w:val="Hyperlink"/>
          </w:rPr>
          <w:t>APPENDIX 3: Relevant questions and exposure coding rules for example Job-Specific Modules</w:t>
        </w:r>
        <w:r w:rsidR="00ED423B">
          <w:rPr>
            <w:webHidden/>
          </w:rPr>
          <w:tab/>
        </w:r>
        <w:r w:rsidR="00ED423B">
          <w:rPr>
            <w:webHidden/>
          </w:rPr>
          <w:fldChar w:fldCharType="begin"/>
        </w:r>
        <w:r w:rsidR="00ED423B">
          <w:rPr>
            <w:webHidden/>
          </w:rPr>
          <w:instrText xml:space="preserve"> PAGEREF _Toc401068321 \h </w:instrText>
        </w:r>
        <w:r w:rsidR="00ED423B">
          <w:rPr>
            <w:webHidden/>
          </w:rPr>
        </w:r>
        <w:r w:rsidR="00ED423B">
          <w:rPr>
            <w:webHidden/>
          </w:rPr>
          <w:fldChar w:fldCharType="separate"/>
        </w:r>
        <w:r w:rsidR="00ED423B">
          <w:rPr>
            <w:webHidden/>
          </w:rPr>
          <w:t>30</w:t>
        </w:r>
        <w:r w:rsidR="00ED423B">
          <w:rPr>
            <w:webHidden/>
          </w:rPr>
          <w:fldChar w:fldCharType="end"/>
        </w:r>
      </w:hyperlink>
    </w:p>
    <w:p w:rsidR="00ED423B" w:rsidRDefault="00AC004A">
      <w:pPr>
        <w:pStyle w:val="TOC1"/>
        <w:rPr>
          <w:rFonts w:asciiTheme="minorHAnsi" w:eastAsiaTheme="minorEastAsia" w:hAnsiTheme="minorHAnsi" w:cstheme="minorBidi"/>
          <w:b w:val="0"/>
          <w:bCs w:val="0"/>
          <w:szCs w:val="22"/>
          <w:lang w:eastAsia="en-AU"/>
        </w:rPr>
      </w:pPr>
      <w:hyperlink w:anchor="_Toc401068322" w:history="1">
        <w:r w:rsidR="00ED423B" w:rsidRPr="00662792">
          <w:rPr>
            <w:rStyle w:val="Hyperlink"/>
          </w:rPr>
          <w:t>APPENDIX 4: Tables relevant to Figures presented in Chapter 3</w:t>
        </w:r>
        <w:r w:rsidR="00ED423B">
          <w:rPr>
            <w:webHidden/>
          </w:rPr>
          <w:tab/>
        </w:r>
        <w:r w:rsidR="00ED423B">
          <w:rPr>
            <w:webHidden/>
          </w:rPr>
          <w:fldChar w:fldCharType="begin"/>
        </w:r>
        <w:r w:rsidR="00ED423B">
          <w:rPr>
            <w:webHidden/>
          </w:rPr>
          <w:instrText xml:space="preserve"> PAGEREF _Toc401068322 \h </w:instrText>
        </w:r>
        <w:r w:rsidR="00ED423B">
          <w:rPr>
            <w:webHidden/>
          </w:rPr>
        </w:r>
        <w:r w:rsidR="00ED423B">
          <w:rPr>
            <w:webHidden/>
          </w:rPr>
          <w:fldChar w:fldCharType="separate"/>
        </w:r>
        <w:r w:rsidR="00ED423B">
          <w:rPr>
            <w:webHidden/>
          </w:rPr>
          <w:t>31</w:t>
        </w:r>
        <w:r w:rsidR="00ED423B">
          <w:rPr>
            <w:webHidden/>
          </w:rPr>
          <w:fldChar w:fldCharType="end"/>
        </w:r>
      </w:hyperlink>
    </w:p>
    <w:p w:rsidR="00ED423B" w:rsidRDefault="00ED423B" w:rsidP="00BB6679">
      <w:r>
        <w:rPr>
          <w:noProof/>
          <w:highlight w:val="green"/>
        </w:rPr>
        <w:fldChar w:fldCharType="end"/>
      </w:r>
    </w:p>
    <w:p w:rsidR="00ED423B" w:rsidRPr="00521182" w:rsidRDefault="00ED423B" w:rsidP="00BB6679">
      <w:pPr>
        <w:pStyle w:val="Heading1"/>
      </w:pPr>
      <w:bookmarkStart w:id="3" w:name="_Toc401068275"/>
      <w:r w:rsidRPr="0098032D">
        <w:lastRenderedPageBreak/>
        <w:t>EXECUTIVE SUMMARY</w:t>
      </w:r>
      <w:bookmarkEnd w:id="3"/>
    </w:p>
    <w:p w:rsidR="00ED423B" w:rsidRPr="0098032D" w:rsidRDefault="00ED423B" w:rsidP="00BB6679">
      <w:pPr>
        <w:pStyle w:val="Heading2-NoTOC"/>
      </w:pPr>
      <w:r w:rsidRPr="0098032D">
        <w:t>Background</w:t>
      </w:r>
    </w:p>
    <w:p w:rsidR="00ED423B" w:rsidRPr="0098032D" w:rsidRDefault="00ED423B" w:rsidP="00BB6679">
      <w:r w:rsidRPr="0098032D">
        <w:t>Cancer is a priority disorder under the Australian Work Health and Safety Strategy 2012-2022 (the Strategy). Better understanding of current hazardous exposures and the effectiveness of controls is a research priority under the Strategy. There are more than a hundred polycyclic aromatic hydrocarbon compounds (</w:t>
      </w:r>
      <w:proofErr w:type="spellStart"/>
      <w:r w:rsidRPr="0098032D">
        <w:t>PAHs</w:t>
      </w:r>
      <w:proofErr w:type="spellEnd"/>
      <w:r w:rsidRPr="0098032D">
        <w:t>) and they typically exist as complex mixture</w:t>
      </w:r>
      <w:r>
        <w:t>s</w:t>
      </w:r>
      <w:r w:rsidRPr="0098032D">
        <w:t xml:space="preserve">. </w:t>
      </w:r>
      <w:r w:rsidRPr="008D2C52">
        <w:t>Some</w:t>
      </w:r>
      <w:r w:rsidRPr="0098032D">
        <w:t xml:space="preserve"> </w:t>
      </w:r>
      <w:proofErr w:type="spellStart"/>
      <w:r w:rsidRPr="0098032D">
        <w:t>PAHs</w:t>
      </w:r>
      <w:proofErr w:type="spellEnd"/>
      <w:r w:rsidRPr="0098032D">
        <w:t xml:space="preserve"> are known or probable human carcinogens (classified as International Agency for Research on Cancer </w:t>
      </w:r>
      <w:r>
        <w:t>(</w:t>
      </w:r>
      <w:proofErr w:type="spellStart"/>
      <w:r>
        <w:t>IARC</w:t>
      </w:r>
      <w:proofErr w:type="spellEnd"/>
      <w:r>
        <w:t xml:space="preserve">) </w:t>
      </w:r>
      <w:r w:rsidRPr="0098032D">
        <w:t xml:space="preserve">Group 1 and </w:t>
      </w:r>
      <w:proofErr w:type="spellStart"/>
      <w:r w:rsidRPr="0098032D">
        <w:t>2A</w:t>
      </w:r>
      <w:proofErr w:type="spellEnd"/>
      <w:r w:rsidRPr="0098032D">
        <w:t xml:space="preserve"> carcinogens)</w:t>
      </w:r>
      <w:r>
        <w:t xml:space="preserve"> but t</w:t>
      </w:r>
      <w:r w:rsidRPr="0098032D">
        <w:t>here is no nationally representative or comprehensive information about the nature of this exposure in Australian workers.</w:t>
      </w:r>
    </w:p>
    <w:p w:rsidR="00ED423B" w:rsidRPr="0098032D" w:rsidRDefault="00ED423B" w:rsidP="00BB6679">
      <w:r w:rsidRPr="0098032D">
        <w:t xml:space="preserve">The Australian Work Exposures Study (AWES) is a recently-conducted nationwide survey which investigated the current prevalence of work-related exposure to 38 known or suspected carcinogens, including </w:t>
      </w:r>
      <w:proofErr w:type="spellStart"/>
      <w:r w:rsidRPr="0098032D">
        <w:t>PAHs</w:t>
      </w:r>
      <w:proofErr w:type="spellEnd"/>
      <w:r w:rsidRPr="0098032D">
        <w:t xml:space="preserve">, among Australian workers. The AWES data provide an opportunity to better understand the extent and circumstance of exposure of the Australian workforce to </w:t>
      </w:r>
      <w:proofErr w:type="spellStart"/>
      <w:r w:rsidRPr="0098032D">
        <w:t>PAHs</w:t>
      </w:r>
      <w:proofErr w:type="spellEnd"/>
      <w:r w:rsidRPr="0098032D">
        <w:t>.</w:t>
      </w:r>
    </w:p>
    <w:p w:rsidR="00ED423B" w:rsidRPr="0098032D" w:rsidRDefault="00ED423B" w:rsidP="00BB6679">
      <w:r w:rsidRPr="0098032D">
        <w:t xml:space="preserve">The aim of the work described in this report was to use AWES data to estimate the prevalence of work-related exposure to </w:t>
      </w:r>
      <w:proofErr w:type="spellStart"/>
      <w:r w:rsidRPr="0098032D">
        <w:t>PAHs</w:t>
      </w:r>
      <w:proofErr w:type="spellEnd"/>
      <w:r w:rsidRPr="0098032D">
        <w:t xml:space="preserve"> during relatively common workplace activities, to identify the main circumstances of exposures, and to identify the use of workplace control measures designed to decrease those exposures. This report is concerned with those exposures that occur when typical work activities are carried out by Australian workers—it does not specifically focus on industries suspected of high </w:t>
      </w:r>
      <w:r>
        <w:t xml:space="preserve">exposures to </w:t>
      </w:r>
      <w:proofErr w:type="spellStart"/>
      <w:r w:rsidRPr="0098032D">
        <w:t>PAHs</w:t>
      </w:r>
      <w:proofErr w:type="spellEnd"/>
      <w:r>
        <w:t>.</w:t>
      </w:r>
    </w:p>
    <w:p w:rsidR="00ED423B" w:rsidRPr="0098032D" w:rsidRDefault="00ED423B" w:rsidP="00BB6679">
      <w:pPr>
        <w:pStyle w:val="Heading2-NoTOC"/>
      </w:pPr>
      <w:r w:rsidRPr="0098032D">
        <w:t>Approach</w:t>
      </w:r>
    </w:p>
    <w:p w:rsidR="00ED423B" w:rsidRPr="0098032D" w:rsidRDefault="00ED423B" w:rsidP="00BB6679">
      <w:r w:rsidRPr="0098032D">
        <w:t>The information presented in this report comes primarily from analyses of data from the AWES project. The AWES project involved computer-assisted interviews of approximately 5</w:t>
      </w:r>
      <w:r>
        <w:t>,</w:t>
      </w:r>
      <w:r w:rsidRPr="0098032D">
        <w:t xml:space="preserve">000 Australian workers. </w:t>
      </w:r>
      <w:proofErr w:type="spellStart"/>
      <w:r w:rsidRPr="0098032D">
        <w:t>OccIDEAS</w:t>
      </w:r>
      <w:proofErr w:type="spellEnd"/>
      <w:r w:rsidRPr="0098032D">
        <w:t xml:space="preserve"> — an automated process of expert assessment — was used to assess the likelihood of exposures and estimate exposure levels to 38 known or suspected carcinogens based on self-reported information on work tasks and the controls being used by workers. The likelihood of exposure was assessed as none, possible or probable. Data on tasks that could result in </w:t>
      </w:r>
      <w:proofErr w:type="spellStart"/>
      <w:r w:rsidRPr="0098032D">
        <w:t>PAHs</w:t>
      </w:r>
      <w:proofErr w:type="spellEnd"/>
      <w:r w:rsidRPr="0098032D">
        <w:t xml:space="preserve"> exposure were extracted and examined for this report.</w:t>
      </w:r>
    </w:p>
    <w:p w:rsidR="00ED423B" w:rsidRPr="0098032D" w:rsidRDefault="00ED423B" w:rsidP="00BB6679">
      <w:r w:rsidRPr="0098032D">
        <w:t xml:space="preserve">Prevalence estimates based on the proportion of workers in the AWES sample probably exposed to </w:t>
      </w:r>
      <w:proofErr w:type="spellStart"/>
      <w:r w:rsidRPr="0098032D">
        <w:t>PAHs</w:t>
      </w:r>
      <w:proofErr w:type="spellEnd"/>
      <w:r w:rsidRPr="0098032D">
        <w:t xml:space="preserve"> were applied to the Australian Bureau of Statistics 2011 Census data to provide prevalence estimates for the Australian working population. The AWES information was supplemented with limited Australian data from other sources, including from the 2008 National Hazard Exposure Worker Surveillance (NHEWS) Survey and the published literature. National level estimates were compared to prevalence estimates found in major overseas studies.</w:t>
      </w:r>
    </w:p>
    <w:p w:rsidR="00ED423B" w:rsidRPr="008B2C07" w:rsidRDefault="00ED423B" w:rsidP="00BB6679">
      <w:pPr>
        <w:pStyle w:val="Heading2-NoTOC"/>
      </w:pPr>
      <w:r w:rsidRPr="008B2C07">
        <w:t>Key findings</w:t>
      </w:r>
    </w:p>
    <w:p w:rsidR="00ED423B" w:rsidRPr="008B2C07" w:rsidRDefault="00ED423B" w:rsidP="00BB6679">
      <w:r w:rsidRPr="008B2C07">
        <w:t>Of the workers who completed the AWES survey:</w:t>
      </w:r>
    </w:p>
    <w:p w:rsidR="00ED423B" w:rsidRPr="00424389" w:rsidRDefault="00ED423B" w:rsidP="00BB6679">
      <w:pPr>
        <w:pStyle w:val="ListParagraph"/>
        <w:numPr>
          <w:ilvl w:val="0"/>
          <w:numId w:val="4"/>
        </w:numPr>
      </w:pPr>
      <w:r w:rsidRPr="00424389">
        <w:t xml:space="preserve">297 (5.9%) had probable exposure to </w:t>
      </w:r>
      <w:proofErr w:type="spellStart"/>
      <w:r w:rsidRPr="00424389">
        <w:t>PAHs</w:t>
      </w:r>
      <w:proofErr w:type="spellEnd"/>
    </w:p>
    <w:p w:rsidR="00ED423B" w:rsidRPr="00424389" w:rsidRDefault="00ED423B" w:rsidP="00BB6679">
      <w:pPr>
        <w:pStyle w:val="ListParagraph"/>
        <w:numPr>
          <w:ilvl w:val="0"/>
          <w:numId w:val="4"/>
        </w:numPr>
      </w:pPr>
      <w:r w:rsidRPr="00424389">
        <w:t>81% of the workers with probable exposure were male</w:t>
      </w:r>
    </w:p>
    <w:p w:rsidR="00ED423B" w:rsidRPr="00424389" w:rsidRDefault="00ED423B" w:rsidP="00BB6679">
      <w:pPr>
        <w:pStyle w:val="ListParagraph"/>
        <w:numPr>
          <w:ilvl w:val="0"/>
          <w:numId w:val="4"/>
        </w:numPr>
      </w:pPr>
      <w:r w:rsidRPr="00424389">
        <w:t>one third of the exposed persons worked as managers (mainly farmers), and</w:t>
      </w:r>
    </w:p>
    <w:p w:rsidR="00ED423B" w:rsidRPr="00424389" w:rsidRDefault="00ED423B" w:rsidP="00BB6679">
      <w:pPr>
        <w:pStyle w:val="ListParagraph"/>
        <w:numPr>
          <w:ilvl w:val="0"/>
          <w:numId w:val="4"/>
        </w:numPr>
      </w:pPr>
      <w:r w:rsidRPr="00424389">
        <w:t>40% of those with probable exposure worked in the agriculture industry.</w:t>
      </w:r>
    </w:p>
    <w:p w:rsidR="00ED423B" w:rsidRPr="008B2C07" w:rsidRDefault="00ED423B" w:rsidP="00BB6679">
      <w:r w:rsidRPr="008B2C07">
        <w:t xml:space="preserve">The main tasks associated with probable exposures were, in decreasing order, burning waste, repairing motors or other similar equipment, cleaning out ash from fire sites, health </w:t>
      </w:r>
      <w:r w:rsidRPr="008B2C07">
        <w:lastRenderedPageBreak/>
        <w:t xml:space="preserve">workers exposed to </w:t>
      </w:r>
      <w:r w:rsidRPr="008D78E9">
        <w:t>diathermy smoke</w:t>
      </w:r>
      <w:r>
        <w:t xml:space="preserve"> </w:t>
      </w:r>
      <w:r w:rsidRPr="007065AA">
        <w:t>(smoke arising from cauterisation during surgery)</w:t>
      </w:r>
      <w:r w:rsidRPr="008D78E9">
        <w:t>,</w:t>
      </w:r>
      <w:r w:rsidRPr="008B2C07">
        <w:t xml:space="preserve"> cooking, </w:t>
      </w:r>
      <w:r>
        <w:t xml:space="preserve">and </w:t>
      </w:r>
      <w:r w:rsidRPr="008B2C07">
        <w:t>fighting fires and fire overhaul and clean-up.</w:t>
      </w:r>
    </w:p>
    <w:p w:rsidR="00ED423B" w:rsidRPr="00CC11C3" w:rsidRDefault="00ED423B" w:rsidP="00BB6679">
      <w:r w:rsidRPr="000B551F">
        <w:t xml:space="preserve">The main control measures workers reported using were designed to decrease the chance of exposure to </w:t>
      </w:r>
      <w:proofErr w:type="spellStart"/>
      <w:r>
        <w:t>PAHs</w:t>
      </w:r>
      <w:proofErr w:type="spellEnd"/>
      <w:r w:rsidRPr="000B551F">
        <w:t xml:space="preserve"> by inhalation</w:t>
      </w:r>
      <w:r>
        <w:t>, for example</w:t>
      </w:r>
      <w:r w:rsidRPr="000B551F">
        <w:t xml:space="preserve"> wearing respiratory protective equipment</w:t>
      </w:r>
      <w:r w:rsidR="00651F62">
        <w:t xml:space="preserve"> (</w:t>
      </w:r>
      <w:proofErr w:type="spellStart"/>
      <w:r w:rsidR="00651F62">
        <w:t>RPE</w:t>
      </w:r>
      <w:proofErr w:type="spellEnd"/>
      <w:r w:rsidR="00651F62">
        <w:t>)</w:t>
      </w:r>
      <w:r w:rsidRPr="00CC11C3">
        <w:t xml:space="preserve">. </w:t>
      </w:r>
      <w:r>
        <w:t xml:space="preserve">Information on </w:t>
      </w:r>
      <w:proofErr w:type="spellStart"/>
      <w:r w:rsidR="00651F62">
        <w:t>RPE</w:t>
      </w:r>
      <w:proofErr w:type="spellEnd"/>
      <w:r>
        <w:t xml:space="preserve"> was not available for all exposed respondents. Among exposed respondents for whom information was available, </w:t>
      </w:r>
      <w:r w:rsidRPr="00CC11C3">
        <w:t xml:space="preserve">about 40% appeared to be </w:t>
      </w:r>
      <w:r>
        <w:t>using</w:t>
      </w:r>
      <w:r w:rsidRPr="00CC11C3">
        <w:t xml:space="preserve"> appropriate </w:t>
      </w:r>
      <w:proofErr w:type="spellStart"/>
      <w:r w:rsidR="00651F62">
        <w:t>RPE</w:t>
      </w:r>
      <w:proofErr w:type="spellEnd"/>
      <w:r w:rsidRPr="00CC11C3">
        <w:t xml:space="preserve"> while working.</w:t>
      </w:r>
    </w:p>
    <w:p w:rsidR="00ED423B" w:rsidRPr="00487CC3" w:rsidRDefault="00ED423B" w:rsidP="00BB6679">
      <w:r w:rsidRPr="00CC11C3">
        <w:t>Exposure levels were assessed as being high or medium in about two thirds of cases</w:t>
      </w:r>
      <w:r>
        <w:t xml:space="preserve"> based on</w:t>
      </w:r>
      <w:r w:rsidRPr="00487CC3">
        <w:t xml:space="preserve"> information </w:t>
      </w:r>
      <w:r>
        <w:t xml:space="preserve">provided by workers </w:t>
      </w:r>
      <w:r w:rsidRPr="00487CC3">
        <w:t>on work tasks and the controls being used.</w:t>
      </w:r>
    </w:p>
    <w:p w:rsidR="00ED423B" w:rsidRPr="00487CC3" w:rsidRDefault="00ED423B" w:rsidP="00BB6679">
      <w:r w:rsidRPr="00487CC3">
        <w:t xml:space="preserve">If AWES estimates are applied to the Australian working population, approximately 6.7% of all workers could be considered to be probably exposed to </w:t>
      </w:r>
      <w:proofErr w:type="spellStart"/>
      <w:r w:rsidRPr="00487CC3">
        <w:t>PAHs</w:t>
      </w:r>
      <w:proofErr w:type="spellEnd"/>
      <w:r w:rsidRPr="00487CC3">
        <w:t xml:space="preserve"> at work. This estimate </w:t>
      </w:r>
      <w:r>
        <w:t>is significantly</w:t>
      </w:r>
      <w:r w:rsidRPr="00487CC3">
        <w:t xml:space="preserve"> higher than that found in overseas studies, with the differences </w:t>
      </w:r>
      <w:r>
        <w:t>probably reflecting</w:t>
      </w:r>
      <w:r w:rsidRPr="00487CC3">
        <w:t xml:space="preserve"> differences in study methodologies in terms of the type of data collected and the approach used to estimate exposure</w:t>
      </w:r>
      <w:r>
        <w:t xml:space="preserve"> and</w:t>
      </w:r>
      <w:r w:rsidRPr="00487CC3">
        <w:t xml:space="preserve"> the different industry proportions in the countries in </w:t>
      </w:r>
      <w:r>
        <w:t>which the studies were based</w:t>
      </w:r>
      <w:r w:rsidRPr="00487CC3">
        <w:t>.</w:t>
      </w:r>
    </w:p>
    <w:p w:rsidR="00ED423B" w:rsidRPr="009B2483" w:rsidRDefault="00ED423B" w:rsidP="00BB6679">
      <w:pPr>
        <w:pStyle w:val="Heading2-NoTOC"/>
      </w:pPr>
      <w:r w:rsidRPr="009B2483">
        <w:t>Limitations</w:t>
      </w:r>
    </w:p>
    <w:p w:rsidR="00ED423B" w:rsidRPr="009B2483" w:rsidRDefault="00ED423B" w:rsidP="00BB6679">
      <w:r w:rsidRPr="009B2483">
        <w:t xml:space="preserve">The AWES is a national population-based study providing representative exposure information on relatively common activities. Information will be lacking on most industry sub-sectors, specific occupations and specific tasks which are less common or which are undertaken by a relatively small number of people. This is why some tasks that </w:t>
      </w:r>
      <w:r>
        <w:t>could</w:t>
      </w:r>
      <w:r w:rsidRPr="009B2483">
        <w:t xml:space="preserve"> be viewed as having a high prevalence of </w:t>
      </w:r>
      <w:r>
        <w:t xml:space="preserve">exposures to </w:t>
      </w:r>
      <w:proofErr w:type="spellStart"/>
      <w:r w:rsidRPr="009B2483">
        <w:t>PAHs</w:t>
      </w:r>
      <w:proofErr w:type="spellEnd"/>
      <w:r w:rsidRPr="009B2483">
        <w:t xml:space="preserve"> </w:t>
      </w:r>
      <w:r>
        <w:t>might have not been represented</w:t>
      </w:r>
      <w:r w:rsidRPr="009B2483">
        <w:t xml:space="preserve"> in the study sample of 5023 workers.</w:t>
      </w:r>
    </w:p>
    <w:p w:rsidR="00ED423B" w:rsidRPr="009B2483" w:rsidRDefault="00ED423B" w:rsidP="00BB6679">
      <w:r w:rsidRPr="009B2483">
        <w:t>Subjects included in the AWES sample were asked a series of questions about their job and the tasks involved. Some information was also obtained on the use of control measures. However, the information that could be collected on controls was somewhat limited. This was because questions asked in AWES primarily assess</w:t>
      </w:r>
      <w:r>
        <w:t>ed</w:t>
      </w:r>
      <w:r w:rsidRPr="009B2483">
        <w:t xml:space="preserve"> if exposure could occur and then, if possible, the level of exposure; and due to the limitations on the number of questions that could be asked while still encouraging people to participate in the project </w:t>
      </w:r>
    </w:p>
    <w:p w:rsidR="00ED423B" w:rsidRPr="009B2483" w:rsidRDefault="00ED423B" w:rsidP="00BB6679">
      <w:r w:rsidRPr="000B551F">
        <w:t xml:space="preserve">Exposure assessments were qualitative and refer to </w:t>
      </w:r>
      <w:r>
        <w:t xml:space="preserve">task or activity based </w:t>
      </w:r>
      <w:r w:rsidRPr="000B551F">
        <w:t xml:space="preserve">exposure levels rather than to exposure </w:t>
      </w:r>
      <w:r>
        <w:t>standards</w:t>
      </w:r>
      <w:r w:rsidRPr="009B2483">
        <w:t>.</w:t>
      </w:r>
    </w:p>
    <w:p w:rsidR="00ED423B" w:rsidRPr="009B2483" w:rsidRDefault="00ED423B" w:rsidP="00BB6679">
      <w:pPr>
        <w:pStyle w:val="Heading2-NoTOC"/>
      </w:pPr>
      <w:r w:rsidRPr="009B2483">
        <w:t>Policy implications</w:t>
      </w:r>
    </w:p>
    <w:p w:rsidR="00ED423B" w:rsidRDefault="00ED423B" w:rsidP="00BB6679">
      <w:r w:rsidRPr="009B2483">
        <w:t xml:space="preserve">Approximately 6.7% of Australian workers are estimated to be exposed to </w:t>
      </w:r>
      <w:proofErr w:type="spellStart"/>
      <w:r w:rsidRPr="009B2483">
        <w:t>PAHs</w:t>
      </w:r>
      <w:proofErr w:type="spellEnd"/>
      <w:r w:rsidRPr="009B2483">
        <w:t xml:space="preserve"> when performing relatively common tasks at work. More information is required to understand the level of risk arising from these exposures in terms of cancer outcomes. Some of the health risks posed by exposures to </w:t>
      </w:r>
      <w:proofErr w:type="spellStart"/>
      <w:r w:rsidRPr="009B2483">
        <w:t>PAHs</w:t>
      </w:r>
      <w:proofErr w:type="spellEnd"/>
      <w:r w:rsidRPr="009B2483">
        <w:t>, the tasks that might result in such exposures and the methods of preventing exposure should be well understood by employers and workers</w:t>
      </w:r>
      <w:r>
        <w:t>. However, circumstances such as</w:t>
      </w:r>
      <w:r w:rsidRPr="009B2483">
        <w:t xml:space="preserve"> exposure to smoke and ash in many circumstances and exposure</w:t>
      </w:r>
      <w:r>
        <w:t>s</w:t>
      </w:r>
      <w:r w:rsidRPr="009B2483">
        <w:t xml:space="preserve"> during maintenance of motors </w:t>
      </w:r>
      <w:r>
        <w:t>might</w:t>
      </w:r>
      <w:r w:rsidRPr="009B2483">
        <w:t xml:space="preserve"> not be properly appreciated.</w:t>
      </w:r>
    </w:p>
    <w:p w:rsidR="00ED423B" w:rsidRPr="00023B95" w:rsidRDefault="00ED423B" w:rsidP="00BB6679">
      <w:r w:rsidRPr="009B2483">
        <w:t xml:space="preserve">The use of controls by workers in the AWES sample </w:t>
      </w:r>
      <w:r w:rsidRPr="00C13700">
        <w:t>appears to have considerable scope for improvement</w:t>
      </w:r>
      <w:r w:rsidRPr="009B2483">
        <w:t>. Where information on the use of</w:t>
      </w:r>
      <w:r w:rsidRPr="00DA6DB6">
        <w:t xml:space="preserve"> controls was collected</w:t>
      </w:r>
      <w:r>
        <w:t>,</w:t>
      </w:r>
      <w:r w:rsidRPr="00DA6DB6">
        <w:t xml:space="preserve"> less than half of respondents reported using what appeared to be adequate </w:t>
      </w:r>
      <w:proofErr w:type="spellStart"/>
      <w:r w:rsidR="00651F62">
        <w:t>RPE</w:t>
      </w:r>
      <w:proofErr w:type="spellEnd"/>
      <w:r w:rsidRPr="00DA6DB6">
        <w:t xml:space="preserve"> and many reported not using any controls to prevent exposures. </w:t>
      </w:r>
      <w:r w:rsidRPr="00A16C06">
        <w:t xml:space="preserve">There is an opportunity to prevent work-related exposures to </w:t>
      </w:r>
      <w:proofErr w:type="spellStart"/>
      <w:r>
        <w:t>PAHs</w:t>
      </w:r>
      <w:proofErr w:type="spellEnd"/>
      <w:r>
        <w:t>,</w:t>
      </w:r>
      <w:r w:rsidRPr="00E337BF">
        <w:t xml:space="preserve"> </w:t>
      </w:r>
      <w:r w:rsidRPr="00DA6DB6">
        <w:t>and thereby reduce the potential for work-related cancer cases</w:t>
      </w:r>
      <w:r>
        <w:t>,</w:t>
      </w:r>
      <w:r w:rsidRPr="00A16C06">
        <w:t xml:space="preserve"> through efforts to increase the number of workplaces that consistently use high order controls and good work practices to eliminate or reduce these</w:t>
      </w:r>
      <w:r>
        <w:t xml:space="preserve"> exposures.</w:t>
      </w:r>
      <w:r w:rsidRPr="00A16C06">
        <w:t xml:space="preserve"> </w:t>
      </w:r>
      <w:r w:rsidRPr="007805ED">
        <w:t xml:space="preserve">In particular, efforts could be focused on lowering exposures in those activities where a significant number of workers were assessed as having high </w:t>
      </w:r>
      <w:r>
        <w:t xml:space="preserve">or medium </w:t>
      </w:r>
      <w:r w:rsidRPr="007805ED">
        <w:t xml:space="preserve">exposures </w:t>
      </w:r>
      <w:r>
        <w:t xml:space="preserve">and ensuring that exposed workers </w:t>
      </w:r>
      <w:r w:rsidRPr="007805ED">
        <w:t xml:space="preserve">are </w:t>
      </w:r>
      <w:r w:rsidRPr="007805ED">
        <w:lastRenderedPageBreak/>
        <w:t xml:space="preserve">supplied with and use appropriate </w:t>
      </w:r>
      <w:proofErr w:type="spellStart"/>
      <w:r w:rsidR="00651F62">
        <w:t>RPE</w:t>
      </w:r>
      <w:proofErr w:type="spellEnd"/>
      <w:r>
        <w:t xml:space="preserve">. Examples of these circumstances include </w:t>
      </w:r>
      <w:r w:rsidRPr="00C31B9B">
        <w:t xml:space="preserve">workers </w:t>
      </w:r>
      <w:r w:rsidRPr="00023B95">
        <w:t>involved in:</w:t>
      </w:r>
    </w:p>
    <w:p w:rsidR="00ED423B" w:rsidRPr="00424389" w:rsidRDefault="00ED423B" w:rsidP="00BB6679">
      <w:pPr>
        <w:pStyle w:val="ListParagraph"/>
        <w:numPr>
          <w:ilvl w:val="0"/>
          <w:numId w:val="5"/>
        </w:numPr>
      </w:pPr>
      <w:r w:rsidRPr="00424389">
        <w:t>burning waste</w:t>
      </w:r>
    </w:p>
    <w:p w:rsidR="00ED423B" w:rsidRPr="00424389" w:rsidRDefault="00ED423B" w:rsidP="00BB6679">
      <w:pPr>
        <w:pStyle w:val="ListParagraph"/>
        <w:numPr>
          <w:ilvl w:val="0"/>
          <w:numId w:val="5"/>
        </w:numPr>
      </w:pPr>
      <w:r w:rsidRPr="00424389">
        <w:t>cleaning ash from fire sites</w:t>
      </w:r>
    </w:p>
    <w:p w:rsidR="00ED423B" w:rsidRPr="00424389" w:rsidRDefault="00ED423B" w:rsidP="00BB6679">
      <w:pPr>
        <w:pStyle w:val="ListParagraph"/>
        <w:numPr>
          <w:ilvl w:val="0"/>
          <w:numId w:val="5"/>
        </w:numPr>
      </w:pPr>
      <w:r w:rsidRPr="00424389">
        <w:t>fighting fires or undertaking fire overhaul and clean up</w:t>
      </w:r>
    </w:p>
    <w:p w:rsidR="00ED423B" w:rsidRPr="00424389" w:rsidRDefault="00ED423B" w:rsidP="00BB6679">
      <w:pPr>
        <w:pStyle w:val="ListParagraph"/>
        <w:numPr>
          <w:ilvl w:val="0"/>
          <w:numId w:val="5"/>
        </w:numPr>
      </w:pPr>
      <w:r w:rsidRPr="00424389">
        <w:t>preparing and using ammonium nitrate fuel oil</w:t>
      </w:r>
      <w:r>
        <w:t>,</w:t>
      </w:r>
      <w:r w:rsidRPr="00424389">
        <w:t xml:space="preserve"> and</w:t>
      </w:r>
    </w:p>
    <w:p w:rsidR="00ED423B" w:rsidRPr="00424389" w:rsidRDefault="00ED423B" w:rsidP="00BB6679">
      <w:pPr>
        <w:pStyle w:val="ListParagraph"/>
        <w:numPr>
          <w:ilvl w:val="0"/>
          <w:numId w:val="5"/>
        </w:numPr>
      </w:pPr>
      <w:proofErr w:type="gramStart"/>
      <w:r w:rsidRPr="00424389">
        <w:t>road</w:t>
      </w:r>
      <w:proofErr w:type="gramEnd"/>
      <w:r w:rsidRPr="00424389">
        <w:t xml:space="preserve"> building with hot asphalt road mix.</w:t>
      </w:r>
    </w:p>
    <w:p w:rsidR="00ED423B" w:rsidRDefault="00ED423B" w:rsidP="00BB6679">
      <w:r w:rsidRPr="00C31B9B">
        <w:t xml:space="preserve">Initial efforts could focus on initiatives that raise awareness or educate </w:t>
      </w:r>
      <w:r>
        <w:t>p</w:t>
      </w:r>
      <w:r w:rsidRPr="00083DE4">
        <w:t>ersons conducting a business or undertaking</w:t>
      </w:r>
      <w:r w:rsidRPr="003906B6">
        <w:t xml:space="preserve"> </w:t>
      </w:r>
      <w:r>
        <w:t>(</w:t>
      </w:r>
      <w:proofErr w:type="spellStart"/>
      <w:r w:rsidRPr="003906B6">
        <w:t>PCBUs</w:t>
      </w:r>
      <w:proofErr w:type="spellEnd"/>
      <w:r>
        <w:t>)</w:t>
      </w:r>
      <w:r w:rsidRPr="003906B6">
        <w:t xml:space="preserve"> </w:t>
      </w:r>
      <w:r w:rsidRPr="00C31B9B">
        <w:t>and workers about minimi</w:t>
      </w:r>
      <w:r>
        <w:t>s</w:t>
      </w:r>
      <w:r w:rsidRPr="00C31B9B">
        <w:t xml:space="preserve">ing exposure to </w:t>
      </w:r>
      <w:proofErr w:type="spellStart"/>
      <w:r w:rsidRPr="00C31B9B">
        <w:t>PAHs</w:t>
      </w:r>
      <w:proofErr w:type="spellEnd"/>
      <w:r w:rsidRPr="00C31B9B">
        <w:t xml:space="preserve"> and using well-known and readily available controls to decrease exposures to </w:t>
      </w:r>
      <w:proofErr w:type="spellStart"/>
      <w:r w:rsidRPr="00C31B9B">
        <w:t>PAHs</w:t>
      </w:r>
      <w:proofErr w:type="spellEnd"/>
      <w:r w:rsidRPr="00C31B9B">
        <w:t>.</w:t>
      </w:r>
    </w:p>
    <w:p w:rsidR="00ED423B" w:rsidRPr="004E6A67" w:rsidRDefault="00ED423B" w:rsidP="00BB6679">
      <w:r w:rsidRPr="00E337BF">
        <w:t xml:space="preserve">The inconsistency in classification of </w:t>
      </w:r>
      <w:proofErr w:type="spellStart"/>
      <w:r w:rsidRPr="00E337BF">
        <w:t>benzo</w:t>
      </w:r>
      <w:proofErr w:type="spellEnd"/>
      <w:r w:rsidRPr="00E337BF">
        <w:t>[a]</w:t>
      </w:r>
      <w:proofErr w:type="spellStart"/>
      <w:r w:rsidRPr="00E337BF">
        <w:t>pyrene</w:t>
      </w:r>
      <w:proofErr w:type="spellEnd"/>
      <w:r w:rsidRPr="00E337BF">
        <w:t xml:space="preserve"> and some other individual </w:t>
      </w:r>
      <w:proofErr w:type="spellStart"/>
      <w:r w:rsidRPr="00E337BF">
        <w:t>PAHs</w:t>
      </w:r>
      <w:proofErr w:type="spellEnd"/>
      <w:r w:rsidRPr="00E337BF">
        <w:t xml:space="preserve"> by </w:t>
      </w:r>
      <w:proofErr w:type="spellStart"/>
      <w:r w:rsidRPr="00E337BF">
        <w:t>IARC</w:t>
      </w:r>
      <w:proofErr w:type="spellEnd"/>
      <w:r w:rsidRPr="00E337BF">
        <w:t xml:space="preserve"> and the National Toxicology Program compared to the </w:t>
      </w:r>
      <w:r w:rsidRPr="00D866C3">
        <w:t xml:space="preserve">Hazardous Substances Information System </w:t>
      </w:r>
      <w:r>
        <w:t>(</w:t>
      </w:r>
      <w:proofErr w:type="spellStart"/>
      <w:r w:rsidRPr="00E337BF">
        <w:t>HSIS</w:t>
      </w:r>
      <w:proofErr w:type="spellEnd"/>
      <w:r>
        <w:t>)</w:t>
      </w:r>
      <w:r w:rsidRPr="00E337BF">
        <w:t xml:space="preserve"> listing suggests it is warranted to consider a revision of the </w:t>
      </w:r>
      <w:proofErr w:type="spellStart"/>
      <w:r w:rsidRPr="00E337BF">
        <w:t>HSIS</w:t>
      </w:r>
      <w:proofErr w:type="spellEnd"/>
      <w:r w:rsidRPr="00E337BF">
        <w:t xml:space="preserve"> listing of some </w:t>
      </w:r>
      <w:proofErr w:type="spellStart"/>
      <w:r w:rsidRPr="00E337BF">
        <w:t>PAHs</w:t>
      </w:r>
      <w:proofErr w:type="spellEnd"/>
      <w:r w:rsidRPr="00E337BF">
        <w:t xml:space="preserve"> to Category 1 and of some</w:t>
      </w:r>
      <w:r>
        <w:t xml:space="preserve"> others to Category 2</w:t>
      </w:r>
      <w:r w:rsidRPr="004E6A67">
        <w:t>.</w:t>
      </w:r>
    </w:p>
    <w:p w:rsidR="00ED423B" w:rsidRPr="00D40BF3" w:rsidRDefault="00ED423B" w:rsidP="00BB6679">
      <w:pPr>
        <w:pStyle w:val="Heading2-NoTOC"/>
      </w:pPr>
      <w:r>
        <w:t>Further research</w:t>
      </w:r>
    </w:p>
    <w:p w:rsidR="00ED423B" w:rsidRPr="00D40BF3" w:rsidRDefault="00ED423B" w:rsidP="00BB6679">
      <w:pPr>
        <w:pStyle w:val="Heading3-NoTOC"/>
      </w:pPr>
      <w:r w:rsidRPr="00D40BF3">
        <w:t>Exposures and health outcomes</w:t>
      </w:r>
    </w:p>
    <w:p w:rsidR="00ED423B" w:rsidRPr="00D40BF3" w:rsidRDefault="00ED423B" w:rsidP="00BB6679">
      <w:r w:rsidRPr="00D40BF3">
        <w:t xml:space="preserve">The AWES project provides qualitative information on current exposures to </w:t>
      </w:r>
      <w:proofErr w:type="spellStart"/>
      <w:r w:rsidRPr="00D40BF3">
        <w:t>PAHs</w:t>
      </w:r>
      <w:proofErr w:type="spellEnd"/>
      <w:r w:rsidRPr="00D40BF3">
        <w:t xml:space="preserve"> based on job tasks. Quantitative measures of </w:t>
      </w:r>
      <w:proofErr w:type="spellStart"/>
      <w:r>
        <w:t>PAH</w:t>
      </w:r>
      <w:proofErr w:type="spellEnd"/>
      <w:r>
        <w:t xml:space="preserve"> exposure</w:t>
      </w:r>
      <w:r w:rsidRPr="00D40BF3">
        <w:t xml:space="preserve"> in the workplace may be of use to validate the data collected in AWES and to improve understanding of the absolute levels of exposure to </w:t>
      </w:r>
      <w:proofErr w:type="spellStart"/>
      <w:r w:rsidRPr="00D40BF3">
        <w:t>PAHs</w:t>
      </w:r>
      <w:proofErr w:type="spellEnd"/>
      <w:r w:rsidRPr="00D40BF3">
        <w:t xml:space="preserve">. There was no scope to do this as part of the AWES but this information would be useful </w:t>
      </w:r>
      <w:r w:rsidRPr="00143F8C">
        <w:t xml:space="preserve">for </w:t>
      </w:r>
      <w:r>
        <w:t xml:space="preserve">the </w:t>
      </w:r>
      <w:r w:rsidRPr="00143F8C">
        <w:t xml:space="preserve">tasks </w:t>
      </w:r>
      <w:r>
        <w:t xml:space="preserve">where workers may be </w:t>
      </w:r>
      <w:r w:rsidRPr="009B2483">
        <w:t>expos</w:t>
      </w:r>
      <w:r>
        <w:t>ed</w:t>
      </w:r>
      <w:r w:rsidRPr="009B2483">
        <w:t xml:space="preserve"> to smoke and ash </w:t>
      </w:r>
      <w:r>
        <w:t>or</w:t>
      </w:r>
      <w:r w:rsidRPr="009B2483">
        <w:t xml:space="preserve"> </w:t>
      </w:r>
      <w:r>
        <w:t xml:space="preserve">when carrying out </w:t>
      </w:r>
      <w:r w:rsidRPr="009B2483">
        <w:t xml:space="preserve">maintenance </w:t>
      </w:r>
      <w:r>
        <w:t>on</w:t>
      </w:r>
      <w:r w:rsidRPr="009B2483">
        <w:t xml:space="preserve"> motors</w:t>
      </w:r>
      <w:r>
        <w:t>.</w:t>
      </w:r>
    </w:p>
    <w:p w:rsidR="00ED423B" w:rsidRPr="003B5289" w:rsidRDefault="00ED423B" w:rsidP="00BB6679">
      <w:pPr>
        <w:pStyle w:val="Heading3-NoTOC"/>
      </w:pPr>
      <w:r w:rsidRPr="003B5289">
        <w:t>The use of control measures</w:t>
      </w:r>
    </w:p>
    <w:p w:rsidR="00ED423B" w:rsidRPr="000776FD" w:rsidRDefault="00ED423B" w:rsidP="00BB6679">
      <w:r>
        <w:t xml:space="preserve">The work presented in this report could be complemented by </w:t>
      </w:r>
      <w:r w:rsidRPr="000B551F">
        <w:t xml:space="preserve">the collection of more widespread and more detailed information on the use of control measures </w:t>
      </w:r>
      <w:r w:rsidRPr="000776FD">
        <w:t>in those work situations highlighted in this report where probable exposures</w:t>
      </w:r>
      <w:r>
        <w:t xml:space="preserve"> to </w:t>
      </w:r>
      <w:proofErr w:type="spellStart"/>
      <w:r>
        <w:t>PAHs</w:t>
      </w:r>
      <w:proofErr w:type="spellEnd"/>
      <w:r w:rsidRPr="000776FD">
        <w:t xml:space="preserve"> were identified, especially where they were ass</w:t>
      </w:r>
      <w:r>
        <w:t>essed as being high or medium</w:t>
      </w:r>
      <w:r w:rsidRPr="000B551F">
        <w:t xml:space="preserve">. </w:t>
      </w:r>
      <w:r>
        <w:t>Further research</w:t>
      </w:r>
      <w:r w:rsidRPr="000B551F">
        <w:t xml:space="preserve"> </w:t>
      </w:r>
      <w:r>
        <w:t>c</w:t>
      </w:r>
      <w:r w:rsidRPr="000B551F">
        <w:t>ould also help understand why appropriate control measures are not used</w:t>
      </w:r>
      <w:r>
        <w:t>. Such research could examine:</w:t>
      </w:r>
    </w:p>
    <w:p w:rsidR="00ED423B" w:rsidRPr="00952DD9" w:rsidRDefault="00ED423B" w:rsidP="00BB6679">
      <w:pPr>
        <w:pStyle w:val="ListParagraph"/>
        <w:numPr>
          <w:ilvl w:val="0"/>
          <w:numId w:val="19"/>
        </w:numPr>
      </w:pPr>
      <w:r>
        <w:t xml:space="preserve">the extent to which </w:t>
      </w:r>
      <w:proofErr w:type="spellStart"/>
      <w:r w:rsidRPr="00230988">
        <w:t>PCBUs</w:t>
      </w:r>
      <w:proofErr w:type="spellEnd"/>
      <w:r w:rsidRPr="00230988">
        <w:t xml:space="preserve"> and workers understand the hazards and associated potential risks</w:t>
      </w:r>
    </w:p>
    <w:p w:rsidR="00ED423B" w:rsidRPr="00952DD9" w:rsidRDefault="00ED423B" w:rsidP="00BB6679">
      <w:pPr>
        <w:pStyle w:val="ListParagraph"/>
        <w:numPr>
          <w:ilvl w:val="0"/>
          <w:numId w:val="19"/>
        </w:numPr>
      </w:pPr>
      <w:r>
        <w:t xml:space="preserve">the extent to which </w:t>
      </w:r>
      <w:proofErr w:type="spellStart"/>
      <w:r w:rsidRPr="00230988">
        <w:t>PCBUs</w:t>
      </w:r>
      <w:proofErr w:type="spellEnd"/>
      <w:r w:rsidRPr="00230988">
        <w:t xml:space="preserve"> and workers understand the need for various control measures and how they operate</w:t>
      </w:r>
    </w:p>
    <w:p w:rsidR="00ED423B" w:rsidRPr="00952DD9" w:rsidRDefault="00ED423B" w:rsidP="00BB6679">
      <w:pPr>
        <w:pStyle w:val="ListParagraph"/>
        <w:numPr>
          <w:ilvl w:val="0"/>
          <w:numId w:val="19"/>
        </w:numPr>
      </w:pPr>
      <w:r>
        <w:t xml:space="preserve">the extent to which </w:t>
      </w:r>
      <w:r w:rsidRPr="00230988">
        <w:t>higher order controls are used</w:t>
      </w:r>
    </w:p>
    <w:p w:rsidR="00ED423B" w:rsidRPr="00952DD9" w:rsidRDefault="00ED423B" w:rsidP="00BB6679">
      <w:pPr>
        <w:pStyle w:val="ListParagraph"/>
        <w:numPr>
          <w:ilvl w:val="0"/>
          <w:numId w:val="19"/>
        </w:numPr>
      </w:pPr>
      <w:r>
        <w:t>the adequacy of current regulations and guidance for preventing exposures, and</w:t>
      </w:r>
    </w:p>
    <w:p w:rsidR="00ED423B" w:rsidRDefault="00ED423B" w:rsidP="00BB6679">
      <w:pPr>
        <w:pStyle w:val="ListParagraph"/>
        <w:numPr>
          <w:ilvl w:val="0"/>
          <w:numId w:val="19"/>
        </w:numPr>
      </w:pPr>
      <w:proofErr w:type="gramStart"/>
      <w:r>
        <w:t>the</w:t>
      </w:r>
      <w:proofErr w:type="gramEnd"/>
      <w:r>
        <w:t xml:space="preserve"> efficacy of current methods for providing risk management information and assistance to </w:t>
      </w:r>
      <w:proofErr w:type="spellStart"/>
      <w:r>
        <w:t>PCBUs</w:t>
      </w:r>
      <w:proofErr w:type="spellEnd"/>
      <w:r>
        <w:t>.</w:t>
      </w:r>
    </w:p>
    <w:p w:rsidR="00ED423B" w:rsidRPr="00570F26" w:rsidRDefault="00ED423B" w:rsidP="00BB6679">
      <w:pPr>
        <w:rPr>
          <w:highlight w:val="green"/>
        </w:rPr>
      </w:pPr>
    </w:p>
    <w:p w:rsidR="00ED423B" w:rsidRPr="00570F26" w:rsidRDefault="00ED423B">
      <w:pPr>
        <w:rPr>
          <w:highlight w:val="green"/>
        </w:rPr>
        <w:sectPr w:rsidR="00ED423B" w:rsidRPr="00570F26">
          <w:headerReference w:type="even" r:id="rId12"/>
          <w:headerReference w:type="default" r:id="rId13"/>
          <w:footerReference w:type="even" r:id="rId14"/>
          <w:footerReference w:type="default" r:id="rId15"/>
          <w:headerReference w:type="first" r:id="rId16"/>
          <w:footnotePr>
            <w:numRestart w:val="eachSect"/>
          </w:footnotePr>
          <w:endnotePr>
            <w:numFmt w:val="decimal"/>
          </w:endnotePr>
          <w:pgSz w:w="11906" w:h="16838"/>
          <w:pgMar w:top="1134" w:right="1134" w:bottom="1134" w:left="1701" w:header="720" w:footer="720" w:gutter="0"/>
          <w:pgNumType w:fmt="lowerRoman"/>
          <w:cols w:space="720"/>
        </w:sectPr>
      </w:pPr>
    </w:p>
    <w:p w:rsidR="00ED423B" w:rsidRPr="006C5C57" w:rsidRDefault="00ED423B" w:rsidP="00BB6679">
      <w:pPr>
        <w:pStyle w:val="Heading1"/>
      </w:pPr>
      <w:bookmarkStart w:id="4" w:name="_Toc401068276"/>
      <w:r w:rsidRPr="006C5C57">
        <w:lastRenderedPageBreak/>
        <w:t>BACKGROUND</w:t>
      </w:r>
      <w:bookmarkEnd w:id="4"/>
    </w:p>
    <w:p w:rsidR="00ED423B" w:rsidRPr="006C5C57" w:rsidRDefault="00ED423B" w:rsidP="00BB6679">
      <w:pPr>
        <w:pStyle w:val="Heading2"/>
      </w:pPr>
      <w:bookmarkStart w:id="5" w:name="_Toc401068277"/>
      <w:r w:rsidRPr="006C5C57">
        <w:t>Introduction</w:t>
      </w:r>
      <w:bookmarkEnd w:id="5"/>
    </w:p>
    <w:p w:rsidR="00ED423B" w:rsidRPr="00AC1506" w:rsidRDefault="00ED423B" w:rsidP="00BB6679">
      <w:r w:rsidRPr="00AC1506">
        <w:t>Cancer is a priority disorder under the Australian Work Health and Safety Strategy 2012-2022</w:t>
      </w:r>
      <w:r>
        <w:t xml:space="preserve"> (the Strategy) </w:t>
      </w:r>
      <w:r>
        <w:rPr>
          <w:noProof/>
        </w:rPr>
        <w:t>(Safe Work Australia 2012c)</w:t>
      </w:r>
      <w:r w:rsidRPr="00AC1506">
        <w:t>. Better understanding of current hazardous exposures and the effectiveness of controls is a research priority under the Strategy</w:t>
      </w:r>
      <w:r>
        <w:t xml:space="preserve">. </w:t>
      </w:r>
      <w:r w:rsidRPr="00AC1506">
        <w:t>Poly</w:t>
      </w:r>
      <w:r>
        <w:t xml:space="preserve">cyclic </w:t>
      </w:r>
      <w:r w:rsidRPr="00AC1506">
        <w:t>aromatic hydrocarbons (</w:t>
      </w:r>
      <w:proofErr w:type="spellStart"/>
      <w:r w:rsidRPr="00AC1506">
        <w:t>PAHs</w:t>
      </w:r>
      <w:proofErr w:type="spellEnd"/>
      <w:r w:rsidRPr="00AC1506">
        <w:t xml:space="preserve">) are </w:t>
      </w:r>
      <w:r>
        <w:t xml:space="preserve">a </w:t>
      </w:r>
      <w:r w:rsidRPr="0003207D">
        <w:t>group of chemical compounds with related structures (two aromatic rings and consisting of carbon and hydrogen) and which are formed during the incomplete combustion of organic material. There are more than a hundred polycyclic aromatic hydrocarbon compounds (</w:t>
      </w:r>
      <w:proofErr w:type="spellStart"/>
      <w:r w:rsidRPr="0003207D">
        <w:t>PAHs</w:t>
      </w:r>
      <w:proofErr w:type="spellEnd"/>
      <w:r w:rsidRPr="0003207D">
        <w:t>) and they typically exist as a complex mixture</w:t>
      </w:r>
      <w:r>
        <w:t xml:space="preserve">. </w:t>
      </w:r>
      <w:r w:rsidRPr="0003207D">
        <w:t xml:space="preserve">Of those </w:t>
      </w:r>
      <w:proofErr w:type="spellStart"/>
      <w:r w:rsidRPr="0003207D">
        <w:t>PAHs</w:t>
      </w:r>
      <w:proofErr w:type="spellEnd"/>
      <w:r w:rsidRPr="0003207D">
        <w:t xml:space="preserve"> classified by the International Agency for Research on Cancer (</w:t>
      </w:r>
      <w:proofErr w:type="spellStart"/>
      <w:r w:rsidRPr="0003207D">
        <w:t>IARC</w:t>
      </w:r>
      <w:proofErr w:type="spellEnd"/>
      <w:r w:rsidRPr="0003207D">
        <w:t>)</w:t>
      </w:r>
      <w:r w:rsidRPr="0003207D">
        <w:rPr>
          <w:rStyle w:val="FootnoteReference"/>
        </w:rPr>
        <w:t xml:space="preserve"> </w:t>
      </w:r>
      <w:r w:rsidRPr="0003207D">
        <w:rPr>
          <w:rStyle w:val="FootnoteReference"/>
        </w:rPr>
        <w:footnoteReference w:id="1"/>
      </w:r>
      <w:r w:rsidRPr="0003207D">
        <w:t xml:space="preserve">, some have been classified as Group 1 carcinogens (known human carcinogen), some as Group </w:t>
      </w:r>
      <w:proofErr w:type="spellStart"/>
      <w:r w:rsidRPr="0003207D">
        <w:t>2A</w:t>
      </w:r>
      <w:proofErr w:type="spellEnd"/>
      <w:r w:rsidRPr="0003207D">
        <w:t xml:space="preserve"> (probably human carcinogen), some as Group </w:t>
      </w:r>
      <w:proofErr w:type="spellStart"/>
      <w:r w:rsidRPr="0003207D">
        <w:t>2B</w:t>
      </w:r>
      <w:proofErr w:type="spellEnd"/>
      <w:r w:rsidRPr="0003207D">
        <w:t xml:space="preserve"> (possible human carcinogen) and many as Group 3 (not classifiable due to insufficient information) </w:t>
      </w:r>
      <w:r>
        <w:rPr>
          <w:noProof/>
        </w:rPr>
        <w:t>(International Agency for Research on Cancer 2010; Straif et al. 2005)</w:t>
      </w:r>
      <w:r w:rsidRPr="0003207D">
        <w:t>. There is no nationally representative or comprehensive information about the</w:t>
      </w:r>
      <w:r w:rsidRPr="00AC1506">
        <w:t xml:space="preserve"> nature of th</w:t>
      </w:r>
      <w:r>
        <w:t>ese</w:t>
      </w:r>
      <w:r w:rsidRPr="00AC1506">
        <w:t xml:space="preserve"> exposure</w:t>
      </w:r>
      <w:r>
        <w:t>s</w:t>
      </w:r>
      <w:r w:rsidRPr="00AC1506">
        <w:t xml:space="preserve">. Information on the nature of exposure to hazardous substances such as </w:t>
      </w:r>
      <w:proofErr w:type="spellStart"/>
      <w:r w:rsidRPr="00AC1506">
        <w:t>PAHs</w:t>
      </w:r>
      <w:proofErr w:type="spellEnd"/>
      <w:r w:rsidRPr="00AC1506">
        <w:t xml:space="preserve"> would help inform current workplace chemicals policy development activities.</w:t>
      </w:r>
    </w:p>
    <w:p w:rsidR="00ED423B" w:rsidRPr="00AC1506" w:rsidRDefault="00ED423B" w:rsidP="00BB6679">
      <w:r w:rsidRPr="00AC1506">
        <w:t xml:space="preserve">The early efforts of Australian researchers to estimate the number of workers who might be exposed to known or suspected carcinogens such as </w:t>
      </w:r>
      <w:proofErr w:type="spellStart"/>
      <w:r w:rsidRPr="00AC1506">
        <w:t>PAHs</w:t>
      </w:r>
      <w:proofErr w:type="spellEnd"/>
      <w:r w:rsidRPr="00AC1506">
        <w:t xml:space="preserve"> relied on applying overseas estimates to Australian labour force data </w:t>
      </w:r>
      <w:r>
        <w:rPr>
          <w:noProof/>
        </w:rPr>
        <w:t>(Australian Bureau of Statistics 2002; Fritschi &amp; Driscoll 2006; Mathers et al. 1999; Morrell et al. 1998; Winder &amp; Lewis 1991)</w:t>
      </w:r>
      <w:r w:rsidRPr="00AC1506">
        <w:t>. The 2008 National Hazard Exposure Worker Surveillance (NHEWS) Survey attempted to collect information on chemicals used by workers and the controls provided by persons conducting a business or undertaking (</w:t>
      </w:r>
      <w:proofErr w:type="spellStart"/>
      <w:r w:rsidRPr="00AC1506">
        <w:t>PCBUs</w:t>
      </w:r>
      <w:proofErr w:type="spellEnd"/>
      <w:r w:rsidRPr="00AC1506">
        <w:t xml:space="preserve">) to help address this information gap </w:t>
      </w:r>
      <w:r>
        <w:rPr>
          <w:noProof/>
        </w:rPr>
        <w:t>(de Crespigny 2010; MacFarlane et al. 2012)</w:t>
      </w:r>
      <w:r w:rsidRPr="00AC1506">
        <w:t>. However, the data collected through the NHEWS Survey have limited utility in determining the extent of exposures to specific chemicals or the manner in which workers use controls to prevent exposures. This is because it relied on workers being aware of the specific chemical hazards with which they worked, it provided a low level of detail on controls measures, and the sampling approach meant the results were not representative of the Australian workforce.</w:t>
      </w:r>
    </w:p>
    <w:p w:rsidR="00ED423B" w:rsidRDefault="00ED423B" w:rsidP="00BB6679">
      <w:r w:rsidRPr="00826347">
        <w:t>The recent work on the Australian Workplace Exposure Study (AWES)</w:t>
      </w:r>
      <w:r>
        <w:t xml:space="preserve"> </w:t>
      </w:r>
      <w:r>
        <w:rPr>
          <w:noProof/>
        </w:rPr>
        <w:t>(Carey et al. 2014)</w:t>
      </w:r>
      <w:r w:rsidRPr="00826347">
        <w:t xml:space="preserve"> provided the opportunity to obtain information on the prevalence of exposure</w:t>
      </w:r>
      <w:r>
        <w:t xml:space="preserve"> to </w:t>
      </w:r>
      <w:proofErr w:type="spellStart"/>
      <w:r>
        <w:t>PAHs</w:t>
      </w:r>
      <w:proofErr w:type="spellEnd"/>
      <w:r>
        <w:t xml:space="preserve"> during typical work activities at a national level.</w:t>
      </w:r>
      <w:r w:rsidRPr="00826347">
        <w:t xml:space="preserve"> The main part of this report presents an analysis of relevant AWES data. This is followed by a consideration of the implications of the results for policy activity and future work health and safety research.</w:t>
      </w:r>
    </w:p>
    <w:p w:rsidR="00ED423B" w:rsidRPr="00AC1506" w:rsidRDefault="00ED423B" w:rsidP="00BB6679">
      <w:pPr>
        <w:pStyle w:val="Heading2"/>
      </w:pPr>
      <w:bookmarkStart w:id="6" w:name="_Toc401068278"/>
      <w:r w:rsidRPr="00AC1506">
        <w:t xml:space="preserve">The carcinogenicity of </w:t>
      </w:r>
      <w:proofErr w:type="spellStart"/>
      <w:r w:rsidRPr="00AC1506">
        <w:t>PAHs</w:t>
      </w:r>
      <w:bookmarkEnd w:id="6"/>
      <w:proofErr w:type="spellEnd"/>
    </w:p>
    <w:p w:rsidR="00ED423B" w:rsidRPr="00AC1506" w:rsidRDefault="00ED423B" w:rsidP="00BB6679">
      <w:r w:rsidRPr="00AC1506">
        <w:t xml:space="preserve">The most authoritative information on the possible carcinogenic effects of </w:t>
      </w:r>
      <w:proofErr w:type="spellStart"/>
      <w:r w:rsidRPr="00AC1506">
        <w:t>PAHs</w:t>
      </w:r>
      <w:proofErr w:type="spellEnd"/>
      <w:r w:rsidRPr="00AC1506">
        <w:t xml:space="preserve"> is provided by </w:t>
      </w:r>
      <w:proofErr w:type="spellStart"/>
      <w:r w:rsidRPr="00AC1506">
        <w:t>IARC</w:t>
      </w:r>
      <w:proofErr w:type="spellEnd"/>
      <w:r w:rsidRPr="00AC1506">
        <w:t xml:space="preserve">. </w:t>
      </w:r>
      <w:r>
        <w:t>While carcinogenic classifications</w:t>
      </w:r>
      <w:r w:rsidR="00425292">
        <w:t xml:space="preserve"> for </w:t>
      </w:r>
      <w:proofErr w:type="spellStart"/>
      <w:r w:rsidR="00425292">
        <w:t>PAHs</w:t>
      </w:r>
      <w:proofErr w:type="spellEnd"/>
      <w:r>
        <w:t xml:space="preserve"> range from Category 1 to Category 3, common exposures and exposure circumstances are classified as Group 1 or Group </w:t>
      </w:r>
      <w:proofErr w:type="spellStart"/>
      <w:r>
        <w:t>2A</w:t>
      </w:r>
      <w:proofErr w:type="spellEnd"/>
      <w:r>
        <w:t xml:space="preserve"> by </w:t>
      </w:r>
      <w:proofErr w:type="spellStart"/>
      <w:r>
        <w:t>IARC</w:t>
      </w:r>
      <w:proofErr w:type="spellEnd"/>
      <w:r w:rsidRPr="00AC1506">
        <w:t xml:space="preserve">. The basis of this classification is described in </w:t>
      </w:r>
      <w:proofErr w:type="spellStart"/>
      <w:r w:rsidRPr="00AC1506">
        <w:t>IARC</w:t>
      </w:r>
      <w:proofErr w:type="spellEnd"/>
      <w:r w:rsidRPr="00AC1506">
        <w:t xml:space="preserve"> Monograph </w:t>
      </w:r>
      <w:r>
        <w:t>92</w:t>
      </w:r>
      <w:r w:rsidRPr="00AC1506">
        <w:t xml:space="preserve"> </w:t>
      </w:r>
      <w:r>
        <w:rPr>
          <w:noProof/>
        </w:rPr>
        <w:t>(International Agency for Research on Cancer 2010)</w:t>
      </w:r>
      <w:r w:rsidRPr="00AC1506">
        <w:t xml:space="preserve"> </w:t>
      </w:r>
      <w:r>
        <w:t xml:space="preserve">and in an associated journal article </w:t>
      </w:r>
      <w:r>
        <w:rPr>
          <w:noProof/>
        </w:rPr>
        <w:t>(Straif et al. 2005)</w:t>
      </w:r>
      <w:r w:rsidRPr="00AC1506">
        <w:t xml:space="preserve">. </w:t>
      </w:r>
      <w:r w:rsidRPr="004E4758">
        <w:t xml:space="preserve">In terms of tasks associated with </w:t>
      </w:r>
      <w:r w:rsidR="00425292" w:rsidRPr="004E4758">
        <w:t xml:space="preserve">exposure </w:t>
      </w:r>
      <w:r w:rsidR="00425292">
        <w:t xml:space="preserve">to </w:t>
      </w:r>
      <w:proofErr w:type="spellStart"/>
      <w:r w:rsidRPr="004E4758">
        <w:t>PAH</w:t>
      </w:r>
      <w:r w:rsidR="00425292">
        <w:t>s</w:t>
      </w:r>
      <w:proofErr w:type="spellEnd"/>
      <w:r w:rsidRPr="004E4758">
        <w:t xml:space="preserve">, </w:t>
      </w:r>
      <w:proofErr w:type="spellStart"/>
      <w:r w:rsidRPr="004E4758">
        <w:t>IARC</w:t>
      </w:r>
      <w:proofErr w:type="spellEnd"/>
      <w:r w:rsidRPr="004E4758">
        <w:t xml:space="preserve"> identified occupational exposures during coal gasification, coke production, coal-tar distillation, </w:t>
      </w:r>
      <w:proofErr w:type="gramStart"/>
      <w:r w:rsidRPr="004E4758">
        <w:t>work</w:t>
      </w:r>
      <w:proofErr w:type="gramEnd"/>
      <w:r w:rsidRPr="004E4758">
        <w:t xml:space="preserve"> as a chimney sweep, road paving and roofing with coal-tar pitch, aluminium production as being carcinogenic to humans (</w:t>
      </w:r>
      <w:proofErr w:type="spellStart"/>
      <w:r w:rsidRPr="004E4758">
        <w:t>IARC</w:t>
      </w:r>
      <w:proofErr w:type="spellEnd"/>
      <w:r w:rsidRPr="004E4758">
        <w:t xml:space="preserve"> Group 1). Exposure during carbon electrode manufacture and exposure to creosote are considered by </w:t>
      </w:r>
      <w:proofErr w:type="spellStart"/>
      <w:r w:rsidRPr="004E4758">
        <w:t>IARC</w:t>
      </w:r>
      <w:proofErr w:type="spellEnd"/>
      <w:r w:rsidRPr="004E4758">
        <w:t xml:space="preserve"> to probably be carcinogenic to humans (</w:t>
      </w:r>
      <w:proofErr w:type="spellStart"/>
      <w:r w:rsidRPr="004E4758">
        <w:t>IARC</w:t>
      </w:r>
      <w:proofErr w:type="spellEnd"/>
      <w:r w:rsidRPr="004E4758">
        <w:t xml:space="preserve"> Group </w:t>
      </w:r>
      <w:proofErr w:type="spellStart"/>
      <w:r w:rsidRPr="004E4758">
        <w:t>2A</w:t>
      </w:r>
      <w:proofErr w:type="spellEnd"/>
      <w:r w:rsidRPr="004E4758">
        <w:t>)</w:t>
      </w:r>
      <w:r>
        <w:t xml:space="preserve">. </w:t>
      </w:r>
      <w:proofErr w:type="spellStart"/>
      <w:proofErr w:type="gramStart"/>
      <w:r>
        <w:t>B</w:t>
      </w:r>
      <w:r w:rsidRPr="00683BDE">
        <w:t>enzo</w:t>
      </w:r>
      <w:proofErr w:type="spellEnd"/>
      <w:r w:rsidRPr="00683BDE">
        <w:t>(</w:t>
      </w:r>
      <w:proofErr w:type="gramEnd"/>
      <w:r w:rsidRPr="00683BDE">
        <w:t>a)</w:t>
      </w:r>
      <w:proofErr w:type="spellStart"/>
      <w:r w:rsidRPr="00683BDE">
        <w:t>pyrene</w:t>
      </w:r>
      <w:proofErr w:type="spellEnd"/>
      <w:r w:rsidRPr="00683BDE">
        <w:t xml:space="preserve"> </w:t>
      </w:r>
      <w:r>
        <w:t xml:space="preserve">is a </w:t>
      </w:r>
      <w:proofErr w:type="spellStart"/>
      <w:r>
        <w:t>PAH</w:t>
      </w:r>
      <w:proofErr w:type="spellEnd"/>
      <w:r>
        <w:t xml:space="preserve"> compound commonly used as marker of overall exposure </w:t>
      </w:r>
      <w:r w:rsidR="00425292">
        <w:t xml:space="preserve">to </w:t>
      </w:r>
      <w:proofErr w:type="spellStart"/>
      <w:r w:rsidR="00425292">
        <w:t>PAHs</w:t>
      </w:r>
      <w:proofErr w:type="spellEnd"/>
      <w:r w:rsidR="00425292">
        <w:t xml:space="preserve"> </w:t>
      </w:r>
      <w:r>
        <w:t xml:space="preserve">and is classified as Group 1 agent by </w:t>
      </w:r>
      <w:proofErr w:type="spellStart"/>
      <w:r>
        <w:t>IARC</w:t>
      </w:r>
      <w:proofErr w:type="spellEnd"/>
      <w:r>
        <w:t xml:space="preserve">. Several other agents are </w:t>
      </w:r>
      <w:r>
        <w:lastRenderedPageBreak/>
        <w:t xml:space="preserve">classified as Group </w:t>
      </w:r>
      <w:proofErr w:type="spellStart"/>
      <w:r>
        <w:t>2A</w:t>
      </w:r>
      <w:proofErr w:type="spellEnd"/>
      <w:r>
        <w:t xml:space="preserve"> and many as Group </w:t>
      </w:r>
      <w:proofErr w:type="spellStart"/>
      <w:r>
        <w:t>2B</w:t>
      </w:r>
      <w:proofErr w:type="spellEnd"/>
      <w:r>
        <w:t xml:space="preserve"> (see Appendix 2). </w:t>
      </w:r>
      <w:r w:rsidRPr="00AC1506">
        <w:t xml:space="preserve">The carcinogenicity of </w:t>
      </w:r>
      <w:proofErr w:type="spellStart"/>
      <w:r w:rsidRPr="00AC1506">
        <w:t>PAHs</w:t>
      </w:r>
      <w:proofErr w:type="spellEnd"/>
      <w:r w:rsidRPr="00AC1506">
        <w:t xml:space="preserve"> is based on strong evidence that </w:t>
      </w:r>
      <w:r>
        <w:t xml:space="preserve">some </w:t>
      </w:r>
      <w:proofErr w:type="spellStart"/>
      <w:r>
        <w:t>PAH</w:t>
      </w:r>
      <w:proofErr w:type="spellEnd"/>
      <w:r>
        <w:t xml:space="preserve"> types cause</w:t>
      </w:r>
      <w:r w:rsidRPr="00AC1506">
        <w:t xml:space="preserve"> cancer of the lung</w:t>
      </w:r>
      <w:r>
        <w:t xml:space="preserve"> and skin</w:t>
      </w:r>
      <w:r w:rsidRPr="00AC1506">
        <w:t xml:space="preserve">, with </w:t>
      </w:r>
      <w:r>
        <w:t xml:space="preserve">limited evidence </w:t>
      </w:r>
      <w:r w:rsidRPr="00AC1506">
        <w:t>of a link also with bladder cancer. The</w:t>
      </w:r>
      <w:r>
        <w:t>se</w:t>
      </w:r>
      <w:r w:rsidRPr="00AC1506">
        <w:t xml:space="preserve"> assessment</w:t>
      </w:r>
      <w:r>
        <w:t>s are</w:t>
      </w:r>
      <w:r w:rsidRPr="00AC1506">
        <w:t xml:space="preserve"> based on evidence in humans</w:t>
      </w:r>
      <w:r>
        <w:t xml:space="preserve">, evidence in animals and on mechanistic data </w:t>
      </w:r>
      <w:r>
        <w:rPr>
          <w:noProof/>
        </w:rPr>
        <w:t>(Cogliano et al. 2008; International Agency for Research on Cancer 2010; Straif et al. 2005)</w:t>
      </w:r>
      <w:r>
        <w:t>.</w:t>
      </w:r>
    </w:p>
    <w:p w:rsidR="00ED423B" w:rsidRPr="00570F26" w:rsidRDefault="00ED423B" w:rsidP="00BB6679">
      <w:pPr>
        <w:rPr>
          <w:highlight w:val="green"/>
        </w:rPr>
      </w:pPr>
      <w:r w:rsidRPr="0003207D">
        <w:t xml:space="preserve">Other organisations have classified </w:t>
      </w:r>
      <w:proofErr w:type="spellStart"/>
      <w:r w:rsidRPr="0003207D">
        <w:t>PAHs</w:t>
      </w:r>
      <w:proofErr w:type="spellEnd"/>
      <w:r w:rsidRPr="0003207D">
        <w:t xml:space="preserve"> similarly to </w:t>
      </w:r>
      <w:proofErr w:type="spellStart"/>
      <w:r w:rsidRPr="0003207D">
        <w:t>IARC</w:t>
      </w:r>
      <w:proofErr w:type="spellEnd"/>
      <w:r w:rsidRPr="0003207D">
        <w:t>. The US National Toxicology Program identifies 15 separate agents as “</w:t>
      </w:r>
      <w:r w:rsidRPr="0003207D">
        <w:rPr>
          <w:i/>
        </w:rPr>
        <w:t>reasonably anticipated to be a human carcinogen</w:t>
      </w:r>
      <w:r w:rsidRPr="0003207D">
        <w:t xml:space="preserve">” (see Appendix 2) </w:t>
      </w:r>
      <w:r>
        <w:rPr>
          <w:noProof/>
        </w:rPr>
        <w:t>(National Toxicology Program 2011)</w:t>
      </w:r>
      <w:r w:rsidRPr="0003207D">
        <w:fldChar w:fldCharType="begin"/>
      </w:r>
      <w:r w:rsidRPr="0003207D">
        <w:fldChar w:fldCharType="separate"/>
      </w:r>
      <w:r>
        <w:t>{National Toxicology Program, 2011 #63;National Toxicology Program, 2011 #63}</w:t>
      </w:r>
      <w:r w:rsidRPr="0003207D">
        <w:fldChar w:fldCharType="end"/>
      </w:r>
      <w:r>
        <w:t>.</w:t>
      </w:r>
    </w:p>
    <w:p w:rsidR="00ED423B" w:rsidRDefault="00ED423B" w:rsidP="00BB6679">
      <w:r>
        <w:t xml:space="preserve">Under Australian work health and safety regulations manufacturers or importers must determine if a chemical is a hazardous chemical. At the current time, two classification schemes may be used for this purpose—the </w:t>
      </w:r>
      <w:r w:rsidRPr="000C1ED1">
        <w:rPr>
          <w:rStyle w:val="Emphasis"/>
        </w:rPr>
        <w:t>Approved Criteria for Classifying Hazardous Substances [</w:t>
      </w:r>
      <w:proofErr w:type="spellStart"/>
      <w:r w:rsidRPr="000C1ED1">
        <w:rPr>
          <w:rStyle w:val="Emphasis"/>
        </w:rPr>
        <w:t>NOHSC</w:t>
      </w:r>
      <w:proofErr w:type="gramStart"/>
      <w:r w:rsidRPr="000C1ED1">
        <w:rPr>
          <w:rStyle w:val="Emphasis"/>
        </w:rPr>
        <w:t>:1008</w:t>
      </w:r>
      <w:proofErr w:type="spellEnd"/>
      <w:proofErr w:type="gramEnd"/>
      <w:r w:rsidRPr="000C1ED1">
        <w:rPr>
          <w:rStyle w:val="Emphasis"/>
        </w:rPr>
        <w:t>(2004)]</w:t>
      </w:r>
      <w:r>
        <w:t xml:space="preserve"> (the Approved Criteria) </w:t>
      </w:r>
      <w:r>
        <w:rPr>
          <w:noProof/>
        </w:rPr>
        <w:t>(National Occupational Health and Safety Commission 2004)</w:t>
      </w:r>
      <w:r>
        <w:t xml:space="preserve"> or the </w:t>
      </w:r>
      <w:r w:rsidRPr="000C1ED1">
        <w:rPr>
          <w:rStyle w:val="Emphasis"/>
        </w:rPr>
        <w:t>Globally Harmonised System of Classification and Labelling of Chemicals 3rd Revised Edition</w:t>
      </w:r>
      <w:r>
        <w:t xml:space="preserve"> (the </w:t>
      </w:r>
      <w:proofErr w:type="spellStart"/>
      <w:r>
        <w:t>GHS</w:t>
      </w:r>
      <w:proofErr w:type="spellEnd"/>
      <w:r>
        <w:t xml:space="preserve">) </w:t>
      </w:r>
      <w:r>
        <w:rPr>
          <w:noProof/>
        </w:rPr>
        <w:t>(United Nations 2009)</w:t>
      </w:r>
      <w:r>
        <w:t xml:space="preserve">. The </w:t>
      </w:r>
      <w:r w:rsidRPr="00D866C3">
        <w:t>Hazardous Substances Information System (</w:t>
      </w:r>
      <w:proofErr w:type="spellStart"/>
      <w:r w:rsidRPr="00D866C3">
        <w:t>HSIS</w:t>
      </w:r>
      <w:proofErr w:type="spellEnd"/>
      <w:r w:rsidRPr="00D866C3">
        <w:t>)</w:t>
      </w:r>
      <w:r>
        <w:t xml:space="preserve"> </w:t>
      </w:r>
      <w:r>
        <w:rPr>
          <w:noProof/>
        </w:rPr>
        <w:t>(Safe Work Australia 2012b)</w:t>
      </w:r>
      <w:r>
        <w:t xml:space="preserve"> lists substances that have been classified by an authoritative source such as the European Commission or National Industrial Chemicals Notification and Assessment Scheme (</w:t>
      </w:r>
      <w:proofErr w:type="spellStart"/>
      <w:r w:rsidRPr="00CC1112">
        <w:t>NICNAS</w:t>
      </w:r>
      <w:proofErr w:type="spellEnd"/>
      <w:r>
        <w:t xml:space="preserve">) in accordance with the </w:t>
      </w:r>
      <w:r w:rsidRPr="00E8619A">
        <w:t>Approved Criteria</w:t>
      </w:r>
      <w:r>
        <w:t xml:space="preserve"> and provides classification details</w:t>
      </w:r>
      <w:r w:rsidRPr="00D866C3">
        <w:t>.</w:t>
      </w:r>
      <w:r>
        <w:t xml:space="preserve"> Some </w:t>
      </w:r>
      <w:proofErr w:type="spellStart"/>
      <w:r>
        <w:t>PAHs</w:t>
      </w:r>
      <w:proofErr w:type="spellEnd"/>
      <w:r>
        <w:t xml:space="preserve"> are listed in </w:t>
      </w:r>
      <w:proofErr w:type="spellStart"/>
      <w:r>
        <w:t>HSIS</w:t>
      </w:r>
      <w:proofErr w:type="spellEnd"/>
      <w:r>
        <w:t xml:space="preserve"> as Category 2 Carcinogens.</w:t>
      </w:r>
    </w:p>
    <w:p w:rsidR="00ED423B" w:rsidRPr="00782B90" w:rsidRDefault="00ED423B" w:rsidP="00BB6679">
      <w:r w:rsidRPr="00782B90">
        <w:t xml:space="preserve">The main non-carcinogenic health effects of </w:t>
      </w:r>
      <w:proofErr w:type="spellStart"/>
      <w:r w:rsidRPr="00782B90">
        <w:t>PAHs</w:t>
      </w:r>
      <w:proofErr w:type="spellEnd"/>
      <w:r w:rsidRPr="00782B90">
        <w:t xml:space="preserve"> are due to photosensitivity. As the focus of this report is </w:t>
      </w:r>
      <w:proofErr w:type="spellStart"/>
      <w:r w:rsidRPr="00782B90">
        <w:t>PAHs</w:t>
      </w:r>
      <w:proofErr w:type="spellEnd"/>
      <w:r w:rsidRPr="00782B90">
        <w:t xml:space="preserve"> as carcinogen</w:t>
      </w:r>
      <w:r>
        <w:t>s,</w:t>
      </w:r>
      <w:r w:rsidRPr="00782B90">
        <w:t xml:space="preserve"> the non-carcinogenic effects of </w:t>
      </w:r>
      <w:proofErr w:type="spellStart"/>
      <w:r w:rsidRPr="00782B90">
        <w:t>PAHs</w:t>
      </w:r>
      <w:proofErr w:type="spellEnd"/>
      <w:r w:rsidRPr="00782B90">
        <w:t xml:space="preserve"> are not considered further.</w:t>
      </w:r>
    </w:p>
    <w:p w:rsidR="00ED423B" w:rsidRPr="009B1BB0" w:rsidRDefault="00ED423B" w:rsidP="00BB6679">
      <w:pPr>
        <w:pStyle w:val="Heading2"/>
      </w:pPr>
      <w:bookmarkStart w:id="7" w:name="_Toc401068279"/>
      <w:r w:rsidRPr="009B1BB0">
        <w:t>Information on exposure and control measures</w:t>
      </w:r>
      <w:bookmarkEnd w:id="7"/>
    </w:p>
    <w:p w:rsidR="00ED423B" w:rsidRPr="009B1BB0" w:rsidRDefault="00ED423B" w:rsidP="00BB6679">
      <w:pPr>
        <w:pStyle w:val="Heading3"/>
      </w:pPr>
      <w:bookmarkStart w:id="8" w:name="_Toc401068280"/>
      <w:r w:rsidRPr="009B1BB0">
        <w:t>Information from published literature</w:t>
      </w:r>
      <w:bookmarkEnd w:id="8"/>
    </w:p>
    <w:p w:rsidR="00ED423B" w:rsidRPr="009523AE" w:rsidRDefault="00ED423B" w:rsidP="00BB6679">
      <w:r>
        <w:t>L</w:t>
      </w:r>
      <w:r w:rsidRPr="009B1BB0">
        <w:t xml:space="preserve">ow level exposure to </w:t>
      </w:r>
      <w:proofErr w:type="spellStart"/>
      <w:r w:rsidRPr="009B1BB0">
        <w:t>PAHs</w:t>
      </w:r>
      <w:proofErr w:type="spellEnd"/>
      <w:r w:rsidRPr="009B1BB0">
        <w:t xml:space="preserve"> is very common through environmental and dietary sources </w:t>
      </w:r>
      <w:r>
        <w:rPr>
          <w:noProof/>
        </w:rPr>
        <w:t>(Agency for Toxic Substances and Diseases Registry 1995; CAREX Canada 2014; International Agency for Research on Cancer 2010; Straif et al. 2005)</w:t>
      </w:r>
      <w:r w:rsidRPr="009B1BB0">
        <w:t xml:space="preserve">. Occupational exposure can occur in a wide variety of exposure circumstances. Those identified by </w:t>
      </w:r>
      <w:proofErr w:type="spellStart"/>
      <w:r w:rsidRPr="009B1BB0">
        <w:t>IARC</w:t>
      </w:r>
      <w:proofErr w:type="spellEnd"/>
      <w:r w:rsidRPr="009B1BB0">
        <w:t xml:space="preserve"> are </w:t>
      </w:r>
      <w:r w:rsidRPr="00EE73A9">
        <w:rPr>
          <w:i/>
        </w:rPr>
        <w:t>“occupational exposures during coal gasification, coke production, coal-tar distillation, paving and roofing, aluminium production, and chimney sweeping”</w:t>
      </w:r>
      <w:r>
        <w:t xml:space="preserve"> (identified as Group 1 exposures); and </w:t>
      </w:r>
      <w:r w:rsidRPr="00EE73A9">
        <w:rPr>
          <w:i/>
        </w:rPr>
        <w:t>“creosotes”</w:t>
      </w:r>
      <w:r>
        <w:t xml:space="preserve"> and </w:t>
      </w:r>
      <w:r w:rsidRPr="00EE73A9">
        <w:rPr>
          <w:i/>
        </w:rPr>
        <w:t>“occupational exposure during carbon-electrode manufacturing (in aluminium smelting)”</w:t>
      </w:r>
      <w:r w:rsidRPr="009523AE">
        <w:t xml:space="preserve"> (both classified as Group </w:t>
      </w:r>
      <w:proofErr w:type="spellStart"/>
      <w:r w:rsidRPr="009523AE">
        <w:t>2A</w:t>
      </w:r>
      <w:proofErr w:type="spellEnd"/>
      <w:r w:rsidRPr="009523AE">
        <w:t xml:space="preserve">) </w:t>
      </w:r>
      <w:r>
        <w:rPr>
          <w:noProof/>
        </w:rPr>
        <w:t>(International Agency for Research on Cancer 2010; Straif et al. 2005)</w:t>
      </w:r>
      <w:r w:rsidRPr="009523AE">
        <w:t xml:space="preserve">. Most of these exposure circumstances have been or could be suspected to be relevant to Australian workplaces. </w:t>
      </w:r>
    </w:p>
    <w:p w:rsidR="00ED423B" w:rsidRPr="00AC3519" w:rsidRDefault="00ED423B" w:rsidP="00BB6679">
      <w:r w:rsidRPr="00AC1506">
        <w:t xml:space="preserve">The </w:t>
      </w:r>
      <w:proofErr w:type="spellStart"/>
      <w:r w:rsidRPr="00AC1506">
        <w:t>CAREX</w:t>
      </w:r>
      <w:proofErr w:type="spellEnd"/>
      <w:r w:rsidRPr="00AC1506">
        <w:t xml:space="preserve"> database provides information on prevalence of exposure to a range of probable and definite carcinogens as classified by </w:t>
      </w:r>
      <w:proofErr w:type="spellStart"/>
      <w:r w:rsidRPr="00AC1506">
        <w:t>IARC</w:t>
      </w:r>
      <w:proofErr w:type="spellEnd"/>
      <w:r w:rsidRPr="00AC1506">
        <w:t xml:space="preserve">. It contains estimates of the numbers of workers exposed to carcinogens at work by industry in 15 countries of the European Union </w:t>
      </w:r>
      <w:r>
        <w:t xml:space="preserve">(EU) </w:t>
      </w:r>
      <w:r w:rsidRPr="00AC1506">
        <w:t xml:space="preserve">(exposure data from 1990-93) and four of the </w:t>
      </w:r>
      <w:r>
        <w:t>10</w:t>
      </w:r>
      <w:r w:rsidRPr="00AC1506">
        <w:t xml:space="preserve"> countries that joined the EU in 2004 (exposure data from 1997). It also contains summarised exposure data, definitions of carcinogenic exposure, descriptions of the estimation procedures and bibliographic references. The work was undertaken in two phases. Initially estimates were derived from national workforce data and exposure prevalence estimates from two reference countries (the United States </w:t>
      </w:r>
      <w:r>
        <w:t xml:space="preserve">(US) </w:t>
      </w:r>
      <w:r w:rsidRPr="00AC1506">
        <w:t xml:space="preserve">and Finland) which had the most comprehensive data available on carcinogen exposures. The most valid value of prevalence (usually the mean of the US and Finnish values) was used as the default value. There was also some modification of estimates based on data in some individual European countries. The overall </w:t>
      </w:r>
      <w:proofErr w:type="spellStart"/>
      <w:r w:rsidRPr="00AC1506">
        <w:t>CAREX</w:t>
      </w:r>
      <w:proofErr w:type="spellEnd"/>
      <w:r w:rsidRPr="00AC1506">
        <w:t xml:space="preserve"> data were produced to reflect exposures in the early </w:t>
      </w:r>
      <w:proofErr w:type="spellStart"/>
      <w:r w:rsidRPr="00AC1506">
        <w:t>1990s</w:t>
      </w:r>
      <w:proofErr w:type="spellEnd"/>
      <w:r w:rsidRPr="00AC1506">
        <w:t xml:space="preserve"> in Europe. Information is only available for males and females combined. The prevalence of work-</w:t>
      </w:r>
      <w:r w:rsidRPr="00AC3519">
        <w:t xml:space="preserve">related exposure to </w:t>
      </w:r>
      <w:proofErr w:type="spellStart"/>
      <w:r w:rsidRPr="00AC3519">
        <w:t>PAHs</w:t>
      </w:r>
      <w:proofErr w:type="spellEnd"/>
      <w:r w:rsidRPr="00AC3519">
        <w:t xml:space="preserve"> overall in </w:t>
      </w:r>
      <w:proofErr w:type="spellStart"/>
      <w:r w:rsidRPr="00AC3519">
        <w:t>CAREX</w:t>
      </w:r>
      <w:proofErr w:type="spellEnd"/>
      <w:r w:rsidRPr="00AC3519">
        <w:t xml:space="preserve"> was 0.7%, with the highest prevalence in </w:t>
      </w:r>
      <w:r>
        <w:t>e</w:t>
      </w:r>
      <w:r w:rsidRPr="00AC3519">
        <w:t xml:space="preserve">lectricity, </w:t>
      </w:r>
      <w:r>
        <w:t>g</w:t>
      </w:r>
      <w:r w:rsidRPr="00AC3519">
        <w:t xml:space="preserve">as and </w:t>
      </w:r>
      <w:r>
        <w:t>w</w:t>
      </w:r>
      <w:r w:rsidRPr="00AC3519">
        <w:t xml:space="preserve">ater </w:t>
      </w:r>
      <w:r w:rsidRPr="00AC3519">
        <w:lastRenderedPageBreak/>
        <w:t xml:space="preserve">(3.1%), manufacturing (1.6%), construction (1.3%) and mining (1.0%) </w:t>
      </w:r>
      <w:proofErr w:type="gramStart"/>
      <w:r>
        <w:rPr>
          <w:noProof/>
        </w:rPr>
        <w:t>(Finnish Institute of Occupational Health 1998; Kauppinen et al. 2000)</w:t>
      </w:r>
      <w:r>
        <w:t>.</w:t>
      </w:r>
      <w:proofErr w:type="gramEnd"/>
    </w:p>
    <w:p w:rsidR="00ED423B" w:rsidRDefault="00ED423B" w:rsidP="00BB6679">
      <w:r w:rsidRPr="00AC3519">
        <w:t xml:space="preserve">It is likely that improvements in work practices and approaches to exposure control and changes in industry distribution over the last two decades would have resulted in a decrease in exposure prevalence levels and/or absolute exposure levels in Australia (and elsewhere) compared to the estimates at the time the </w:t>
      </w:r>
      <w:proofErr w:type="spellStart"/>
      <w:r w:rsidRPr="00AC3519">
        <w:t>CAREX</w:t>
      </w:r>
      <w:proofErr w:type="spellEnd"/>
      <w:r w:rsidRPr="00AC3519">
        <w:t xml:space="preserve"> database was developed.</w:t>
      </w:r>
    </w:p>
    <w:p w:rsidR="00ED423B" w:rsidRPr="00570F26" w:rsidRDefault="00ED423B" w:rsidP="00BB6679">
      <w:pPr>
        <w:rPr>
          <w:highlight w:val="green"/>
        </w:rPr>
      </w:pPr>
      <w:r w:rsidRPr="00AC3519">
        <w:t xml:space="preserve">A more recent carcinogen exposure database, </w:t>
      </w:r>
      <w:proofErr w:type="spellStart"/>
      <w:r w:rsidRPr="00AC3519">
        <w:t>CAREX</w:t>
      </w:r>
      <w:proofErr w:type="spellEnd"/>
      <w:r w:rsidRPr="00AC3519">
        <w:t xml:space="preserve"> Canada, provides more up to date data and it estimates the overall occupational exposure prevalence for </w:t>
      </w:r>
      <w:proofErr w:type="spellStart"/>
      <w:r w:rsidRPr="00AC3519">
        <w:t>PAHs</w:t>
      </w:r>
      <w:proofErr w:type="spellEnd"/>
      <w:r w:rsidRPr="00AC3519">
        <w:t xml:space="preserve"> to be about 2%. The </w:t>
      </w:r>
      <w:proofErr w:type="spellStart"/>
      <w:r w:rsidRPr="00AC3519">
        <w:t>CAREX</w:t>
      </w:r>
      <w:proofErr w:type="spellEnd"/>
      <w:r w:rsidRPr="00AC3519">
        <w:t xml:space="preserve"> Canada database identifies the main occupational exposures (in terms of number of people exposed) as being</w:t>
      </w:r>
      <w:r>
        <w:t xml:space="preserve"> chefs and kitchen workers, mechanics and fire fighters. Industries with the highest prevalence of exposure were </w:t>
      </w:r>
      <w:r w:rsidRPr="00AC3519">
        <w:t>restaurants and other cooking establishments, petrol stations and public administration</w:t>
      </w:r>
      <w:r>
        <w:t xml:space="preserve"> </w:t>
      </w:r>
      <w:r>
        <w:rPr>
          <w:noProof/>
        </w:rPr>
        <w:t>(CAREX Canada 2014)</w:t>
      </w:r>
      <w:r>
        <w:t>.</w:t>
      </w:r>
    </w:p>
    <w:p w:rsidR="00ED423B" w:rsidRPr="004C147C" w:rsidRDefault="00ED423B" w:rsidP="00BB6679">
      <w:r w:rsidRPr="004C147C">
        <w:t xml:space="preserve">A recent major study of the work-related burden of cancer in Great Britain included consideration of lung cancer, bladder cancer and non-melanoma skin cancer in relation to </w:t>
      </w:r>
      <w:proofErr w:type="spellStart"/>
      <w:r>
        <w:t>PAH</w:t>
      </w:r>
      <w:proofErr w:type="spellEnd"/>
      <w:r>
        <w:t xml:space="preserve"> exposure</w:t>
      </w:r>
      <w:r w:rsidRPr="004C147C">
        <w:t>. The study employed a detailed methodology for estimating exposure, focusing on data from Great Britain. High exposure was estimated for workers in iron and steel basic industries (51% of workers deemed exposed)</w:t>
      </w:r>
      <w:r>
        <w:t>,</w:t>
      </w:r>
      <w:r w:rsidRPr="004C147C">
        <w:t xml:space="preserve"> manufacture of other non-metallic mineral products (21%)</w:t>
      </w:r>
      <w:r>
        <w:t>,</w:t>
      </w:r>
      <w:r w:rsidRPr="004C147C">
        <w:t xml:space="preserve"> non-ferrous metal basic industries (17%)</w:t>
      </w:r>
      <w:r>
        <w:t xml:space="preserve"> </w:t>
      </w:r>
      <w:r w:rsidRPr="004C147C">
        <w:t xml:space="preserve">and manufacture of industrial chemicals (10%). The overall prevalence of exposure to </w:t>
      </w:r>
      <w:proofErr w:type="spellStart"/>
      <w:r w:rsidRPr="004C147C">
        <w:t>PAHs</w:t>
      </w:r>
      <w:proofErr w:type="spellEnd"/>
      <w:r w:rsidRPr="004C147C">
        <w:t xml:space="preserve"> was based on the </w:t>
      </w:r>
      <w:proofErr w:type="spellStart"/>
      <w:r w:rsidRPr="004C147C">
        <w:t>CAREX</w:t>
      </w:r>
      <w:proofErr w:type="spellEnd"/>
      <w:r w:rsidRPr="004C147C">
        <w:t xml:space="preserve"> estimates</w:t>
      </w:r>
      <w:r>
        <w:t xml:space="preserve"> </w:t>
      </w:r>
      <w:r>
        <w:rPr>
          <w:noProof/>
        </w:rPr>
        <w:t>(Rushton et al. 2012; Van Tongeren et al. 2012)</w:t>
      </w:r>
      <w:r w:rsidRPr="004C147C">
        <w:t>.</w:t>
      </w:r>
    </w:p>
    <w:p w:rsidR="00ED423B" w:rsidRPr="00D6085B" w:rsidRDefault="00ED423B" w:rsidP="00BB6679">
      <w:pPr>
        <w:pStyle w:val="Heading3"/>
      </w:pPr>
      <w:bookmarkStart w:id="9" w:name="_Toc401068281"/>
      <w:r w:rsidRPr="00D6085B">
        <w:t>Information on Australian workplaces</w:t>
      </w:r>
      <w:bookmarkEnd w:id="9"/>
    </w:p>
    <w:p w:rsidR="00ED423B" w:rsidRPr="00D6085B" w:rsidRDefault="00ED423B" w:rsidP="00BB6679">
      <w:r w:rsidRPr="00D6085B">
        <w:t xml:space="preserve">There is little published information that addresses the number of Australian workers exposed to </w:t>
      </w:r>
      <w:proofErr w:type="spellStart"/>
      <w:r w:rsidRPr="00D6085B">
        <w:t>PAHs</w:t>
      </w:r>
      <w:proofErr w:type="spellEnd"/>
      <w:r w:rsidRPr="00D6085B">
        <w:t>. There are reports examining aspects of exposure in specific circumstances such as aluminium smelting</w:t>
      </w:r>
      <w:r>
        <w:t xml:space="preserve"> </w:t>
      </w:r>
      <w:r>
        <w:rPr>
          <w:noProof/>
        </w:rPr>
        <w:t>(Di Corleto 2010)</w:t>
      </w:r>
      <w:r>
        <w:t xml:space="preserve">, </w:t>
      </w:r>
      <w:r w:rsidRPr="00D6085B">
        <w:t>fire fighting</w:t>
      </w:r>
      <w:r>
        <w:t xml:space="preserve"> </w:t>
      </w:r>
      <w:r>
        <w:rPr>
          <w:noProof/>
        </w:rPr>
        <w:t>(Reisen &amp; Tiganis 2007; Reisen &amp; Brown 2009)</w:t>
      </w:r>
      <w:r>
        <w:t xml:space="preserve"> and a brief mention in a study focussing on environmental exposures </w:t>
      </w:r>
      <w:r>
        <w:rPr>
          <w:noProof/>
        </w:rPr>
        <w:t>(Berko 1999)</w:t>
      </w:r>
      <w:r>
        <w:t>.</w:t>
      </w:r>
    </w:p>
    <w:p w:rsidR="00ED423B" w:rsidRPr="00E72967" w:rsidRDefault="00ED423B" w:rsidP="00BB6679">
      <w:pPr>
        <w:pStyle w:val="Heading3"/>
      </w:pPr>
      <w:bookmarkStart w:id="10" w:name="_Toc401068282"/>
      <w:r w:rsidRPr="00E72967">
        <w:t>Information from NHEWS</w:t>
      </w:r>
      <w:bookmarkEnd w:id="10"/>
    </w:p>
    <w:p w:rsidR="00ED423B" w:rsidRPr="00E72967" w:rsidRDefault="00ED423B" w:rsidP="00BB6679">
      <w:r w:rsidRPr="00E72967">
        <w:t>The NHEWS study</w:t>
      </w:r>
      <w:r>
        <w:t xml:space="preserve"> </w:t>
      </w:r>
      <w:r>
        <w:rPr>
          <w:noProof/>
        </w:rPr>
        <w:t>(Australian Safety and Compensation Council 2008; 2009)</w:t>
      </w:r>
      <w:r w:rsidRPr="00E72967">
        <w:t xml:space="preserve"> was a study of Australian workers designed to examine the frequency of exposure to a range of </w:t>
      </w:r>
      <w:r>
        <w:t>hazards, including workplace chemicals</w:t>
      </w:r>
      <w:r w:rsidRPr="00E72967">
        <w:t>. The study initially focused on key industries (agriculture, forestry and fishing; manufacturing; construction; transport, postal and warehousing; and health and community services) but included all industries in the second phase of data collection. Some information on provision of exposure controls was also collected.</w:t>
      </w:r>
    </w:p>
    <w:p w:rsidR="00ED423B" w:rsidRPr="00E72967" w:rsidRDefault="00ED423B" w:rsidP="00BB6679">
      <w:r w:rsidRPr="00E72967">
        <w:t xml:space="preserve">The survey was conducted in 2008 via telephone. All information on exposure to specific </w:t>
      </w:r>
      <w:r>
        <w:t>hazards</w:t>
      </w:r>
      <w:r w:rsidRPr="00E72967">
        <w:t xml:space="preserve"> and on controls was from self-report. The nature of the data collection meant that the data could not be considered representative of the whole Australian working population </w:t>
      </w:r>
      <w:r>
        <w:t>or</w:t>
      </w:r>
      <w:r w:rsidRPr="00E72967">
        <w:t xml:space="preserve"> even necessarily quantitatively representative of the specific industries included. However, it provide</w:t>
      </w:r>
      <w:r>
        <w:t>d</w:t>
      </w:r>
      <w:r w:rsidRPr="00E72967">
        <w:t xml:space="preserve"> useful qualitative information and some quantitative information.</w:t>
      </w:r>
    </w:p>
    <w:p w:rsidR="00ED423B" w:rsidRDefault="00ED423B" w:rsidP="00BB6679">
      <w:r w:rsidRPr="00E72967">
        <w:t xml:space="preserve">Potentially relevant reports published from NHEWS </w:t>
      </w:r>
      <w:r>
        <w:t xml:space="preserve">examined exposures to chemicals through skin contact </w:t>
      </w:r>
      <w:r>
        <w:rPr>
          <w:noProof/>
        </w:rPr>
        <w:t>(MacFarlane et al. 2012)</w:t>
      </w:r>
      <w:r w:rsidRPr="00E72967">
        <w:t xml:space="preserve"> and airborne exposures</w:t>
      </w:r>
      <w:r>
        <w:t xml:space="preserve"> </w:t>
      </w:r>
      <w:r>
        <w:rPr>
          <w:noProof/>
        </w:rPr>
        <w:t>(de Crespigny 2010)</w:t>
      </w:r>
      <w:r>
        <w:t>. However,</w:t>
      </w:r>
      <w:r w:rsidRPr="00E72967">
        <w:t xml:space="preserve"> neither report has useable information specifically on </w:t>
      </w:r>
      <w:r>
        <w:t>exposure</w:t>
      </w:r>
      <w:r w:rsidRPr="00E72967">
        <w:t>s</w:t>
      </w:r>
      <w:r w:rsidR="00F56243">
        <w:t xml:space="preserve"> to </w:t>
      </w:r>
      <w:proofErr w:type="spellStart"/>
      <w:r w:rsidR="00F56243">
        <w:t>PAHs</w:t>
      </w:r>
      <w:proofErr w:type="spellEnd"/>
      <w:r w:rsidRPr="00E72967">
        <w:t xml:space="preserve">. </w:t>
      </w:r>
      <w:r w:rsidRPr="00826347">
        <w:t xml:space="preserve">Examination of the </w:t>
      </w:r>
      <w:r>
        <w:t>unit record data</w:t>
      </w:r>
      <w:r w:rsidRPr="00826347">
        <w:t xml:space="preserve"> for this study </w:t>
      </w:r>
      <w:r w:rsidRPr="00E72967">
        <w:t xml:space="preserve">identified 49 subjects who appeared likely to have been exposed to </w:t>
      </w:r>
      <w:proofErr w:type="spellStart"/>
      <w:r w:rsidRPr="00E72967">
        <w:t>PAHs</w:t>
      </w:r>
      <w:proofErr w:type="spellEnd"/>
      <w:r w:rsidRPr="00E72967">
        <w:t xml:space="preserve">. </w:t>
      </w:r>
      <w:r>
        <w:t>The exposure circumstances were:</w:t>
      </w:r>
    </w:p>
    <w:p w:rsidR="00ED423B" w:rsidRDefault="00ED423B">
      <w:pPr>
        <w:pStyle w:val="ListParagraph"/>
        <w:numPr>
          <w:ilvl w:val="0"/>
          <w:numId w:val="39"/>
        </w:numPr>
      </w:pPr>
      <w:r w:rsidRPr="00E72967">
        <w:t>expos</w:t>
      </w:r>
      <w:r>
        <w:t>ure</w:t>
      </w:r>
      <w:r w:rsidRPr="00E72967">
        <w:t xml:space="preserve"> to asphalt in road construction</w:t>
      </w:r>
      <w:r>
        <w:t xml:space="preserve"> (7)</w:t>
      </w:r>
    </w:p>
    <w:p w:rsidR="00ED423B" w:rsidRDefault="00ED423B">
      <w:pPr>
        <w:pStyle w:val="ListParagraph"/>
        <w:numPr>
          <w:ilvl w:val="0"/>
          <w:numId w:val="39"/>
        </w:numPr>
      </w:pPr>
      <w:r>
        <w:t>exposure to smoke from frying (7)</w:t>
      </w:r>
    </w:p>
    <w:p w:rsidR="00ED423B" w:rsidRDefault="00ED423B">
      <w:pPr>
        <w:pStyle w:val="ListParagraph"/>
        <w:numPr>
          <w:ilvl w:val="0"/>
          <w:numId w:val="39"/>
        </w:numPr>
      </w:pPr>
      <w:r>
        <w:t>exposure to smoke from fighting fires or being nearby when fires were burning (7)</w:t>
      </w:r>
    </w:p>
    <w:p w:rsidR="00ED423B" w:rsidRDefault="00ED423B">
      <w:pPr>
        <w:pStyle w:val="ListParagraph"/>
        <w:numPr>
          <w:ilvl w:val="0"/>
          <w:numId w:val="39"/>
        </w:numPr>
      </w:pPr>
      <w:r>
        <w:t xml:space="preserve"> exposure to smoke from sources of smoke such as ovens, incinerators</w:t>
      </w:r>
      <w:r w:rsidR="00F56243">
        <w:t xml:space="preserve"> and</w:t>
      </w:r>
      <w:r>
        <w:t xml:space="preserve"> furnaces (13), and </w:t>
      </w:r>
    </w:p>
    <w:p w:rsidR="00ED423B" w:rsidRDefault="00ED423B">
      <w:pPr>
        <w:pStyle w:val="ListParagraph"/>
        <w:numPr>
          <w:ilvl w:val="0"/>
          <w:numId w:val="39"/>
        </w:numPr>
      </w:pPr>
      <w:proofErr w:type="gramStart"/>
      <w:r>
        <w:lastRenderedPageBreak/>
        <w:t>exposure</w:t>
      </w:r>
      <w:proofErr w:type="gramEnd"/>
      <w:r>
        <w:t xml:space="preserve"> to welding smoke (13). </w:t>
      </w:r>
    </w:p>
    <w:p w:rsidR="00ED423B" w:rsidRPr="00E72967" w:rsidRDefault="00ED423B" w:rsidP="00BB6679">
      <w:r>
        <w:t xml:space="preserve">The remaining two persons were exposed in other circumstances. The nature of the information in NHEWS meant there was some uncertainty about whether the circumstances would have resulted in exposure to </w:t>
      </w:r>
      <w:proofErr w:type="spellStart"/>
      <w:r>
        <w:t>PAHs</w:t>
      </w:r>
      <w:proofErr w:type="spellEnd"/>
      <w:r>
        <w:t xml:space="preserve"> but in most instances exposure appeared likely. The 49 subjects represented about one per cent of the NHEWS subjects. It is likely that many probable exposures would not have been identified from the available information but the information indicates in a qualitative sense that exposure to </w:t>
      </w:r>
      <w:proofErr w:type="spellStart"/>
      <w:r>
        <w:t>PAHs</w:t>
      </w:r>
      <w:proofErr w:type="spellEnd"/>
      <w:r>
        <w:t xml:space="preserve"> is not uncommon in the Australian workforce.</w:t>
      </w:r>
    </w:p>
    <w:p w:rsidR="00ED423B" w:rsidRPr="00C7164A" w:rsidRDefault="00ED423B" w:rsidP="00BB6679">
      <w:pPr>
        <w:pStyle w:val="Heading3"/>
      </w:pPr>
      <w:bookmarkStart w:id="11" w:name="_Toc401068283"/>
      <w:r>
        <w:t>Australian workplace chemical</w:t>
      </w:r>
      <w:r w:rsidRPr="00C7164A">
        <w:t xml:space="preserve"> regulation</w:t>
      </w:r>
      <w:r>
        <w:t>s</w:t>
      </w:r>
      <w:r w:rsidRPr="00C7164A">
        <w:t xml:space="preserve"> and guides</w:t>
      </w:r>
      <w:bookmarkEnd w:id="11"/>
    </w:p>
    <w:p w:rsidR="00ED423B" w:rsidRPr="00C7164A" w:rsidRDefault="00ED423B" w:rsidP="00BB6679">
      <w:r w:rsidRPr="00826347">
        <w:t xml:space="preserve">In Australia </w:t>
      </w:r>
      <w:r>
        <w:t xml:space="preserve">work health and safety </w:t>
      </w:r>
      <w:r w:rsidRPr="00826347">
        <w:t xml:space="preserve">requirements for working with </w:t>
      </w:r>
      <w:r>
        <w:t xml:space="preserve">hazardous workplace chemicals are set out in Part 7.1 </w:t>
      </w:r>
      <w:r w:rsidRPr="00826347">
        <w:t xml:space="preserve">of the model Work Health and Safety Regulations 2011 (model </w:t>
      </w:r>
      <w:proofErr w:type="spellStart"/>
      <w:r w:rsidRPr="00826347">
        <w:t>WHS</w:t>
      </w:r>
      <w:proofErr w:type="spellEnd"/>
      <w:r w:rsidRPr="00826347">
        <w:t xml:space="preserve"> Regulations)</w:t>
      </w:r>
      <w:r>
        <w:t xml:space="preserve"> </w:t>
      </w:r>
      <w:r>
        <w:rPr>
          <w:noProof/>
        </w:rPr>
        <w:t>(Safe Work Australia 2011a)</w:t>
      </w:r>
      <w:r>
        <w:rPr>
          <w:rStyle w:val="FootnoteReference"/>
        </w:rPr>
        <w:footnoteReference w:id="2"/>
      </w:r>
      <w:r>
        <w:t xml:space="preserve">. These include </w:t>
      </w:r>
      <w:r w:rsidRPr="00826347">
        <w:t xml:space="preserve">requirements for airborne contaminants </w:t>
      </w:r>
      <w:r>
        <w:t xml:space="preserve">and </w:t>
      </w:r>
      <w:proofErr w:type="spellStart"/>
      <w:r w:rsidRPr="00826347">
        <w:t>PCBUs</w:t>
      </w:r>
      <w:proofErr w:type="spellEnd"/>
      <w:r w:rsidRPr="00826347">
        <w:t xml:space="preserve"> must ensure the workers are</w:t>
      </w:r>
      <w:r>
        <w:t xml:space="preserve"> not</w:t>
      </w:r>
      <w:r w:rsidRPr="00826347">
        <w:t xml:space="preserve"> exposed </w:t>
      </w:r>
      <w:r>
        <w:t xml:space="preserve">to formaldehyde at </w:t>
      </w:r>
      <w:r w:rsidRPr="00826347">
        <w:t>concentrations higher than the relevant exposure standard</w:t>
      </w:r>
      <w:r>
        <w:t xml:space="preserve">. </w:t>
      </w:r>
      <w:proofErr w:type="spellStart"/>
      <w:r>
        <w:t>PCBUs</w:t>
      </w:r>
      <w:proofErr w:type="spellEnd"/>
      <w:r w:rsidRPr="00C7164A">
        <w:t xml:space="preserve"> would be expected to follow the hierarchy of control when controlling exposures to </w:t>
      </w:r>
      <w:proofErr w:type="spellStart"/>
      <w:r w:rsidRPr="00C7164A">
        <w:t>PAHs</w:t>
      </w:r>
      <w:proofErr w:type="spellEnd"/>
      <w:r w:rsidRPr="00C7164A">
        <w:t xml:space="preserve">. </w:t>
      </w:r>
      <w:proofErr w:type="spellStart"/>
      <w:r>
        <w:t>PAHs</w:t>
      </w:r>
      <w:proofErr w:type="spellEnd"/>
      <w:r>
        <w:t xml:space="preserve"> are designated by Safe Work Australia as </w:t>
      </w:r>
      <w:r w:rsidRPr="00653B31">
        <w:t>hazardous chemicals requiring health monitoring</w:t>
      </w:r>
      <w:r>
        <w:t xml:space="preserve"> </w:t>
      </w:r>
      <w:r>
        <w:rPr>
          <w:noProof/>
        </w:rPr>
        <w:t>(Safe Work Australia 2013a)</w:t>
      </w:r>
      <w:r>
        <w:t xml:space="preserve">. Information is available for </w:t>
      </w:r>
      <w:proofErr w:type="spellStart"/>
      <w:r>
        <w:t>PCBUs</w:t>
      </w:r>
      <w:proofErr w:type="spellEnd"/>
      <w:r>
        <w:t xml:space="preserve"> on how and when such monitoring is to be undertaken for </w:t>
      </w:r>
      <w:proofErr w:type="spellStart"/>
      <w:r>
        <w:t>PAHs</w:t>
      </w:r>
      <w:proofErr w:type="spellEnd"/>
      <w:r>
        <w:t xml:space="preserve"> </w:t>
      </w:r>
      <w:r>
        <w:rPr>
          <w:noProof/>
        </w:rPr>
        <w:t>(Safe Work Australia 2013b)</w:t>
      </w:r>
      <w:r>
        <w:t xml:space="preserve">, and on other related exposure control requirements and approaches relevant to </w:t>
      </w:r>
      <w:proofErr w:type="spellStart"/>
      <w:r>
        <w:t>PAHs</w:t>
      </w:r>
      <w:proofErr w:type="spellEnd"/>
      <w:r>
        <w:t xml:space="preserve"> </w:t>
      </w:r>
      <w:r>
        <w:rPr>
          <w:noProof/>
        </w:rPr>
        <w:t>(Safe Work Australia 2011b; 2012a; 2013a; 2013c)</w:t>
      </w:r>
      <w:r w:rsidRPr="009B1BB0">
        <w:t>.</w:t>
      </w:r>
    </w:p>
    <w:p w:rsidR="00ED423B" w:rsidRPr="00D66125" w:rsidRDefault="00ED423B" w:rsidP="00BB6679">
      <w:pPr>
        <w:pStyle w:val="Heading1"/>
      </w:pPr>
      <w:bookmarkStart w:id="12" w:name="_Toc401068284"/>
      <w:r w:rsidRPr="00D66125">
        <w:lastRenderedPageBreak/>
        <w:t>METHODS</w:t>
      </w:r>
      <w:bookmarkEnd w:id="12"/>
    </w:p>
    <w:p w:rsidR="00ED423B" w:rsidRPr="00D66125" w:rsidRDefault="00ED423B" w:rsidP="00BB6679">
      <w:pPr>
        <w:pStyle w:val="Heading2"/>
      </w:pPr>
      <w:bookmarkStart w:id="13" w:name="_Toc401068285"/>
      <w:r w:rsidRPr="00D66125">
        <w:t>Australian Workplace Exposure Study</w:t>
      </w:r>
      <w:bookmarkEnd w:id="13"/>
    </w:p>
    <w:p w:rsidR="00ED423B" w:rsidRPr="00D66125" w:rsidRDefault="00ED423B" w:rsidP="00BB6679">
      <w:r w:rsidRPr="00D66125">
        <w:t>The analysis presented in this report uses AWES data</w:t>
      </w:r>
      <w:r>
        <w:t xml:space="preserve"> </w:t>
      </w:r>
      <w:r>
        <w:rPr>
          <w:noProof/>
        </w:rPr>
        <w:t>(Carey et al. 2014)</w:t>
      </w:r>
      <w:r>
        <w:rPr>
          <w:rStyle w:val="FootnoteReference"/>
        </w:rPr>
        <w:footnoteReference w:id="3"/>
      </w:r>
      <w:r w:rsidRPr="00D66125">
        <w:t xml:space="preserve">. The AWES project is a nationwide survey which investigated the current prevalence of work-related exposure to 38 known or suspected carcinogens including </w:t>
      </w:r>
      <w:proofErr w:type="spellStart"/>
      <w:r w:rsidRPr="00D66125">
        <w:t>PAHs</w:t>
      </w:r>
      <w:proofErr w:type="spellEnd"/>
      <w:r w:rsidRPr="00D66125">
        <w:t xml:space="preserve"> among Australian workers</w:t>
      </w:r>
      <w:r>
        <w:t xml:space="preserve"> </w:t>
      </w:r>
      <w:r>
        <w:rPr>
          <w:noProof/>
        </w:rPr>
        <w:t>(Carey et al. 2014)</w:t>
      </w:r>
      <w:r w:rsidRPr="00D66125">
        <w:t>.</w:t>
      </w:r>
    </w:p>
    <w:p w:rsidR="00ED423B" w:rsidRPr="00D66125" w:rsidRDefault="00ED423B" w:rsidP="00BB6679">
      <w:pPr>
        <w:pStyle w:val="Heading3"/>
      </w:pPr>
      <w:bookmarkStart w:id="14" w:name="_Toc401068286"/>
      <w:r w:rsidRPr="00D66125">
        <w:t>Study Population</w:t>
      </w:r>
      <w:bookmarkEnd w:id="14"/>
    </w:p>
    <w:p w:rsidR="00ED423B" w:rsidRPr="00D66125" w:rsidRDefault="00ED423B" w:rsidP="00BB6679">
      <w:r w:rsidRPr="00D66125">
        <w:t xml:space="preserve">The sample for the AWES was obtained from a commercial survey sampling firm and consisted of household contact details compiled from various public domain data sources </w:t>
      </w:r>
      <w:r>
        <w:t>such as</w:t>
      </w:r>
      <w:r w:rsidRPr="00D66125">
        <w:t xml:space="preserve"> telephone directories. Both landline and mobile phone numbers were included and the sample was stratified to reflect the approximate distribution of the Australian work force by state and territory as reported by the ABS Labour Force Survey from March 2011</w:t>
      </w:r>
      <w:r>
        <w:t xml:space="preserve"> </w:t>
      </w:r>
      <w:r>
        <w:rPr>
          <w:noProof/>
        </w:rPr>
        <w:t>(Australian Bureau of Statistics 2011a)</w:t>
      </w:r>
      <w:r w:rsidRPr="00D66125">
        <w:t xml:space="preserve">. Within these households currently employed residents aged between 18 and 65 were eligible to participate. Those with insufficient English language ability and those who were too ill to participate were ineligible. One eligible person within each household was selected for interview. </w:t>
      </w:r>
    </w:p>
    <w:p w:rsidR="00ED423B" w:rsidRPr="00D66125" w:rsidRDefault="00ED423B" w:rsidP="00BB6679">
      <w:r w:rsidRPr="00D66125">
        <w:t>Of the 19</w:t>
      </w:r>
      <w:r>
        <w:t xml:space="preserve"> </w:t>
      </w:r>
      <w:r w:rsidRPr="00D66125">
        <w:t>896 households telephoned during the course of this study, 2452 did not respond, 10 485 were ineligible, and 1936 refused to participate. Five thousand and twenty-three interviews were completed and the response rate (excluding ineligible households) was 53%.</w:t>
      </w:r>
    </w:p>
    <w:p w:rsidR="00ED423B" w:rsidRPr="00D66125" w:rsidRDefault="00ED423B" w:rsidP="00BB6679">
      <w:pPr>
        <w:pStyle w:val="Heading3"/>
      </w:pPr>
      <w:bookmarkStart w:id="15" w:name="_Toc401068287"/>
      <w:r w:rsidRPr="00D66125">
        <w:t>Data Collection</w:t>
      </w:r>
      <w:bookmarkEnd w:id="15"/>
    </w:p>
    <w:p w:rsidR="00ED423B" w:rsidRPr="00D66125" w:rsidRDefault="00ED423B" w:rsidP="00BB6679">
      <w:r w:rsidRPr="00D66125">
        <w:t xml:space="preserve">Interviews commenced in October 2011 and were completed in late 2012. All interviews were conducted by trained interviewers using computer-assisted telephone interviews. Respondents provided oral informed consent prior to any data being collected. Demographic information collected included age, gender, postcode of residence, country of birth, language spoken at home, and highest level of education. </w:t>
      </w:r>
    </w:p>
    <w:p w:rsidR="00ED423B" w:rsidRPr="00D66125" w:rsidRDefault="00ED423B" w:rsidP="00BB6679">
      <w:r w:rsidRPr="00D66125">
        <w:t>The respondent’s main job was then categori</w:t>
      </w:r>
      <w:r>
        <w:t>s</w:t>
      </w:r>
      <w:r w:rsidRPr="00D66125">
        <w:t xml:space="preserve">ed as either exposed or unexposed to any of the 38 carcinogens by the use of a simple screening tool. Respondents whose job fitted into one of 13 predetermined categories of unexposed jobs </w:t>
      </w:r>
      <w:r>
        <w:t>such as</w:t>
      </w:r>
      <w:r w:rsidRPr="00D66125">
        <w:t xml:space="preserve"> white-collar professional</w:t>
      </w:r>
      <w:r>
        <w:t xml:space="preserve"> or</w:t>
      </w:r>
      <w:r w:rsidRPr="00D66125">
        <w:t xml:space="preserve"> customer service were classified as unexposed and their interview completed. A total of 2532 respondents were categori</w:t>
      </w:r>
      <w:r>
        <w:t>s</w:t>
      </w:r>
      <w:r w:rsidRPr="00D66125">
        <w:t>ed as unexposed at this point (minimal information was collected on these persons). Basic job information</w:t>
      </w:r>
      <w:r>
        <w:t xml:space="preserve"> such as </w:t>
      </w:r>
      <w:r w:rsidRPr="00D66125">
        <w:t>job title, main tasks at work, industry, frequency of work in terms of hours per week and weeks per year was then collected from the remaining 2491 respondents with the aim of using this information to assign them to one of 58 job specific modules (</w:t>
      </w:r>
      <w:proofErr w:type="spellStart"/>
      <w:r w:rsidRPr="00D66125">
        <w:t>JSMs</w:t>
      </w:r>
      <w:proofErr w:type="spellEnd"/>
      <w:r w:rsidRPr="00D66125">
        <w:t xml:space="preserve">). These modules included questions about the completion of tasks likely to involve exposure to carcinogens, and were developed by a team of occupational hygienists and epidemiologists. An example is provided in Appendix </w:t>
      </w:r>
      <w:r>
        <w:t>3</w:t>
      </w:r>
      <w:r w:rsidRPr="00D66125">
        <w:t>.</w:t>
      </w:r>
    </w:p>
    <w:p w:rsidR="00ED423B" w:rsidRPr="00D66125" w:rsidRDefault="00ED423B" w:rsidP="00BB6679">
      <w:r w:rsidRPr="00D66125">
        <w:t xml:space="preserve">All modules were completed using </w:t>
      </w:r>
      <w:proofErr w:type="spellStart"/>
      <w:r w:rsidRPr="00D66125">
        <w:t>OccIDEAS</w:t>
      </w:r>
      <w:proofErr w:type="spellEnd"/>
      <w:r w:rsidRPr="00D66125">
        <w:t xml:space="preserve"> </w:t>
      </w:r>
      <w:r>
        <w:rPr>
          <w:noProof/>
        </w:rPr>
        <w:t>(Fritschi et al. 2009)</w:t>
      </w:r>
      <w:r w:rsidRPr="00D66125">
        <w:t>, an online tool to manage interviews and exposure assessments, with each full interview taking approximately 15 minutes. Following the interviews, each job was coded according to the Australian and New Zealand Standard Classification of Occupations (</w:t>
      </w:r>
      <w:proofErr w:type="spellStart"/>
      <w:r w:rsidRPr="00D66125">
        <w:t>ANZSCO</w:t>
      </w:r>
      <w:proofErr w:type="spellEnd"/>
      <w:r w:rsidRPr="00D66125">
        <w:t>) 2006</w:t>
      </w:r>
      <w:r>
        <w:t xml:space="preserve"> </w:t>
      </w:r>
      <w:r>
        <w:rPr>
          <w:noProof/>
        </w:rPr>
        <w:t>(Australian Bureau of Statistics 2006)</w:t>
      </w:r>
      <w:r w:rsidRPr="00D66125">
        <w:t xml:space="preserve"> and then categori</w:t>
      </w:r>
      <w:r>
        <w:t>s</w:t>
      </w:r>
      <w:r w:rsidRPr="00D66125">
        <w:t>ed into one of 30 occupational groups, with each group containing occupations which were judged to be relatively homogeneous in terms of exposure</w:t>
      </w:r>
      <w:r>
        <w:t xml:space="preserve"> </w:t>
      </w:r>
      <w:r>
        <w:rPr>
          <w:noProof/>
        </w:rPr>
        <w:t>(Carey et al. 2014)</w:t>
      </w:r>
      <w:r w:rsidRPr="00D66125">
        <w:t xml:space="preserve">. Thirty respondents reported jobs with insufficient information to </w:t>
      </w:r>
      <w:r w:rsidRPr="00D66125">
        <w:lastRenderedPageBreak/>
        <w:t xml:space="preserve">be classified and were thus excluded from further analysis, resulting in a final sample of 4993 respondents. </w:t>
      </w:r>
    </w:p>
    <w:p w:rsidR="00ED423B" w:rsidRPr="00D66125" w:rsidRDefault="00ED423B" w:rsidP="00BB6679">
      <w:pPr>
        <w:pStyle w:val="Heading3"/>
      </w:pPr>
      <w:bookmarkStart w:id="16" w:name="_Toc401068288"/>
      <w:r w:rsidRPr="00D66125">
        <w:t>Exposure Assessment</w:t>
      </w:r>
      <w:bookmarkEnd w:id="16"/>
    </w:p>
    <w:p w:rsidR="00ED423B" w:rsidRPr="00D66125" w:rsidRDefault="00ED423B" w:rsidP="00BB6679">
      <w:r w:rsidRPr="00D66125">
        <w:t xml:space="preserve">Automatic assessments of the probability (‘none’, ‘possible’ or ‘probable’) and level (‘low’, ‘medium’, ‘high’) of exposure to </w:t>
      </w:r>
      <w:proofErr w:type="spellStart"/>
      <w:r w:rsidRPr="00D66125">
        <w:t>PAHs</w:t>
      </w:r>
      <w:proofErr w:type="spellEnd"/>
      <w:r w:rsidRPr="00D66125">
        <w:t xml:space="preserve"> were provided by </w:t>
      </w:r>
      <w:proofErr w:type="spellStart"/>
      <w:r w:rsidRPr="00D66125">
        <w:t>OccIDEAS</w:t>
      </w:r>
      <w:proofErr w:type="spellEnd"/>
      <w:r w:rsidRPr="00D66125">
        <w:t xml:space="preserve"> using predetermined rules developed on the basis of expert opinion. These rules were based on occupational hygienists’ practical experience of workplace exposures and available exposure measures in the literature. These rules took into account the amount of time spent working on relevant tasks and the use of exposure control measures where this information was available. All automatic assessments were reviewed by project staff for consistency. The assessments were qualitative and referred to:</w:t>
      </w:r>
    </w:p>
    <w:p w:rsidR="00ED423B" w:rsidRPr="003B5289" w:rsidRDefault="00ED423B" w:rsidP="00BB6679">
      <w:pPr>
        <w:pStyle w:val="ListParagraph"/>
        <w:numPr>
          <w:ilvl w:val="0"/>
          <w:numId w:val="7"/>
        </w:numPr>
      </w:pPr>
      <w:r w:rsidRPr="003B5289">
        <w:t>exposure levels relevant to suspected carcinogenic outcomes—i.e. they do not necessarily correlate to exposures standards, and</w:t>
      </w:r>
    </w:p>
    <w:p w:rsidR="00ED423B" w:rsidRPr="003B5289" w:rsidRDefault="00ED423B" w:rsidP="00BB6679">
      <w:pPr>
        <w:pStyle w:val="ListParagraph"/>
        <w:numPr>
          <w:ilvl w:val="0"/>
          <w:numId w:val="7"/>
        </w:numPr>
      </w:pPr>
      <w:proofErr w:type="gramStart"/>
      <w:r w:rsidRPr="003B5289">
        <w:t>the</w:t>
      </w:r>
      <w:proofErr w:type="gramEnd"/>
      <w:r w:rsidRPr="003B5289">
        <w:t xml:space="preserve"> level of exposure whil</w:t>
      </w:r>
      <w:r>
        <w:t>e</w:t>
      </w:r>
      <w:r w:rsidRPr="003B5289">
        <w:t xml:space="preserve"> undertaking the relevant task—they are not an assessment of the time-weighted average exposure of that person. </w:t>
      </w:r>
    </w:p>
    <w:p w:rsidR="00ED423B" w:rsidRPr="00F70719" w:rsidRDefault="00ED423B" w:rsidP="00BB6679">
      <w:r w:rsidRPr="00F70719">
        <w:t xml:space="preserve">Two thousand, four hundred and ninety-one respondents completed a </w:t>
      </w:r>
      <w:proofErr w:type="spellStart"/>
      <w:r w:rsidRPr="00F70719">
        <w:t>JSM</w:t>
      </w:r>
      <w:proofErr w:type="spellEnd"/>
      <w:r>
        <w:t>.</w:t>
      </w:r>
      <w:r w:rsidRPr="00F70719">
        <w:t xml:space="preserve"> Twenty-two of these modules (and two additional sub-modules) included questions relevant to </w:t>
      </w:r>
      <w:r>
        <w:t xml:space="preserve">exposures </w:t>
      </w:r>
      <w:r w:rsidR="00F56243">
        <w:t xml:space="preserve">to </w:t>
      </w:r>
      <w:proofErr w:type="spellStart"/>
      <w:r w:rsidR="00F56243">
        <w:t>PAHs</w:t>
      </w:r>
      <w:proofErr w:type="spellEnd"/>
      <w:r w:rsidR="00F56243">
        <w:t xml:space="preserve"> </w:t>
      </w:r>
      <w:r w:rsidRPr="00F70719">
        <w:t>such as being exposed to smoke in various circumstances</w:t>
      </w:r>
      <w:r>
        <w:t xml:space="preserve"> such as</w:t>
      </w:r>
      <w:r w:rsidRPr="00F70719">
        <w:t xml:space="preserve"> fire fighting and bur</w:t>
      </w:r>
      <w:r>
        <w:t>n</w:t>
      </w:r>
      <w:r w:rsidRPr="00F70719">
        <w:t xml:space="preserve"> off</w:t>
      </w:r>
      <w:r>
        <w:t>s,</w:t>
      </w:r>
      <w:r w:rsidRPr="00F70719">
        <w:t xml:space="preserve"> and working with asphalt.</w:t>
      </w:r>
      <w:r>
        <w:t xml:space="preserve"> Two hundred and ninety seven respondents</w:t>
      </w:r>
      <w:r w:rsidRPr="00F70719">
        <w:t xml:space="preserve"> were judged to have probable exposure to </w:t>
      </w:r>
      <w:proofErr w:type="spellStart"/>
      <w:r w:rsidRPr="00F70719">
        <w:t>PAHs</w:t>
      </w:r>
      <w:proofErr w:type="spellEnd"/>
      <w:r w:rsidRPr="00F70719">
        <w:t xml:space="preserve"> in their current occupation.</w:t>
      </w:r>
    </w:p>
    <w:p w:rsidR="00ED423B" w:rsidRPr="00F70719" w:rsidRDefault="00ED423B" w:rsidP="00BB6679">
      <w:pPr>
        <w:pStyle w:val="Heading3"/>
      </w:pPr>
      <w:bookmarkStart w:id="17" w:name="_Toc401068289"/>
      <w:r w:rsidRPr="00F70719">
        <w:t>Statistical Analysis</w:t>
      </w:r>
      <w:bookmarkEnd w:id="17"/>
    </w:p>
    <w:p w:rsidR="00ED423B" w:rsidRPr="00F70719" w:rsidRDefault="00ED423B" w:rsidP="00BB6679">
      <w:r w:rsidRPr="00F70719">
        <w:t>All statistical analyses were conducted using SAS version 9.3 and Excel. Confidence intervals for proportions were also calculated using an on-line tool</w:t>
      </w:r>
      <w:r>
        <w:t xml:space="preserve"> </w:t>
      </w:r>
      <w:r>
        <w:rPr>
          <w:noProof/>
        </w:rPr>
        <w:t>(Lowry 2013)</w:t>
      </w:r>
      <w:r w:rsidRPr="00F70719">
        <w:t xml:space="preserve">. Only those persons designated as having probable work-related exposure to </w:t>
      </w:r>
      <w:proofErr w:type="spellStart"/>
      <w:r w:rsidRPr="00F70719">
        <w:t>PAHs</w:t>
      </w:r>
      <w:proofErr w:type="spellEnd"/>
      <w:r w:rsidRPr="00F70719">
        <w:t xml:space="preserve"> were included in the main analysis. Assessments were extrapolated with reference to the 2011 Census </w:t>
      </w:r>
      <w:r>
        <w:rPr>
          <w:noProof/>
        </w:rPr>
        <w:t>(Australian Bureau of Statistics 2011b)</w:t>
      </w:r>
      <w:r w:rsidRPr="00F70719">
        <w:t xml:space="preserve"> to calculate an estimate of the number of Australian workers currently exposed to </w:t>
      </w:r>
      <w:proofErr w:type="spellStart"/>
      <w:r w:rsidRPr="00F70719">
        <w:t>PAHs</w:t>
      </w:r>
      <w:proofErr w:type="spellEnd"/>
      <w:r w:rsidRPr="00F70719">
        <w:t xml:space="preserve"> in the course of their work. These extrapolations were stratified by gender and conducted separately by occupational group in order to account for potential differences in exposure. The results are presented in text, figures and tables. The main body of the report has primarily text and figures. Most of the tables are included in Appendix </w:t>
      </w:r>
      <w:r>
        <w:t>4</w:t>
      </w:r>
      <w:r w:rsidRPr="00F70719">
        <w:t>. Confidence intervals are not included in the figures and text for ease of understanding but, where appropriate, are included in the tables. Categories with less than three subjects are not separately described or presented.</w:t>
      </w:r>
    </w:p>
    <w:p w:rsidR="00ED423B" w:rsidRPr="003525F2" w:rsidRDefault="00ED423B" w:rsidP="00BB6679">
      <w:pPr>
        <w:pStyle w:val="Heading1"/>
      </w:pPr>
      <w:bookmarkStart w:id="18" w:name="_Toc401068290"/>
      <w:r w:rsidRPr="003525F2">
        <w:lastRenderedPageBreak/>
        <w:t>RESULTS: Information on exposure and control measures from the Australian Workplace Exposure Study</w:t>
      </w:r>
      <w:bookmarkEnd w:id="18"/>
    </w:p>
    <w:p w:rsidR="00ED423B" w:rsidRPr="003525F2" w:rsidRDefault="00ED423B" w:rsidP="00BB6679">
      <w:pPr>
        <w:pStyle w:val="Heading2"/>
      </w:pPr>
      <w:bookmarkStart w:id="19" w:name="_Toc401068291"/>
      <w:r w:rsidRPr="003525F2">
        <w:t>Overall results</w:t>
      </w:r>
      <w:bookmarkEnd w:id="19"/>
    </w:p>
    <w:p w:rsidR="00ED423B" w:rsidRPr="00BE431C" w:rsidRDefault="00ED423B" w:rsidP="00BB6679">
      <w:r w:rsidRPr="00BE431C">
        <w:t xml:space="preserve">Of the 4993 </w:t>
      </w:r>
      <w:r>
        <w:t>respondents</w:t>
      </w:r>
      <w:r w:rsidRPr="00BE431C">
        <w:t xml:space="preserve"> with useable data, 297 (5.9%) had probable exposure to </w:t>
      </w:r>
      <w:proofErr w:type="spellStart"/>
      <w:r>
        <w:t>PAHs</w:t>
      </w:r>
      <w:proofErr w:type="spellEnd"/>
      <w:r w:rsidRPr="00BE431C">
        <w:t xml:space="preserve">. This was 8.6% of males and 2.6% of females in the study. Two hundred and thirty-nine (80.5%) exposed </w:t>
      </w:r>
      <w:r>
        <w:t>respondents</w:t>
      </w:r>
      <w:r w:rsidRPr="00BE431C">
        <w:t xml:space="preserve"> were male and the remaining 58 (19.5%) were female.</w:t>
      </w:r>
    </w:p>
    <w:p w:rsidR="00ED423B" w:rsidRPr="00BE431C" w:rsidRDefault="00ED423B" w:rsidP="00BB6679">
      <w:r>
        <w:t>A</w:t>
      </w:r>
      <w:r w:rsidRPr="00BE431C">
        <w:t xml:space="preserve">mong those exposed </w:t>
      </w:r>
      <w:r>
        <w:t>t</w:t>
      </w:r>
      <w:r w:rsidRPr="00BE431C">
        <w:t xml:space="preserve">he level of exposure was deemed to be </w:t>
      </w:r>
      <w:r w:rsidRPr="00213DB7">
        <w:rPr>
          <w:rStyle w:val="Strong"/>
        </w:rPr>
        <w:t>high</w:t>
      </w:r>
      <w:r w:rsidRPr="00BE431C">
        <w:t xml:space="preserve"> for 127 (42.8%), </w:t>
      </w:r>
      <w:r w:rsidRPr="00213DB7">
        <w:rPr>
          <w:rStyle w:val="Strong"/>
        </w:rPr>
        <w:t>medium</w:t>
      </w:r>
      <w:r w:rsidRPr="00BE431C">
        <w:t xml:space="preserve"> for 60 (20.2%) and </w:t>
      </w:r>
      <w:r w:rsidRPr="00213DB7">
        <w:rPr>
          <w:rStyle w:val="Strong"/>
        </w:rPr>
        <w:t>low</w:t>
      </w:r>
      <w:r w:rsidRPr="00BE431C">
        <w:t xml:space="preserve"> for 110 (37.0%).</w:t>
      </w:r>
    </w:p>
    <w:p w:rsidR="00ED423B" w:rsidRPr="00EA14D9" w:rsidRDefault="00ED423B" w:rsidP="00BB6679">
      <w:proofErr w:type="gramStart"/>
      <w:r w:rsidRPr="00EA14D9">
        <w:t>One third (99</w:t>
      </w:r>
      <w:r w:rsidR="00F56243">
        <w:t>,</w:t>
      </w:r>
      <w:r w:rsidRPr="00EA14D9">
        <w:t xml:space="preserve"> 33.3%) of the exposed </w:t>
      </w:r>
      <w:r>
        <w:t>respondents</w:t>
      </w:r>
      <w:r w:rsidRPr="00EA14D9">
        <w:t xml:space="preserve"> worked as managers (mainly farmers), with another 68 (22.9%) work</w:t>
      </w:r>
      <w:r>
        <w:t>ing</w:t>
      </w:r>
      <w:r w:rsidRPr="00EA14D9">
        <w:t xml:space="preserve"> as technicians or trades workers and 43 (14.5%) as community and personal service workers (Figure 1)</w:t>
      </w:r>
      <w:r w:rsidR="00F56243">
        <w:rPr>
          <w:rStyle w:val="FootnoteReference"/>
        </w:rPr>
        <w:footnoteReference w:id="4"/>
      </w:r>
      <w:r w:rsidRPr="00EA14D9">
        <w:t>.</w:t>
      </w:r>
      <w:proofErr w:type="gramEnd"/>
    </w:p>
    <w:p w:rsidR="00ED423B" w:rsidRPr="00EA14D9" w:rsidRDefault="00ED423B" w:rsidP="00BB6679">
      <w:r w:rsidRPr="00EA14D9">
        <w:t xml:space="preserve">Agriculture was the most common industry of employment of exposed </w:t>
      </w:r>
      <w:r>
        <w:t>respondents</w:t>
      </w:r>
      <w:r w:rsidRPr="00EA14D9">
        <w:t xml:space="preserve"> (118</w:t>
      </w:r>
      <w:r>
        <w:t>,</w:t>
      </w:r>
      <w:r w:rsidRPr="00EA14D9">
        <w:t xml:space="preserve"> 39.7%), with </w:t>
      </w:r>
      <w:r>
        <w:t>C</w:t>
      </w:r>
      <w:r w:rsidRPr="00EA14D9">
        <w:t>onstruction (40</w:t>
      </w:r>
      <w:r>
        <w:t xml:space="preserve">, </w:t>
      </w:r>
      <w:r w:rsidRPr="00EA14D9">
        <w:t xml:space="preserve">13.5%) and </w:t>
      </w:r>
      <w:r>
        <w:t>H</w:t>
      </w:r>
      <w:r w:rsidRPr="00EA14D9">
        <w:t>ealth care and social assistance (38</w:t>
      </w:r>
      <w:r>
        <w:t>,</w:t>
      </w:r>
      <w:r w:rsidRPr="00EA14D9">
        <w:t xml:space="preserve"> 12.8%) the next highest-represented industries (Figure 2).</w:t>
      </w:r>
    </w:p>
    <w:p w:rsidR="00ED423B" w:rsidRPr="004526C8" w:rsidRDefault="00ED423B" w:rsidP="00BB6679">
      <w:pPr>
        <w:pStyle w:val="FigureCaption"/>
      </w:pPr>
      <w:bookmarkStart w:id="20" w:name="_Toc327186455"/>
      <w:bookmarkStart w:id="21" w:name="_Toc401068433"/>
      <w:r w:rsidRPr="004526C8">
        <w:t xml:space="preserve">Figure </w:t>
      </w:r>
      <w:fldSimple w:instr=" SEQ Figure_6. \* ARABIC ">
        <w:r>
          <w:rPr>
            <w:noProof/>
          </w:rPr>
          <w:t>1</w:t>
        </w:r>
      </w:fldSimple>
      <w:r w:rsidRPr="004526C8">
        <w:t xml:space="preserve">: </w:t>
      </w:r>
      <w:bookmarkEnd w:id="20"/>
      <w:r w:rsidRPr="004526C8">
        <w:t xml:space="preserve">Occupation of </w:t>
      </w:r>
      <w:r>
        <w:t>all respondents</w:t>
      </w:r>
      <w:r w:rsidRPr="004526C8">
        <w:t xml:space="preserve"> exposed to </w:t>
      </w:r>
      <w:proofErr w:type="spellStart"/>
      <w:r w:rsidRPr="004526C8">
        <w:t>PAHs</w:t>
      </w:r>
      <w:proofErr w:type="spellEnd"/>
      <w:r>
        <w:t>—</w:t>
      </w:r>
      <w:r w:rsidRPr="004526C8">
        <w:t>per cent</w:t>
      </w:r>
      <w:bookmarkEnd w:id="21"/>
    </w:p>
    <w:p w:rsidR="00ED423B" w:rsidRPr="004526C8" w:rsidRDefault="00ED423B" w:rsidP="00BB6679">
      <w:pPr>
        <w:rPr>
          <w:noProof/>
        </w:rPr>
      </w:pPr>
      <w:r>
        <w:rPr>
          <w:noProof/>
          <w:lang w:eastAsia="en-AU"/>
        </w:rPr>
        <w:drawing>
          <wp:inline distT="0" distB="0" distL="0" distR="0" wp14:anchorId="551FB9F7" wp14:editId="3D2E12A5">
            <wp:extent cx="5720400" cy="3096000"/>
            <wp:effectExtent l="0" t="0" r="13970" b="9525"/>
            <wp:docPr id="10" name="Chart 10" descr="This chart shows the occupations of the 297AWES respondents likely to be exposed to PAHs. They managers (mainly farmers; 33% of all workers likely to be exposed), technicians and trades workers (23%), community and personal services workers (15%) and professionals (13%). The remaining respondents (11%) worked as labourers or in other occupations." title="Figure 1: Occupation of all respondents exposed to PAHs—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423B" w:rsidRPr="004526C8" w:rsidRDefault="00ED423B" w:rsidP="00BB6679">
      <w:pPr>
        <w:pStyle w:val="TableFigNoteOnly"/>
      </w:pPr>
      <w:r w:rsidRPr="004526C8">
        <w:t>* This category had at least one but less than three subjects.</w:t>
      </w:r>
    </w:p>
    <w:p w:rsidR="00ED423B" w:rsidRPr="00E76A39" w:rsidRDefault="00ED423B" w:rsidP="00BB6679">
      <w:pPr>
        <w:rPr>
          <w:highlight w:val="green"/>
          <w:lang w:val="en-GB"/>
        </w:rPr>
      </w:pPr>
      <w:r w:rsidRPr="00570F26">
        <w:rPr>
          <w:highlight w:val="green"/>
        </w:rPr>
        <w:br w:type="page"/>
      </w:r>
    </w:p>
    <w:p w:rsidR="00ED423B" w:rsidRPr="00DE4F58" w:rsidRDefault="00ED423B" w:rsidP="00BB6679">
      <w:pPr>
        <w:pStyle w:val="FigureCaption"/>
      </w:pPr>
      <w:bookmarkStart w:id="22" w:name="_Toc401068434"/>
      <w:r w:rsidRPr="00750D13">
        <w:lastRenderedPageBreak/>
        <w:t xml:space="preserve">Figure </w:t>
      </w:r>
      <w:fldSimple w:instr=" SEQ Figure_6. \* ARABIC ">
        <w:r>
          <w:rPr>
            <w:noProof/>
          </w:rPr>
          <w:t>2</w:t>
        </w:r>
      </w:fldSimple>
      <w:r w:rsidRPr="00750D13">
        <w:t xml:space="preserve">: Industry of all respondents exposed to </w:t>
      </w:r>
      <w:proofErr w:type="spellStart"/>
      <w:r w:rsidRPr="00750D13">
        <w:t>PAHs</w:t>
      </w:r>
      <w:proofErr w:type="spellEnd"/>
      <w:r w:rsidRPr="00DE4F58">
        <w:t>—per cent</w:t>
      </w:r>
      <w:bookmarkEnd w:id="22"/>
    </w:p>
    <w:p w:rsidR="00ED423B" w:rsidRPr="004526C8" w:rsidRDefault="00ED423B" w:rsidP="00BB6679">
      <w:r>
        <w:rPr>
          <w:noProof/>
          <w:lang w:eastAsia="en-AU"/>
        </w:rPr>
        <w:drawing>
          <wp:inline distT="0" distB="0" distL="0" distR="0" wp14:anchorId="2B8E1C95" wp14:editId="05EB5567">
            <wp:extent cx="5720400" cy="3096000"/>
            <wp:effectExtent l="0" t="0" r="13970" b="9525"/>
            <wp:docPr id="11" name="Chart 11" descr="This chart shows the industries worked in by the 297AWES respondents likely to be exposed to PAHS. They included agriculture, forestry and fishing (40% of all workers likely to be exposed), construction (14%), and healthcare and social assistance (13%). The remaing respondents worked across all other industries." title="Figure 2: Industry of all respondents exposed to PAHs—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423B" w:rsidRPr="00A317CC" w:rsidRDefault="00ED423B" w:rsidP="00BB6679">
      <w:pPr>
        <w:pStyle w:val="TableFigNoteOnly"/>
      </w:pPr>
      <w:r w:rsidRPr="00A317CC">
        <w:t>* These categories had at least one but less than three subjects.</w:t>
      </w:r>
    </w:p>
    <w:p w:rsidR="00ED423B" w:rsidRPr="00A02245" w:rsidRDefault="00ED423B" w:rsidP="00BB6679">
      <w:r w:rsidRPr="00A02245">
        <w:t xml:space="preserve">The proportion of respondents within a given occupation or industry who were exposed to </w:t>
      </w:r>
      <w:proofErr w:type="spellStart"/>
      <w:r>
        <w:t>PAHs</w:t>
      </w:r>
      <w:proofErr w:type="spellEnd"/>
      <w:r w:rsidRPr="00A02245">
        <w:t xml:space="preserve"> was estimated by dividing the number of exposed </w:t>
      </w:r>
      <w:r>
        <w:t>respondents</w:t>
      </w:r>
      <w:r w:rsidRPr="00A02245">
        <w:t xml:space="preserve"> in a given occupation or industry by the total number of AWES respondents within that occupation or industry. Occupations with the highest proportion of </w:t>
      </w:r>
      <w:r>
        <w:t>respondents</w:t>
      </w:r>
      <w:r w:rsidRPr="00A02245">
        <w:t xml:space="preserve"> exposed were managers (15.4%), labourers (9.2%) technicians and trades workers (8.1%), professionals (7.4%) and machinery operators and (6.4%)</w:t>
      </w:r>
      <w:r>
        <w:t xml:space="preserve">. </w:t>
      </w:r>
      <w:r w:rsidRPr="00237DF9">
        <w:t xml:space="preserve">The </w:t>
      </w:r>
      <w:r>
        <w:t>occupations</w:t>
      </w:r>
      <w:r w:rsidRPr="00237DF9">
        <w:t xml:space="preserve"> with the highest prevalence of exposure were similar for </w:t>
      </w:r>
      <w:r>
        <w:t>male respondents</w:t>
      </w:r>
      <w:r w:rsidRPr="00A02245">
        <w:t xml:space="preserve"> (Figures 3 and 4).</w:t>
      </w:r>
    </w:p>
    <w:p w:rsidR="00ED423B" w:rsidRPr="00DE4F58" w:rsidRDefault="00ED423B" w:rsidP="00BB6679">
      <w:pPr>
        <w:pStyle w:val="FigureCaption"/>
      </w:pPr>
      <w:bookmarkStart w:id="23" w:name="_Toc401068435"/>
      <w:r w:rsidRPr="00750D13">
        <w:t xml:space="preserve">Figure </w:t>
      </w:r>
      <w:fldSimple w:instr=" SEQ Figure_6. \* ARABIC ">
        <w:r>
          <w:rPr>
            <w:noProof/>
          </w:rPr>
          <w:t>3</w:t>
        </w:r>
      </w:fldSimple>
      <w:r w:rsidRPr="00750D13">
        <w:t xml:space="preserve">: Proportion of all respondents </w:t>
      </w:r>
      <w:r w:rsidRPr="00DE4F58">
        <w:t xml:space="preserve">in each occupation who were exposed to </w:t>
      </w:r>
      <w:proofErr w:type="spellStart"/>
      <w:r w:rsidRPr="00DE4F58">
        <w:t>PAHs</w:t>
      </w:r>
      <w:proofErr w:type="spellEnd"/>
      <w:r w:rsidRPr="00DE4F58">
        <w:t>—per cent</w:t>
      </w:r>
      <w:bookmarkEnd w:id="23"/>
    </w:p>
    <w:p w:rsidR="00ED423B" w:rsidRPr="008572EA" w:rsidRDefault="00ED423B" w:rsidP="00BB6679">
      <w:r>
        <w:rPr>
          <w:noProof/>
          <w:lang w:eastAsia="en-AU"/>
        </w:rPr>
        <w:drawing>
          <wp:inline distT="0" distB="0" distL="0" distR="0" wp14:anchorId="3037F8A8" wp14:editId="6E4B0D42">
            <wp:extent cx="5720400" cy="3096000"/>
            <wp:effectExtent l="0" t="0" r="13970" b="9525"/>
            <wp:docPr id="8" name="Chart 8" descr="This chart shows the proportion of respondents within each occupation who were likely to be exposed to PAHs. About 15% of all managers, 9% of all  labourers, 8% of all technicians and trades workers and 7% of all professionals were considered to be exposed to PAHs. The proportion of respondents within all other industry categories was 6% or lower." title="Figure 3: Proportion of all respondents in each occupation who were exposed to PAHs—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D423B" w:rsidRPr="008572EA" w:rsidRDefault="00ED423B" w:rsidP="00BB6679">
      <w:pPr>
        <w:pStyle w:val="TableFigNoteOnly"/>
      </w:pPr>
      <w:r>
        <w:t>* This category</w:t>
      </w:r>
      <w:r w:rsidRPr="008572EA">
        <w:t xml:space="preserve"> had at least one but less than three subjects.</w:t>
      </w:r>
    </w:p>
    <w:p w:rsidR="00ED423B" w:rsidRPr="00750D13" w:rsidRDefault="00ED423B" w:rsidP="00BB6679">
      <w:pPr>
        <w:pStyle w:val="FigureCaption"/>
      </w:pPr>
      <w:r w:rsidRPr="00570F26">
        <w:rPr>
          <w:highlight w:val="green"/>
        </w:rPr>
        <w:br w:type="page"/>
      </w:r>
      <w:bookmarkStart w:id="24" w:name="_Toc401068436"/>
      <w:r w:rsidRPr="00750D13">
        <w:lastRenderedPageBreak/>
        <w:t xml:space="preserve">Figure </w:t>
      </w:r>
      <w:fldSimple w:instr=" SEQ Figure_6. \* ARABIC ">
        <w:r>
          <w:rPr>
            <w:noProof/>
          </w:rPr>
          <w:t>4</w:t>
        </w:r>
      </w:fldSimple>
      <w:r w:rsidRPr="00750D13">
        <w:t xml:space="preserve">: Proportion of male respondents in each occupation who were exposed to </w:t>
      </w:r>
      <w:proofErr w:type="spellStart"/>
      <w:r w:rsidRPr="00750D13">
        <w:t>PAHs</w:t>
      </w:r>
      <w:proofErr w:type="spellEnd"/>
      <w:r w:rsidRPr="00750D13">
        <w:t>—per cent</w:t>
      </w:r>
      <w:bookmarkEnd w:id="24"/>
    </w:p>
    <w:p w:rsidR="00ED423B" w:rsidRPr="00570F26" w:rsidRDefault="00ED423B" w:rsidP="00BB6679">
      <w:pPr>
        <w:rPr>
          <w:highlight w:val="green"/>
        </w:rPr>
      </w:pPr>
      <w:r>
        <w:rPr>
          <w:noProof/>
          <w:lang w:eastAsia="en-AU"/>
        </w:rPr>
        <w:drawing>
          <wp:inline distT="0" distB="0" distL="0" distR="0" wp14:anchorId="5048A113" wp14:editId="0D5838BC">
            <wp:extent cx="5720400" cy="3096000"/>
            <wp:effectExtent l="0" t="0" r="13970" b="9525"/>
            <wp:docPr id="13" name="Chart 13" descr="This chart shows the proportion of male respondents within each occupation who were likely to be exposed to PAHs. About 26% of male managers, 11% of male labourers, 10% of male technicians and trades workers and 9% of male professionals were considered to be exposed to PAHs. The proportion of male respondents within all other industry categories was 7% or lower." title="Figure 4: Proportion of male respondents in each occupation who were exposed to PAHs—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423B" w:rsidRPr="008572EA" w:rsidRDefault="00ED423B" w:rsidP="00BB6679">
      <w:pPr>
        <w:pStyle w:val="TableFigNoteOnly"/>
      </w:pPr>
      <w:r>
        <w:t>* This category</w:t>
      </w:r>
      <w:r w:rsidRPr="008572EA">
        <w:t xml:space="preserve"> had at least one but less than three subjects.</w:t>
      </w:r>
    </w:p>
    <w:p w:rsidR="00ED423B" w:rsidRPr="00237DF9" w:rsidRDefault="00ED423B" w:rsidP="00BB6679">
      <w:r w:rsidRPr="00237DF9">
        <w:t xml:space="preserve">In the </w:t>
      </w:r>
      <w:r>
        <w:t>A</w:t>
      </w:r>
      <w:r w:rsidRPr="00237DF9">
        <w:t xml:space="preserve">griculture industry about half the people were exposed (51.1%). Other industries with high proportions of persons exposed were </w:t>
      </w:r>
      <w:r>
        <w:t>P</w:t>
      </w:r>
      <w:r w:rsidRPr="00237DF9">
        <w:t>ublic administration and safety</w:t>
      </w:r>
      <w:r>
        <w:rPr>
          <w:rStyle w:val="FootnoteReference"/>
        </w:rPr>
        <w:footnoteReference w:id="5"/>
      </w:r>
      <w:r>
        <w:t>—i.e. firefighters—</w:t>
      </w:r>
      <w:r w:rsidRPr="00237DF9">
        <w:t xml:space="preserve">(32.9%), </w:t>
      </w:r>
      <w:r>
        <w:t>A</w:t>
      </w:r>
      <w:r w:rsidRPr="00237DF9">
        <w:t xml:space="preserve">ccommodation and food services (15.7%), </w:t>
      </w:r>
      <w:r>
        <w:t>M</w:t>
      </w:r>
      <w:r w:rsidRPr="00237DF9">
        <w:t xml:space="preserve">ining (9.7%) and </w:t>
      </w:r>
      <w:r>
        <w:t>H</w:t>
      </w:r>
      <w:r w:rsidRPr="00237DF9">
        <w:t>ealth care and social assistance (9.4%). The industries with the highest prevalence of exposure were similar for men (Figures 5 and 6).</w:t>
      </w:r>
    </w:p>
    <w:p w:rsidR="00ED423B" w:rsidRPr="00F20654" w:rsidRDefault="00ED423B" w:rsidP="00BB6679">
      <w:pPr>
        <w:pStyle w:val="FigureCaption"/>
      </w:pPr>
      <w:bookmarkStart w:id="25" w:name="_Toc401068437"/>
      <w:r w:rsidRPr="00F20654">
        <w:t xml:space="preserve">Figure </w:t>
      </w:r>
      <w:fldSimple w:instr=" SEQ Figure_6. \* ARABIC ">
        <w:r>
          <w:rPr>
            <w:noProof/>
          </w:rPr>
          <w:t>5</w:t>
        </w:r>
      </w:fldSimple>
      <w:r w:rsidRPr="00F20654">
        <w:t xml:space="preserve">: </w:t>
      </w:r>
      <w:r>
        <w:t>Proportion</w:t>
      </w:r>
      <w:r w:rsidRPr="00F20654">
        <w:t xml:space="preserve"> of respondents </w:t>
      </w:r>
      <w:r>
        <w:t xml:space="preserve">in each industry </w:t>
      </w:r>
      <w:r w:rsidRPr="00F20654">
        <w:t xml:space="preserve">exposed to </w:t>
      </w:r>
      <w:proofErr w:type="spellStart"/>
      <w:r w:rsidRPr="00F20654">
        <w:t>PAHs</w:t>
      </w:r>
      <w:proofErr w:type="spellEnd"/>
      <w:r>
        <w:t>—percent</w:t>
      </w:r>
      <w:bookmarkEnd w:id="25"/>
    </w:p>
    <w:p w:rsidR="00ED423B" w:rsidRPr="00570F26" w:rsidRDefault="00ED423B" w:rsidP="00BB6679">
      <w:pPr>
        <w:rPr>
          <w:noProof/>
          <w:highlight w:val="green"/>
        </w:rPr>
      </w:pPr>
      <w:r>
        <w:rPr>
          <w:noProof/>
          <w:lang w:eastAsia="en-AU"/>
        </w:rPr>
        <w:drawing>
          <wp:inline distT="0" distB="0" distL="0" distR="0" wp14:anchorId="0C854E2E" wp14:editId="7114F1EE">
            <wp:extent cx="5720400" cy="3096000"/>
            <wp:effectExtent l="0" t="0" r="13970" b="9525"/>
            <wp:docPr id="15" name="Chart 15" descr="This chart shows the proportion of all respondents within each industry who were likely to be exposed to PAHs. About 52% of all agriculture, forestry and fishing workers, 40% of all public administration and safety workers like firefighters, 16% of all accommodation and food services workers and 11% of all mining workers were considered to be exposed to PAHs. The proportion of respondents within all other industry categories was less than 10%." title="Figure 5: Proportion of respondents in each industry exposed to PAHs—per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D423B" w:rsidRPr="0072102C" w:rsidRDefault="00ED423B" w:rsidP="00BB6679">
      <w:pPr>
        <w:pStyle w:val="TableFigNoteOnly"/>
        <w:rPr>
          <w:highlight w:val="green"/>
        </w:rPr>
      </w:pPr>
      <w:r>
        <w:t>* This category</w:t>
      </w:r>
      <w:r w:rsidRPr="008572EA">
        <w:t xml:space="preserve"> had at least one but less than three subjects.</w:t>
      </w:r>
      <w:r w:rsidRPr="00570F26">
        <w:rPr>
          <w:highlight w:val="green"/>
        </w:rPr>
        <w:br w:type="page"/>
      </w:r>
    </w:p>
    <w:p w:rsidR="00ED423B" w:rsidRPr="00945671" w:rsidRDefault="00ED423B" w:rsidP="00BB6679">
      <w:pPr>
        <w:pStyle w:val="FigureCaption"/>
      </w:pPr>
      <w:bookmarkStart w:id="26" w:name="_Toc401068438"/>
      <w:r w:rsidRPr="00945671">
        <w:lastRenderedPageBreak/>
        <w:t xml:space="preserve">Figure </w:t>
      </w:r>
      <w:fldSimple w:instr=" SEQ Figure_6. \* ARABIC ">
        <w:r>
          <w:rPr>
            <w:noProof/>
          </w:rPr>
          <w:t>6</w:t>
        </w:r>
      </w:fldSimple>
      <w:r w:rsidRPr="00945671">
        <w:t xml:space="preserve">: </w:t>
      </w:r>
      <w:r>
        <w:t>Proportion</w:t>
      </w:r>
      <w:r w:rsidRPr="00945671">
        <w:t xml:space="preserve"> of male respondents </w:t>
      </w:r>
      <w:r>
        <w:t>in each industry</w:t>
      </w:r>
      <w:r w:rsidRPr="00945671">
        <w:t xml:space="preserve"> exposed to </w:t>
      </w:r>
      <w:proofErr w:type="spellStart"/>
      <w:r w:rsidRPr="00945671">
        <w:t>PAHs</w:t>
      </w:r>
      <w:proofErr w:type="spellEnd"/>
      <w:r>
        <w:t>—per cent</w:t>
      </w:r>
      <w:bookmarkEnd w:id="26"/>
    </w:p>
    <w:p w:rsidR="00ED423B" w:rsidRPr="00945671" w:rsidRDefault="00ED423B" w:rsidP="00BB6679">
      <w:r>
        <w:rPr>
          <w:noProof/>
          <w:lang w:eastAsia="en-AU"/>
        </w:rPr>
        <w:drawing>
          <wp:inline distT="0" distB="0" distL="0" distR="0" wp14:anchorId="4B9232A5" wp14:editId="42ADAF18">
            <wp:extent cx="5720400" cy="3096000"/>
            <wp:effectExtent l="0" t="0" r="13970" b="9525"/>
            <wp:docPr id="16" name="Chart 16" descr="This chart shows the proportion of male respondents within each industry who were likely to be exposed to PAHs. About 57% of male agriculture, forestry and fishing workers, 49% of male public administration and safety workers like firefighters, 19% of male health care and social assistance workers, 18% of male accommodation and food services workers and 11% of male mining workers were considered to be exposed to PAHs. The proportion of respondents within all other industry categories was less than 10%." title="Figure 6: Proportion of male respondents in each industry exposed to PAHs—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423B" w:rsidRPr="008572EA" w:rsidRDefault="00ED423B" w:rsidP="00BB6679">
      <w:pPr>
        <w:pStyle w:val="TableFigNoteOnly"/>
      </w:pPr>
      <w:r>
        <w:t>* This category</w:t>
      </w:r>
      <w:r w:rsidRPr="008572EA">
        <w:t xml:space="preserve"> had at least one but less than three subjects.</w:t>
      </w:r>
    </w:p>
    <w:p w:rsidR="00ED423B" w:rsidRPr="005B20AF" w:rsidRDefault="00ED423B" w:rsidP="00BB6679">
      <w:pPr>
        <w:pStyle w:val="Heading2"/>
      </w:pPr>
      <w:bookmarkStart w:id="27" w:name="_Toc401068292"/>
      <w:r w:rsidRPr="005B20AF">
        <w:t xml:space="preserve">The prevalence of exposure to </w:t>
      </w:r>
      <w:proofErr w:type="spellStart"/>
      <w:r w:rsidRPr="005B20AF">
        <w:t>PAHs</w:t>
      </w:r>
      <w:proofErr w:type="spellEnd"/>
      <w:r w:rsidRPr="005B20AF">
        <w:t xml:space="preserve"> in the Australian workforce</w:t>
      </w:r>
      <w:bookmarkEnd w:id="27"/>
    </w:p>
    <w:p w:rsidR="00ED423B" w:rsidRPr="005B20AF" w:rsidRDefault="00ED423B" w:rsidP="00BB6679">
      <w:r w:rsidRPr="005B20AF">
        <w:t xml:space="preserve">Using 2011 Census data </w:t>
      </w:r>
      <w:r>
        <w:rPr>
          <w:noProof/>
        </w:rPr>
        <w:t>(Australian Bureau of Statistics 2011b)</w:t>
      </w:r>
      <w:r>
        <w:t xml:space="preserve"> </w:t>
      </w:r>
      <w:r w:rsidRPr="005B20AF">
        <w:t xml:space="preserve">and the estimated proportions of </w:t>
      </w:r>
      <w:r>
        <w:t>respondents</w:t>
      </w:r>
      <w:r w:rsidRPr="005B20AF">
        <w:t xml:space="preserve"> exposed in each major occupation group, stratified by gender, the numbers of exposed </w:t>
      </w:r>
      <w:r>
        <w:t>Australian workers</w:t>
      </w:r>
      <w:r w:rsidRPr="005B20AF">
        <w:t xml:space="preserve"> in each major occupation group and overall were estimated and are presented in Table 1. Estimates are only provided for groups with at least three exposed persons in the study population.</w:t>
      </w:r>
    </w:p>
    <w:p w:rsidR="00ED423B" w:rsidRPr="005B20AF" w:rsidRDefault="00ED423B" w:rsidP="00BB6679">
      <w:r w:rsidRPr="005B20AF">
        <w:t>These estimates suggest about 675</w:t>
      </w:r>
      <w:r>
        <w:t xml:space="preserve"> </w:t>
      </w:r>
      <w:r w:rsidRPr="005B20AF">
        <w:t>000 Australian workers</w:t>
      </w:r>
      <w:r>
        <w:t xml:space="preserve">, or </w:t>
      </w:r>
      <w:r w:rsidRPr="005B20AF">
        <w:t>6.7% of the workforce</w:t>
      </w:r>
      <w:r>
        <w:t>,</w:t>
      </w:r>
      <w:r w:rsidRPr="005B20AF">
        <w:t xml:space="preserve"> are probably exposed to </w:t>
      </w:r>
      <w:proofErr w:type="spellStart"/>
      <w:r w:rsidRPr="005B20AF">
        <w:t>PAHs</w:t>
      </w:r>
      <w:proofErr w:type="spellEnd"/>
      <w:r w:rsidRPr="005B20AF">
        <w:t xml:space="preserve"> </w:t>
      </w:r>
      <w:r>
        <w:t>when undertaking relatively common activities at</w:t>
      </w:r>
      <w:r w:rsidRPr="005B20AF">
        <w:t xml:space="preserve"> work. This is overall. The exposure occurs predominantly in men</w:t>
      </w:r>
      <w:r>
        <w:t>. Approximately</w:t>
      </w:r>
      <w:r w:rsidRPr="00826347">
        <w:t xml:space="preserve"> </w:t>
      </w:r>
      <w:r>
        <w:t>550 </w:t>
      </w:r>
      <w:r w:rsidRPr="00826347">
        <w:t xml:space="preserve">000 </w:t>
      </w:r>
      <w:r>
        <w:t>men or 10.3</w:t>
      </w:r>
      <w:r w:rsidRPr="00826347">
        <w:t>% of the male workforce</w:t>
      </w:r>
      <w:r>
        <w:t xml:space="preserve"> </w:t>
      </w:r>
      <w:r w:rsidRPr="00826347">
        <w:t xml:space="preserve">and </w:t>
      </w:r>
      <w:r>
        <w:t>approximately 125 </w:t>
      </w:r>
      <w:r w:rsidRPr="00826347">
        <w:t>000 women</w:t>
      </w:r>
      <w:r>
        <w:t xml:space="preserve"> or</w:t>
      </w:r>
      <w:r w:rsidRPr="00826347">
        <w:t xml:space="preserve"> </w:t>
      </w:r>
      <w:r>
        <w:t>2.7</w:t>
      </w:r>
      <w:r w:rsidRPr="00826347">
        <w:t>% of the female workforce are estimated to be exposed.</w:t>
      </w:r>
    </w:p>
    <w:p w:rsidR="00ED423B" w:rsidRPr="00570F26" w:rsidRDefault="00ED423B" w:rsidP="00BB6679">
      <w:pPr>
        <w:rPr>
          <w:highlight w:val="green"/>
        </w:rPr>
        <w:sectPr w:rsidR="00ED423B" w:rsidRPr="00570F26" w:rsidSect="00BB6679">
          <w:headerReference w:type="even" r:id="rId23"/>
          <w:headerReference w:type="default" r:id="rId24"/>
          <w:headerReference w:type="first" r:id="rId25"/>
          <w:footnotePr>
            <w:numRestart w:val="eachSect"/>
          </w:footnotePr>
          <w:endnotePr>
            <w:numFmt w:val="decimal"/>
          </w:endnotePr>
          <w:pgSz w:w="11906" w:h="16838"/>
          <w:pgMar w:top="1134" w:right="1134" w:bottom="1134" w:left="1701" w:header="720" w:footer="720" w:gutter="0"/>
          <w:pgNumType w:start="1"/>
          <w:cols w:space="720"/>
        </w:sectPr>
      </w:pPr>
    </w:p>
    <w:p w:rsidR="00ED423B" w:rsidRPr="005F4F21" w:rsidRDefault="00ED423B" w:rsidP="00BB6679">
      <w:pPr>
        <w:pStyle w:val="TableCaption"/>
      </w:pPr>
      <w:bookmarkStart w:id="28" w:name="_Toc383378287"/>
      <w:bookmarkStart w:id="29" w:name="_Toc386526221"/>
      <w:bookmarkStart w:id="30" w:name="_Toc401068425"/>
      <w:r w:rsidRPr="005F4F21">
        <w:lastRenderedPageBreak/>
        <w:t xml:space="preserve">Table </w:t>
      </w:r>
      <w:fldSimple w:instr=" SEQ Table_3. \* ARABIC ">
        <w:r>
          <w:rPr>
            <w:noProof/>
          </w:rPr>
          <w:t>1</w:t>
        </w:r>
      </w:fldSimple>
      <w:r>
        <w:t xml:space="preserve">: </w:t>
      </w:r>
      <w:r w:rsidRPr="005F4F21">
        <w:t xml:space="preserve">Estimated number of Australian workers exposed to </w:t>
      </w:r>
      <w:proofErr w:type="spellStart"/>
      <w:r w:rsidRPr="005F4F21">
        <w:t>PAHs</w:t>
      </w:r>
      <w:proofErr w:type="spellEnd"/>
      <w:r>
        <w:t>—</w:t>
      </w:r>
      <w:r w:rsidRPr="005F4F21">
        <w:t>by occupation.</w:t>
      </w:r>
      <w:bookmarkEnd w:id="28"/>
      <w:bookmarkEnd w:id="29"/>
      <w:bookmarkEnd w:id="30"/>
    </w:p>
    <w:tbl>
      <w:tblPr>
        <w:tblW w:w="4343" w:type="pct"/>
        <w:tblBorders>
          <w:top w:val="single" w:sz="4" w:space="0" w:color="auto"/>
          <w:bottom w:val="single" w:sz="4" w:space="0" w:color="auto"/>
        </w:tblBorders>
        <w:tblLayout w:type="fixed"/>
        <w:tblLook w:val="00A0" w:firstRow="1" w:lastRow="0" w:firstColumn="1" w:lastColumn="0" w:noHBand="0" w:noVBand="0"/>
        <w:tblCaption w:val="Table 1: Estimated number of Australian workers exposed to PAHs—by occupation."/>
        <w:tblDescription w:val="This table shows the estimated numbers of Australian workers who might be exposed to PAHs based on applying AWES proportions within occupations to the 2011 Census population.&#10;Overall, a total of 676 819 workers, including approximately 244 000 managers, 156 000 professionals and 123 000 technicians and trade workers were stimated to be exposed to PAHS at work.&#10;A total of 551 484 male workers including approximately 218 000 male managers and 116 000 male technicians and trade workers were estimated to be exposed to PAHs at work.&#10;A total of 125 335 female workers, including approximately 67 000 female professional workers, 26 000 female managers and 18 000 female labourers were estimated to be exposed to PAHS at work.&#10;"/>
      </w:tblPr>
      <w:tblGrid>
        <w:gridCol w:w="2589"/>
        <w:gridCol w:w="1385"/>
        <w:gridCol w:w="2060"/>
        <w:gridCol w:w="1339"/>
        <w:gridCol w:w="2061"/>
        <w:gridCol w:w="1363"/>
        <w:gridCol w:w="2046"/>
      </w:tblGrid>
      <w:tr w:rsidR="00ED423B" w:rsidRPr="00085719" w:rsidTr="00BB6679">
        <w:tc>
          <w:tcPr>
            <w:tcW w:w="2590" w:type="dxa"/>
            <w:tcBorders>
              <w:top w:val="single" w:sz="4" w:space="0" w:color="auto"/>
            </w:tcBorders>
          </w:tcPr>
          <w:p w:rsidR="00ED423B" w:rsidRPr="00085719" w:rsidRDefault="00ED423B" w:rsidP="00BB6679">
            <w:pPr>
              <w:pStyle w:val="TableFigHeadingText"/>
            </w:pPr>
            <w:proofErr w:type="spellStart"/>
            <w:r w:rsidRPr="00085719">
              <w:t>Occupation</w:t>
            </w:r>
            <w:r w:rsidRPr="00220AFE">
              <w:rPr>
                <w:vertAlign w:val="superscript"/>
              </w:rPr>
              <w:t>1</w:t>
            </w:r>
            <w:proofErr w:type="spellEnd"/>
          </w:p>
        </w:tc>
        <w:tc>
          <w:tcPr>
            <w:tcW w:w="1385" w:type="dxa"/>
            <w:tcBorders>
              <w:top w:val="single" w:sz="4" w:space="0" w:color="auto"/>
            </w:tcBorders>
          </w:tcPr>
          <w:p w:rsidR="00ED423B" w:rsidRPr="00085719" w:rsidRDefault="00ED423B" w:rsidP="00BB6679">
            <w:pPr>
              <w:pStyle w:val="TableFigHeadingText"/>
              <w:jc w:val="center"/>
              <w:rPr>
                <w:bCs/>
              </w:rPr>
            </w:pPr>
            <w:r w:rsidRPr="00085719">
              <w:rPr>
                <w:bCs/>
              </w:rPr>
              <w:t>Male</w:t>
            </w:r>
          </w:p>
        </w:tc>
        <w:tc>
          <w:tcPr>
            <w:tcW w:w="2060" w:type="dxa"/>
            <w:tcBorders>
              <w:top w:val="single" w:sz="4" w:space="0" w:color="auto"/>
            </w:tcBorders>
          </w:tcPr>
          <w:p w:rsidR="00ED423B" w:rsidRPr="00085719" w:rsidRDefault="00ED423B" w:rsidP="00BB6679">
            <w:pPr>
              <w:pStyle w:val="TableFigHeadingText"/>
              <w:jc w:val="center"/>
              <w:rPr>
                <w:bCs/>
              </w:rPr>
            </w:pPr>
            <w:r w:rsidRPr="00085719">
              <w:rPr>
                <w:bCs/>
              </w:rPr>
              <w:t xml:space="preserve">95% </w:t>
            </w:r>
            <w:proofErr w:type="spellStart"/>
            <w:r w:rsidRPr="00085719">
              <w:rPr>
                <w:bCs/>
              </w:rPr>
              <w:t>CI</w:t>
            </w:r>
            <w:r w:rsidRPr="00220AFE">
              <w:rPr>
                <w:bCs/>
                <w:vertAlign w:val="superscript"/>
              </w:rPr>
              <w:t>2</w:t>
            </w:r>
            <w:proofErr w:type="spellEnd"/>
          </w:p>
        </w:tc>
        <w:tc>
          <w:tcPr>
            <w:tcW w:w="1339" w:type="dxa"/>
            <w:tcBorders>
              <w:top w:val="single" w:sz="4" w:space="0" w:color="auto"/>
            </w:tcBorders>
          </w:tcPr>
          <w:p w:rsidR="00ED423B" w:rsidRPr="00085719" w:rsidRDefault="00ED423B" w:rsidP="00BB6679">
            <w:pPr>
              <w:pStyle w:val="TableFigHeadingText"/>
              <w:jc w:val="center"/>
              <w:rPr>
                <w:bCs/>
              </w:rPr>
            </w:pPr>
            <w:r w:rsidRPr="00085719">
              <w:rPr>
                <w:bCs/>
              </w:rPr>
              <w:t>Female</w:t>
            </w:r>
          </w:p>
        </w:tc>
        <w:tc>
          <w:tcPr>
            <w:tcW w:w="2061" w:type="dxa"/>
            <w:tcBorders>
              <w:top w:val="single" w:sz="4" w:space="0" w:color="auto"/>
            </w:tcBorders>
          </w:tcPr>
          <w:p w:rsidR="00ED423B" w:rsidRPr="00085719" w:rsidRDefault="00ED423B" w:rsidP="00BB6679">
            <w:pPr>
              <w:pStyle w:val="TableFigHeadingText"/>
              <w:jc w:val="center"/>
              <w:rPr>
                <w:bCs/>
              </w:rPr>
            </w:pPr>
            <w:r w:rsidRPr="00085719">
              <w:rPr>
                <w:bCs/>
              </w:rPr>
              <w:t>95% CI</w:t>
            </w:r>
          </w:p>
        </w:tc>
        <w:tc>
          <w:tcPr>
            <w:tcW w:w="1363" w:type="dxa"/>
            <w:tcBorders>
              <w:top w:val="single" w:sz="4" w:space="0" w:color="auto"/>
            </w:tcBorders>
          </w:tcPr>
          <w:p w:rsidR="00ED423B" w:rsidRPr="00085719" w:rsidRDefault="00ED423B" w:rsidP="00BB6679">
            <w:pPr>
              <w:pStyle w:val="TableFigHeadingText"/>
              <w:jc w:val="center"/>
              <w:rPr>
                <w:bCs/>
              </w:rPr>
            </w:pPr>
            <w:r w:rsidRPr="00085719">
              <w:rPr>
                <w:bCs/>
              </w:rPr>
              <w:t>Total</w:t>
            </w:r>
          </w:p>
        </w:tc>
        <w:tc>
          <w:tcPr>
            <w:tcW w:w="2046" w:type="dxa"/>
            <w:tcBorders>
              <w:top w:val="single" w:sz="4" w:space="0" w:color="auto"/>
            </w:tcBorders>
          </w:tcPr>
          <w:p w:rsidR="00ED423B" w:rsidRPr="00085719" w:rsidRDefault="00ED423B" w:rsidP="00BB6679">
            <w:pPr>
              <w:pStyle w:val="TableFigHeadingText"/>
              <w:jc w:val="center"/>
              <w:rPr>
                <w:bCs/>
              </w:rPr>
            </w:pPr>
            <w:r w:rsidRPr="00085719">
              <w:rPr>
                <w:bCs/>
              </w:rPr>
              <w:t>95% CI</w:t>
            </w:r>
          </w:p>
        </w:tc>
      </w:tr>
      <w:tr w:rsidR="00ED423B" w:rsidRPr="00DE4F58" w:rsidTr="00BB6679">
        <w:tc>
          <w:tcPr>
            <w:tcW w:w="2590" w:type="dxa"/>
            <w:tcBorders>
              <w:top w:val="single" w:sz="4" w:space="0" w:color="auto"/>
            </w:tcBorders>
          </w:tcPr>
          <w:p w:rsidR="00ED423B" w:rsidRPr="00DE4F58" w:rsidRDefault="00ED423B" w:rsidP="00BB6679">
            <w:pPr>
              <w:pStyle w:val="TableFigText"/>
            </w:pPr>
            <w:r w:rsidRPr="00DE4F58">
              <w:t>Managers</w:t>
            </w:r>
          </w:p>
        </w:tc>
        <w:tc>
          <w:tcPr>
            <w:tcW w:w="1385" w:type="dxa"/>
            <w:tcBorders>
              <w:top w:val="single" w:sz="4" w:space="0" w:color="auto"/>
            </w:tcBorders>
          </w:tcPr>
          <w:p w:rsidR="00ED423B" w:rsidRPr="00FD110B" w:rsidRDefault="00ED423B" w:rsidP="00BB6679">
            <w:pPr>
              <w:pStyle w:val="TableFigText"/>
              <w:tabs>
                <w:tab w:val="clear" w:pos="425"/>
                <w:tab w:val="clear" w:pos="851"/>
                <w:tab w:val="right" w:pos="955"/>
              </w:tabs>
            </w:pPr>
            <w:r w:rsidRPr="00FD110B">
              <w:tab/>
              <w:t>217 990</w:t>
            </w:r>
          </w:p>
        </w:tc>
        <w:tc>
          <w:tcPr>
            <w:tcW w:w="2060" w:type="dxa"/>
            <w:tcBorders>
              <w:top w:val="single" w:sz="4" w:space="0" w:color="auto"/>
            </w:tcBorders>
          </w:tcPr>
          <w:p w:rsidR="00ED423B" w:rsidRPr="00DE4F58" w:rsidRDefault="00ED423B" w:rsidP="00BB6679">
            <w:pPr>
              <w:pStyle w:val="TableFigText"/>
              <w:tabs>
                <w:tab w:val="clear" w:pos="425"/>
                <w:tab w:val="clear" w:pos="851"/>
              </w:tabs>
              <w:jc w:val="center"/>
            </w:pPr>
            <w:r w:rsidRPr="00DE4F58">
              <w:t>178</w:t>
            </w:r>
            <w:r>
              <w:t> 000–</w:t>
            </w:r>
            <w:r w:rsidRPr="00DE4F58">
              <w:t>263</w:t>
            </w:r>
            <w:r>
              <w:t> </w:t>
            </w:r>
            <w:r w:rsidRPr="00DE4F58">
              <w:t>000</w:t>
            </w:r>
          </w:p>
        </w:tc>
        <w:tc>
          <w:tcPr>
            <w:tcW w:w="1339" w:type="dxa"/>
            <w:tcBorders>
              <w:top w:val="single" w:sz="4" w:space="0" w:color="auto"/>
            </w:tcBorders>
          </w:tcPr>
          <w:p w:rsidR="00ED423B" w:rsidRPr="00DE4F58" w:rsidRDefault="00ED423B" w:rsidP="00BB6679">
            <w:pPr>
              <w:pStyle w:val="TableFigText"/>
              <w:tabs>
                <w:tab w:val="clear" w:pos="425"/>
                <w:tab w:val="clear" w:pos="851"/>
                <w:tab w:val="right" w:pos="792"/>
              </w:tabs>
            </w:pPr>
            <w:r>
              <w:tab/>
            </w:r>
            <w:r w:rsidRPr="00DE4F58">
              <w:t>25</w:t>
            </w:r>
            <w:r>
              <w:t> </w:t>
            </w:r>
            <w:r w:rsidRPr="00DE4F58">
              <w:t>867</w:t>
            </w:r>
          </w:p>
        </w:tc>
        <w:tc>
          <w:tcPr>
            <w:tcW w:w="2061" w:type="dxa"/>
            <w:tcBorders>
              <w:top w:val="single" w:sz="4" w:space="0" w:color="auto"/>
            </w:tcBorders>
          </w:tcPr>
          <w:p w:rsidR="00ED423B" w:rsidRPr="00DE4F58" w:rsidRDefault="00ED423B" w:rsidP="00BB6679">
            <w:pPr>
              <w:pStyle w:val="TableFigText"/>
              <w:tabs>
                <w:tab w:val="clear" w:pos="425"/>
                <w:tab w:val="clear" w:pos="851"/>
              </w:tabs>
              <w:jc w:val="center"/>
            </w:pPr>
            <w:r w:rsidRPr="00DE4F58">
              <w:t>16</w:t>
            </w:r>
            <w:r>
              <w:t> 000–</w:t>
            </w:r>
            <w:r w:rsidRPr="00DE4F58">
              <w:t>40</w:t>
            </w:r>
            <w:r>
              <w:t> </w:t>
            </w:r>
            <w:r w:rsidRPr="00DE4F58">
              <w:t>000</w:t>
            </w:r>
          </w:p>
        </w:tc>
        <w:tc>
          <w:tcPr>
            <w:tcW w:w="1363" w:type="dxa"/>
            <w:tcBorders>
              <w:top w:val="single" w:sz="4" w:space="0" w:color="auto"/>
            </w:tcBorders>
          </w:tcPr>
          <w:p w:rsidR="00ED423B" w:rsidRPr="00DE4F58" w:rsidRDefault="00ED423B" w:rsidP="00BB6679">
            <w:pPr>
              <w:pStyle w:val="TableFigText"/>
              <w:tabs>
                <w:tab w:val="clear" w:pos="425"/>
                <w:tab w:val="clear" w:pos="851"/>
                <w:tab w:val="right" w:pos="833"/>
              </w:tabs>
            </w:pPr>
            <w:r>
              <w:tab/>
            </w:r>
            <w:r w:rsidRPr="00DE4F58">
              <w:t>243</w:t>
            </w:r>
            <w:r>
              <w:t> </w:t>
            </w:r>
            <w:r w:rsidRPr="00DE4F58">
              <w:t>856</w:t>
            </w:r>
          </w:p>
        </w:tc>
        <w:tc>
          <w:tcPr>
            <w:tcW w:w="2046" w:type="dxa"/>
            <w:tcBorders>
              <w:top w:val="single" w:sz="4" w:space="0" w:color="auto"/>
            </w:tcBorders>
          </w:tcPr>
          <w:p w:rsidR="00ED423B" w:rsidRPr="00DE4F58" w:rsidRDefault="00ED423B" w:rsidP="00BB6679">
            <w:pPr>
              <w:pStyle w:val="TableFigText"/>
              <w:tabs>
                <w:tab w:val="clear" w:pos="425"/>
                <w:tab w:val="clear" w:pos="851"/>
              </w:tabs>
              <w:jc w:val="center"/>
            </w:pPr>
            <w:r w:rsidRPr="00DE4F58">
              <w:t>200</w:t>
            </w:r>
            <w:r>
              <w:t> 000–</w:t>
            </w:r>
            <w:r w:rsidRPr="00DE4F58">
              <w:t>292</w:t>
            </w:r>
            <w:r>
              <w:t> </w:t>
            </w:r>
            <w:r w:rsidRPr="00DE4F58">
              <w:t>000</w:t>
            </w:r>
          </w:p>
        </w:tc>
      </w:tr>
      <w:tr w:rsidR="00ED423B" w:rsidRPr="00DE4F58" w:rsidTr="00BB6679">
        <w:tc>
          <w:tcPr>
            <w:tcW w:w="2590" w:type="dxa"/>
          </w:tcPr>
          <w:p w:rsidR="00ED423B" w:rsidRPr="00DE4F58" w:rsidRDefault="00ED423B" w:rsidP="00BB6679">
            <w:pPr>
              <w:pStyle w:val="TableFigText"/>
            </w:pPr>
            <w:r w:rsidRPr="00DE4F58">
              <w:t>Professionals</w:t>
            </w:r>
          </w:p>
        </w:tc>
        <w:tc>
          <w:tcPr>
            <w:tcW w:w="1385" w:type="dxa"/>
          </w:tcPr>
          <w:p w:rsidR="00ED423B" w:rsidRPr="00FD110B" w:rsidRDefault="00ED423B" w:rsidP="00BB6679">
            <w:pPr>
              <w:pStyle w:val="TableFigText"/>
              <w:tabs>
                <w:tab w:val="clear" w:pos="425"/>
                <w:tab w:val="clear" w:pos="851"/>
                <w:tab w:val="right" w:pos="955"/>
              </w:tabs>
            </w:pPr>
            <w:r w:rsidRPr="00FD110B">
              <w:tab/>
              <w:t>89 252</w:t>
            </w:r>
          </w:p>
        </w:tc>
        <w:tc>
          <w:tcPr>
            <w:tcW w:w="2060" w:type="dxa"/>
          </w:tcPr>
          <w:p w:rsidR="00ED423B" w:rsidRPr="00DE4F58" w:rsidRDefault="00ED423B" w:rsidP="00BB6679">
            <w:pPr>
              <w:pStyle w:val="TableFigText"/>
              <w:tabs>
                <w:tab w:val="clear" w:pos="425"/>
                <w:tab w:val="clear" w:pos="851"/>
              </w:tabs>
              <w:jc w:val="center"/>
            </w:pPr>
            <w:r w:rsidRPr="00DE4F58">
              <w:t>59</w:t>
            </w:r>
            <w:r>
              <w:t> 000–</w:t>
            </w:r>
            <w:r w:rsidRPr="00DE4F58">
              <w:t>133</w:t>
            </w:r>
            <w:r>
              <w:t> </w:t>
            </w:r>
            <w:r w:rsidRPr="00DE4F58">
              <w:t>000</w:t>
            </w:r>
          </w:p>
        </w:tc>
        <w:tc>
          <w:tcPr>
            <w:tcW w:w="1339" w:type="dxa"/>
          </w:tcPr>
          <w:p w:rsidR="00ED423B" w:rsidRPr="00DE4F58" w:rsidRDefault="00ED423B" w:rsidP="00BB6679">
            <w:pPr>
              <w:pStyle w:val="TableFigText"/>
              <w:tabs>
                <w:tab w:val="clear" w:pos="425"/>
                <w:tab w:val="clear" w:pos="851"/>
                <w:tab w:val="right" w:pos="792"/>
              </w:tabs>
            </w:pPr>
            <w:r>
              <w:tab/>
            </w:r>
            <w:r w:rsidRPr="00DE4F58">
              <w:t>66</w:t>
            </w:r>
            <w:r>
              <w:t> </w:t>
            </w:r>
            <w:r w:rsidRPr="00DE4F58">
              <w:t>944</w:t>
            </w:r>
          </w:p>
        </w:tc>
        <w:tc>
          <w:tcPr>
            <w:tcW w:w="2061" w:type="dxa"/>
          </w:tcPr>
          <w:p w:rsidR="00ED423B" w:rsidRPr="00DE4F58" w:rsidRDefault="00ED423B" w:rsidP="00BB6679">
            <w:pPr>
              <w:pStyle w:val="TableFigText"/>
              <w:tabs>
                <w:tab w:val="clear" w:pos="425"/>
                <w:tab w:val="clear" w:pos="851"/>
              </w:tabs>
              <w:jc w:val="center"/>
            </w:pPr>
            <w:r w:rsidRPr="00DE4F58">
              <w:t>39</w:t>
            </w:r>
            <w:r>
              <w:t> 000–</w:t>
            </w:r>
            <w:r w:rsidRPr="00DE4F58">
              <w:t>111</w:t>
            </w:r>
            <w:r>
              <w:t> </w:t>
            </w:r>
            <w:r w:rsidRPr="00DE4F58">
              <w:t>000</w:t>
            </w:r>
          </w:p>
        </w:tc>
        <w:tc>
          <w:tcPr>
            <w:tcW w:w="1363" w:type="dxa"/>
          </w:tcPr>
          <w:p w:rsidR="00ED423B" w:rsidRPr="00DE4F58" w:rsidRDefault="00ED423B" w:rsidP="00BB6679">
            <w:pPr>
              <w:pStyle w:val="TableFigText"/>
              <w:tabs>
                <w:tab w:val="clear" w:pos="425"/>
                <w:tab w:val="clear" w:pos="851"/>
                <w:tab w:val="right" w:pos="833"/>
              </w:tabs>
            </w:pPr>
            <w:r>
              <w:tab/>
            </w:r>
            <w:r w:rsidRPr="00DE4F58">
              <w:t>156</w:t>
            </w:r>
            <w:r>
              <w:t> </w:t>
            </w:r>
            <w:r w:rsidRPr="00DE4F58">
              <w:t>197</w:t>
            </w:r>
          </w:p>
        </w:tc>
        <w:tc>
          <w:tcPr>
            <w:tcW w:w="2046" w:type="dxa"/>
          </w:tcPr>
          <w:p w:rsidR="00ED423B" w:rsidRPr="00DE4F58" w:rsidRDefault="00ED423B" w:rsidP="00BB6679">
            <w:pPr>
              <w:pStyle w:val="TableFigText"/>
              <w:tabs>
                <w:tab w:val="clear" w:pos="425"/>
                <w:tab w:val="clear" w:pos="851"/>
              </w:tabs>
              <w:jc w:val="center"/>
            </w:pPr>
            <w:r w:rsidRPr="00DE4F58">
              <w:t>113</w:t>
            </w:r>
            <w:r>
              <w:t> 000–</w:t>
            </w:r>
            <w:r w:rsidRPr="00DE4F58">
              <w:t>213</w:t>
            </w:r>
            <w:r>
              <w:t> </w:t>
            </w:r>
            <w:r w:rsidRPr="00DE4F58">
              <w:t>000</w:t>
            </w:r>
          </w:p>
        </w:tc>
      </w:tr>
      <w:tr w:rsidR="00ED423B" w:rsidRPr="00DE4F58" w:rsidTr="00BB6679">
        <w:tc>
          <w:tcPr>
            <w:tcW w:w="2590" w:type="dxa"/>
          </w:tcPr>
          <w:p w:rsidR="00ED423B" w:rsidRPr="00DE4F58" w:rsidRDefault="00ED423B" w:rsidP="00BB6679">
            <w:pPr>
              <w:pStyle w:val="TableFigText"/>
            </w:pPr>
            <w:r w:rsidRPr="00DE4F58">
              <w:t>Technicians and trades workers</w:t>
            </w:r>
          </w:p>
        </w:tc>
        <w:tc>
          <w:tcPr>
            <w:tcW w:w="1385" w:type="dxa"/>
          </w:tcPr>
          <w:p w:rsidR="00ED423B" w:rsidRPr="00FD110B" w:rsidRDefault="00ED423B" w:rsidP="00BB6679">
            <w:pPr>
              <w:pStyle w:val="TableFigText"/>
              <w:tabs>
                <w:tab w:val="clear" w:pos="425"/>
                <w:tab w:val="clear" w:pos="851"/>
                <w:tab w:val="right" w:pos="955"/>
              </w:tabs>
            </w:pPr>
            <w:r w:rsidRPr="00FD110B">
              <w:tab/>
              <w:t>115 540</w:t>
            </w:r>
          </w:p>
        </w:tc>
        <w:tc>
          <w:tcPr>
            <w:tcW w:w="2060" w:type="dxa"/>
          </w:tcPr>
          <w:p w:rsidR="00ED423B" w:rsidRPr="00DE4F58" w:rsidRDefault="00ED423B" w:rsidP="00BB6679">
            <w:pPr>
              <w:pStyle w:val="TableFigText"/>
              <w:tabs>
                <w:tab w:val="clear" w:pos="425"/>
                <w:tab w:val="clear" w:pos="851"/>
              </w:tabs>
              <w:jc w:val="center"/>
            </w:pPr>
            <w:r w:rsidRPr="00DE4F58">
              <w:t>90</w:t>
            </w:r>
            <w:r>
              <w:t> 000–</w:t>
            </w:r>
            <w:r w:rsidRPr="00DE4F58">
              <w:t>147</w:t>
            </w:r>
            <w:r>
              <w:t> </w:t>
            </w:r>
            <w:r w:rsidRPr="00DE4F58">
              <w:t>000</w:t>
            </w:r>
          </w:p>
        </w:tc>
        <w:tc>
          <w:tcPr>
            <w:tcW w:w="1339" w:type="dxa"/>
          </w:tcPr>
          <w:p w:rsidR="00ED423B" w:rsidRPr="00DE4F58" w:rsidRDefault="00ED423B" w:rsidP="00BB6679">
            <w:pPr>
              <w:pStyle w:val="TableFigText"/>
              <w:tabs>
                <w:tab w:val="clear" w:pos="425"/>
                <w:tab w:val="clear" w:pos="851"/>
                <w:tab w:val="right" w:pos="792"/>
              </w:tabs>
            </w:pPr>
            <w:r>
              <w:tab/>
            </w:r>
            <w:r w:rsidRPr="00DE4F58">
              <w:t>8193</w:t>
            </w:r>
          </w:p>
        </w:tc>
        <w:tc>
          <w:tcPr>
            <w:tcW w:w="2061" w:type="dxa"/>
          </w:tcPr>
          <w:p w:rsidR="00ED423B" w:rsidRPr="00DE4F58" w:rsidRDefault="00ED423B" w:rsidP="00BB6679">
            <w:pPr>
              <w:pStyle w:val="TableFigText"/>
              <w:tabs>
                <w:tab w:val="clear" w:pos="425"/>
                <w:tab w:val="clear" w:pos="851"/>
              </w:tabs>
              <w:jc w:val="center"/>
            </w:pPr>
            <w:r>
              <w:t>4000–</w:t>
            </w:r>
            <w:r w:rsidRPr="00DE4F58">
              <w:t>16</w:t>
            </w:r>
            <w:r>
              <w:t> </w:t>
            </w:r>
            <w:r w:rsidRPr="00DE4F58">
              <w:t>000</w:t>
            </w:r>
          </w:p>
        </w:tc>
        <w:tc>
          <w:tcPr>
            <w:tcW w:w="1363" w:type="dxa"/>
          </w:tcPr>
          <w:p w:rsidR="00ED423B" w:rsidRPr="00DE4F58" w:rsidRDefault="00ED423B" w:rsidP="00BB6679">
            <w:pPr>
              <w:pStyle w:val="TableFigText"/>
              <w:tabs>
                <w:tab w:val="clear" w:pos="425"/>
                <w:tab w:val="clear" w:pos="851"/>
                <w:tab w:val="right" w:pos="833"/>
              </w:tabs>
            </w:pPr>
            <w:r>
              <w:tab/>
            </w:r>
            <w:r w:rsidRPr="00DE4F58">
              <w:t>123</w:t>
            </w:r>
            <w:r>
              <w:t> </w:t>
            </w:r>
            <w:r w:rsidRPr="00DE4F58">
              <w:t>732</w:t>
            </w:r>
          </w:p>
        </w:tc>
        <w:tc>
          <w:tcPr>
            <w:tcW w:w="2046" w:type="dxa"/>
          </w:tcPr>
          <w:p w:rsidR="00ED423B" w:rsidRPr="00DE4F58" w:rsidRDefault="00ED423B" w:rsidP="00BB6679">
            <w:pPr>
              <w:pStyle w:val="TableFigText"/>
              <w:tabs>
                <w:tab w:val="clear" w:pos="425"/>
                <w:tab w:val="clear" w:pos="851"/>
              </w:tabs>
              <w:jc w:val="center"/>
            </w:pPr>
            <w:r w:rsidRPr="00DE4F58">
              <w:t>97</w:t>
            </w:r>
            <w:r>
              <w:t> 000–</w:t>
            </w:r>
            <w:r w:rsidRPr="00DE4F58">
              <w:t>156</w:t>
            </w:r>
            <w:r>
              <w:t> </w:t>
            </w:r>
            <w:r w:rsidRPr="00DE4F58">
              <w:t>000</w:t>
            </w:r>
          </w:p>
        </w:tc>
      </w:tr>
      <w:tr w:rsidR="00ED423B" w:rsidRPr="00DE4F58" w:rsidTr="00BB6679">
        <w:tc>
          <w:tcPr>
            <w:tcW w:w="2590" w:type="dxa"/>
          </w:tcPr>
          <w:p w:rsidR="00ED423B" w:rsidRPr="00DE4F58" w:rsidRDefault="00ED423B" w:rsidP="00BB6679">
            <w:pPr>
              <w:pStyle w:val="TableFigText"/>
            </w:pPr>
            <w:r w:rsidRPr="00DE4F58">
              <w:t>Community and personal service workers</w:t>
            </w:r>
          </w:p>
        </w:tc>
        <w:tc>
          <w:tcPr>
            <w:tcW w:w="1385" w:type="dxa"/>
          </w:tcPr>
          <w:p w:rsidR="00ED423B" w:rsidRPr="00FD110B" w:rsidRDefault="00ED423B" w:rsidP="00BB6679">
            <w:pPr>
              <w:pStyle w:val="TableFigText"/>
              <w:tabs>
                <w:tab w:val="clear" w:pos="425"/>
                <w:tab w:val="clear" w:pos="851"/>
                <w:tab w:val="right" w:pos="955"/>
              </w:tabs>
            </w:pPr>
            <w:r w:rsidRPr="00FD110B">
              <w:tab/>
              <w:t>9643</w:t>
            </w:r>
          </w:p>
        </w:tc>
        <w:tc>
          <w:tcPr>
            <w:tcW w:w="2060" w:type="dxa"/>
          </w:tcPr>
          <w:p w:rsidR="00ED423B" w:rsidRPr="00DE4F58" w:rsidRDefault="00ED423B" w:rsidP="00BB6679">
            <w:pPr>
              <w:pStyle w:val="TableFigText"/>
              <w:tabs>
                <w:tab w:val="clear" w:pos="425"/>
                <w:tab w:val="clear" w:pos="851"/>
              </w:tabs>
              <w:jc w:val="center"/>
            </w:pPr>
            <w:r>
              <w:t>7000–</w:t>
            </w:r>
            <w:r w:rsidRPr="00DE4F58">
              <w:t>14</w:t>
            </w:r>
            <w:r>
              <w:t> </w:t>
            </w:r>
            <w:r w:rsidRPr="00DE4F58">
              <w:t>000</w:t>
            </w:r>
          </w:p>
        </w:tc>
        <w:tc>
          <w:tcPr>
            <w:tcW w:w="1339" w:type="dxa"/>
          </w:tcPr>
          <w:p w:rsidR="00ED423B" w:rsidRPr="00DE4F58" w:rsidRDefault="00ED423B" w:rsidP="00BB6679">
            <w:pPr>
              <w:pStyle w:val="TableFigText"/>
              <w:tabs>
                <w:tab w:val="clear" w:pos="425"/>
                <w:tab w:val="clear" w:pos="851"/>
                <w:tab w:val="right" w:pos="792"/>
              </w:tabs>
            </w:pPr>
            <w:r>
              <w:tab/>
            </w:r>
            <w:r w:rsidRPr="00DE4F58">
              <w:t>5905</w:t>
            </w:r>
          </w:p>
        </w:tc>
        <w:tc>
          <w:tcPr>
            <w:tcW w:w="2061" w:type="dxa"/>
          </w:tcPr>
          <w:p w:rsidR="00ED423B" w:rsidRPr="00DE4F58" w:rsidRDefault="00ED423B" w:rsidP="00BB6679">
            <w:pPr>
              <w:pStyle w:val="TableFigText"/>
              <w:tabs>
                <w:tab w:val="clear" w:pos="425"/>
                <w:tab w:val="clear" w:pos="851"/>
              </w:tabs>
              <w:jc w:val="center"/>
            </w:pPr>
            <w:r>
              <w:t>3000–</w:t>
            </w:r>
            <w:r w:rsidRPr="00DE4F58">
              <w:t>11</w:t>
            </w:r>
            <w:r>
              <w:t> </w:t>
            </w:r>
            <w:r w:rsidRPr="00DE4F58">
              <w:t>000</w:t>
            </w:r>
          </w:p>
        </w:tc>
        <w:tc>
          <w:tcPr>
            <w:tcW w:w="1363" w:type="dxa"/>
          </w:tcPr>
          <w:p w:rsidR="00ED423B" w:rsidRPr="00DE4F58" w:rsidRDefault="00ED423B" w:rsidP="00BB6679">
            <w:pPr>
              <w:pStyle w:val="TableFigText"/>
              <w:tabs>
                <w:tab w:val="clear" w:pos="425"/>
                <w:tab w:val="clear" w:pos="851"/>
                <w:tab w:val="right" w:pos="833"/>
              </w:tabs>
            </w:pPr>
            <w:r>
              <w:tab/>
            </w:r>
            <w:r w:rsidRPr="00DE4F58">
              <w:t>15</w:t>
            </w:r>
            <w:r>
              <w:t> </w:t>
            </w:r>
            <w:r w:rsidRPr="00DE4F58">
              <w:t>547</w:t>
            </w:r>
          </w:p>
        </w:tc>
        <w:tc>
          <w:tcPr>
            <w:tcW w:w="2046" w:type="dxa"/>
          </w:tcPr>
          <w:p w:rsidR="00ED423B" w:rsidRPr="00DE4F58" w:rsidRDefault="00ED423B" w:rsidP="00BB6679">
            <w:pPr>
              <w:pStyle w:val="TableFigText"/>
              <w:tabs>
                <w:tab w:val="clear" w:pos="425"/>
                <w:tab w:val="clear" w:pos="851"/>
              </w:tabs>
              <w:jc w:val="center"/>
            </w:pPr>
            <w:r w:rsidRPr="00DE4F58">
              <w:t>11</w:t>
            </w:r>
            <w:r>
              <w:t> 000–</w:t>
            </w:r>
            <w:r w:rsidRPr="00DE4F58">
              <w:t>21</w:t>
            </w:r>
            <w:r>
              <w:t> </w:t>
            </w:r>
            <w:r w:rsidRPr="00DE4F58">
              <w:t>000</w:t>
            </w:r>
          </w:p>
        </w:tc>
      </w:tr>
      <w:tr w:rsidR="00ED423B" w:rsidRPr="00DE4F58" w:rsidTr="00BB6679">
        <w:tc>
          <w:tcPr>
            <w:tcW w:w="2590" w:type="dxa"/>
          </w:tcPr>
          <w:p w:rsidR="00ED423B" w:rsidRPr="00DE4F58" w:rsidRDefault="00ED423B" w:rsidP="00BB6679">
            <w:pPr>
              <w:pStyle w:val="TableFigText"/>
            </w:pPr>
            <w:r w:rsidRPr="00DE4F58">
              <w:t xml:space="preserve">Clerical and administrative </w:t>
            </w:r>
            <w:proofErr w:type="spellStart"/>
            <w:r w:rsidRPr="00DE4F58">
              <w:t>workers</w:t>
            </w:r>
            <w:r w:rsidRPr="00DE4F58">
              <w:rPr>
                <w:vertAlign w:val="superscript"/>
              </w:rPr>
              <w:t>3</w:t>
            </w:r>
            <w:proofErr w:type="spellEnd"/>
          </w:p>
        </w:tc>
        <w:tc>
          <w:tcPr>
            <w:tcW w:w="1385" w:type="dxa"/>
          </w:tcPr>
          <w:p w:rsidR="00ED423B" w:rsidRPr="00DE4F58" w:rsidRDefault="00ED423B" w:rsidP="00BB6679">
            <w:pPr>
              <w:pStyle w:val="TableFigText"/>
              <w:tabs>
                <w:tab w:val="clear" w:pos="425"/>
                <w:tab w:val="clear" w:pos="851"/>
                <w:tab w:val="right" w:pos="812"/>
                <w:tab w:val="right" w:pos="955"/>
              </w:tabs>
              <w:jc w:val="center"/>
            </w:pPr>
            <w:r w:rsidRPr="00DE4F58">
              <w:t>-</w:t>
            </w:r>
          </w:p>
        </w:tc>
        <w:tc>
          <w:tcPr>
            <w:tcW w:w="2060" w:type="dxa"/>
          </w:tcPr>
          <w:p w:rsidR="00ED423B" w:rsidRPr="00DE4F58" w:rsidRDefault="00ED423B" w:rsidP="00BB6679">
            <w:pPr>
              <w:pStyle w:val="TableFigText"/>
              <w:tabs>
                <w:tab w:val="clear" w:pos="425"/>
                <w:tab w:val="clear" w:pos="851"/>
              </w:tabs>
              <w:jc w:val="center"/>
            </w:pPr>
            <w:r>
              <w:t>-</w:t>
            </w:r>
          </w:p>
        </w:tc>
        <w:tc>
          <w:tcPr>
            <w:tcW w:w="1339" w:type="dxa"/>
          </w:tcPr>
          <w:p w:rsidR="00ED423B" w:rsidRPr="00DE4F58" w:rsidRDefault="00ED423B" w:rsidP="00BB6679">
            <w:pPr>
              <w:pStyle w:val="TableFigText"/>
              <w:tabs>
                <w:tab w:val="clear" w:pos="425"/>
                <w:tab w:val="clear" w:pos="851"/>
                <w:tab w:val="right" w:pos="792"/>
              </w:tabs>
              <w:jc w:val="center"/>
            </w:pPr>
            <w:r>
              <w:t>-</w:t>
            </w:r>
          </w:p>
        </w:tc>
        <w:tc>
          <w:tcPr>
            <w:tcW w:w="2061" w:type="dxa"/>
          </w:tcPr>
          <w:p w:rsidR="00ED423B" w:rsidRPr="00DE4F58" w:rsidRDefault="00ED423B" w:rsidP="00BB6679">
            <w:pPr>
              <w:pStyle w:val="TableFigText"/>
              <w:tabs>
                <w:tab w:val="clear" w:pos="425"/>
                <w:tab w:val="clear" w:pos="851"/>
              </w:tabs>
              <w:jc w:val="center"/>
            </w:pPr>
            <w:r>
              <w:t>-</w:t>
            </w:r>
          </w:p>
        </w:tc>
        <w:tc>
          <w:tcPr>
            <w:tcW w:w="1363" w:type="dxa"/>
          </w:tcPr>
          <w:p w:rsidR="00ED423B" w:rsidRPr="00DE4F58" w:rsidRDefault="00ED423B" w:rsidP="00BB6679">
            <w:pPr>
              <w:pStyle w:val="TableFigText"/>
              <w:tabs>
                <w:tab w:val="clear" w:pos="425"/>
                <w:tab w:val="clear" w:pos="851"/>
                <w:tab w:val="right" w:pos="833"/>
              </w:tabs>
              <w:jc w:val="center"/>
            </w:pPr>
            <w:r w:rsidRPr="00DE4F58">
              <w:t>-</w:t>
            </w:r>
          </w:p>
        </w:tc>
        <w:tc>
          <w:tcPr>
            <w:tcW w:w="2046" w:type="dxa"/>
          </w:tcPr>
          <w:p w:rsidR="00ED423B" w:rsidRPr="00DE4F58" w:rsidRDefault="00ED423B" w:rsidP="00BB6679">
            <w:pPr>
              <w:pStyle w:val="TableFigText"/>
              <w:tabs>
                <w:tab w:val="clear" w:pos="425"/>
                <w:tab w:val="clear" w:pos="851"/>
              </w:tabs>
              <w:jc w:val="center"/>
            </w:pPr>
            <w:r>
              <w:t>-</w:t>
            </w:r>
          </w:p>
        </w:tc>
      </w:tr>
      <w:tr w:rsidR="00ED423B" w:rsidRPr="00DE4F58" w:rsidTr="00BB6679">
        <w:tc>
          <w:tcPr>
            <w:tcW w:w="2590" w:type="dxa"/>
          </w:tcPr>
          <w:p w:rsidR="00ED423B" w:rsidRPr="00DE4F58" w:rsidRDefault="00ED423B" w:rsidP="00BB6679">
            <w:pPr>
              <w:pStyle w:val="TableFigText"/>
            </w:pPr>
            <w:r w:rsidRPr="00DE4F58">
              <w:t xml:space="preserve">Machinery operators and </w:t>
            </w:r>
            <w:proofErr w:type="spellStart"/>
            <w:r w:rsidRPr="00DE4F58">
              <w:t>drivers</w:t>
            </w:r>
            <w:r w:rsidRPr="00DE4F58">
              <w:rPr>
                <w:vertAlign w:val="superscript"/>
              </w:rPr>
              <w:t>3</w:t>
            </w:r>
            <w:proofErr w:type="spellEnd"/>
          </w:p>
        </w:tc>
        <w:tc>
          <w:tcPr>
            <w:tcW w:w="1385" w:type="dxa"/>
          </w:tcPr>
          <w:p w:rsidR="00ED423B" w:rsidRPr="00FD110B" w:rsidRDefault="00ED423B" w:rsidP="00BB6679">
            <w:pPr>
              <w:pStyle w:val="TableFigText"/>
              <w:tabs>
                <w:tab w:val="clear" w:pos="425"/>
                <w:tab w:val="clear" w:pos="851"/>
                <w:tab w:val="right" w:pos="955"/>
              </w:tabs>
            </w:pPr>
            <w:r w:rsidRPr="00FD110B">
              <w:tab/>
              <w:t>41 407</w:t>
            </w:r>
          </w:p>
        </w:tc>
        <w:tc>
          <w:tcPr>
            <w:tcW w:w="2060" w:type="dxa"/>
          </w:tcPr>
          <w:p w:rsidR="00ED423B" w:rsidRPr="00DE4F58" w:rsidRDefault="00ED423B" w:rsidP="00BB6679">
            <w:pPr>
              <w:pStyle w:val="TableFigText"/>
              <w:tabs>
                <w:tab w:val="clear" w:pos="425"/>
                <w:tab w:val="clear" w:pos="851"/>
              </w:tabs>
              <w:jc w:val="center"/>
            </w:pPr>
            <w:r w:rsidRPr="00DE4F58">
              <w:t>25</w:t>
            </w:r>
            <w:r>
              <w:t> 000–</w:t>
            </w:r>
            <w:r w:rsidRPr="00DE4F58">
              <w:t>66</w:t>
            </w:r>
            <w:r>
              <w:t> </w:t>
            </w:r>
            <w:r w:rsidRPr="00DE4F58">
              <w:t>000</w:t>
            </w:r>
          </w:p>
        </w:tc>
        <w:tc>
          <w:tcPr>
            <w:tcW w:w="1339" w:type="dxa"/>
          </w:tcPr>
          <w:p w:rsidR="00ED423B" w:rsidRPr="00DE4F58" w:rsidRDefault="00ED423B" w:rsidP="00BB6679">
            <w:pPr>
              <w:pStyle w:val="TableFigText"/>
              <w:tabs>
                <w:tab w:val="clear" w:pos="425"/>
                <w:tab w:val="clear" w:pos="851"/>
                <w:tab w:val="right" w:pos="792"/>
              </w:tabs>
              <w:jc w:val="center"/>
            </w:pPr>
            <w:r>
              <w:t>-</w:t>
            </w:r>
          </w:p>
        </w:tc>
        <w:tc>
          <w:tcPr>
            <w:tcW w:w="2061" w:type="dxa"/>
          </w:tcPr>
          <w:p w:rsidR="00ED423B" w:rsidRPr="00DE4F58" w:rsidRDefault="00ED423B" w:rsidP="00BB6679">
            <w:pPr>
              <w:pStyle w:val="TableFigText"/>
              <w:tabs>
                <w:tab w:val="clear" w:pos="425"/>
                <w:tab w:val="clear" w:pos="851"/>
              </w:tabs>
              <w:jc w:val="center"/>
            </w:pPr>
            <w:r>
              <w:t>-</w:t>
            </w:r>
          </w:p>
        </w:tc>
        <w:tc>
          <w:tcPr>
            <w:tcW w:w="1363" w:type="dxa"/>
          </w:tcPr>
          <w:p w:rsidR="00ED423B" w:rsidRPr="00DE4F58" w:rsidRDefault="00ED423B" w:rsidP="00BB6679">
            <w:pPr>
              <w:pStyle w:val="TableFigText"/>
              <w:tabs>
                <w:tab w:val="clear" w:pos="425"/>
                <w:tab w:val="clear" w:pos="851"/>
                <w:tab w:val="right" w:pos="833"/>
              </w:tabs>
            </w:pPr>
            <w:r>
              <w:tab/>
            </w:r>
            <w:r w:rsidRPr="00DE4F58">
              <w:t>41</w:t>
            </w:r>
            <w:r>
              <w:t> </w:t>
            </w:r>
            <w:r w:rsidRPr="00DE4F58">
              <w:t>407</w:t>
            </w:r>
          </w:p>
        </w:tc>
        <w:tc>
          <w:tcPr>
            <w:tcW w:w="2046" w:type="dxa"/>
          </w:tcPr>
          <w:p w:rsidR="00ED423B" w:rsidRPr="00DE4F58" w:rsidRDefault="00ED423B" w:rsidP="00BB6679">
            <w:pPr>
              <w:pStyle w:val="TableFigText"/>
              <w:tabs>
                <w:tab w:val="clear" w:pos="425"/>
                <w:tab w:val="clear" w:pos="851"/>
              </w:tabs>
              <w:jc w:val="center"/>
            </w:pPr>
            <w:r w:rsidRPr="00DE4F58">
              <w:t>25</w:t>
            </w:r>
            <w:r>
              <w:t> 000–</w:t>
            </w:r>
            <w:r w:rsidRPr="00DE4F58">
              <w:t>66</w:t>
            </w:r>
            <w:r>
              <w:t> </w:t>
            </w:r>
            <w:r w:rsidRPr="00DE4F58">
              <w:t>000</w:t>
            </w:r>
          </w:p>
        </w:tc>
      </w:tr>
      <w:tr w:rsidR="00ED423B" w:rsidRPr="00DE4F58" w:rsidTr="00BB6679">
        <w:tc>
          <w:tcPr>
            <w:tcW w:w="2590" w:type="dxa"/>
          </w:tcPr>
          <w:p w:rsidR="00ED423B" w:rsidRPr="00DE4F58" w:rsidRDefault="00ED423B" w:rsidP="00BB6679">
            <w:pPr>
              <w:pStyle w:val="TableFigText"/>
            </w:pPr>
            <w:r w:rsidRPr="00DE4F58">
              <w:t>Labourers</w:t>
            </w:r>
          </w:p>
        </w:tc>
        <w:tc>
          <w:tcPr>
            <w:tcW w:w="1385" w:type="dxa"/>
          </w:tcPr>
          <w:p w:rsidR="00ED423B" w:rsidRPr="00FD110B" w:rsidRDefault="00ED423B" w:rsidP="00BB6679">
            <w:pPr>
              <w:pStyle w:val="TableFigText"/>
              <w:tabs>
                <w:tab w:val="clear" w:pos="425"/>
                <w:tab w:val="clear" w:pos="851"/>
                <w:tab w:val="right" w:pos="955"/>
              </w:tabs>
            </w:pPr>
            <w:r w:rsidRPr="00FD110B">
              <w:tab/>
              <w:t>65 411</w:t>
            </w:r>
          </w:p>
        </w:tc>
        <w:tc>
          <w:tcPr>
            <w:tcW w:w="2060" w:type="dxa"/>
          </w:tcPr>
          <w:p w:rsidR="00ED423B" w:rsidRPr="00DE4F58" w:rsidRDefault="00ED423B" w:rsidP="00BB6679">
            <w:pPr>
              <w:pStyle w:val="TableFigText"/>
              <w:tabs>
                <w:tab w:val="clear" w:pos="425"/>
                <w:tab w:val="clear" w:pos="851"/>
              </w:tabs>
              <w:jc w:val="center"/>
            </w:pPr>
            <w:r w:rsidRPr="00DE4F58">
              <w:t>44</w:t>
            </w:r>
            <w:r>
              <w:t> 000–</w:t>
            </w:r>
            <w:r w:rsidRPr="00DE4F58">
              <w:t>95</w:t>
            </w:r>
            <w:r>
              <w:t> </w:t>
            </w:r>
            <w:r w:rsidRPr="00DE4F58">
              <w:t>000</w:t>
            </w:r>
          </w:p>
        </w:tc>
        <w:tc>
          <w:tcPr>
            <w:tcW w:w="1339" w:type="dxa"/>
          </w:tcPr>
          <w:p w:rsidR="00ED423B" w:rsidRPr="00DE4F58" w:rsidRDefault="00ED423B" w:rsidP="00BB6679">
            <w:pPr>
              <w:pStyle w:val="TableFigText"/>
              <w:tabs>
                <w:tab w:val="clear" w:pos="425"/>
                <w:tab w:val="clear" w:pos="851"/>
                <w:tab w:val="right" w:pos="792"/>
              </w:tabs>
            </w:pPr>
            <w:r>
              <w:tab/>
            </w:r>
            <w:r w:rsidRPr="00DE4F58">
              <w:t>18</w:t>
            </w:r>
            <w:r>
              <w:t> </w:t>
            </w:r>
            <w:r w:rsidRPr="00DE4F58">
              <w:t>426</w:t>
            </w:r>
          </w:p>
        </w:tc>
        <w:tc>
          <w:tcPr>
            <w:tcW w:w="2061" w:type="dxa"/>
          </w:tcPr>
          <w:p w:rsidR="00ED423B" w:rsidRPr="00DE4F58" w:rsidRDefault="00ED423B" w:rsidP="00BB6679">
            <w:pPr>
              <w:pStyle w:val="TableFigText"/>
              <w:tabs>
                <w:tab w:val="clear" w:pos="425"/>
                <w:tab w:val="clear" w:pos="851"/>
              </w:tabs>
              <w:jc w:val="center"/>
            </w:pPr>
            <w:r>
              <w:t>7000–</w:t>
            </w:r>
            <w:r w:rsidRPr="00DE4F58">
              <w:t>43</w:t>
            </w:r>
            <w:r>
              <w:t> </w:t>
            </w:r>
            <w:r w:rsidRPr="00DE4F58">
              <w:t>000</w:t>
            </w:r>
          </w:p>
        </w:tc>
        <w:tc>
          <w:tcPr>
            <w:tcW w:w="1363" w:type="dxa"/>
          </w:tcPr>
          <w:p w:rsidR="00ED423B" w:rsidRPr="00DE4F58" w:rsidRDefault="00ED423B" w:rsidP="00BB6679">
            <w:pPr>
              <w:pStyle w:val="TableFigText"/>
              <w:tabs>
                <w:tab w:val="clear" w:pos="425"/>
                <w:tab w:val="clear" w:pos="851"/>
                <w:tab w:val="right" w:pos="833"/>
              </w:tabs>
            </w:pPr>
            <w:r>
              <w:tab/>
            </w:r>
            <w:r w:rsidRPr="00DE4F58">
              <w:t>83</w:t>
            </w:r>
            <w:r>
              <w:t> </w:t>
            </w:r>
            <w:r w:rsidRPr="00DE4F58">
              <w:t>837</w:t>
            </w:r>
          </w:p>
        </w:tc>
        <w:tc>
          <w:tcPr>
            <w:tcW w:w="2046" w:type="dxa"/>
          </w:tcPr>
          <w:p w:rsidR="00ED423B" w:rsidRPr="00DE4F58" w:rsidRDefault="00ED423B" w:rsidP="00BB6679">
            <w:pPr>
              <w:pStyle w:val="TableFigText"/>
              <w:tabs>
                <w:tab w:val="clear" w:pos="425"/>
                <w:tab w:val="clear" w:pos="851"/>
              </w:tabs>
              <w:jc w:val="center"/>
            </w:pPr>
            <w:r w:rsidRPr="00DE4F58">
              <w:t>58</w:t>
            </w:r>
            <w:r>
              <w:t> 000–</w:t>
            </w:r>
            <w:r w:rsidRPr="00DE4F58">
              <w:t>119</w:t>
            </w:r>
            <w:r>
              <w:t> </w:t>
            </w:r>
            <w:r w:rsidRPr="00DE4F58">
              <w:t>000</w:t>
            </w:r>
          </w:p>
        </w:tc>
      </w:tr>
      <w:tr w:rsidR="00ED423B" w:rsidRPr="00DE4F58" w:rsidTr="00BB6679">
        <w:tc>
          <w:tcPr>
            <w:tcW w:w="2590" w:type="dxa"/>
            <w:tcBorders>
              <w:bottom w:val="single" w:sz="4" w:space="0" w:color="auto"/>
            </w:tcBorders>
          </w:tcPr>
          <w:p w:rsidR="00ED423B" w:rsidRPr="00DE4F58" w:rsidRDefault="00ED423B" w:rsidP="00BB6679">
            <w:pPr>
              <w:pStyle w:val="TableFigText"/>
            </w:pPr>
            <w:proofErr w:type="spellStart"/>
            <w:r w:rsidRPr="00DE4F58">
              <w:t>Total</w:t>
            </w:r>
            <w:r w:rsidRPr="00DE4F58">
              <w:rPr>
                <w:vertAlign w:val="superscript"/>
              </w:rPr>
              <w:t>4</w:t>
            </w:r>
            <w:proofErr w:type="spellEnd"/>
          </w:p>
        </w:tc>
        <w:tc>
          <w:tcPr>
            <w:tcW w:w="1385" w:type="dxa"/>
            <w:tcBorders>
              <w:bottom w:val="single" w:sz="4" w:space="0" w:color="auto"/>
            </w:tcBorders>
          </w:tcPr>
          <w:p w:rsidR="00ED423B" w:rsidRPr="00FD110B" w:rsidRDefault="00ED423B" w:rsidP="00BB6679">
            <w:pPr>
              <w:pStyle w:val="TableFigText"/>
              <w:tabs>
                <w:tab w:val="clear" w:pos="425"/>
                <w:tab w:val="clear" w:pos="851"/>
                <w:tab w:val="right" w:pos="955"/>
              </w:tabs>
            </w:pPr>
            <w:r w:rsidRPr="00FD110B">
              <w:tab/>
              <w:t>551 484</w:t>
            </w:r>
          </w:p>
        </w:tc>
        <w:tc>
          <w:tcPr>
            <w:tcW w:w="2060" w:type="dxa"/>
            <w:tcBorders>
              <w:bottom w:val="single" w:sz="4" w:space="0" w:color="auto"/>
            </w:tcBorders>
          </w:tcPr>
          <w:p w:rsidR="00ED423B" w:rsidRPr="00DE4F58" w:rsidRDefault="00ED423B" w:rsidP="00BB6679">
            <w:pPr>
              <w:pStyle w:val="TableFigText"/>
              <w:tabs>
                <w:tab w:val="clear" w:pos="425"/>
                <w:tab w:val="clear" w:pos="851"/>
              </w:tabs>
              <w:jc w:val="center"/>
            </w:pPr>
            <w:r w:rsidRPr="00DE4F58">
              <w:t>487</w:t>
            </w:r>
            <w:r>
              <w:t> 000–</w:t>
            </w:r>
            <w:r w:rsidRPr="00DE4F58">
              <w:t>623</w:t>
            </w:r>
            <w:r>
              <w:t> </w:t>
            </w:r>
            <w:r w:rsidRPr="00DE4F58">
              <w:t>000</w:t>
            </w:r>
          </w:p>
        </w:tc>
        <w:tc>
          <w:tcPr>
            <w:tcW w:w="1339" w:type="dxa"/>
            <w:tcBorders>
              <w:bottom w:val="single" w:sz="4" w:space="0" w:color="auto"/>
            </w:tcBorders>
          </w:tcPr>
          <w:p w:rsidR="00ED423B" w:rsidRPr="00DE4F58" w:rsidRDefault="00ED423B" w:rsidP="00BB6679">
            <w:pPr>
              <w:pStyle w:val="TableFigText"/>
              <w:tabs>
                <w:tab w:val="clear" w:pos="425"/>
                <w:tab w:val="clear" w:pos="851"/>
                <w:tab w:val="right" w:pos="792"/>
              </w:tabs>
            </w:pPr>
            <w:r>
              <w:tab/>
            </w:r>
            <w:r w:rsidRPr="00DE4F58">
              <w:t>125</w:t>
            </w:r>
            <w:r>
              <w:t> </w:t>
            </w:r>
            <w:r w:rsidRPr="00DE4F58">
              <w:t>335</w:t>
            </w:r>
          </w:p>
        </w:tc>
        <w:tc>
          <w:tcPr>
            <w:tcW w:w="2061" w:type="dxa"/>
            <w:tcBorders>
              <w:bottom w:val="single" w:sz="4" w:space="0" w:color="auto"/>
            </w:tcBorders>
          </w:tcPr>
          <w:p w:rsidR="00ED423B" w:rsidRPr="00DE4F58" w:rsidRDefault="00ED423B" w:rsidP="00BB6679">
            <w:pPr>
              <w:pStyle w:val="TableFigText"/>
              <w:tabs>
                <w:tab w:val="clear" w:pos="425"/>
                <w:tab w:val="clear" w:pos="851"/>
              </w:tabs>
              <w:jc w:val="center"/>
            </w:pPr>
            <w:r w:rsidRPr="00DE4F58">
              <w:t>96</w:t>
            </w:r>
            <w:r>
              <w:t> 000–</w:t>
            </w:r>
            <w:r w:rsidRPr="00DE4F58">
              <w:t>162</w:t>
            </w:r>
            <w:r>
              <w:t> </w:t>
            </w:r>
            <w:r w:rsidRPr="00DE4F58">
              <w:t>000</w:t>
            </w:r>
          </w:p>
        </w:tc>
        <w:tc>
          <w:tcPr>
            <w:tcW w:w="1363" w:type="dxa"/>
            <w:tcBorders>
              <w:bottom w:val="single" w:sz="4" w:space="0" w:color="auto"/>
            </w:tcBorders>
          </w:tcPr>
          <w:p w:rsidR="00ED423B" w:rsidRPr="00DE4F58" w:rsidRDefault="00ED423B" w:rsidP="00BB6679">
            <w:pPr>
              <w:pStyle w:val="TableFigText"/>
              <w:tabs>
                <w:tab w:val="clear" w:pos="425"/>
                <w:tab w:val="clear" w:pos="851"/>
                <w:tab w:val="right" w:pos="833"/>
              </w:tabs>
            </w:pPr>
            <w:r>
              <w:tab/>
            </w:r>
            <w:r w:rsidRPr="00DE4F58">
              <w:t>676</w:t>
            </w:r>
            <w:r>
              <w:t> </w:t>
            </w:r>
            <w:r w:rsidRPr="00DE4F58">
              <w:t>819</w:t>
            </w:r>
          </w:p>
        </w:tc>
        <w:tc>
          <w:tcPr>
            <w:tcW w:w="2046" w:type="dxa"/>
            <w:tcBorders>
              <w:bottom w:val="single" w:sz="4" w:space="0" w:color="auto"/>
            </w:tcBorders>
          </w:tcPr>
          <w:p w:rsidR="00ED423B" w:rsidRPr="00DE4F58" w:rsidRDefault="00ED423B" w:rsidP="00BB6679">
            <w:pPr>
              <w:pStyle w:val="TableFigText"/>
              <w:tabs>
                <w:tab w:val="clear" w:pos="425"/>
                <w:tab w:val="clear" w:pos="851"/>
              </w:tabs>
              <w:jc w:val="center"/>
            </w:pPr>
            <w:r w:rsidRPr="00DE4F58">
              <w:t>605</w:t>
            </w:r>
            <w:r>
              <w:t> 000–</w:t>
            </w:r>
            <w:r w:rsidRPr="00DE4F58">
              <w:t>757</w:t>
            </w:r>
            <w:r>
              <w:t> </w:t>
            </w:r>
            <w:r w:rsidRPr="00DE4F58">
              <w:t>000</w:t>
            </w:r>
          </w:p>
        </w:tc>
      </w:tr>
    </w:tbl>
    <w:p w:rsidR="00ED423B" w:rsidRPr="005F4F21" w:rsidRDefault="00ED423B" w:rsidP="00BB6679">
      <w:pPr>
        <w:pStyle w:val="TableFigNoteFirst"/>
      </w:pPr>
      <w:r>
        <w:t>Notes:</w:t>
      </w:r>
    </w:p>
    <w:p w:rsidR="00ED423B" w:rsidRPr="005F4F21" w:rsidRDefault="00ED423B" w:rsidP="00BB6679">
      <w:pPr>
        <w:pStyle w:val="TableFigNoteMiddle"/>
      </w:pPr>
      <w:r w:rsidRPr="005F4F21">
        <w:t>1:</w:t>
      </w:r>
      <w:r w:rsidRPr="005F4F21">
        <w:tab/>
        <w:t>There was at least one person from the clerical and administrative workers occupation category. Estimates are not provided for this occupation category as there were less than three exposed persons in the study population. There were no exposed persons from occupation categories not included in the table.</w:t>
      </w:r>
    </w:p>
    <w:p w:rsidR="00ED423B" w:rsidRPr="005F4F21" w:rsidRDefault="00ED423B" w:rsidP="00BB6679">
      <w:pPr>
        <w:pStyle w:val="TableFigNoteMiddle"/>
      </w:pPr>
      <w:proofErr w:type="gramStart"/>
      <w:r w:rsidRPr="005F4F21">
        <w:t>2:</w:t>
      </w:r>
      <w:r w:rsidRPr="005F4F21">
        <w:tab/>
        <w:t>95% confidence interval.</w:t>
      </w:r>
      <w:proofErr w:type="gramEnd"/>
    </w:p>
    <w:p w:rsidR="00ED423B" w:rsidRPr="005F4F21" w:rsidRDefault="00ED423B" w:rsidP="00BB6679">
      <w:pPr>
        <w:pStyle w:val="TableFigNoteMiddle"/>
      </w:pPr>
      <w:r w:rsidRPr="005F4F21">
        <w:t>3:</w:t>
      </w:r>
      <w:r w:rsidRPr="005F4F21">
        <w:tab/>
        <w:t xml:space="preserve">There were no female clerical and administrative workers or machinery operators and drivers in the AWES study who were deemed exposed to </w:t>
      </w:r>
      <w:proofErr w:type="spellStart"/>
      <w:r w:rsidRPr="005F4F21">
        <w:t>PAHs</w:t>
      </w:r>
      <w:proofErr w:type="spellEnd"/>
      <w:r w:rsidRPr="005F4F21">
        <w:t>.</w:t>
      </w:r>
    </w:p>
    <w:p w:rsidR="00ED423B" w:rsidRPr="005F4F21" w:rsidRDefault="00ED423B" w:rsidP="00BB6679">
      <w:pPr>
        <w:pStyle w:val="TableFigNoteLast"/>
      </w:pPr>
      <w:r w:rsidRPr="005F4F21">
        <w:t>4:</w:t>
      </w:r>
      <w:r w:rsidRPr="005F4F21">
        <w:tab/>
      </w:r>
      <w:r w:rsidRPr="00DE4F58">
        <w:t>The</w:t>
      </w:r>
      <w:r w:rsidRPr="005F4F21">
        <w:t xml:space="preserve"> total is greater than the sum of the columns because estimates </w:t>
      </w:r>
      <w:r>
        <w:t xml:space="preserve">are not </w:t>
      </w:r>
      <w:r w:rsidRPr="005F4F21">
        <w:t xml:space="preserve">included in the table for </w:t>
      </w:r>
      <w:r>
        <w:t>those</w:t>
      </w:r>
      <w:r w:rsidRPr="005F4F21">
        <w:t xml:space="preserve"> occupations </w:t>
      </w:r>
      <w:r>
        <w:t xml:space="preserve">with </w:t>
      </w:r>
      <w:r w:rsidRPr="005F4F21">
        <w:t>insufficient subjects (identified with ‘-</w:t>
      </w:r>
      <w:proofErr w:type="gramStart"/>
      <w:r w:rsidRPr="005F4F21">
        <w:t>‘ in</w:t>
      </w:r>
      <w:proofErr w:type="gramEnd"/>
      <w:r w:rsidRPr="005F4F21">
        <w:t xml:space="preserve"> the column).</w:t>
      </w:r>
    </w:p>
    <w:p w:rsidR="00ED423B" w:rsidRPr="00570F26" w:rsidRDefault="00ED423B" w:rsidP="00BB6679">
      <w:pPr>
        <w:rPr>
          <w:highlight w:val="green"/>
        </w:rPr>
      </w:pPr>
    </w:p>
    <w:p w:rsidR="00ED423B" w:rsidRPr="00570F26" w:rsidRDefault="00ED423B" w:rsidP="00BB6679">
      <w:pPr>
        <w:rPr>
          <w:highlight w:val="green"/>
        </w:rPr>
        <w:sectPr w:rsidR="00ED423B" w:rsidRPr="00570F26" w:rsidSect="00BB6679">
          <w:footerReference w:type="default" r:id="rId26"/>
          <w:footnotePr>
            <w:numRestart w:val="eachSect"/>
          </w:footnotePr>
          <w:endnotePr>
            <w:numFmt w:val="decimal"/>
          </w:endnotePr>
          <w:pgSz w:w="16838" w:h="11906" w:orient="landscape"/>
          <w:pgMar w:top="1134" w:right="1134" w:bottom="1701" w:left="1134" w:header="720" w:footer="720" w:gutter="0"/>
          <w:cols w:space="720"/>
          <w:docGrid w:linePitch="326"/>
        </w:sectPr>
      </w:pPr>
    </w:p>
    <w:p w:rsidR="00ED423B" w:rsidRPr="00895A41" w:rsidRDefault="00ED423B" w:rsidP="00BB6679">
      <w:pPr>
        <w:pStyle w:val="Heading2"/>
      </w:pPr>
      <w:bookmarkStart w:id="31" w:name="_Toc401068293"/>
      <w:r w:rsidRPr="00895A41">
        <w:lastRenderedPageBreak/>
        <w:t>Circumstances of exposure</w:t>
      </w:r>
      <w:bookmarkEnd w:id="31"/>
    </w:p>
    <w:p w:rsidR="00ED423B" w:rsidRPr="00895A41" w:rsidRDefault="00ED423B" w:rsidP="00BB6679">
      <w:r w:rsidRPr="00895A41">
        <w:t xml:space="preserve">The assessed </w:t>
      </w:r>
      <w:proofErr w:type="spellStart"/>
      <w:r w:rsidRPr="00895A41">
        <w:t>PAHs</w:t>
      </w:r>
      <w:proofErr w:type="spellEnd"/>
      <w:r w:rsidRPr="00895A41">
        <w:t xml:space="preserve"> exposure occurred in a variety of circumstances. The main exposure circumstances are summari</w:t>
      </w:r>
      <w:r>
        <w:t>s</w:t>
      </w:r>
      <w:r w:rsidRPr="00895A41">
        <w:t>ed in Table 2. The main exposure circumstances were exposure to smoke through burning</w:t>
      </w:r>
      <w:r w:rsidR="00F56243">
        <w:t xml:space="preserve"> waste</w:t>
      </w:r>
      <w:r>
        <w:t xml:space="preserve">, </w:t>
      </w:r>
      <w:r w:rsidRPr="00895A41">
        <w:t>fighting fires</w:t>
      </w:r>
      <w:r w:rsidRPr="00AF1400">
        <w:t xml:space="preserve"> </w:t>
      </w:r>
      <w:r>
        <w:t xml:space="preserve">or through </w:t>
      </w:r>
      <w:r w:rsidRPr="00895A41">
        <w:t>maintaining mowers or other equipment</w:t>
      </w:r>
      <w:r>
        <w:rPr>
          <w:rStyle w:val="FootnoteReference"/>
        </w:rPr>
        <w:footnoteReference w:id="6"/>
      </w:r>
      <w:r>
        <w:t xml:space="preserve"> (an exposure mainly identified in </w:t>
      </w:r>
      <w:r w:rsidRPr="00895A41">
        <w:t>farmers</w:t>
      </w:r>
      <w:r>
        <w:t>).</w:t>
      </w:r>
      <w:r w:rsidRPr="00895A41">
        <w:t xml:space="preserve"> Other common exposure circumstances were</w:t>
      </w:r>
      <w:r>
        <w:t xml:space="preserve"> </w:t>
      </w:r>
      <w:r w:rsidRPr="00895A41">
        <w:t>cleaning up ash after a fire</w:t>
      </w:r>
      <w:r>
        <w:t>,</w:t>
      </w:r>
      <w:r w:rsidRPr="00895A41">
        <w:t xml:space="preserve"> health workers exposed to diathermy</w:t>
      </w:r>
      <w:r>
        <w:t xml:space="preserve"> </w:t>
      </w:r>
      <w:r w:rsidRPr="00895A41">
        <w:t>smoke</w:t>
      </w:r>
      <w:r>
        <w:t xml:space="preserve"> </w:t>
      </w:r>
      <w:r w:rsidRPr="007065AA">
        <w:t>(smoke arising from cauterisation during surgery)</w:t>
      </w:r>
      <w:r>
        <w:t>,</w:t>
      </w:r>
      <w:r w:rsidRPr="00895A41">
        <w:t xml:space="preserve"> </w:t>
      </w:r>
      <w:r>
        <w:t xml:space="preserve">cooking, </w:t>
      </w:r>
      <w:r w:rsidRPr="00895A41">
        <w:t xml:space="preserve">and welding surfaces with a coating. Some </w:t>
      </w:r>
      <w:r>
        <w:t>respondents</w:t>
      </w:r>
      <w:r w:rsidRPr="00895A41">
        <w:t xml:space="preserve"> had more than one exposure circumstance and some less common exposure circumstances are not included in Table 2.</w:t>
      </w:r>
    </w:p>
    <w:p w:rsidR="00ED423B" w:rsidRPr="00BE3F18" w:rsidRDefault="00ED423B" w:rsidP="00BB6679">
      <w:pPr>
        <w:pStyle w:val="TableCaption"/>
      </w:pPr>
      <w:bookmarkStart w:id="32" w:name="_Toc386526222"/>
      <w:bookmarkStart w:id="33" w:name="_Toc401068426"/>
      <w:proofErr w:type="gramStart"/>
      <w:r w:rsidRPr="00BE3F18">
        <w:t xml:space="preserve">Table </w:t>
      </w:r>
      <w:fldSimple w:instr=" SEQ Table_3. \* ARABIC ">
        <w:r>
          <w:rPr>
            <w:noProof/>
          </w:rPr>
          <w:t>2</w:t>
        </w:r>
      </w:fldSimple>
      <w:r>
        <w:t xml:space="preserve">: </w:t>
      </w:r>
      <w:r w:rsidRPr="00BE3F18">
        <w:t xml:space="preserve">Main circumstances resulting in exposure to </w:t>
      </w:r>
      <w:proofErr w:type="spellStart"/>
      <w:r w:rsidRPr="00BE3F18">
        <w:t>PAHs</w:t>
      </w:r>
      <w:proofErr w:type="spellEnd"/>
      <w:r w:rsidRPr="00BE3F18">
        <w:t>.</w:t>
      </w:r>
      <w:bookmarkEnd w:id="32"/>
      <w:bookmarkEnd w:id="33"/>
      <w:proofErr w:type="gramEnd"/>
    </w:p>
    <w:tbl>
      <w:tblPr>
        <w:tblW w:w="5000" w:type="pct"/>
        <w:tblBorders>
          <w:top w:val="single" w:sz="4" w:space="0" w:color="auto"/>
          <w:bottom w:val="single" w:sz="4" w:space="0" w:color="auto"/>
        </w:tblBorders>
        <w:tblLook w:val="00A0" w:firstRow="1" w:lastRow="0" w:firstColumn="1" w:lastColumn="0" w:noHBand="0" w:noVBand="0"/>
        <w:tblCaption w:val="Table 2: Main circumstances resulting in exposure to PAHs"/>
        <w:tblDescription w:val="The main task-based activities in which AWES respondents were probably exposed to PAHs included working with burning waste (either high or medium exposures), repairing motors (all medium exposures),cleaning out ash (mostly high exposures), surgical operations (low exposures to diathermy smoke), cooking (all low exposures) and fire fighting or fire overhaul (mostly high or medium exposures)."/>
      </w:tblPr>
      <w:tblGrid>
        <w:gridCol w:w="4335"/>
        <w:gridCol w:w="1238"/>
        <w:gridCol w:w="1238"/>
        <w:gridCol w:w="1238"/>
        <w:gridCol w:w="1238"/>
      </w:tblGrid>
      <w:tr w:rsidR="00ED423B" w:rsidRPr="00570F26" w:rsidTr="00BB6679">
        <w:tc>
          <w:tcPr>
            <w:tcW w:w="3969" w:type="dxa"/>
            <w:tcBorders>
              <w:top w:val="single" w:sz="4" w:space="0" w:color="auto"/>
              <w:bottom w:val="single" w:sz="4" w:space="0" w:color="auto"/>
            </w:tcBorders>
          </w:tcPr>
          <w:p w:rsidR="00ED423B" w:rsidRPr="00BE3F18" w:rsidRDefault="00ED423B" w:rsidP="00BB6679">
            <w:pPr>
              <w:pStyle w:val="TableFigHeadingText"/>
            </w:pPr>
            <w:r w:rsidRPr="00BE3F18">
              <w:t>Exposure circumstance</w:t>
            </w:r>
          </w:p>
        </w:tc>
        <w:tc>
          <w:tcPr>
            <w:tcW w:w="1134" w:type="dxa"/>
            <w:tcBorders>
              <w:top w:val="single" w:sz="4" w:space="0" w:color="auto"/>
              <w:bottom w:val="single" w:sz="4" w:space="0" w:color="auto"/>
            </w:tcBorders>
          </w:tcPr>
          <w:p w:rsidR="00ED423B" w:rsidRPr="00BE3F18" w:rsidRDefault="00ED423B" w:rsidP="00BB6679">
            <w:pPr>
              <w:pStyle w:val="TableFigHeadingText"/>
              <w:jc w:val="center"/>
            </w:pPr>
            <w:r w:rsidRPr="00BE3F18">
              <w:t>High</w:t>
            </w:r>
          </w:p>
        </w:tc>
        <w:tc>
          <w:tcPr>
            <w:tcW w:w="1134" w:type="dxa"/>
            <w:tcBorders>
              <w:top w:val="single" w:sz="4" w:space="0" w:color="auto"/>
              <w:bottom w:val="single" w:sz="4" w:space="0" w:color="auto"/>
            </w:tcBorders>
          </w:tcPr>
          <w:p w:rsidR="00ED423B" w:rsidRPr="00BE3F18" w:rsidRDefault="00ED423B" w:rsidP="00BB6679">
            <w:pPr>
              <w:pStyle w:val="TableFigHeadingText"/>
              <w:jc w:val="center"/>
            </w:pPr>
            <w:r w:rsidRPr="00BE3F18">
              <w:t>Medium</w:t>
            </w:r>
          </w:p>
        </w:tc>
        <w:tc>
          <w:tcPr>
            <w:tcW w:w="1134" w:type="dxa"/>
            <w:tcBorders>
              <w:top w:val="single" w:sz="4" w:space="0" w:color="auto"/>
              <w:bottom w:val="single" w:sz="4" w:space="0" w:color="auto"/>
            </w:tcBorders>
          </w:tcPr>
          <w:p w:rsidR="00ED423B" w:rsidRPr="00BE3F18" w:rsidRDefault="00ED423B" w:rsidP="00BB6679">
            <w:pPr>
              <w:pStyle w:val="TableFigHeadingText"/>
              <w:jc w:val="center"/>
            </w:pPr>
            <w:r w:rsidRPr="00BE3F18">
              <w:t>Low</w:t>
            </w:r>
          </w:p>
        </w:tc>
        <w:tc>
          <w:tcPr>
            <w:tcW w:w="1134" w:type="dxa"/>
            <w:tcBorders>
              <w:top w:val="single" w:sz="4" w:space="0" w:color="auto"/>
              <w:bottom w:val="single" w:sz="4" w:space="0" w:color="auto"/>
            </w:tcBorders>
          </w:tcPr>
          <w:p w:rsidR="00ED423B" w:rsidRPr="00BE3F18" w:rsidRDefault="00ED423B" w:rsidP="00BB6679">
            <w:pPr>
              <w:pStyle w:val="TableFigHeadingText"/>
              <w:jc w:val="center"/>
            </w:pPr>
            <w:r w:rsidRPr="00BE3F18">
              <w:t>Total</w:t>
            </w:r>
          </w:p>
        </w:tc>
      </w:tr>
      <w:tr w:rsidR="00ED423B" w:rsidRPr="00570F26" w:rsidTr="00BB6679">
        <w:tc>
          <w:tcPr>
            <w:tcW w:w="3969" w:type="dxa"/>
          </w:tcPr>
          <w:p w:rsidR="00ED423B" w:rsidRPr="004002D4" w:rsidRDefault="00ED423B" w:rsidP="00BB6679">
            <w:pPr>
              <w:pStyle w:val="TableFigText"/>
            </w:pPr>
            <w:r w:rsidRPr="004002D4">
              <w:t>Burning waste</w:t>
            </w:r>
          </w:p>
        </w:tc>
        <w:tc>
          <w:tcPr>
            <w:tcW w:w="1134" w:type="dxa"/>
          </w:tcPr>
          <w:p w:rsidR="00ED423B" w:rsidRPr="004002D4" w:rsidRDefault="00ED423B" w:rsidP="00BB6679">
            <w:pPr>
              <w:pStyle w:val="TableFigText"/>
              <w:tabs>
                <w:tab w:val="clear" w:pos="425"/>
                <w:tab w:val="clear" w:pos="851"/>
                <w:tab w:val="decimal" w:pos="627"/>
              </w:tabs>
            </w:pPr>
            <w:r w:rsidRPr="004002D4">
              <w:t>78</w:t>
            </w:r>
          </w:p>
        </w:tc>
        <w:tc>
          <w:tcPr>
            <w:tcW w:w="1134" w:type="dxa"/>
          </w:tcPr>
          <w:p w:rsidR="00ED423B" w:rsidRPr="004002D4" w:rsidRDefault="00ED423B" w:rsidP="00BB6679">
            <w:pPr>
              <w:pStyle w:val="TableFigText"/>
              <w:tabs>
                <w:tab w:val="clear" w:pos="425"/>
                <w:tab w:val="clear" w:pos="851"/>
                <w:tab w:val="decimal" w:pos="627"/>
              </w:tabs>
            </w:pPr>
            <w:r w:rsidRPr="004002D4">
              <w:t>14</w:t>
            </w:r>
          </w:p>
        </w:tc>
        <w:tc>
          <w:tcPr>
            <w:tcW w:w="1134" w:type="dxa"/>
          </w:tcPr>
          <w:p w:rsidR="00ED423B" w:rsidRPr="004002D4" w:rsidRDefault="00ED423B" w:rsidP="00BB6679">
            <w:pPr>
              <w:pStyle w:val="TableFigText"/>
              <w:tabs>
                <w:tab w:val="clear" w:pos="425"/>
                <w:tab w:val="clear" w:pos="851"/>
              </w:tabs>
              <w:jc w:val="center"/>
            </w:pPr>
            <w:r w:rsidRPr="004002D4">
              <w:t>-</w:t>
            </w:r>
          </w:p>
        </w:tc>
        <w:tc>
          <w:tcPr>
            <w:tcW w:w="1134" w:type="dxa"/>
          </w:tcPr>
          <w:p w:rsidR="00ED423B" w:rsidRPr="004002D4" w:rsidRDefault="00ED423B" w:rsidP="00BB6679">
            <w:pPr>
              <w:pStyle w:val="TableFigText"/>
              <w:tabs>
                <w:tab w:val="clear" w:pos="425"/>
                <w:tab w:val="clear" w:pos="851"/>
                <w:tab w:val="decimal" w:pos="627"/>
              </w:tabs>
            </w:pPr>
            <w:r w:rsidRPr="004002D4">
              <w:t>92</w:t>
            </w:r>
          </w:p>
        </w:tc>
      </w:tr>
      <w:tr w:rsidR="00ED423B" w:rsidRPr="00570F26" w:rsidTr="00BB6679">
        <w:tc>
          <w:tcPr>
            <w:tcW w:w="3969" w:type="dxa"/>
            <w:tcBorders>
              <w:top w:val="nil"/>
              <w:bottom w:val="nil"/>
            </w:tcBorders>
          </w:tcPr>
          <w:p w:rsidR="00ED423B" w:rsidRPr="008B7ABE" w:rsidRDefault="00ED423B" w:rsidP="00BB6679">
            <w:pPr>
              <w:pStyle w:val="TableFigText"/>
            </w:pPr>
            <w:r w:rsidRPr="008B7ABE">
              <w:t>Cleaning out ash</w:t>
            </w:r>
          </w:p>
        </w:tc>
        <w:tc>
          <w:tcPr>
            <w:tcW w:w="1134" w:type="dxa"/>
            <w:tcBorders>
              <w:top w:val="nil"/>
              <w:bottom w:val="nil"/>
            </w:tcBorders>
          </w:tcPr>
          <w:p w:rsidR="00ED423B" w:rsidRPr="008B7ABE" w:rsidRDefault="00ED423B" w:rsidP="00BB6679">
            <w:pPr>
              <w:pStyle w:val="TableFigText"/>
              <w:tabs>
                <w:tab w:val="clear" w:pos="425"/>
                <w:tab w:val="clear" w:pos="851"/>
                <w:tab w:val="decimal" w:pos="627"/>
              </w:tabs>
            </w:pPr>
            <w:r w:rsidRPr="008B7ABE">
              <w:t>36</w:t>
            </w:r>
          </w:p>
        </w:tc>
        <w:tc>
          <w:tcPr>
            <w:tcW w:w="1134" w:type="dxa"/>
            <w:tcBorders>
              <w:top w:val="nil"/>
              <w:bottom w:val="nil"/>
            </w:tcBorders>
          </w:tcPr>
          <w:p w:rsidR="00ED423B" w:rsidRPr="008B7ABE" w:rsidRDefault="00ED423B" w:rsidP="00BB6679">
            <w:pPr>
              <w:pStyle w:val="TableFigText"/>
              <w:tabs>
                <w:tab w:val="clear" w:pos="425"/>
                <w:tab w:val="clear" w:pos="851"/>
                <w:tab w:val="decimal" w:pos="627"/>
              </w:tabs>
            </w:pPr>
            <w:r w:rsidRPr="008B7ABE">
              <w:t>1</w:t>
            </w:r>
          </w:p>
        </w:tc>
        <w:tc>
          <w:tcPr>
            <w:tcW w:w="1134" w:type="dxa"/>
            <w:tcBorders>
              <w:top w:val="nil"/>
              <w:bottom w:val="nil"/>
            </w:tcBorders>
          </w:tcPr>
          <w:p w:rsidR="00ED423B" w:rsidRPr="008B7ABE" w:rsidRDefault="00ED423B" w:rsidP="00BB6679">
            <w:pPr>
              <w:pStyle w:val="TableFigText"/>
              <w:tabs>
                <w:tab w:val="clear" w:pos="425"/>
                <w:tab w:val="clear" w:pos="851"/>
              </w:tabs>
              <w:jc w:val="center"/>
            </w:pPr>
            <w:r>
              <w:t>-</w:t>
            </w:r>
          </w:p>
        </w:tc>
        <w:tc>
          <w:tcPr>
            <w:tcW w:w="1134" w:type="dxa"/>
            <w:tcBorders>
              <w:top w:val="nil"/>
              <w:bottom w:val="nil"/>
            </w:tcBorders>
          </w:tcPr>
          <w:p w:rsidR="00ED423B" w:rsidRPr="008B7ABE" w:rsidRDefault="00ED423B" w:rsidP="00BB6679">
            <w:pPr>
              <w:pStyle w:val="TableFigText"/>
              <w:tabs>
                <w:tab w:val="clear" w:pos="425"/>
                <w:tab w:val="clear" w:pos="851"/>
                <w:tab w:val="decimal" w:pos="627"/>
              </w:tabs>
            </w:pPr>
            <w:r w:rsidRPr="008B7ABE">
              <w:t>37</w:t>
            </w:r>
          </w:p>
        </w:tc>
      </w:tr>
      <w:tr w:rsidR="00ED423B" w:rsidRPr="00570F26" w:rsidTr="00BB6679">
        <w:tc>
          <w:tcPr>
            <w:tcW w:w="3969" w:type="dxa"/>
            <w:tcBorders>
              <w:bottom w:val="nil"/>
            </w:tcBorders>
          </w:tcPr>
          <w:p w:rsidR="00ED423B" w:rsidRPr="004002D4" w:rsidRDefault="00ED423B" w:rsidP="00BB6679">
            <w:pPr>
              <w:pStyle w:val="TableFigText"/>
            </w:pPr>
            <w:r w:rsidRPr="004002D4">
              <w:t>Fighting fires</w:t>
            </w:r>
            <w:r>
              <w:t xml:space="preserve"> and fire overhaul</w:t>
            </w:r>
          </w:p>
        </w:tc>
        <w:tc>
          <w:tcPr>
            <w:tcW w:w="1134" w:type="dxa"/>
            <w:tcBorders>
              <w:bottom w:val="nil"/>
            </w:tcBorders>
          </w:tcPr>
          <w:p w:rsidR="00ED423B" w:rsidRPr="004002D4" w:rsidRDefault="00ED423B" w:rsidP="00BB6679">
            <w:pPr>
              <w:pStyle w:val="TableFigText"/>
              <w:tabs>
                <w:tab w:val="clear" w:pos="425"/>
                <w:tab w:val="clear" w:pos="851"/>
                <w:tab w:val="decimal" w:pos="627"/>
              </w:tabs>
            </w:pPr>
            <w:r w:rsidRPr="004002D4">
              <w:t>12</w:t>
            </w:r>
          </w:p>
        </w:tc>
        <w:tc>
          <w:tcPr>
            <w:tcW w:w="1134" w:type="dxa"/>
            <w:tcBorders>
              <w:bottom w:val="nil"/>
            </w:tcBorders>
          </w:tcPr>
          <w:p w:rsidR="00ED423B" w:rsidRPr="004002D4" w:rsidRDefault="00ED423B" w:rsidP="00BB6679">
            <w:pPr>
              <w:pStyle w:val="TableFigText"/>
              <w:tabs>
                <w:tab w:val="clear" w:pos="425"/>
                <w:tab w:val="clear" w:pos="851"/>
                <w:tab w:val="decimal" w:pos="627"/>
              </w:tabs>
            </w:pPr>
            <w:r w:rsidRPr="004002D4">
              <w:t>9</w:t>
            </w:r>
          </w:p>
        </w:tc>
        <w:tc>
          <w:tcPr>
            <w:tcW w:w="1134" w:type="dxa"/>
            <w:tcBorders>
              <w:bottom w:val="nil"/>
            </w:tcBorders>
          </w:tcPr>
          <w:p w:rsidR="00ED423B" w:rsidRPr="004002D4" w:rsidRDefault="00ED423B" w:rsidP="00BB6679">
            <w:pPr>
              <w:pStyle w:val="TableFigText"/>
              <w:tabs>
                <w:tab w:val="clear" w:pos="425"/>
                <w:tab w:val="clear" w:pos="851"/>
              </w:tabs>
              <w:jc w:val="center"/>
            </w:pPr>
            <w:r w:rsidRPr="004002D4">
              <w:t>-</w:t>
            </w:r>
          </w:p>
        </w:tc>
        <w:tc>
          <w:tcPr>
            <w:tcW w:w="1134" w:type="dxa"/>
            <w:tcBorders>
              <w:bottom w:val="nil"/>
            </w:tcBorders>
          </w:tcPr>
          <w:p w:rsidR="00ED423B" w:rsidRPr="004002D4" w:rsidRDefault="00ED423B" w:rsidP="00BB6679">
            <w:pPr>
              <w:pStyle w:val="TableFigText"/>
              <w:tabs>
                <w:tab w:val="clear" w:pos="425"/>
                <w:tab w:val="clear" w:pos="851"/>
                <w:tab w:val="decimal" w:pos="627"/>
              </w:tabs>
            </w:pPr>
            <w:r w:rsidRPr="004002D4">
              <w:t>21</w:t>
            </w:r>
          </w:p>
        </w:tc>
      </w:tr>
      <w:tr w:rsidR="00ED423B" w:rsidRPr="00570F26" w:rsidTr="00BB6679">
        <w:tc>
          <w:tcPr>
            <w:tcW w:w="3969" w:type="dxa"/>
          </w:tcPr>
          <w:p w:rsidR="00ED423B" w:rsidRPr="00DC5981" w:rsidRDefault="00ED423B" w:rsidP="00BB6679">
            <w:pPr>
              <w:pStyle w:val="TableFigText"/>
            </w:pPr>
            <w:r w:rsidRPr="00DC5981">
              <w:t>Miners with ammonium nitrate fuel oil</w:t>
            </w:r>
          </w:p>
        </w:tc>
        <w:tc>
          <w:tcPr>
            <w:tcW w:w="1134" w:type="dxa"/>
          </w:tcPr>
          <w:p w:rsidR="00ED423B" w:rsidRPr="00DC5981" w:rsidRDefault="00ED423B" w:rsidP="00BB6679">
            <w:pPr>
              <w:pStyle w:val="TableFigText"/>
              <w:tabs>
                <w:tab w:val="clear" w:pos="425"/>
                <w:tab w:val="clear" w:pos="851"/>
                <w:tab w:val="decimal" w:pos="627"/>
              </w:tabs>
            </w:pPr>
            <w:r w:rsidRPr="00DC5981">
              <w:t>6</w:t>
            </w:r>
          </w:p>
        </w:tc>
        <w:tc>
          <w:tcPr>
            <w:tcW w:w="1134" w:type="dxa"/>
          </w:tcPr>
          <w:p w:rsidR="00ED423B" w:rsidRPr="00DC5981" w:rsidRDefault="00ED423B" w:rsidP="00BB6679">
            <w:pPr>
              <w:pStyle w:val="TableFigText"/>
              <w:tabs>
                <w:tab w:val="clear" w:pos="425"/>
                <w:tab w:val="clear" w:pos="851"/>
              </w:tabs>
              <w:jc w:val="center"/>
            </w:pPr>
            <w:r w:rsidRPr="00DC5981">
              <w:t>-</w:t>
            </w:r>
          </w:p>
        </w:tc>
        <w:tc>
          <w:tcPr>
            <w:tcW w:w="1134" w:type="dxa"/>
          </w:tcPr>
          <w:p w:rsidR="00ED423B" w:rsidRPr="00DC5981" w:rsidRDefault="00ED423B" w:rsidP="00BB6679">
            <w:pPr>
              <w:pStyle w:val="TableFigText"/>
              <w:tabs>
                <w:tab w:val="clear" w:pos="425"/>
                <w:tab w:val="clear" w:pos="851"/>
              </w:tabs>
              <w:jc w:val="center"/>
            </w:pPr>
            <w:r w:rsidRPr="00DC5981">
              <w:t>-</w:t>
            </w:r>
          </w:p>
        </w:tc>
        <w:tc>
          <w:tcPr>
            <w:tcW w:w="1134" w:type="dxa"/>
          </w:tcPr>
          <w:p w:rsidR="00ED423B" w:rsidRPr="00DC5981" w:rsidRDefault="00ED423B" w:rsidP="00BB6679">
            <w:pPr>
              <w:pStyle w:val="TableFigText"/>
              <w:tabs>
                <w:tab w:val="clear" w:pos="425"/>
                <w:tab w:val="clear" w:pos="851"/>
                <w:tab w:val="decimal" w:pos="627"/>
              </w:tabs>
            </w:pPr>
            <w:r w:rsidRPr="00DC5981">
              <w:t>6</w:t>
            </w:r>
          </w:p>
        </w:tc>
      </w:tr>
      <w:tr w:rsidR="00ED423B" w:rsidRPr="00570F26" w:rsidTr="00BB6679">
        <w:tc>
          <w:tcPr>
            <w:tcW w:w="3969" w:type="dxa"/>
          </w:tcPr>
          <w:p w:rsidR="00ED423B" w:rsidRPr="00CB6B29" w:rsidRDefault="00ED423B" w:rsidP="00BB6679">
            <w:pPr>
              <w:pStyle w:val="TableFigText"/>
            </w:pPr>
            <w:r w:rsidRPr="00CB6B29">
              <w:t>Using asphalt or tar</w:t>
            </w:r>
          </w:p>
        </w:tc>
        <w:tc>
          <w:tcPr>
            <w:tcW w:w="1134" w:type="dxa"/>
          </w:tcPr>
          <w:p w:rsidR="00ED423B" w:rsidRPr="00CB6B29" w:rsidRDefault="00ED423B" w:rsidP="00BB6679">
            <w:pPr>
              <w:pStyle w:val="TableFigText"/>
              <w:tabs>
                <w:tab w:val="clear" w:pos="425"/>
                <w:tab w:val="clear" w:pos="851"/>
                <w:tab w:val="decimal" w:pos="627"/>
              </w:tabs>
            </w:pPr>
            <w:r w:rsidRPr="00CB6B29">
              <w:t>1</w:t>
            </w:r>
          </w:p>
        </w:tc>
        <w:tc>
          <w:tcPr>
            <w:tcW w:w="1134" w:type="dxa"/>
          </w:tcPr>
          <w:p w:rsidR="00ED423B" w:rsidRPr="00CB6B29" w:rsidRDefault="00ED423B" w:rsidP="00BB6679">
            <w:pPr>
              <w:pStyle w:val="TableFigText"/>
              <w:tabs>
                <w:tab w:val="clear" w:pos="425"/>
                <w:tab w:val="clear" w:pos="851"/>
                <w:tab w:val="decimal" w:pos="627"/>
              </w:tabs>
            </w:pPr>
            <w:r w:rsidRPr="00CB6B29">
              <w:t>4</w:t>
            </w:r>
          </w:p>
        </w:tc>
        <w:tc>
          <w:tcPr>
            <w:tcW w:w="1134" w:type="dxa"/>
          </w:tcPr>
          <w:p w:rsidR="00ED423B" w:rsidRPr="00CB6B29" w:rsidRDefault="00ED423B" w:rsidP="00BB6679">
            <w:pPr>
              <w:pStyle w:val="TableFigText"/>
              <w:tabs>
                <w:tab w:val="clear" w:pos="425"/>
                <w:tab w:val="clear" w:pos="851"/>
                <w:tab w:val="decimal" w:pos="627"/>
              </w:tabs>
            </w:pPr>
            <w:r w:rsidRPr="00CB6B29">
              <w:t>4</w:t>
            </w:r>
          </w:p>
        </w:tc>
        <w:tc>
          <w:tcPr>
            <w:tcW w:w="1134" w:type="dxa"/>
          </w:tcPr>
          <w:p w:rsidR="00ED423B" w:rsidRPr="00CB6B29" w:rsidRDefault="00ED423B" w:rsidP="00BB6679">
            <w:pPr>
              <w:pStyle w:val="TableFigText"/>
              <w:tabs>
                <w:tab w:val="clear" w:pos="425"/>
                <w:tab w:val="clear" w:pos="851"/>
                <w:tab w:val="decimal" w:pos="627"/>
              </w:tabs>
            </w:pPr>
            <w:r w:rsidRPr="00CB6B29">
              <w:t>9</w:t>
            </w:r>
          </w:p>
        </w:tc>
      </w:tr>
      <w:tr w:rsidR="00ED423B" w:rsidRPr="00570F26" w:rsidTr="00BB6679">
        <w:tc>
          <w:tcPr>
            <w:tcW w:w="3969" w:type="dxa"/>
            <w:tcBorders>
              <w:bottom w:val="nil"/>
            </w:tcBorders>
          </w:tcPr>
          <w:p w:rsidR="00ED423B" w:rsidRPr="004002D4" w:rsidRDefault="00ED423B" w:rsidP="00BB6679">
            <w:pPr>
              <w:pStyle w:val="TableFigText"/>
            </w:pPr>
            <w:r>
              <w:t>Repairing motors</w:t>
            </w:r>
          </w:p>
        </w:tc>
        <w:tc>
          <w:tcPr>
            <w:tcW w:w="1134" w:type="dxa"/>
            <w:tcBorders>
              <w:bottom w:val="nil"/>
            </w:tcBorders>
          </w:tcPr>
          <w:p w:rsidR="00ED423B" w:rsidRPr="004002D4" w:rsidRDefault="00ED423B" w:rsidP="00BB6679">
            <w:pPr>
              <w:pStyle w:val="TableFigText"/>
              <w:tabs>
                <w:tab w:val="clear" w:pos="425"/>
                <w:tab w:val="clear" w:pos="851"/>
              </w:tabs>
              <w:jc w:val="center"/>
            </w:pPr>
            <w:r>
              <w:t>-</w:t>
            </w:r>
          </w:p>
        </w:tc>
        <w:tc>
          <w:tcPr>
            <w:tcW w:w="1134" w:type="dxa"/>
            <w:tcBorders>
              <w:bottom w:val="nil"/>
            </w:tcBorders>
          </w:tcPr>
          <w:p w:rsidR="00ED423B" w:rsidRPr="004002D4" w:rsidRDefault="00ED423B" w:rsidP="00BB6679">
            <w:pPr>
              <w:pStyle w:val="TableFigText"/>
              <w:tabs>
                <w:tab w:val="clear" w:pos="425"/>
                <w:tab w:val="clear" w:pos="851"/>
                <w:tab w:val="decimal" w:pos="627"/>
              </w:tabs>
            </w:pPr>
            <w:r>
              <w:t>75</w:t>
            </w:r>
          </w:p>
        </w:tc>
        <w:tc>
          <w:tcPr>
            <w:tcW w:w="1134" w:type="dxa"/>
            <w:tcBorders>
              <w:bottom w:val="nil"/>
            </w:tcBorders>
          </w:tcPr>
          <w:p w:rsidR="00ED423B" w:rsidRPr="004002D4" w:rsidRDefault="00ED423B" w:rsidP="00BB6679">
            <w:pPr>
              <w:pStyle w:val="TableFigText"/>
              <w:tabs>
                <w:tab w:val="clear" w:pos="425"/>
                <w:tab w:val="clear" w:pos="851"/>
              </w:tabs>
              <w:jc w:val="center"/>
            </w:pPr>
            <w:r>
              <w:t>-</w:t>
            </w:r>
          </w:p>
        </w:tc>
        <w:tc>
          <w:tcPr>
            <w:tcW w:w="1134" w:type="dxa"/>
            <w:tcBorders>
              <w:bottom w:val="nil"/>
            </w:tcBorders>
          </w:tcPr>
          <w:p w:rsidR="00ED423B" w:rsidRPr="004002D4" w:rsidRDefault="00ED423B" w:rsidP="00BB6679">
            <w:pPr>
              <w:pStyle w:val="TableFigText"/>
              <w:tabs>
                <w:tab w:val="clear" w:pos="425"/>
                <w:tab w:val="clear" w:pos="851"/>
                <w:tab w:val="decimal" w:pos="627"/>
              </w:tabs>
            </w:pPr>
            <w:r>
              <w:t>75</w:t>
            </w:r>
          </w:p>
        </w:tc>
      </w:tr>
      <w:tr w:rsidR="00ED423B" w:rsidRPr="00570F26" w:rsidTr="00BB6679">
        <w:tc>
          <w:tcPr>
            <w:tcW w:w="3969" w:type="dxa"/>
          </w:tcPr>
          <w:p w:rsidR="00ED423B" w:rsidRPr="00C1488D" w:rsidRDefault="00ED423B" w:rsidP="00BB6679">
            <w:pPr>
              <w:pStyle w:val="TableFigText"/>
            </w:pPr>
            <w:r w:rsidRPr="00C1488D">
              <w:t>Working with creosote-treated wood</w:t>
            </w:r>
          </w:p>
        </w:tc>
        <w:tc>
          <w:tcPr>
            <w:tcW w:w="1134" w:type="dxa"/>
          </w:tcPr>
          <w:p w:rsidR="00ED423B" w:rsidRPr="00C1488D" w:rsidRDefault="00ED423B" w:rsidP="00BB6679">
            <w:pPr>
              <w:pStyle w:val="TableFigText"/>
              <w:tabs>
                <w:tab w:val="clear" w:pos="425"/>
                <w:tab w:val="clear" w:pos="851"/>
              </w:tabs>
              <w:jc w:val="center"/>
            </w:pPr>
            <w:r w:rsidRPr="00C1488D">
              <w:t>-</w:t>
            </w:r>
          </w:p>
        </w:tc>
        <w:tc>
          <w:tcPr>
            <w:tcW w:w="1134" w:type="dxa"/>
          </w:tcPr>
          <w:p w:rsidR="00ED423B" w:rsidRPr="00C1488D" w:rsidRDefault="00ED423B" w:rsidP="00BB6679">
            <w:pPr>
              <w:pStyle w:val="TableFigText"/>
              <w:tabs>
                <w:tab w:val="clear" w:pos="425"/>
                <w:tab w:val="clear" w:pos="851"/>
                <w:tab w:val="decimal" w:pos="627"/>
              </w:tabs>
            </w:pPr>
            <w:r w:rsidRPr="00C1488D">
              <w:t>3</w:t>
            </w:r>
          </w:p>
        </w:tc>
        <w:tc>
          <w:tcPr>
            <w:tcW w:w="1134" w:type="dxa"/>
          </w:tcPr>
          <w:p w:rsidR="00ED423B" w:rsidRPr="00C1488D" w:rsidRDefault="00ED423B" w:rsidP="00BB6679">
            <w:pPr>
              <w:pStyle w:val="TableFigText"/>
              <w:tabs>
                <w:tab w:val="clear" w:pos="425"/>
                <w:tab w:val="clear" w:pos="851"/>
                <w:tab w:val="decimal" w:pos="627"/>
              </w:tabs>
            </w:pPr>
            <w:r w:rsidRPr="00C1488D">
              <w:t>6</w:t>
            </w:r>
          </w:p>
        </w:tc>
        <w:tc>
          <w:tcPr>
            <w:tcW w:w="1134" w:type="dxa"/>
          </w:tcPr>
          <w:p w:rsidR="00ED423B" w:rsidRPr="00C1488D" w:rsidRDefault="00ED423B" w:rsidP="00BB6679">
            <w:pPr>
              <w:pStyle w:val="TableFigText"/>
              <w:tabs>
                <w:tab w:val="clear" w:pos="425"/>
                <w:tab w:val="clear" w:pos="851"/>
                <w:tab w:val="decimal" w:pos="627"/>
              </w:tabs>
            </w:pPr>
            <w:r w:rsidRPr="00C1488D">
              <w:t>9</w:t>
            </w:r>
          </w:p>
        </w:tc>
      </w:tr>
      <w:tr w:rsidR="00ED423B" w:rsidRPr="00570F26" w:rsidTr="00BB6679">
        <w:tc>
          <w:tcPr>
            <w:tcW w:w="3969" w:type="dxa"/>
          </w:tcPr>
          <w:p w:rsidR="00ED423B" w:rsidRPr="000671FE" w:rsidRDefault="00ED423B" w:rsidP="00BB6679">
            <w:pPr>
              <w:pStyle w:val="TableFigText"/>
            </w:pPr>
            <w:r w:rsidRPr="000671FE">
              <w:t>Health workers with diathermy</w:t>
            </w:r>
          </w:p>
        </w:tc>
        <w:tc>
          <w:tcPr>
            <w:tcW w:w="1134" w:type="dxa"/>
          </w:tcPr>
          <w:p w:rsidR="00ED423B" w:rsidRPr="000671FE" w:rsidRDefault="00ED423B" w:rsidP="00BB6679">
            <w:pPr>
              <w:pStyle w:val="TableFigText"/>
              <w:tabs>
                <w:tab w:val="clear" w:pos="425"/>
                <w:tab w:val="clear" w:pos="851"/>
              </w:tabs>
              <w:jc w:val="center"/>
            </w:pPr>
            <w:r w:rsidRPr="000671FE">
              <w:t>-</w:t>
            </w:r>
          </w:p>
        </w:tc>
        <w:tc>
          <w:tcPr>
            <w:tcW w:w="1134" w:type="dxa"/>
          </w:tcPr>
          <w:p w:rsidR="00ED423B" w:rsidRPr="000671FE" w:rsidRDefault="00ED423B" w:rsidP="00BB6679">
            <w:pPr>
              <w:pStyle w:val="TableFigText"/>
              <w:tabs>
                <w:tab w:val="clear" w:pos="425"/>
                <w:tab w:val="clear" w:pos="851"/>
              </w:tabs>
              <w:jc w:val="center"/>
            </w:pPr>
            <w:r w:rsidRPr="000671FE">
              <w:t>-</w:t>
            </w:r>
          </w:p>
        </w:tc>
        <w:tc>
          <w:tcPr>
            <w:tcW w:w="1134" w:type="dxa"/>
          </w:tcPr>
          <w:p w:rsidR="00ED423B" w:rsidRPr="000671FE" w:rsidRDefault="00ED423B" w:rsidP="00BB6679">
            <w:pPr>
              <w:pStyle w:val="TableFigText"/>
              <w:tabs>
                <w:tab w:val="clear" w:pos="425"/>
                <w:tab w:val="clear" w:pos="851"/>
                <w:tab w:val="decimal" w:pos="627"/>
              </w:tabs>
            </w:pPr>
            <w:r w:rsidRPr="000671FE">
              <w:t>37</w:t>
            </w:r>
          </w:p>
        </w:tc>
        <w:tc>
          <w:tcPr>
            <w:tcW w:w="1134" w:type="dxa"/>
          </w:tcPr>
          <w:p w:rsidR="00ED423B" w:rsidRPr="000671FE" w:rsidRDefault="00ED423B" w:rsidP="00BB6679">
            <w:pPr>
              <w:pStyle w:val="TableFigText"/>
              <w:tabs>
                <w:tab w:val="clear" w:pos="425"/>
                <w:tab w:val="clear" w:pos="851"/>
                <w:tab w:val="decimal" w:pos="627"/>
              </w:tabs>
            </w:pPr>
            <w:r w:rsidRPr="000671FE">
              <w:t>37</w:t>
            </w:r>
          </w:p>
        </w:tc>
      </w:tr>
      <w:tr w:rsidR="00ED423B" w:rsidRPr="00570F26" w:rsidTr="00BB6679">
        <w:tc>
          <w:tcPr>
            <w:tcW w:w="3969" w:type="dxa"/>
            <w:tcBorders>
              <w:top w:val="nil"/>
            </w:tcBorders>
          </w:tcPr>
          <w:p w:rsidR="00ED423B" w:rsidRPr="00CB6B29" w:rsidRDefault="00ED423B" w:rsidP="00BB6679">
            <w:pPr>
              <w:pStyle w:val="TableFigText"/>
            </w:pPr>
            <w:r w:rsidRPr="00CB6B29">
              <w:t>Cooking</w:t>
            </w:r>
          </w:p>
        </w:tc>
        <w:tc>
          <w:tcPr>
            <w:tcW w:w="1134" w:type="dxa"/>
            <w:tcBorders>
              <w:top w:val="nil"/>
            </w:tcBorders>
          </w:tcPr>
          <w:p w:rsidR="00ED423B" w:rsidRPr="00CB6B29" w:rsidRDefault="00ED423B" w:rsidP="00BB6679">
            <w:pPr>
              <w:pStyle w:val="TableFigText"/>
              <w:tabs>
                <w:tab w:val="clear" w:pos="425"/>
                <w:tab w:val="clear" w:pos="851"/>
              </w:tabs>
              <w:jc w:val="center"/>
            </w:pPr>
            <w:r>
              <w:t>-</w:t>
            </w:r>
          </w:p>
        </w:tc>
        <w:tc>
          <w:tcPr>
            <w:tcW w:w="1134" w:type="dxa"/>
            <w:tcBorders>
              <w:top w:val="nil"/>
            </w:tcBorders>
          </w:tcPr>
          <w:p w:rsidR="00ED423B" w:rsidRPr="00CB6B29" w:rsidRDefault="00ED423B" w:rsidP="00BB6679">
            <w:pPr>
              <w:pStyle w:val="TableFigText"/>
              <w:tabs>
                <w:tab w:val="clear" w:pos="425"/>
                <w:tab w:val="clear" w:pos="851"/>
              </w:tabs>
              <w:jc w:val="center"/>
            </w:pPr>
            <w:r>
              <w:t>-</w:t>
            </w:r>
          </w:p>
        </w:tc>
        <w:tc>
          <w:tcPr>
            <w:tcW w:w="1134" w:type="dxa"/>
            <w:tcBorders>
              <w:top w:val="nil"/>
            </w:tcBorders>
          </w:tcPr>
          <w:p w:rsidR="00ED423B" w:rsidRPr="00CB6B29" w:rsidRDefault="00ED423B" w:rsidP="00BB6679">
            <w:pPr>
              <w:pStyle w:val="TableFigText"/>
              <w:tabs>
                <w:tab w:val="clear" w:pos="425"/>
                <w:tab w:val="clear" w:pos="851"/>
                <w:tab w:val="decimal" w:pos="627"/>
              </w:tabs>
            </w:pPr>
            <w:r w:rsidRPr="00CB6B29">
              <w:t>2</w:t>
            </w:r>
            <w:r>
              <w:t>8</w:t>
            </w:r>
          </w:p>
        </w:tc>
        <w:tc>
          <w:tcPr>
            <w:tcW w:w="1134" w:type="dxa"/>
            <w:tcBorders>
              <w:top w:val="nil"/>
            </w:tcBorders>
          </w:tcPr>
          <w:p w:rsidR="00ED423B" w:rsidRPr="00CB6B29" w:rsidRDefault="00ED423B" w:rsidP="00BB6679">
            <w:pPr>
              <w:pStyle w:val="TableFigText"/>
              <w:tabs>
                <w:tab w:val="clear" w:pos="425"/>
                <w:tab w:val="clear" w:pos="851"/>
                <w:tab w:val="decimal" w:pos="627"/>
              </w:tabs>
            </w:pPr>
            <w:r w:rsidRPr="00CB6B29">
              <w:t>2</w:t>
            </w:r>
            <w:r>
              <w:t>8</w:t>
            </w:r>
          </w:p>
        </w:tc>
      </w:tr>
      <w:tr w:rsidR="00ED423B" w:rsidRPr="00570F26" w:rsidTr="00BB6679">
        <w:tc>
          <w:tcPr>
            <w:tcW w:w="3969" w:type="dxa"/>
            <w:tcBorders>
              <w:top w:val="nil"/>
              <w:bottom w:val="nil"/>
            </w:tcBorders>
          </w:tcPr>
          <w:p w:rsidR="00ED423B" w:rsidRPr="00CB6B29" w:rsidRDefault="00ED423B" w:rsidP="00BB6679">
            <w:pPr>
              <w:pStyle w:val="TableFigText"/>
            </w:pPr>
            <w:r w:rsidRPr="00CB6B29">
              <w:t>Welding material with a coating</w:t>
            </w:r>
          </w:p>
        </w:tc>
        <w:tc>
          <w:tcPr>
            <w:tcW w:w="1134" w:type="dxa"/>
            <w:tcBorders>
              <w:top w:val="nil"/>
              <w:bottom w:val="nil"/>
            </w:tcBorders>
          </w:tcPr>
          <w:p w:rsidR="00ED423B" w:rsidRPr="00CB6B29" w:rsidRDefault="00ED423B" w:rsidP="00BB6679">
            <w:pPr>
              <w:pStyle w:val="TableFigText"/>
              <w:tabs>
                <w:tab w:val="clear" w:pos="425"/>
                <w:tab w:val="clear" w:pos="851"/>
              </w:tabs>
              <w:jc w:val="center"/>
            </w:pPr>
            <w:r>
              <w:t>-</w:t>
            </w:r>
          </w:p>
        </w:tc>
        <w:tc>
          <w:tcPr>
            <w:tcW w:w="1134" w:type="dxa"/>
            <w:tcBorders>
              <w:top w:val="nil"/>
              <w:bottom w:val="nil"/>
            </w:tcBorders>
          </w:tcPr>
          <w:p w:rsidR="00ED423B" w:rsidRPr="00CB6B29" w:rsidRDefault="00ED423B" w:rsidP="00BB6679">
            <w:pPr>
              <w:pStyle w:val="TableFigText"/>
              <w:tabs>
                <w:tab w:val="clear" w:pos="425"/>
                <w:tab w:val="clear" w:pos="851"/>
              </w:tabs>
              <w:jc w:val="center"/>
            </w:pPr>
            <w:r>
              <w:t>-</w:t>
            </w:r>
          </w:p>
        </w:tc>
        <w:tc>
          <w:tcPr>
            <w:tcW w:w="1134" w:type="dxa"/>
            <w:tcBorders>
              <w:top w:val="nil"/>
              <w:bottom w:val="nil"/>
            </w:tcBorders>
          </w:tcPr>
          <w:p w:rsidR="00ED423B" w:rsidRPr="00CB6B29" w:rsidRDefault="00ED423B" w:rsidP="00BB6679">
            <w:pPr>
              <w:pStyle w:val="TableFigText"/>
              <w:tabs>
                <w:tab w:val="clear" w:pos="425"/>
                <w:tab w:val="clear" w:pos="851"/>
                <w:tab w:val="decimal" w:pos="627"/>
              </w:tabs>
            </w:pPr>
            <w:r w:rsidRPr="00CB6B29">
              <w:t>17</w:t>
            </w:r>
          </w:p>
        </w:tc>
        <w:tc>
          <w:tcPr>
            <w:tcW w:w="1134" w:type="dxa"/>
            <w:tcBorders>
              <w:top w:val="nil"/>
              <w:bottom w:val="nil"/>
            </w:tcBorders>
          </w:tcPr>
          <w:p w:rsidR="00ED423B" w:rsidRPr="00CB6B29" w:rsidRDefault="00ED423B" w:rsidP="00BB6679">
            <w:pPr>
              <w:pStyle w:val="TableFigText"/>
              <w:tabs>
                <w:tab w:val="clear" w:pos="425"/>
                <w:tab w:val="clear" w:pos="851"/>
                <w:tab w:val="decimal" w:pos="627"/>
              </w:tabs>
            </w:pPr>
            <w:r w:rsidRPr="00CB6B29">
              <w:t>17</w:t>
            </w:r>
          </w:p>
        </w:tc>
      </w:tr>
      <w:tr w:rsidR="00ED423B" w:rsidRPr="00570F26" w:rsidTr="00BB6679">
        <w:tc>
          <w:tcPr>
            <w:tcW w:w="3969" w:type="dxa"/>
          </w:tcPr>
          <w:p w:rsidR="00ED423B" w:rsidRPr="00DC5981" w:rsidRDefault="00ED423B" w:rsidP="00BB6679">
            <w:pPr>
              <w:pStyle w:val="TableFigText"/>
            </w:pPr>
            <w:r w:rsidRPr="00DC5981">
              <w:t>Firing range</w:t>
            </w:r>
          </w:p>
        </w:tc>
        <w:tc>
          <w:tcPr>
            <w:tcW w:w="1134" w:type="dxa"/>
          </w:tcPr>
          <w:p w:rsidR="00ED423B" w:rsidRPr="00DC5981" w:rsidRDefault="00ED423B" w:rsidP="00BB6679">
            <w:pPr>
              <w:pStyle w:val="TableFigText"/>
              <w:tabs>
                <w:tab w:val="clear" w:pos="425"/>
                <w:tab w:val="clear" w:pos="851"/>
              </w:tabs>
              <w:jc w:val="center"/>
            </w:pPr>
            <w:r w:rsidRPr="00DC5981">
              <w:t>-</w:t>
            </w:r>
          </w:p>
        </w:tc>
        <w:tc>
          <w:tcPr>
            <w:tcW w:w="1134" w:type="dxa"/>
          </w:tcPr>
          <w:p w:rsidR="00ED423B" w:rsidRPr="00DC5981" w:rsidRDefault="00ED423B" w:rsidP="00BB6679">
            <w:pPr>
              <w:pStyle w:val="TableFigText"/>
              <w:tabs>
                <w:tab w:val="clear" w:pos="425"/>
                <w:tab w:val="clear" w:pos="851"/>
              </w:tabs>
              <w:jc w:val="center"/>
            </w:pPr>
            <w:r w:rsidRPr="00DC5981">
              <w:t>-</w:t>
            </w:r>
          </w:p>
        </w:tc>
        <w:tc>
          <w:tcPr>
            <w:tcW w:w="1134" w:type="dxa"/>
          </w:tcPr>
          <w:p w:rsidR="00ED423B" w:rsidRPr="00DC5981" w:rsidRDefault="00ED423B" w:rsidP="00BB6679">
            <w:pPr>
              <w:pStyle w:val="TableFigText"/>
              <w:tabs>
                <w:tab w:val="clear" w:pos="425"/>
                <w:tab w:val="clear" w:pos="851"/>
                <w:tab w:val="decimal" w:pos="627"/>
              </w:tabs>
            </w:pPr>
            <w:r w:rsidRPr="00DC5981">
              <w:t>12</w:t>
            </w:r>
          </w:p>
        </w:tc>
        <w:tc>
          <w:tcPr>
            <w:tcW w:w="1134" w:type="dxa"/>
          </w:tcPr>
          <w:p w:rsidR="00ED423B" w:rsidRPr="00DC5981" w:rsidRDefault="00ED423B" w:rsidP="00BB6679">
            <w:pPr>
              <w:pStyle w:val="TableFigText"/>
              <w:tabs>
                <w:tab w:val="clear" w:pos="425"/>
                <w:tab w:val="clear" w:pos="851"/>
                <w:tab w:val="decimal" w:pos="627"/>
              </w:tabs>
            </w:pPr>
            <w:r w:rsidRPr="00DC5981">
              <w:t>12</w:t>
            </w:r>
          </w:p>
        </w:tc>
      </w:tr>
    </w:tbl>
    <w:p w:rsidR="00ED423B" w:rsidRPr="00B00050" w:rsidRDefault="00ED423B" w:rsidP="00BB6679">
      <w:pPr>
        <w:pStyle w:val="TableFigNoteOnly"/>
      </w:pPr>
      <w:r>
        <w:t>Note</w:t>
      </w:r>
      <w:r w:rsidRPr="00B00050">
        <w:t>:</w:t>
      </w:r>
      <w:r>
        <w:t xml:space="preserve"> </w:t>
      </w:r>
      <w:r w:rsidRPr="00B00050">
        <w:t>This table does not include all exposed persons and persons could be exposed through more than one activity.</w:t>
      </w:r>
    </w:p>
    <w:p w:rsidR="00ED423B" w:rsidRPr="00D906A9" w:rsidRDefault="00ED423B" w:rsidP="00BB6679">
      <w:r w:rsidRPr="00D906A9">
        <w:t>The main circu</w:t>
      </w:r>
      <w:r>
        <w:t xml:space="preserve">mstances resulting in assessed </w:t>
      </w:r>
      <w:r w:rsidRPr="00A317CC">
        <w:rPr>
          <w:rStyle w:val="Strong"/>
        </w:rPr>
        <w:t>high</w:t>
      </w:r>
      <w:r w:rsidRPr="00D906A9">
        <w:t xml:space="preserve"> exposures were:</w:t>
      </w:r>
    </w:p>
    <w:p w:rsidR="00ED423B" w:rsidRPr="00D906A9" w:rsidRDefault="00ED423B" w:rsidP="00BB6679">
      <w:pPr>
        <w:pStyle w:val="ListParagraph"/>
        <w:numPr>
          <w:ilvl w:val="0"/>
          <w:numId w:val="8"/>
        </w:numPr>
      </w:pPr>
      <w:r w:rsidRPr="00D906A9">
        <w:t xml:space="preserve">fire fighters fighting fires or </w:t>
      </w:r>
      <w:r>
        <w:t xml:space="preserve">engaged in </w:t>
      </w:r>
      <w:r w:rsidRPr="00D906A9">
        <w:t>fire overhaul</w:t>
      </w:r>
      <w:r>
        <w:t xml:space="preserve"> and clean-up or back-burning without consistent use of breathing apparatus</w:t>
      </w:r>
    </w:p>
    <w:p w:rsidR="00ED423B" w:rsidRPr="00D906A9" w:rsidRDefault="00ED423B" w:rsidP="00BB6679">
      <w:pPr>
        <w:pStyle w:val="ListParagraph"/>
        <w:numPr>
          <w:ilvl w:val="0"/>
          <w:numId w:val="8"/>
        </w:numPr>
      </w:pPr>
      <w:r w:rsidRPr="00D906A9">
        <w:t xml:space="preserve">farmers involved in burning waste </w:t>
      </w:r>
      <w:r>
        <w:t>in the open, and often also</w:t>
      </w:r>
      <w:r w:rsidRPr="00D906A9">
        <w:t xml:space="preserve"> clean</w:t>
      </w:r>
      <w:r>
        <w:t>ing ash left from burning waste</w:t>
      </w:r>
    </w:p>
    <w:p w:rsidR="00ED423B" w:rsidRPr="00D906A9" w:rsidRDefault="00ED423B" w:rsidP="00BB6679">
      <w:pPr>
        <w:pStyle w:val="ListParagraph"/>
        <w:numPr>
          <w:ilvl w:val="0"/>
          <w:numId w:val="8"/>
        </w:numPr>
      </w:pPr>
      <w:r w:rsidRPr="00D906A9">
        <w:t>forestry w</w:t>
      </w:r>
      <w:r>
        <w:t>orkers involved in back burning</w:t>
      </w:r>
    </w:p>
    <w:p w:rsidR="00ED423B" w:rsidRPr="00D906A9" w:rsidRDefault="00ED423B" w:rsidP="00BB6679">
      <w:pPr>
        <w:pStyle w:val="ListParagraph"/>
        <w:numPr>
          <w:ilvl w:val="0"/>
          <w:numId w:val="8"/>
        </w:numPr>
      </w:pPr>
      <w:r w:rsidRPr="00D906A9">
        <w:t>gardeners burning waste and sometimes clean</w:t>
      </w:r>
      <w:r>
        <w:t>ing ash left from burning waste</w:t>
      </w:r>
    </w:p>
    <w:p w:rsidR="00ED423B" w:rsidRPr="00C765E9" w:rsidRDefault="00ED423B" w:rsidP="00BB6679">
      <w:pPr>
        <w:pStyle w:val="ListParagraph"/>
        <w:numPr>
          <w:ilvl w:val="0"/>
          <w:numId w:val="8"/>
        </w:numPr>
      </w:pPr>
      <w:r w:rsidRPr="00C765E9">
        <w:t>miners using ammonium nitrate fuel oil (exposed to fumes from explosion), and</w:t>
      </w:r>
    </w:p>
    <w:p w:rsidR="00ED423B" w:rsidRDefault="00ED423B" w:rsidP="00BB6679">
      <w:pPr>
        <w:pStyle w:val="ListParagraph"/>
        <w:numPr>
          <w:ilvl w:val="0"/>
          <w:numId w:val="8"/>
        </w:numPr>
      </w:pPr>
      <w:proofErr w:type="gramStart"/>
      <w:r>
        <w:t>m</w:t>
      </w:r>
      <w:r w:rsidRPr="00D906A9">
        <w:t>etal</w:t>
      </w:r>
      <w:proofErr w:type="gramEnd"/>
      <w:r w:rsidRPr="00D906A9">
        <w:t xml:space="preserve"> worker</w:t>
      </w:r>
      <w:r>
        <w:t xml:space="preserve">s </w:t>
      </w:r>
      <w:r w:rsidRPr="00D906A9">
        <w:t>clean</w:t>
      </w:r>
      <w:r>
        <w:t>ing</w:t>
      </w:r>
      <w:r w:rsidRPr="00D906A9">
        <w:t xml:space="preserve"> out ash or scale from </w:t>
      </w:r>
      <w:r>
        <w:t xml:space="preserve">a </w:t>
      </w:r>
      <w:r w:rsidRPr="00D906A9">
        <w:t>furnace</w:t>
      </w:r>
      <w:r>
        <w:t>.</w:t>
      </w:r>
    </w:p>
    <w:p w:rsidR="00ED423B" w:rsidRPr="008675AC" w:rsidRDefault="00ED423B" w:rsidP="00BB6679">
      <w:r w:rsidRPr="008675AC">
        <w:t>The main circu</w:t>
      </w:r>
      <w:r>
        <w:t xml:space="preserve">mstances resulting in assessed </w:t>
      </w:r>
      <w:r w:rsidRPr="00A317CC">
        <w:rPr>
          <w:rStyle w:val="Strong"/>
        </w:rPr>
        <w:t>medium</w:t>
      </w:r>
      <w:r w:rsidRPr="008675AC">
        <w:t xml:space="preserve"> exposures were:</w:t>
      </w:r>
    </w:p>
    <w:p w:rsidR="00ED423B" w:rsidRPr="00D906A9" w:rsidRDefault="00ED423B" w:rsidP="00BB6679">
      <w:pPr>
        <w:pStyle w:val="ListParagraph"/>
        <w:numPr>
          <w:ilvl w:val="0"/>
          <w:numId w:val="8"/>
        </w:numPr>
      </w:pPr>
      <w:r w:rsidRPr="00D906A9">
        <w:t xml:space="preserve">fire fighters fighting fires or </w:t>
      </w:r>
      <w:r>
        <w:t xml:space="preserve">engaged in </w:t>
      </w:r>
      <w:r w:rsidRPr="00D906A9">
        <w:t>fire overhaul</w:t>
      </w:r>
      <w:r>
        <w:t xml:space="preserve"> and clean-up or back-burning with consistent use of breathing apparatus</w:t>
      </w:r>
    </w:p>
    <w:p w:rsidR="00ED423B" w:rsidRPr="008675AC" w:rsidRDefault="00ED423B" w:rsidP="00BB6679">
      <w:pPr>
        <w:pStyle w:val="ListParagraph"/>
        <w:numPr>
          <w:ilvl w:val="0"/>
          <w:numId w:val="8"/>
        </w:numPr>
      </w:pPr>
      <w:r w:rsidRPr="008675AC">
        <w:t>farmers involved in burning waste in an incinerator or drum</w:t>
      </w:r>
    </w:p>
    <w:p w:rsidR="00ED423B" w:rsidRPr="008675AC" w:rsidRDefault="00ED423B" w:rsidP="00BB6679">
      <w:pPr>
        <w:pStyle w:val="ListParagraph"/>
        <w:numPr>
          <w:ilvl w:val="0"/>
          <w:numId w:val="8"/>
        </w:numPr>
      </w:pPr>
      <w:r w:rsidRPr="008675AC">
        <w:t xml:space="preserve">farmers </w:t>
      </w:r>
      <w:r w:rsidRPr="00DE4F58">
        <w:t>exposed to engine exhaust fumes</w:t>
      </w:r>
      <w:r w:rsidRPr="008675AC">
        <w:t xml:space="preserve"> </w:t>
      </w:r>
      <w:r>
        <w:t xml:space="preserve">when </w:t>
      </w:r>
      <w:r w:rsidRPr="008675AC">
        <w:t>maintaining mowers or other equipment</w:t>
      </w:r>
    </w:p>
    <w:p w:rsidR="00ED423B" w:rsidRPr="00047AD3" w:rsidRDefault="00ED423B" w:rsidP="00BB6679">
      <w:pPr>
        <w:pStyle w:val="ListParagraph"/>
        <w:numPr>
          <w:ilvl w:val="0"/>
          <w:numId w:val="8"/>
        </w:numPr>
      </w:pPr>
      <w:r>
        <w:t>road workers using a hot mix of asphalt</w:t>
      </w:r>
    </w:p>
    <w:p w:rsidR="00ED423B" w:rsidRDefault="00ED423B" w:rsidP="00BB6679">
      <w:pPr>
        <w:pStyle w:val="ListParagraph"/>
        <w:numPr>
          <w:ilvl w:val="0"/>
          <w:numId w:val="8"/>
        </w:numPr>
      </w:pPr>
      <w:r>
        <w:t>c</w:t>
      </w:r>
      <w:r w:rsidRPr="00047AD3">
        <w:t>arpenters applying creosote to wood</w:t>
      </w:r>
      <w:r>
        <w:t>, and</w:t>
      </w:r>
    </w:p>
    <w:p w:rsidR="00ED423B" w:rsidRPr="00521182" w:rsidRDefault="00ED423B" w:rsidP="00BB6679">
      <w:pPr>
        <w:pStyle w:val="ListParagraph"/>
        <w:numPr>
          <w:ilvl w:val="0"/>
          <w:numId w:val="8"/>
        </w:numPr>
      </w:pPr>
      <w:proofErr w:type="gramStart"/>
      <w:r>
        <w:t>police</w:t>
      </w:r>
      <w:proofErr w:type="gramEnd"/>
      <w:r>
        <w:t xml:space="preserve"> officers involved occasionally in attending fires.</w:t>
      </w:r>
    </w:p>
    <w:p w:rsidR="00ED423B" w:rsidRPr="00D906A9" w:rsidRDefault="00ED423B" w:rsidP="00BB6679">
      <w:r w:rsidRPr="00D906A9">
        <w:lastRenderedPageBreak/>
        <w:t>The main circu</w:t>
      </w:r>
      <w:r>
        <w:t xml:space="preserve">mstances resulting in assessed </w:t>
      </w:r>
      <w:r w:rsidRPr="00A317CC">
        <w:rPr>
          <w:rStyle w:val="Strong"/>
        </w:rPr>
        <w:t>low</w:t>
      </w:r>
      <w:r w:rsidRPr="00D906A9">
        <w:t xml:space="preserve"> exposures were:</w:t>
      </w:r>
    </w:p>
    <w:p w:rsidR="00ED423B" w:rsidRPr="00FE7969" w:rsidRDefault="00ED423B" w:rsidP="00BB6679">
      <w:pPr>
        <w:pStyle w:val="ListParagraph"/>
        <w:numPr>
          <w:ilvl w:val="0"/>
          <w:numId w:val="9"/>
        </w:numPr>
      </w:pPr>
      <w:r w:rsidRPr="00FE7969">
        <w:t>carpen</w:t>
      </w:r>
      <w:r w:rsidR="00F56243">
        <w:t xml:space="preserve">ters working with wood </w:t>
      </w:r>
      <w:r w:rsidRPr="00FE7969">
        <w:t>treated with creosote</w:t>
      </w:r>
    </w:p>
    <w:p w:rsidR="00ED423B" w:rsidRDefault="00ED423B" w:rsidP="00BB6679">
      <w:pPr>
        <w:pStyle w:val="ListParagraph"/>
        <w:numPr>
          <w:ilvl w:val="0"/>
          <w:numId w:val="9"/>
        </w:numPr>
      </w:pPr>
      <w:r w:rsidRPr="00FE7969">
        <w:t>chefs involved in various forms of cooking</w:t>
      </w:r>
    </w:p>
    <w:p w:rsidR="00ED423B" w:rsidRDefault="00ED423B" w:rsidP="00BB6679">
      <w:pPr>
        <w:pStyle w:val="ListParagraph"/>
        <w:numPr>
          <w:ilvl w:val="0"/>
          <w:numId w:val="9"/>
        </w:numPr>
      </w:pPr>
      <w:r>
        <w:t>health workers exposed through diathermy</w:t>
      </w:r>
    </w:p>
    <w:p w:rsidR="00ED423B" w:rsidRDefault="00ED423B" w:rsidP="00BB6679">
      <w:pPr>
        <w:pStyle w:val="ListParagraph"/>
        <w:numPr>
          <w:ilvl w:val="0"/>
          <w:numId w:val="9"/>
        </w:numPr>
      </w:pPr>
      <w:r>
        <w:t>lab workers undertaking tests on hydrocarbons</w:t>
      </w:r>
    </w:p>
    <w:p w:rsidR="00ED423B" w:rsidRDefault="00ED423B" w:rsidP="00BB6679">
      <w:pPr>
        <w:pStyle w:val="ListParagraph"/>
        <w:numPr>
          <w:ilvl w:val="0"/>
          <w:numId w:val="9"/>
        </w:numPr>
      </w:pPr>
      <w:r>
        <w:t>road workers using a cold mix of asphalt, and</w:t>
      </w:r>
    </w:p>
    <w:p w:rsidR="00ED423B" w:rsidRPr="00FE7969" w:rsidRDefault="00ED423B" w:rsidP="00BB6679">
      <w:pPr>
        <w:pStyle w:val="ListParagraph"/>
        <w:numPr>
          <w:ilvl w:val="0"/>
          <w:numId w:val="9"/>
        </w:numPr>
      </w:pPr>
      <w:proofErr w:type="gramStart"/>
      <w:r>
        <w:t>welding</w:t>
      </w:r>
      <w:proofErr w:type="gramEnd"/>
      <w:r>
        <w:t xml:space="preserve"> </w:t>
      </w:r>
      <w:r w:rsidR="00F56243">
        <w:t>materials</w:t>
      </w:r>
      <w:r>
        <w:t xml:space="preserve"> with a coat</w:t>
      </w:r>
      <w:r w:rsidR="00F56243">
        <w:t>ed surface</w:t>
      </w:r>
      <w:r>
        <w:t>.</w:t>
      </w:r>
    </w:p>
    <w:p w:rsidR="00ED423B" w:rsidRPr="00764BD7" w:rsidRDefault="00ED423B" w:rsidP="00BB6679">
      <w:r w:rsidRPr="00764BD7">
        <w:t xml:space="preserve">Each of the main tasks involving </w:t>
      </w:r>
      <w:proofErr w:type="spellStart"/>
      <w:r w:rsidRPr="00764BD7">
        <w:t>PAHs</w:t>
      </w:r>
      <w:proofErr w:type="spellEnd"/>
      <w:r w:rsidRPr="00764BD7">
        <w:t xml:space="preserve"> exposure is considered in more detail below.</w:t>
      </w:r>
    </w:p>
    <w:p w:rsidR="00ED423B" w:rsidRPr="00764BD7" w:rsidRDefault="00ED423B" w:rsidP="00BB6679">
      <w:pPr>
        <w:pStyle w:val="Heading3"/>
      </w:pPr>
      <w:bookmarkStart w:id="34" w:name="_Toc401068294"/>
      <w:r w:rsidRPr="00764BD7">
        <w:t>Burning waste</w:t>
      </w:r>
      <w:bookmarkEnd w:id="34"/>
    </w:p>
    <w:p w:rsidR="00ED423B" w:rsidRDefault="00ED423B" w:rsidP="00BB6679">
      <w:r>
        <w:t xml:space="preserve">There were 92 respondents </w:t>
      </w:r>
      <w:r w:rsidRPr="00764BD7">
        <w:t xml:space="preserve">exposed </w:t>
      </w:r>
      <w:r>
        <w:t xml:space="preserve">to </w:t>
      </w:r>
      <w:proofErr w:type="spellStart"/>
      <w:r>
        <w:t>PAHs</w:t>
      </w:r>
      <w:proofErr w:type="spellEnd"/>
      <w:r>
        <w:t xml:space="preserve"> </w:t>
      </w:r>
      <w:r w:rsidRPr="00764BD7">
        <w:t>from burning waste</w:t>
      </w:r>
      <w:r>
        <w:t>—</w:t>
      </w:r>
      <w:r w:rsidRPr="00764BD7">
        <w:t xml:space="preserve">77 farmers, 11 </w:t>
      </w:r>
      <w:r>
        <w:t>gardeners</w:t>
      </w:r>
      <w:r w:rsidRPr="00764BD7">
        <w:t>, three forestry workers involved in back burning and a labourer</w:t>
      </w:r>
      <w:r>
        <w:t xml:space="preserve">. </w:t>
      </w:r>
      <w:r w:rsidRPr="00764BD7">
        <w:t>Fourteen farmers burned waste in an incinerator or d</w:t>
      </w:r>
      <w:r>
        <w:t xml:space="preserve">rum and were deemed to have </w:t>
      </w:r>
      <w:r w:rsidRPr="00764BD7">
        <w:t xml:space="preserve">medium exposure from this activity. The </w:t>
      </w:r>
      <w:r>
        <w:t>remaining respondents</w:t>
      </w:r>
      <w:r w:rsidRPr="00764BD7">
        <w:t xml:space="preserve"> were deemed to have high exposure</w:t>
      </w:r>
      <w:r>
        <w:t xml:space="preserve"> from this activity.</w:t>
      </w:r>
    </w:p>
    <w:p w:rsidR="00ED423B" w:rsidRPr="00764BD7" w:rsidRDefault="00ED423B" w:rsidP="00BB6679">
      <w:pPr>
        <w:pStyle w:val="Heading3"/>
      </w:pPr>
      <w:bookmarkStart w:id="35" w:name="_Toc401068295"/>
      <w:r>
        <w:t>Maintaining power mowers or other equipment</w:t>
      </w:r>
      <w:bookmarkEnd w:id="35"/>
    </w:p>
    <w:p w:rsidR="00ED423B" w:rsidRPr="00764BD7" w:rsidRDefault="00ED423B" w:rsidP="00BB6679">
      <w:r w:rsidRPr="00C765E9">
        <w:t xml:space="preserve">Seventy-five farmers were deemed to have medium exposure to </w:t>
      </w:r>
      <w:proofErr w:type="spellStart"/>
      <w:r w:rsidRPr="00C765E9">
        <w:t>PAHs</w:t>
      </w:r>
      <w:proofErr w:type="spellEnd"/>
      <w:r w:rsidRPr="00C765E9">
        <w:t xml:space="preserve"> from exposure to engine exhaust fumes through repairing or maintaining power mowers or other equipment.</w:t>
      </w:r>
    </w:p>
    <w:p w:rsidR="00ED423B" w:rsidRPr="004002D4" w:rsidRDefault="00ED423B" w:rsidP="00BB6679">
      <w:pPr>
        <w:pStyle w:val="Heading3"/>
      </w:pPr>
      <w:bookmarkStart w:id="36" w:name="_Toc401068296"/>
      <w:r w:rsidRPr="004002D4">
        <w:t>Fire fighting</w:t>
      </w:r>
      <w:r>
        <w:t>,</w:t>
      </w:r>
      <w:r w:rsidRPr="004002D4">
        <w:t xml:space="preserve"> fire overhaul and clean-up</w:t>
      </w:r>
      <w:r>
        <w:t>, and back-burning</w:t>
      </w:r>
      <w:bookmarkEnd w:id="36"/>
    </w:p>
    <w:p w:rsidR="00ED423B" w:rsidRPr="004002D4" w:rsidRDefault="00ED423B" w:rsidP="00BB6679">
      <w:r w:rsidRPr="004002D4">
        <w:t xml:space="preserve">There were 21 fire fighters deemed to have probable exposure to </w:t>
      </w:r>
      <w:proofErr w:type="spellStart"/>
      <w:r w:rsidRPr="004002D4">
        <w:t>PAHs</w:t>
      </w:r>
      <w:proofErr w:type="spellEnd"/>
      <w:r w:rsidRPr="004002D4">
        <w:t xml:space="preserve"> as a result of fire fighting, 18 of whom also undertook overhaul, clean up, or sifting through the remains of a fire</w:t>
      </w:r>
      <w:r>
        <w:t xml:space="preserve"> and 11 who were also involved in back-burning</w:t>
      </w:r>
      <w:r w:rsidRPr="004002D4">
        <w:t xml:space="preserve">. </w:t>
      </w:r>
      <w:r>
        <w:t xml:space="preserve">Nineteen </w:t>
      </w:r>
      <w:r w:rsidRPr="004002D4">
        <w:t xml:space="preserve">were career fire fighters and the other two </w:t>
      </w:r>
      <w:r>
        <w:t xml:space="preserve">were </w:t>
      </w:r>
      <w:r w:rsidRPr="004002D4">
        <w:t xml:space="preserve">volunteers. On the basis of their fire-fighting activities and pattern of use of breathing apparatus, 12 were deemed to have high exposure to </w:t>
      </w:r>
      <w:proofErr w:type="spellStart"/>
      <w:r w:rsidRPr="004002D4">
        <w:t>PAHs</w:t>
      </w:r>
      <w:proofErr w:type="spellEnd"/>
      <w:r w:rsidRPr="004002D4">
        <w:t xml:space="preserve"> and nine were deemed to have medium exposure.</w:t>
      </w:r>
    </w:p>
    <w:p w:rsidR="00ED423B" w:rsidRPr="008B7ABE" w:rsidRDefault="00ED423B" w:rsidP="00BB6679">
      <w:pPr>
        <w:pStyle w:val="Heading3"/>
      </w:pPr>
      <w:bookmarkStart w:id="37" w:name="_Toc401068297"/>
      <w:r w:rsidRPr="008B7ABE">
        <w:t>Removing or cleaning out the ash from fire sites</w:t>
      </w:r>
      <w:bookmarkEnd w:id="37"/>
    </w:p>
    <w:p w:rsidR="00ED423B" w:rsidRPr="004002D4" w:rsidRDefault="00ED423B" w:rsidP="00BB6679">
      <w:r w:rsidRPr="008B7ABE">
        <w:t xml:space="preserve">Thirty-seven </w:t>
      </w:r>
      <w:r>
        <w:t>respondents</w:t>
      </w:r>
      <w:r w:rsidRPr="008B7ABE">
        <w:t xml:space="preserve"> were deemed </w:t>
      </w:r>
      <w:r>
        <w:t xml:space="preserve">to be </w:t>
      </w:r>
      <w:r w:rsidRPr="008B7ABE">
        <w:t xml:space="preserve">exposed to </w:t>
      </w:r>
      <w:proofErr w:type="spellStart"/>
      <w:r w:rsidRPr="008B7ABE">
        <w:t>PAHs</w:t>
      </w:r>
      <w:proofErr w:type="spellEnd"/>
      <w:r w:rsidRPr="008B7ABE">
        <w:t xml:space="preserve"> </w:t>
      </w:r>
      <w:r>
        <w:t>when</w:t>
      </w:r>
      <w:r w:rsidRPr="008B7ABE">
        <w:t xml:space="preserve"> removing or clearing out ash from fire sites. Most </w:t>
      </w:r>
      <w:r>
        <w:t xml:space="preserve">respondents were farmers </w:t>
      </w:r>
      <w:r w:rsidRPr="008B7ABE">
        <w:t>who had also been involved in burning waste or back burning</w:t>
      </w:r>
      <w:r>
        <w:t>.</w:t>
      </w:r>
      <w:r w:rsidRPr="008B7ABE">
        <w:t xml:space="preserve"> </w:t>
      </w:r>
      <w:r>
        <w:t xml:space="preserve">The remaining respondents were metal workers who cleaned out </w:t>
      </w:r>
      <w:r w:rsidRPr="008B7ABE">
        <w:t>ash or scale from furnace</w:t>
      </w:r>
      <w:r>
        <w:t xml:space="preserve">s. One metal worker was deemed to have medium exposure to </w:t>
      </w:r>
      <w:proofErr w:type="spellStart"/>
      <w:r>
        <w:t>PAHs</w:t>
      </w:r>
      <w:proofErr w:type="spellEnd"/>
      <w:r>
        <w:t xml:space="preserve"> rather than high exposure because they used respiratory protective equipment.</w:t>
      </w:r>
    </w:p>
    <w:p w:rsidR="00ED423B" w:rsidRPr="00CB6B29" w:rsidRDefault="00ED423B" w:rsidP="00BB6679">
      <w:pPr>
        <w:pStyle w:val="Heading3"/>
      </w:pPr>
      <w:bookmarkStart w:id="38" w:name="_Toc401068298"/>
      <w:r w:rsidRPr="00CB6B29">
        <w:t>Cooking</w:t>
      </w:r>
      <w:bookmarkEnd w:id="38"/>
    </w:p>
    <w:p w:rsidR="00ED423B" w:rsidRPr="00CB6B29" w:rsidRDefault="00ED423B" w:rsidP="00BB6679">
      <w:r w:rsidRPr="00CB6B29">
        <w:t>Twenty-</w:t>
      </w:r>
      <w:r>
        <w:t>eight</w:t>
      </w:r>
      <w:r w:rsidRPr="00CB6B29">
        <w:t xml:space="preserve"> </w:t>
      </w:r>
      <w:r>
        <w:t>respondents</w:t>
      </w:r>
      <w:r w:rsidRPr="00CB6B29">
        <w:t xml:space="preserve"> were deemed </w:t>
      </w:r>
      <w:r>
        <w:t xml:space="preserve">to be </w:t>
      </w:r>
      <w:r w:rsidRPr="00CB6B29">
        <w:t xml:space="preserve">exposed to </w:t>
      </w:r>
      <w:proofErr w:type="spellStart"/>
      <w:r w:rsidRPr="00CB6B29">
        <w:t>PAHs</w:t>
      </w:r>
      <w:proofErr w:type="spellEnd"/>
      <w:r w:rsidRPr="00CB6B29">
        <w:t xml:space="preserve"> </w:t>
      </w:r>
      <w:r>
        <w:t>when</w:t>
      </w:r>
      <w:r w:rsidRPr="00CB6B29">
        <w:t xml:space="preserve"> cooking </w:t>
      </w:r>
      <w:r>
        <w:t>(25) or food processing (3) during</w:t>
      </w:r>
      <w:r w:rsidRPr="00CB6B29">
        <w:t xml:space="preserve"> </w:t>
      </w:r>
      <w:r>
        <w:t xml:space="preserve">tasks which involved </w:t>
      </w:r>
      <w:r w:rsidRPr="00CB6B29">
        <w:t>frying, cooking in a wok or using a wooden stove.</w:t>
      </w:r>
      <w:r>
        <w:t xml:space="preserve"> All were deemed to have low exposure.</w:t>
      </w:r>
    </w:p>
    <w:p w:rsidR="00ED423B" w:rsidRPr="00CB6B29" w:rsidRDefault="00ED423B" w:rsidP="00BB6679">
      <w:pPr>
        <w:pStyle w:val="Heading3"/>
      </w:pPr>
      <w:bookmarkStart w:id="39" w:name="_Toc401068299"/>
      <w:r w:rsidRPr="00CB6B29">
        <w:t>Welding material with a coating</w:t>
      </w:r>
      <w:bookmarkEnd w:id="39"/>
    </w:p>
    <w:p w:rsidR="00ED423B" w:rsidRPr="00CB6B29" w:rsidRDefault="00ED423B" w:rsidP="00BB6679">
      <w:r w:rsidRPr="00CB6B29">
        <w:t xml:space="preserve">Seventeen </w:t>
      </w:r>
      <w:r>
        <w:t>respondents</w:t>
      </w:r>
      <w:r w:rsidRPr="00CB6B29">
        <w:t xml:space="preserve">, most in the </w:t>
      </w:r>
      <w:r>
        <w:t>C</w:t>
      </w:r>
      <w:r w:rsidRPr="00CB6B29">
        <w:t xml:space="preserve">onstruction industry, were deemed to have low exposure to </w:t>
      </w:r>
      <w:proofErr w:type="spellStart"/>
      <w:r w:rsidRPr="00CB6B29">
        <w:t>PAHs</w:t>
      </w:r>
      <w:proofErr w:type="spellEnd"/>
      <w:r w:rsidRPr="00CB6B29">
        <w:t xml:space="preserve"> </w:t>
      </w:r>
      <w:r>
        <w:t>when</w:t>
      </w:r>
      <w:r w:rsidRPr="00CB6B29">
        <w:t xml:space="preserve"> welding materials with coated surfaces.</w:t>
      </w:r>
    </w:p>
    <w:p w:rsidR="00ED423B" w:rsidRPr="00B00050" w:rsidRDefault="00ED423B" w:rsidP="00BB6679">
      <w:pPr>
        <w:pStyle w:val="Heading3"/>
      </w:pPr>
      <w:bookmarkStart w:id="40" w:name="_Toc401068300"/>
      <w:r w:rsidRPr="00B00050">
        <w:t>Diathermy</w:t>
      </w:r>
      <w:bookmarkEnd w:id="40"/>
    </w:p>
    <w:p w:rsidR="00ED423B" w:rsidRPr="00B00050" w:rsidRDefault="00ED423B" w:rsidP="00BB6679">
      <w:r w:rsidRPr="00B00050">
        <w:t>Thirty-seven health</w:t>
      </w:r>
      <w:r>
        <w:t xml:space="preserve"> workers were deemed to have</w:t>
      </w:r>
      <w:r w:rsidRPr="00B00050">
        <w:t xml:space="preserve"> low exposure to </w:t>
      </w:r>
      <w:proofErr w:type="spellStart"/>
      <w:r w:rsidRPr="00B00050">
        <w:t>PAHs</w:t>
      </w:r>
      <w:proofErr w:type="spellEnd"/>
      <w:r w:rsidRPr="00B00050">
        <w:t xml:space="preserve"> </w:t>
      </w:r>
      <w:r>
        <w:t xml:space="preserve">when exposed to </w:t>
      </w:r>
      <w:r w:rsidRPr="007065AA">
        <w:t>smoke arising from cauterisation during surg</w:t>
      </w:r>
      <w:r>
        <w:t>ical</w:t>
      </w:r>
      <w:r w:rsidRPr="00B00050">
        <w:t xml:space="preserve"> operations.</w:t>
      </w:r>
    </w:p>
    <w:p w:rsidR="00ED423B" w:rsidRPr="00CB6B29" w:rsidRDefault="00ED423B" w:rsidP="00BB6679">
      <w:pPr>
        <w:pStyle w:val="Heading3"/>
      </w:pPr>
      <w:bookmarkStart w:id="41" w:name="_Toc401068301"/>
      <w:r w:rsidRPr="00CB6B29">
        <w:t>Working with asphalt or tar</w:t>
      </w:r>
      <w:bookmarkEnd w:id="41"/>
    </w:p>
    <w:p w:rsidR="00ED423B" w:rsidRDefault="00ED423B" w:rsidP="00BB6679">
      <w:r w:rsidRPr="00CB6B29">
        <w:t xml:space="preserve">Nine </w:t>
      </w:r>
      <w:r>
        <w:t>respondents</w:t>
      </w:r>
      <w:r w:rsidRPr="00CB6B29">
        <w:t xml:space="preserve"> were exposed to </w:t>
      </w:r>
      <w:proofErr w:type="spellStart"/>
      <w:r w:rsidRPr="00CB6B29">
        <w:t>PAHs</w:t>
      </w:r>
      <w:proofErr w:type="spellEnd"/>
      <w:r w:rsidRPr="00CB6B29">
        <w:t xml:space="preserve"> </w:t>
      </w:r>
      <w:r>
        <w:t>when exposed to</w:t>
      </w:r>
      <w:r w:rsidRPr="00CB6B29">
        <w:t xml:space="preserve"> asphalt or tar. Eight of these </w:t>
      </w:r>
      <w:r>
        <w:t>respondents</w:t>
      </w:r>
      <w:r w:rsidRPr="00CB6B29">
        <w:t xml:space="preserve"> </w:t>
      </w:r>
      <w:r>
        <w:t xml:space="preserve">were </w:t>
      </w:r>
      <w:r w:rsidRPr="00CB6B29">
        <w:t>involved in road construction</w:t>
      </w:r>
      <w:r>
        <w:t>. F</w:t>
      </w:r>
      <w:r w:rsidRPr="00CB6B29">
        <w:t xml:space="preserve">our </w:t>
      </w:r>
      <w:r>
        <w:t>were</w:t>
      </w:r>
      <w:r w:rsidRPr="00CB6B29">
        <w:t xml:space="preserve"> deemed </w:t>
      </w:r>
      <w:r>
        <w:t xml:space="preserve">to have </w:t>
      </w:r>
      <w:r w:rsidRPr="00CB6B29">
        <w:t xml:space="preserve">medium </w:t>
      </w:r>
      <w:r w:rsidRPr="00CB6B29">
        <w:lastRenderedPageBreak/>
        <w:t>exposure as they used hot mix and four</w:t>
      </w:r>
      <w:r>
        <w:t xml:space="preserve"> were </w:t>
      </w:r>
      <w:r w:rsidRPr="00CB6B29">
        <w:t xml:space="preserve">deemed </w:t>
      </w:r>
      <w:r>
        <w:t xml:space="preserve">to have </w:t>
      </w:r>
      <w:r w:rsidRPr="00CB6B29">
        <w:t xml:space="preserve">low exposure as they used cold mix (which is associated with a lower level of fumes and thus lower exposure to </w:t>
      </w:r>
      <w:proofErr w:type="spellStart"/>
      <w:r w:rsidRPr="00CB6B29">
        <w:t>PAHs</w:t>
      </w:r>
      <w:proofErr w:type="spellEnd"/>
      <w:r w:rsidRPr="00CB6B29">
        <w:t>).</w:t>
      </w:r>
      <w:r>
        <w:t xml:space="preserve"> The ninth respondent was deemed to have high exposure when using asphalt, tar and bitumen for railway work.</w:t>
      </w:r>
    </w:p>
    <w:p w:rsidR="00ED423B" w:rsidRPr="00CB6B29" w:rsidRDefault="00ED423B" w:rsidP="00BB6679">
      <w:pPr>
        <w:pStyle w:val="Heading3"/>
      </w:pPr>
      <w:bookmarkStart w:id="42" w:name="_Toc401068302"/>
      <w:r w:rsidRPr="00CB6B29">
        <w:t xml:space="preserve">Working with </w:t>
      </w:r>
      <w:r>
        <w:t>creosote</w:t>
      </w:r>
      <w:bookmarkEnd w:id="42"/>
    </w:p>
    <w:p w:rsidR="00ED423B" w:rsidRPr="00CB6B29" w:rsidRDefault="00ED423B" w:rsidP="00BB6679">
      <w:r w:rsidRPr="00CB6B29">
        <w:t xml:space="preserve">Nine </w:t>
      </w:r>
      <w:r>
        <w:t xml:space="preserve">carpenters </w:t>
      </w:r>
      <w:r w:rsidRPr="00CB6B29">
        <w:t xml:space="preserve">were exposed to </w:t>
      </w:r>
      <w:proofErr w:type="spellStart"/>
      <w:r w:rsidRPr="00CB6B29">
        <w:t>PAHs</w:t>
      </w:r>
      <w:proofErr w:type="spellEnd"/>
      <w:r w:rsidRPr="00CB6B29">
        <w:t xml:space="preserve"> </w:t>
      </w:r>
      <w:r>
        <w:t>when</w:t>
      </w:r>
      <w:r w:rsidRPr="00CB6B29">
        <w:t xml:space="preserve"> </w:t>
      </w:r>
      <w:r>
        <w:t>working with creosote or creosote-treated wood</w:t>
      </w:r>
      <w:r w:rsidRPr="00CB6B29">
        <w:t xml:space="preserve">. </w:t>
      </w:r>
      <w:r>
        <w:t>Three were deemed to have medium exposure because they applied creosote to the wood and the other six were deemed to have low exposure because they only worked with creosote-treated timber.</w:t>
      </w:r>
    </w:p>
    <w:p w:rsidR="00ED423B" w:rsidRPr="00CB6B29" w:rsidRDefault="00ED423B" w:rsidP="00BB6679">
      <w:pPr>
        <w:pStyle w:val="Heading3"/>
      </w:pPr>
      <w:bookmarkStart w:id="43" w:name="_Toc401068303"/>
      <w:r w:rsidRPr="00CB6B29">
        <w:t>Miners</w:t>
      </w:r>
      <w:bookmarkEnd w:id="43"/>
    </w:p>
    <w:p w:rsidR="00ED423B" w:rsidRDefault="00ED423B" w:rsidP="00BB6679">
      <w:r w:rsidRPr="00CB6B29">
        <w:t xml:space="preserve">Six miners were deemed to have high exposure to </w:t>
      </w:r>
      <w:proofErr w:type="spellStart"/>
      <w:r w:rsidRPr="00CB6B29">
        <w:t>PAHs</w:t>
      </w:r>
      <w:proofErr w:type="spellEnd"/>
      <w:r>
        <w:t xml:space="preserve"> arising from exposure to blasting fumes through </w:t>
      </w:r>
      <w:r w:rsidRPr="00CB6B29">
        <w:t>their use of ammonium nitrate fuel oil in their mining work.</w:t>
      </w:r>
    </w:p>
    <w:p w:rsidR="00ED423B" w:rsidRPr="00CB6B29" w:rsidRDefault="00ED423B" w:rsidP="00BB6679">
      <w:pPr>
        <w:pStyle w:val="Heading3"/>
      </w:pPr>
      <w:bookmarkStart w:id="44" w:name="_Toc401068304"/>
      <w:r>
        <w:t>Firing range</w:t>
      </w:r>
      <w:bookmarkEnd w:id="44"/>
    </w:p>
    <w:p w:rsidR="00ED423B" w:rsidRPr="00CB6B29" w:rsidRDefault="00ED423B" w:rsidP="00BB6679">
      <w:r>
        <w:t xml:space="preserve">Twelve people, six from the military and six from the police force, were deemed to have low exposure to </w:t>
      </w:r>
      <w:proofErr w:type="spellStart"/>
      <w:r>
        <w:t>PAHs</w:t>
      </w:r>
      <w:proofErr w:type="spellEnd"/>
      <w:r>
        <w:t xml:space="preserve"> when </w:t>
      </w:r>
      <w:r w:rsidRPr="00DC5981">
        <w:t>instruct</w:t>
      </w:r>
      <w:r>
        <w:t>ing</w:t>
      </w:r>
      <w:r w:rsidRPr="00DC5981">
        <w:t xml:space="preserve"> or practi</w:t>
      </w:r>
      <w:r>
        <w:t>cing</w:t>
      </w:r>
      <w:r w:rsidRPr="00DC5981">
        <w:t xml:space="preserve"> firing a gun at an indoor firing range</w:t>
      </w:r>
      <w:r>
        <w:t>.</w:t>
      </w:r>
    </w:p>
    <w:p w:rsidR="00ED423B" w:rsidRPr="00EF4166" w:rsidRDefault="00ED423B" w:rsidP="00BB6679">
      <w:pPr>
        <w:pStyle w:val="Heading3"/>
      </w:pPr>
      <w:bookmarkStart w:id="45" w:name="_Toc401068305"/>
      <w:r w:rsidRPr="00EF4166">
        <w:t>Other exposure circumstances</w:t>
      </w:r>
      <w:bookmarkEnd w:id="45"/>
    </w:p>
    <w:p w:rsidR="00ED423B" w:rsidRDefault="00ED423B" w:rsidP="00BB6679">
      <w:r w:rsidRPr="00EF4166">
        <w:t xml:space="preserve">Other circumstances of exposure to </w:t>
      </w:r>
      <w:proofErr w:type="spellStart"/>
      <w:r w:rsidRPr="00EF4166">
        <w:t>PAH</w:t>
      </w:r>
      <w:r>
        <w:t>s</w:t>
      </w:r>
      <w:proofErr w:type="spellEnd"/>
      <w:r w:rsidRPr="00EF4166">
        <w:t xml:space="preserve"> included</w:t>
      </w:r>
      <w:r>
        <w:t>:</w:t>
      </w:r>
    </w:p>
    <w:p w:rsidR="00ED423B" w:rsidRDefault="00ED423B" w:rsidP="00BB6679">
      <w:pPr>
        <w:pStyle w:val="ListParagraph"/>
        <w:numPr>
          <w:ilvl w:val="0"/>
          <w:numId w:val="9"/>
        </w:numPr>
      </w:pPr>
      <w:r w:rsidRPr="00EF4166">
        <w:t>electricians applying asphalt coating to cables</w:t>
      </w:r>
    </w:p>
    <w:p w:rsidR="00ED423B" w:rsidRDefault="00ED423B" w:rsidP="00BB6679">
      <w:pPr>
        <w:pStyle w:val="ListParagraph"/>
        <w:numPr>
          <w:ilvl w:val="0"/>
          <w:numId w:val="9"/>
        </w:numPr>
      </w:pPr>
      <w:r w:rsidRPr="00EF4166">
        <w:t>lab workers testing hydrocarbons</w:t>
      </w:r>
      <w:r>
        <w:t>,</w:t>
      </w:r>
      <w:r w:rsidRPr="00EF4166">
        <w:t xml:space="preserve"> and</w:t>
      </w:r>
    </w:p>
    <w:p w:rsidR="00ED423B" w:rsidRPr="00EF4166" w:rsidRDefault="00ED423B" w:rsidP="00BB6679">
      <w:pPr>
        <w:pStyle w:val="ListParagraph"/>
        <w:numPr>
          <w:ilvl w:val="0"/>
          <w:numId w:val="9"/>
        </w:numPr>
      </w:pPr>
      <w:proofErr w:type="gramStart"/>
      <w:r w:rsidRPr="00EF4166">
        <w:t>workers</w:t>
      </w:r>
      <w:proofErr w:type="gramEnd"/>
      <w:r w:rsidRPr="00EF4166">
        <w:t xml:space="preserve"> involved in aluminium smelting.</w:t>
      </w:r>
    </w:p>
    <w:p w:rsidR="00ED423B" w:rsidRPr="00EF4166" w:rsidRDefault="00ED423B" w:rsidP="00BB6679">
      <w:pPr>
        <w:pStyle w:val="Heading2"/>
      </w:pPr>
      <w:bookmarkStart w:id="46" w:name="_Toc401068306"/>
      <w:r w:rsidRPr="00EF4166">
        <w:t>The use of respiratory protection equipment</w:t>
      </w:r>
      <w:bookmarkEnd w:id="46"/>
    </w:p>
    <w:p w:rsidR="00ED423B" w:rsidRPr="00570F26" w:rsidRDefault="00ED423B" w:rsidP="00BB6679">
      <w:pPr>
        <w:rPr>
          <w:highlight w:val="green"/>
        </w:rPr>
      </w:pPr>
      <w:r>
        <w:t xml:space="preserve">There was little or no </w:t>
      </w:r>
      <w:r w:rsidRPr="00EF4166">
        <w:t xml:space="preserve">information on the use of respiratory protective </w:t>
      </w:r>
      <w:r>
        <w:t>equipment or skin protection for many of the main</w:t>
      </w:r>
      <w:r w:rsidRPr="00EF4166">
        <w:t xml:space="preserve"> circumstances</w:t>
      </w:r>
      <w:r>
        <w:t xml:space="preserve"> involving exposure to </w:t>
      </w:r>
      <w:proofErr w:type="spellStart"/>
      <w:r>
        <w:t>PAHs</w:t>
      </w:r>
      <w:proofErr w:type="spellEnd"/>
      <w:r w:rsidRPr="00EF4166">
        <w:t xml:space="preserve">. </w:t>
      </w:r>
      <w:r>
        <w:t>However, information was available for fire fighting, back burning and welding.</w:t>
      </w:r>
    </w:p>
    <w:p w:rsidR="00ED423B" w:rsidRPr="007424F1" w:rsidRDefault="00ED423B" w:rsidP="00BB6679">
      <w:r w:rsidRPr="007424F1">
        <w:t>Twenty-one fire fighters were deemed to have been exposed on the basis of this fire fighting, primarily thro</w:t>
      </w:r>
      <w:r>
        <w:t xml:space="preserve">ugh front-line fire-fighting, </w:t>
      </w:r>
      <w:r w:rsidRPr="007424F1">
        <w:t>fire overhaul and clean-up</w:t>
      </w:r>
      <w:r>
        <w:t>, or back-burning</w:t>
      </w:r>
      <w:r w:rsidRPr="007424F1">
        <w:t xml:space="preserve">. </w:t>
      </w:r>
      <w:r>
        <w:t>Of these, eight (</w:t>
      </w:r>
      <w:r w:rsidRPr="007424F1">
        <w:t>38%)</w:t>
      </w:r>
      <w:r>
        <w:t xml:space="preserve"> </w:t>
      </w:r>
      <w:r w:rsidRPr="007424F1">
        <w:t xml:space="preserve">reported always </w:t>
      </w:r>
      <w:r>
        <w:t>and</w:t>
      </w:r>
      <w:r w:rsidRPr="007424F1">
        <w:t xml:space="preserve"> </w:t>
      </w:r>
      <w:r>
        <w:t>eight (</w:t>
      </w:r>
      <w:r w:rsidRPr="007424F1">
        <w:t xml:space="preserve">38%) </w:t>
      </w:r>
      <w:r>
        <w:t xml:space="preserve">reported usually </w:t>
      </w:r>
      <w:r w:rsidRPr="007424F1">
        <w:t xml:space="preserve">wearing breathing apparatus while fighting fires. The remaining five </w:t>
      </w:r>
      <w:r>
        <w:t xml:space="preserve">(24%) </w:t>
      </w:r>
      <w:r w:rsidRPr="007424F1">
        <w:t xml:space="preserve">sometimes or never used breathing apparatus. Of the 18 fire fighters involved in fire overhaul and clean-up, </w:t>
      </w:r>
      <w:r>
        <w:t xml:space="preserve">five (28%) </w:t>
      </w:r>
      <w:r w:rsidRPr="007424F1">
        <w:t xml:space="preserve">always </w:t>
      </w:r>
      <w:r>
        <w:t>and six (33%) usually</w:t>
      </w:r>
      <w:r w:rsidRPr="007424F1">
        <w:t xml:space="preserve"> used breathing apparatus</w:t>
      </w:r>
      <w:r>
        <w:t>. Five</w:t>
      </w:r>
      <w:r w:rsidRPr="007424F1">
        <w:t xml:space="preserve"> sometimes (28%) </w:t>
      </w:r>
      <w:r>
        <w:t>and two</w:t>
      </w:r>
      <w:r w:rsidRPr="007424F1">
        <w:t xml:space="preserve"> never (11%) used breathing apparatus whil</w:t>
      </w:r>
      <w:r>
        <w:t>e</w:t>
      </w:r>
      <w:r w:rsidRPr="007424F1">
        <w:t xml:space="preserve"> </w:t>
      </w:r>
      <w:r>
        <w:t>involved in</w:t>
      </w:r>
      <w:r w:rsidRPr="007424F1">
        <w:t xml:space="preserve"> fire overhaul and clean-up. </w:t>
      </w:r>
      <w:r>
        <w:t>Eleven</w:t>
      </w:r>
      <w:r w:rsidRPr="007424F1">
        <w:t xml:space="preserve"> fire fighters reported being involved in back burning</w:t>
      </w:r>
      <w:r>
        <w:t>. Seven</w:t>
      </w:r>
      <w:r w:rsidRPr="007424F1">
        <w:t xml:space="preserve"> </w:t>
      </w:r>
      <w:r>
        <w:t>(64</w:t>
      </w:r>
      <w:r w:rsidRPr="007424F1">
        <w:t xml:space="preserve">%) </w:t>
      </w:r>
      <w:r>
        <w:t xml:space="preserve">never, three (18%) </w:t>
      </w:r>
      <w:r w:rsidRPr="007424F1">
        <w:t xml:space="preserve">sometimes </w:t>
      </w:r>
      <w:r>
        <w:t xml:space="preserve">and one (9%) always </w:t>
      </w:r>
      <w:r w:rsidRPr="007424F1">
        <w:t>us</w:t>
      </w:r>
      <w:r>
        <w:t>ed</w:t>
      </w:r>
      <w:r w:rsidRPr="007424F1">
        <w:t xml:space="preserve"> breathing apparatus. Taking all activities into account, nine fire fighters (42.9%) always or usually used breathing apparatus while undertaking all fire fighting activit</w:t>
      </w:r>
      <w:r>
        <w:t>ies</w:t>
      </w:r>
      <w:r w:rsidRPr="007424F1">
        <w:t xml:space="preserve"> and 12 fire fighters (57.1%) never or only sometimes used breathing apparatus.</w:t>
      </w:r>
      <w:r>
        <w:t xml:space="preserve"> Of the three forestry workers involved in back burning, none used respiratory protective equipment.</w:t>
      </w:r>
    </w:p>
    <w:p w:rsidR="00ED423B" w:rsidRDefault="00ED423B" w:rsidP="00BB6679">
      <w:r>
        <w:t xml:space="preserve">Seventeen welders were exposed to </w:t>
      </w:r>
      <w:proofErr w:type="spellStart"/>
      <w:r>
        <w:t>PAHs</w:t>
      </w:r>
      <w:proofErr w:type="spellEnd"/>
      <w:r>
        <w:t xml:space="preserve"> when welding materials with coated surfaces:</w:t>
      </w:r>
    </w:p>
    <w:p w:rsidR="00ED423B" w:rsidRDefault="00ED423B" w:rsidP="00BB6679">
      <w:pPr>
        <w:pStyle w:val="ListParagraph"/>
        <w:numPr>
          <w:ilvl w:val="0"/>
          <w:numId w:val="9"/>
        </w:numPr>
      </w:pPr>
      <w:r>
        <w:t>five reported usually using an air-supplied welding helmet</w:t>
      </w:r>
    </w:p>
    <w:p w:rsidR="00ED423B" w:rsidRDefault="00ED423B" w:rsidP="00BB6679">
      <w:pPr>
        <w:pStyle w:val="ListParagraph"/>
        <w:numPr>
          <w:ilvl w:val="0"/>
          <w:numId w:val="9"/>
        </w:numPr>
      </w:pPr>
      <w:r>
        <w:t>twelve reported they used a welding booth but 11 of these said they used the booth less than half the time they welded</w:t>
      </w:r>
    </w:p>
    <w:p w:rsidR="00ED423B" w:rsidRDefault="00ED423B" w:rsidP="00BB6679">
      <w:pPr>
        <w:pStyle w:val="ListParagraph"/>
        <w:numPr>
          <w:ilvl w:val="0"/>
          <w:numId w:val="9"/>
        </w:numPr>
      </w:pPr>
      <w:r>
        <w:t>twelve reported welding outdoors at least some of the time but eight of these did so less than half the time, and</w:t>
      </w:r>
    </w:p>
    <w:p w:rsidR="00ED423B" w:rsidRDefault="00ED423B" w:rsidP="00BB6679">
      <w:pPr>
        <w:pStyle w:val="ListParagraph"/>
        <w:numPr>
          <w:ilvl w:val="0"/>
          <w:numId w:val="9"/>
        </w:numPr>
      </w:pPr>
      <w:proofErr w:type="gramStart"/>
      <w:r>
        <w:t>four</w:t>
      </w:r>
      <w:proofErr w:type="gramEnd"/>
      <w:r>
        <w:t xml:space="preserve"> reported welding in confined spaces, all of whom reported they did not use an air-supplied welding helmet.</w:t>
      </w:r>
    </w:p>
    <w:p w:rsidR="00ED423B" w:rsidRPr="003278A5" w:rsidRDefault="00ED423B" w:rsidP="00BB6679">
      <w:pPr>
        <w:pStyle w:val="Heading1"/>
      </w:pPr>
      <w:bookmarkStart w:id="47" w:name="_Toc401068307"/>
      <w:r w:rsidRPr="003278A5">
        <w:lastRenderedPageBreak/>
        <w:t>DISCUSSION AND INTERPRETATION OF THE STUDY FINDINGS</w:t>
      </w:r>
      <w:bookmarkEnd w:id="47"/>
    </w:p>
    <w:p w:rsidR="00ED423B" w:rsidRPr="003278A5" w:rsidRDefault="00ED423B" w:rsidP="00BB6679">
      <w:pPr>
        <w:pStyle w:val="Heading2"/>
      </w:pPr>
      <w:bookmarkStart w:id="48" w:name="_Toc401068308"/>
      <w:r w:rsidRPr="003278A5">
        <w:t>Exposures</w:t>
      </w:r>
      <w:bookmarkEnd w:id="48"/>
    </w:p>
    <w:p w:rsidR="00ED423B" w:rsidRPr="003278A5" w:rsidRDefault="00ED423B" w:rsidP="00BB6679">
      <w:r w:rsidRPr="00895A41">
        <w:t xml:space="preserve">The main circumstances </w:t>
      </w:r>
      <w:r>
        <w:t xml:space="preserve">of exposure to </w:t>
      </w:r>
      <w:proofErr w:type="spellStart"/>
      <w:r>
        <w:t>PAHs</w:t>
      </w:r>
      <w:proofErr w:type="spellEnd"/>
      <w:r>
        <w:t xml:space="preserve"> identified in the AWES project </w:t>
      </w:r>
      <w:r w:rsidRPr="00895A41">
        <w:t>were exposure to smoke through burning or fighting fires</w:t>
      </w:r>
      <w:r w:rsidRPr="00AF1400">
        <w:t xml:space="preserve"> </w:t>
      </w:r>
      <w:r>
        <w:t>and exposure to engine exhaust fumes when doing</w:t>
      </w:r>
      <w:r w:rsidRPr="00895A41">
        <w:t xml:space="preserve"> </w:t>
      </w:r>
      <w:r>
        <w:t>maintenance work on</w:t>
      </w:r>
      <w:r w:rsidRPr="00895A41">
        <w:t xml:space="preserve"> mowers or other equipment. Other common exposure circumstances were</w:t>
      </w:r>
      <w:r>
        <w:t xml:space="preserve"> </w:t>
      </w:r>
      <w:r w:rsidRPr="00895A41">
        <w:t>cleaning up ash after a fire</w:t>
      </w:r>
      <w:r>
        <w:t>,</w:t>
      </w:r>
      <w:r w:rsidRPr="00895A41">
        <w:t xml:space="preserve"> expo</w:t>
      </w:r>
      <w:r>
        <w:t>sure</w:t>
      </w:r>
      <w:r w:rsidRPr="00895A41">
        <w:t xml:space="preserve"> to diathermy smoke</w:t>
      </w:r>
      <w:r>
        <w:t xml:space="preserve"> during surgery,</w:t>
      </w:r>
      <w:r w:rsidRPr="00895A41">
        <w:t xml:space="preserve"> </w:t>
      </w:r>
      <w:r>
        <w:t xml:space="preserve">cooking, </w:t>
      </w:r>
      <w:r w:rsidRPr="00895A41">
        <w:t xml:space="preserve">and </w:t>
      </w:r>
      <w:r w:rsidR="000B6BB8" w:rsidRPr="00CB6B29">
        <w:t>welding materials with coated surfaces</w:t>
      </w:r>
      <w:r w:rsidRPr="00895A41">
        <w:t xml:space="preserve">. </w:t>
      </w:r>
      <w:r w:rsidRPr="003278A5">
        <w:t xml:space="preserve">These exposure circumstances cover many of those traditionally associated with </w:t>
      </w:r>
      <w:proofErr w:type="spellStart"/>
      <w:r w:rsidRPr="003278A5">
        <w:t>PAHs</w:t>
      </w:r>
      <w:proofErr w:type="spellEnd"/>
      <w:r w:rsidRPr="003278A5">
        <w:t xml:space="preserve"> exposure. </w:t>
      </w:r>
      <w:r>
        <w:t xml:space="preserve">However, </w:t>
      </w:r>
      <w:r w:rsidRPr="003278A5">
        <w:t xml:space="preserve">some industries or occupations </w:t>
      </w:r>
      <w:r>
        <w:t xml:space="preserve">that may be traditionally associated with exposures to </w:t>
      </w:r>
      <w:proofErr w:type="spellStart"/>
      <w:r>
        <w:t>PAHs</w:t>
      </w:r>
      <w:proofErr w:type="spellEnd"/>
      <w:r>
        <w:t xml:space="preserve"> may not be</w:t>
      </w:r>
      <w:r w:rsidRPr="003278A5">
        <w:t xml:space="preserve"> included in the </w:t>
      </w:r>
      <w:r>
        <w:t xml:space="preserve">AWES </w:t>
      </w:r>
      <w:r w:rsidRPr="003278A5">
        <w:t>data set</w:t>
      </w:r>
      <w:r>
        <w:t xml:space="preserve">. </w:t>
      </w:r>
      <w:r w:rsidRPr="00826347">
        <w:t xml:space="preserve">This is because AWES is not a study of </w:t>
      </w:r>
      <w:r>
        <w:t>specific</w:t>
      </w:r>
      <w:r w:rsidRPr="00826347">
        <w:t xml:space="preserve"> industr</w:t>
      </w:r>
      <w:r>
        <w:t>ies but is a population-based</w:t>
      </w:r>
      <w:r w:rsidRPr="00826347">
        <w:t xml:space="preserve"> study </w:t>
      </w:r>
      <w:r>
        <w:t>that attempts to identify if exposures to</w:t>
      </w:r>
      <w:r w:rsidRPr="00826347">
        <w:t xml:space="preserve"> </w:t>
      </w:r>
      <w:proofErr w:type="spellStart"/>
      <w:r>
        <w:t>PAHs</w:t>
      </w:r>
      <w:proofErr w:type="spellEnd"/>
      <w:r w:rsidRPr="00826347">
        <w:t xml:space="preserve"> </w:t>
      </w:r>
      <w:r>
        <w:t xml:space="preserve">occur </w:t>
      </w:r>
      <w:r w:rsidRPr="00826347">
        <w:t xml:space="preserve">in the course of </w:t>
      </w:r>
      <w:r>
        <w:t>general</w:t>
      </w:r>
      <w:r w:rsidRPr="00826347">
        <w:t xml:space="preserve"> work</w:t>
      </w:r>
      <w:r>
        <w:t xml:space="preserve"> activities</w:t>
      </w:r>
      <w:r w:rsidRPr="00826347">
        <w:t>.</w:t>
      </w:r>
      <w:r>
        <w:t xml:space="preserve"> </w:t>
      </w:r>
      <w:r w:rsidRPr="003278A5">
        <w:t xml:space="preserve">These are two very different areas, although clearly with some overlap. This is an unavoidable aspect of any such large scale survey. Studies such as AWES are not designed to provide detailed information about exposure circumstances in a specific industry sector known to have </w:t>
      </w:r>
      <w:proofErr w:type="spellStart"/>
      <w:r w:rsidRPr="003278A5">
        <w:t>PAHs</w:t>
      </w:r>
      <w:proofErr w:type="spellEnd"/>
      <w:r w:rsidRPr="003278A5">
        <w:t xml:space="preserve"> exposure. That information can be obtained much more efficiently from a small study designed specifically to provide such information. Instead, AWES indicates that </w:t>
      </w:r>
      <w:proofErr w:type="spellStart"/>
      <w:r w:rsidRPr="003278A5">
        <w:t>PAHs</w:t>
      </w:r>
      <w:proofErr w:type="spellEnd"/>
      <w:r w:rsidRPr="003278A5">
        <w:t xml:space="preserve"> exposure is common in a range of occupations and industries.</w:t>
      </w:r>
    </w:p>
    <w:p w:rsidR="00ED423B" w:rsidRPr="00461508" w:rsidRDefault="00ED423B" w:rsidP="00BB6679">
      <w:r w:rsidRPr="00461508">
        <w:t xml:space="preserve">Qualitative information on exposure was collected, based on job tasks. This approach should have provided a good qualitative understanding of exposures but there is no scope in the current design to validate the estimates by taking quantitative measures in workplaces. Nevertheless, the questions asked and the coding logic of the AWES database </w:t>
      </w:r>
      <w:proofErr w:type="gramStart"/>
      <w:r w:rsidRPr="00461508">
        <w:t>are</w:t>
      </w:r>
      <w:proofErr w:type="gramEnd"/>
      <w:r w:rsidRPr="00461508">
        <w:t xml:space="preserve"> based on published studies that provide semi-quantitative estimates of </w:t>
      </w:r>
      <w:proofErr w:type="spellStart"/>
      <w:r w:rsidRPr="00461508">
        <w:t>PAHs</w:t>
      </w:r>
      <w:proofErr w:type="spellEnd"/>
      <w:r w:rsidRPr="00461508">
        <w:t xml:space="preserve"> exposure.</w:t>
      </w:r>
    </w:p>
    <w:p w:rsidR="00ED423B" w:rsidRPr="009C6A9B" w:rsidRDefault="00ED423B" w:rsidP="00BB6679">
      <w:r w:rsidRPr="009C6A9B">
        <w:t>Based on AWES results and national employment data, it is estimated that about 675</w:t>
      </w:r>
      <w:r>
        <w:t xml:space="preserve"> </w:t>
      </w:r>
      <w:r w:rsidRPr="009C6A9B">
        <w:t>000 workers</w:t>
      </w:r>
      <w:r>
        <w:t>—approximately</w:t>
      </w:r>
      <w:r w:rsidRPr="009C6A9B">
        <w:t xml:space="preserve"> 6.7% of the Australian workforce</w:t>
      </w:r>
      <w:r>
        <w:t>—</w:t>
      </w:r>
      <w:r w:rsidRPr="009C6A9B">
        <w:t xml:space="preserve">are likely to be exposed to </w:t>
      </w:r>
      <w:proofErr w:type="spellStart"/>
      <w:r w:rsidRPr="009C6A9B">
        <w:t>PAHs</w:t>
      </w:r>
      <w:proofErr w:type="spellEnd"/>
      <w:r w:rsidRPr="009C6A9B">
        <w:t xml:space="preserve"> at least some of the time in their current job. The exposure prevalence was higher in men (10.3%) than women (2.7%), presumably reflecting that a higher proportion of men than women work in occupations and industries where </w:t>
      </w:r>
      <w:proofErr w:type="spellStart"/>
      <w:r w:rsidRPr="009C6A9B">
        <w:t>PAHs</w:t>
      </w:r>
      <w:proofErr w:type="spellEnd"/>
      <w:r w:rsidRPr="009C6A9B">
        <w:t xml:space="preserve"> exposure is more likely. </w:t>
      </w:r>
      <w:r>
        <w:t xml:space="preserve">Many occupational circumstances involve exposures to </w:t>
      </w:r>
      <w:proofErr w:type="spellStart"/>
      <w:r>
        <w:t>PAHs</w:t>
      </w:r>
      <w:proofErr w:type="spellEnd"/>
      <w:r>
        <w:t xml:space="preserve">. Some individual </w:t>
      </w:r>
      <w:proofErr w:type="spellStart"/>
      <w:r w:rsidRPr="009C6A9B">
        <w:t>PAHs</w:t>
      </w:r>
      <w:proofErr w:type="spellEnd"/>
      <w:r w:rsidRPr="009C6A9B">
        <w:t xml:space="preserve"> </w:t>
      </w:r>
      <w:r>
        <w:t>are known</w:t>
      </w:r>
      <w:r w:rsidRPr="009C6A9B">
        <w:t xml:space="preserve"> human carcinogen</w:t>
      </w:r>
      <w:r>
        <w:t>s and others are probable human carcinogens</w:t>
      </w:r>
      <w:r w:rsidRPr="009C6A9B">
        <w:t xml:space="preserve"> which means that exposure should be minimi</w:t>
      </w:r>
      <w:r>
        <w:t>s</w:t>
      </w:r>
      <w:r w:rsidRPr="009C6A9B">
        <w:t xml:space="preserve">ed to as low a level as </w:t>
      </w:r>
      <w:r w:rsidRPr="006B323D">
        <w:t>reasonably practicable.</w:t>
      </w:r>
      <w:r w:rsidRPr="009C6A9B">
        <w:t xml:space="preserve"> </w:t>
      </w:r>
    </w:p>
    <w:p w:rsidR="00ED423B" w:rsidRPr="00970CE4" w:rsidRDefault="00ED423B" w:rsidP="00BB6679">
      <w:r w:rsidRPr="00970CE4">
        <w:t xml:space="preserve">The exposure prevalence in this study was higher than that found in the </w:t>
      </w:r>
      <w:r>
        <w:t xml:space="preserve">0.7% exposure prevalence found in the </w:t>
      </w:r>
      <w:proofErr w:type="spellStart"/>
      <w:r w:rsidRPr="00970CE4">
        <w:t>CAREX</w:t>
      </w:r>
      <w:proofErr w:type="spellEnd"/>
      <w:r w:rsidRPr="00970CE4">
        <w:t xml:space="preserve"> study</w:t>
      </w:r>
      <w:r>
        <w:t xml:space="preserve"> </w:t>
      </w:r>
      <w:r>
        <w:rPr>
          <w:noProof/>
        </w:rPr>
        <w:t>(Finnish Institute of Occupational Health 1998)</w:t>
      </w:r>
      <w:r>
        <w:t xml:space="preserve"> </w:t>
      </w:r>
      <w:r w:rsidRPr="00970CE4">
        <w:t xml:space="preserve">and </w:t>
      </w:r>
      <w:r>
        <w:t xml:space="preserve">the 2% exposure prevalence found in the </w:t>
      </w:r>
      <w:proofErr w:type="spellStart"/>
      <w:r w:rsidRPr="00970CE4">
        <w:t>CAREX</w:t>
      </w:r>
      <w:proofErr w:type="spellEnd"/>
      <w:r w:rsidRPr="00970CE4">
        <w:t xml:space="preserve"> Canada stud</w:t>
      </w:r>
      <w:r>
        <w:t xml:space="preserve">y </w:t>
      </w:r>
      <w:r>
        <w:rPr>
          <w:noProof/>
        </w:rPr>
        <w:t>(CAREX Canada 2014)</w:t>
      </w:r>
      <w:r w:rsidRPr="00970CE4">
        <w:t xml:space="preserve">. However, many of the occupations and industries with higher exposure prevalence were similar between the studies. Some of the differences in the prevalence estimates between the three studies probably reflect the different industry proportions in the countries in which the three studies were based. The studies also used quite different methods, AWES being the only study that surveyed workers about what tasks they actually performed at work and took into account the use or non-use of control measures. </w:t>
      </w:r>
      <w:proofErr w:type="spellStart"/>
      <w:r w:rsidRPr="00970CE4">
        <w:t>CAREX</w:t>
      </w:r>
      <w:proofErr w:type="spellEnd"/>
      <w:r w:rsidRPr="00970CE4">
        <w:t xml:space="preserve"> estimates and </w:t>
      </w:r>
      <w:proofErr w:type="spellStart"/>
      <w:r w:rsidRPr="00970CE4">
        <w:t>CAREX</w:t>
      </w:r>
      <w:proofErr w:type="spellEnd"/>
      <w:r w:rsidRPr="00970CE4">
        <w:t xml:space="preserve"> Canada estimates were based on workplace measures taken for a range of reasons and on expert opinion. The definition of exposure in the studies also appears to have been different although it is difficult to make a direct comparison. It may also be that the AWES project accepted lower exposures or a lower probability of exposure in exposed subjects than did the other two studies. The level of exposure in the AWES project was based on exposure whil</w:t>
      </w:r>
      <w:r>
        <w:t>e</w:t>
      </w:r>
      <w:r w:rsidRPr="00970CE4">
        <w:t xml:space="preserve"> undertaking the relevant task and was not intended to necessarily relate to an assessment of the time-weighted average exposure of that person. The definition of what is </w:t>
      </w:r>
      <w:r>
        <w:t>h</w:t>
      </w:r>
      <w:r w:rsidRPr="00970CE4">
        <w:t xml:space="preserve">igh, </w:t>
      </w:r>
      <w:r>
        <w:t>m</w:t>
      </w:r>
      <w:r w:rsidRPr="00970CE4">
        <w:t xml:space="preserve">edium and </w:t>
      </w:r>
      <w:r>
        <w:t>l</w:t>
      </w:r>
      <w:r w:rsidRPr="00970CE4">
        <w:t xml:space="preserve">ow exposure is certainly important but was only possible in a qualitative sense. The methods used in the AWES project suggest it is more likely to provide a nationally representative estimate of exposure than are the other two studies. However, the other two </w:t>
      </w:r>
      <w:r w:rsidRPr="00970CE4">
        <w:lastRenderedPageBreak/>
        <w:t>studies did, to some extent, incorporate levels of workplace exposure estimates as part of their methodology.</w:t>
      </w:r>
    </w:p>
    <w:p w:rsidR="00ED423B" w:rsidRPr="00F268F6" w:rsidRDefault="00ED423B" w:rsidP="00BB6679">
      <w:pPr>
        <w:pStyle w:val="Heading2"/>
      </w:pPr>
      <w:bookmarkStart w:id="49" w:name="_Toc401068309"/>
      <w:r w:rsidRPr="00F268F6">
        <w:t>Use of control measures</w:t>
      </w:r>
      <w:bookmarkEnd w:id="49"/>
    </w:p>
    <w:p w:rsidR="00ED423B" w:rsidRPr="00F268F6" w:rsidRDefault="00ED423B" w:rsidP="00BB6679">
      <w:r w:rsidRPr="00F268F6">
        <w:t xml:space="preserve">There was not a lot of information on the use of control measures for many of the </w:t>
      </w:r>
      <w:proofErr w:type="spellStart"/>
      <w:r w:rsidRPr="00F268F6">
        <w:t>PAH</w:t>
      </w:r>
      <w:r w:rsidR="000B6BB8">
        <w:t>s</w:t>
      </w:r>
      <w:proofErr w:type="spellEnd"/>
      <w:r w:rsidR="000B6BB8">
        <w:t xml:space="preserve"> </w:t>
      </w:r>
      <w:r w:rsidRPr="00F268F6">
        <w:t xml:space="preserve">exposure circumstances considered in AWES but information was available for fire fighting, back burning and welding. The analysis of </w:t>
      </w:r>
      <w:r>
        <w:t xml:space="preserve">available </w:t>
      </w:r>
      <w:r w:rsidRPr="00F268F6">
        <w:t xml:space="preserve">AWES data showed inconsistent use of control measures in circumstances that entailed probable exposure to </w:t>
      </w:r>
      <w:proofErr w:type="spellStart"/>
      <w:r w:rsidRPr="00F268F6">
        <w:t>PAHs</w:t>
      </w:r>
      <w:proofErr w:type="spellEnd"/>
      <w:r w:rsidRPr="00F268F6">
        <w:t xml:space="preserve">. The control measures </w:t>
      </w:r>
      <w:r>
        <w:t xml:space="preserve">such as </w:t>
      </w:r>
      <w:r w:rsidRPr="00F268F6">
        <w:t xml:space="preserve">breathing apparatus, supplied-air respirators and welding booths used </w:t>
      </w:r>
      <w:r>
        <w:t xml:space="preserve">by respondents </w:t>
      </w:r>
      <w:r w:rsidRPr="00F268F6">
        <w:t xml:space="preserve">related to decreasing the chance of inhalation. Where information was available it suggested respiratory protection was </w:t>
      </w:r>
      <w:r>
        <w:t xml:space="preserve">commonly (by more than half the respondents) not used effectively, either because it was not used appropriately when it was used or it was used for less than </w:t>
      </w:r>
      <w:r w:rsidRPr="00F268F6">
        <w:t xml:space="preserve">half the time </w:t>
      </w:r>
      <w:r>
        <w:t>respondents</w:t>
      </w:r>
      <w:r w:rsidRPr="00F268F6">
        <w:t xml:space="preserve"> were exposed.</w:t>
      </w:r>
    </w:p>
    <w:p w:rsidR="00ED423B" w:rsidRPr="00F268F6" w:rsidRDefault="00ED423B" w:rsidP="00BB6679">
      <w:pPr>
        <w:pStyle w:val="Heading2"/>
      </w:pPr>
      <w:bookmarkStart w:id="50" w:name="_Toc401068310"/>
      <w:r w:rsidRPr="00F268F6">
        <w:t>Gaps, strength</w:t>
      </w:r>
      <w:r>
        <w:t>s</w:t>
      </w:r>
      <w:r w:rsidRPr="00F268F6">
        <w:t xml:space="preserve"> and weaknesses</w:t>
      </w:r>
      <w:bookmarkEnd w:id="50"/>
    </w:p>
    <w:p w:rsidR="00ED423B" w:rsidRPr="00F268F6" w:rsidRDefault="00ED423B" w:rsidP="00BB6679">
      <w:r w:rsidRPr="00F268F6">
        <w:t>This report focuses primarily on data from the AWES project mainly because there are few other relevant data sources available. The AWES project provides the first nationally representative information on current workplace exposure to a range of definite and probable carcinogens. It also provides evidence on which to base estimates of future burden arising from exposures and estimates of future avoidable burden if exposures are better controlled</w:t>
      </w:r>
      <w:r>
        <w:t>. This</w:t>
      </w:r>
      <w:r w:rsidRPr="00F268F6">
        <w:t xml:space="preserve"> information can be used for prioriti</w:t>
      </w:r>
      <w:r>
        <w:t>s</w:t>
      </w:r>
      <w:r w:rsidRPr="00F268F6">
        <w:t xml:space="preserve">ing work to decrease exposures to </w:t>
      </w:r>
      <w:proofErr w:type="spellStart"/>
      <w:r w:rsidRPr="00F268F6">
        <w:t>PAHs</w:t>
      </w:r>
      <w:proofErr w:type="spellEnd"/>
      <w:r w:rsidRPr="00F268F6">
        <w:t>. However, like any such survey it is has some limitations.</w:t>
      </w:r>
    </w:p>
    <w:p w:rsidR="00ED423B" w:rsidRDefault="00ED423B" w:rsidP="00BB6679">
      <w:r w:rsidRPr="00826347">
        <w:t xml:space="preserve">Data were collected through a telephone survey, with attendant time restraints in terms of maintaining the respondent’s cooperation. </w:t>
      </w:r>
      <w:r>
        <w:t xml:space="preserve">In practical terms telephone-based surveys involve a </w:t>
      </w:r>
      <w:r w:rsidRPr="00826347">
        <w:t xml:space="preserve">compromise between covering the essential questions and including questions that are important but not required for the primary purpose of the study. </w:t>
      </w:r>
      <w:r>
        <w:t xml:space="preserve">As the AWES covered a range of potential exposures </w:t>
      </w:r>
      <w:r w:rsidRPr="00826347">
        <w:t>a limited number of specific questions could be asked about any particular exposure. There were similar</w:t>
      </w:r>
      <w:r>
        <w:t xml:space="preserve"> issues with the NHEWS project.</w:t>
      </w:r>
    </w:p>
    <w:p w:rsidR="00ED423B" w:rsidRDefault="00ED423B" w:rsidP="00BB6679">
      <w:r w:rsidRPr="00301E7B">
        <w:t xml:space="preserve">The sample was selected to be representative of the workforce, and the occupation and industry within the workforce, of each State and Territory and therefore of the national workforce. The final sample on </w:t>
      </w:r>
      <w:proofErr w:type="gramStart"/>
      <w:r w:rsidRPr="00301E7B">
        <w:t>whom</w:t>
      </w:r>
      <w:proofErr w:type="gramEnd"/>
      <w:r w:rsidRPr="00301E7B">
        <w:t xml:space="preserve"> the results are based may not have been fully representative of the workforce due to people declining to be interviewed or being ineligible, but it was known that most of the general characteristics were similar between the final included sample and the general Australian population of working age. The primary study results of prevalence of exposure in the Australian workforce are based on the prevalence of exposure in the occupations that had the possibility of being exposed.</w:t>
      </w:r>
      <w:r>
        <w:t xml:space="preserve"> </w:t>
      </w:r>
      <w:r w:rsidRPr="00301E7B">
        <w:t>This provided information on the prevalence of exposure to each carcinogen o</w:t>
      </w:r>
      <w:r>
        <w:t xml:space="preserve">f interest in each occupation. </w:t>
      </w:r>
      <w:r w:rsidRPr="00301E7B">
        <w:t>This information was extrapolated to the Australian workforce, taking into account (that is, weighting by) the occupational distribution. If there is error in these prevalence estimates, it will have come primarily because certain specific occupations in a broader occupation group were</w:t>
      </w:r>
      <w:r>
        <w:t xml:space="preserve"> </w:t>
      </w:r>
      <w:r w:rsidRPr="00301E7B">
        <w:t>n</w:t>
      </w:r>
      <w:r>
        <w:t>o</w:t>
      </w:r>
      <w:r w:rsidRPr="00301E7B">
        <w:t>t accurately represented in the sample because a higher proportion of their members declined to be included or were ineligible</w:t>
      </w:r>
      <w:r>
        <w:t>—</w:t>
      </w:r>
      <w:r w:rsidRPr="00301E7B">
        <w:t>e.g. because they did not speak English</w:t>
      </w:r>
      <w:r>
        <w:t>—</w:t>
      </w:r>
      <w:r w:rsidRPr="00301E7B">
        <w:t>and/or because those who participated did not accurately report their exposure.</w:t>
      </w:r>
    </w:p>
    <w:p w:rsidR="00ED423B" w:rsidRPr="00F268F6" w:rsidRDefault="00ED423B" w:rsidP="00BB6679">
      <w:r w:rsidRPr="00F268F6">
        <w:t>The study relied on self-report data, which is likely to introduce some error into the exposure assessment. However, the exposure assessment relied on subjects describing their current job tasks, guided by the questions in the relevant job-specific modules, rather than the workers having to recogni</w:t>
      </w:r>
      <w:r>
        <w:t>s</w:t>
      </w:r>
      <w:r w:rsidRPr="00F268F6">
        <w:t xml:space="preserve">e and recall specific exposures. This makes it less likely that exposure will be missed and less likely that specific exposures will be erroneously reported </w:t>
      </w:r>
      <w:r>
        <w:rPr>
          <w:noProof/>
        </w:rPr>
        <w:t>(Parks et al. 2004)</w:t>
      </w:r>
      <w:r w:rsidRPr="00F268F6">
        <w:t>.</w:t>
      </w:r>
    </w:p>
    <w:p w:rsidR="00ED423B" w:rsidRPr="00F268F6" w:rsidRDefault="00ED423B" w:rsidP="00BB6679">
      <w:r w:rsidRPr="00F268F6">
        <w:t>As a population-based study, AWES can only expect to provide representative exposure information on relatively common activities. Information will be lacking on most industry sub-</w:t>
      </w:r>
      <w:r w:rsidRPr="00F268F6">
        <w:lastRenderedPageBreak/>
        <w:t xml:space="preserve">sectors, specific occupations and specific tasks which are less common or which are undertaken by a relatively small number of people. This is why tasks that would usually be viewed as having a high prevalence of </w:t>
      </w:r>
      <w:proofErr w:type="spellStart"/>
      <w:r w:rsidRPr="00F268F6">
        <w:t>PAHs</w:t>
      </w:r>
      <w:proofErr w:type="spellEnd"/>
      <w:r w:rsidRPr="00F268F6">
        <w:t xml:space="preserve"> exposure </w:t>
      </w:r>
      <w:r>
        <w:t>were not included</w:t>
      </w:r>
      <w:r w:rsidRPr="00F268F6">
        <w:t xml:space="preserve"> in the study sample. If detailed information is required about a specific sector of the workforce or a specific activity, this would require a targeted, specific research project to be undertaken.</w:t>
      </w:r>
    </w:p>
    <w:p w:rsidR="00ED423B" w:rsidRDefault="00ED423B" w:rsidP="00BB6679">
      <w:r>
        <w:t>As noted previously, exposure</w:t>
      </w:r>
      <w:r w:rsidRPr="00826347">
        <w:t xml:space="preserve"> assessments were qualitative and referred to</w:t>
      </w:r>
      <w:r>
        <w:t>:</w:t>
      </w:r>
    </w:p>
    <w:p w:rsidR="00ED423B" w:rsidRDefault="00ED423B" w:rsidP="00BB6679">
      <w:pPr>
        <w:pStyle w:val="ListParagraph"/>
        <w:numPr>
          <w:ilvl w:val="0"/>
          <w:numId w:val="3"/>
        </w:numPr>
      </w:pPr>
      <w:r w:rsidRPr="00826347">
        <w:t>exposure levels relevant to suspected carcinogenic outcomes</w:t>
      </w:r>
      <w:r>
        <w:t>—i.e. they do not necessarily correlate to airborne exposure standards, and</w:t>
      </w:r>
    </w:p>
    <w:p w:rsidR="00ED423B" w:rsidRPr="00826347" w:rsidRDefault="00ED423B" w:rsidP="00BB6679">
      <w:pPr>
        <w:pStyle w:val="ListParagraph"/>
        <w:numPr>
          <w:ilvl w:val="0"/>
          <w:numId w:val="3"/>
        </w:numPr>
      </w:pPr>
      <w:proofErr w:type="gramStart"/>
      <w:r>
        <w:t>t</w:t>
      </w:r>
      <w:r w:rsidRPr="00826347">
        <w:t>he</w:t>
      </w:r>
      <w:proofErr w:type="gramEnd"/>
      <w:r w:rsidRPr="00826347">
        <w:t xml:space="preserve"> level of exposure whilst undertaking the relevant task</w:t>
      </w:r>
      <w:r>
        <w:t>—i.e. they are not</w:t>
      </w:r>
      <w:r w:rsidRPr="00826347">
        <w:t xml:space="preserve"> an assessment of the time-weighted average exposure of that person.</w:t>
      </w:r>
    </w:p>
    <w:p w:rsidR="00ED423B" w:rsidRPr="00F268F6" w:rsidRDefault="00ED423B" w:rsidP="00BB6679">
      <w:r w:rsidRPr="00F268F6">
        <w:t xml:space="preserve">The AWES project provided some information on the use of control measures, but the information that could be collected in this area was somewhat limited. The questions asked in AWES were aimed primarily to allow assessment of the fact of exposure and if possible, the level of exposure. </w:t>
      </w:r>
    </w:p>
    <w:p w:rsidR="00ED423B" w:rsidRPr="00F268F6" w:rsidRDefault="00ED423B" w:rsidP="00BB6679">
      <w:r w:rsidRPr="00F268F6">
        <w:t xml:space="preserve">Non-response is also an issue for any survey approach such as that used for AWES. This raises the possibility that those who did participate had a different prevalence of exposure and </w:t>
      </w:r>
      <w:r>
        <w:t xml:space="preserve">a </w:t>
      </w:r>
      <w:r w:rsidRPr="00F268F6">
        <w:t>different approach to the use of exposure control measures than those who did not participate. Since there is no employment information available on the people who did not participate, it is not possible to assess this potential problem in detail.</w:t>
      </w:r>
    </w:p>
    <w:p w:rsidR="00ED423B" w:rsidRPr="00F268F6" w:rsidRDefault="00ED423B" w:rsidP="00BB6679">
      <w:r w:rsidRPr="00F268F6">
        <w:t xml:space="preserve">There is uncertainty in the estimated overall number of workers exposed to </w:t>
      </w:r>
      <w:proofErr w:type="spellStart"/>
      <w:r w:rsidRPr="00F268F6">
        <w:t>PAHs</w:t>
      </w:r>
      <w:proofErr w:type="spellEnd"/>
      <w:r w:rsidRPr="00F268F6">
        <w:t>. This is because the number of exposed respondents was low in some gender-specific and occupation-specific groups, meaning the estimate for that group had considerable uncertainty. The overall estimate based on occupation is likely to be reasonably accurate, and the confidence intervals around the estimates give a guide as to the likely range in which the true value probably lies.</w:t>
      </w:r>
    </w:p>
    <w:p w:rsidR="00ED423B" w:rsidRPr="00414313" w:rsidRDefault="00ED423B" w:rsidP="00BB6679">
      <w:pPr>
        <w:pStyle w:val="Heading3"/>
      </w:pPr>
      <w:bookmarkStart w:id="51" w:name="_Toc401068311"/>
      <w:r w:rsidRPr="00414313">
        <w:t>Policy implications</w:t>
      </w:r>
      <w:bookmarkEnd w:id="51"/>
    </w:p>
    <w:p w:rsidR="00ED423B" w:rsidRDefault="00ED423B" w:rsidP="00BB6679">
      <w:r w:rsidRPr="00414313">
        <w:t xml:space="preserve">This study estimated approximately 6.7% of the Australian workforce is likely to be exposed to </w:t>
      </w:r>
      <w:proofErr w:type="spellStart"/>
      <w:r w:rsidRPr="00414313">
        <w:t>PAHs</w:t>
      </w:r>
      <w:proofErr w:type="spellEnd"/>
      <w:r w:rsidRPr="00414313">
        <w:t xml:space="preserve"> when performing relatively common activities at work. The estimated prevalence is higher than results of some other studies. As noted, the differences probably reflect differences in the industry distribution and in the methodology used in the various studies, with the AWES using a task-based assessment process.</w:t>
      </w:r>
    </w:p>
    <w:p w:rsidR="00ED423B" w:rsidRPr="00DA6DB6" w:rsidRDefault="00ED423B" w:rsidP="00BB6679">
      <w:r w:rsidRPr="00414313">
        <w:t xml:space="preserve">The </w:t>
      </w:r>
      <w:r>
        <w:t>probability</w:t>
      </w:r>
      <w:r w:rsidRPr="00414313">
        <w:t xml:space="preserve"> of any increased risk of work-related cancer </w:t>
      </w:r>
      <w:r>
        <w:t xml:space="preserve">in exposed workers </w:t>
      </w:r>
      <w:r w:rsidRPr="00414313">
        <w:t xml:space="preserve">will depend on the type of cancer and the level, duration and frequency of exposure. Since many </w:t>
      </w:r>
      <w:proofErr w:type="spellStart"/>
      <w:r w:rsidRPr="00414313">
        <w:t>PAHs</w:t>
      </w:r>
      <w:proofErr w:type="spellEnd"/>
      <w:r w:rsidRPr="00414313">
        <w:t xml:space="preserve"> are known or probable carcinogens, exposure </w:t>
      </w:r>
      <w:r w:rsidRPr="00DA6DB6">
        <w:t xml:space="preserve">to </w:t>
      </w:r>
      <w:proofErr w:type="spellStart"/>
      <w:r w:rsidRPr="00DA6DB6">
        <w:t>PAHs</w:t>
      </w:r>
      <w:proofErr w:type="spellEnd"/>
      <w:r w:rsidRPr="00DA6DB6">
        <w:t xml:space="preserve"> must be minimi</w:t>
      </w:r>
      <w:r>
        <w:t>s</w:t>
      </w:r>
      <w:r w:rsidRPr="00DA6DB6">
        <w:t>ed to as low a level as is reasonably practicable.</w:t>
      </w:r>
    </w:p>
    <w:p w:rsidR="00ED423B" w:rsidRDefault="00ED423B" w:rsidP="00BB6679">
      <w:r>
        <w:t>In general, s</w:t>
      </w:r>
      <w:r w:rsidRPr="00DA6DB6">
        <w:t xml:space="preserve">ome of the health risks posed by exposures to </w:t>
      </w:r>
      <w:proofErr w:type="spellStart"/>
      <w:r w:rsidRPr="00DA6DB6">
        <w:t>PAHs</w:t>
      </w:r>
      <w:proofErr w:type="spellEnd"/>
      <w:r w:rsidRPr="00DA6DB6">
        <w:t xml:space="preserve">, the tasks that might result in such exposures and the methods of preventing exposure should be well understood by employers and workers, but </w:t>
      </w:r>
      <w:r>
        <w:t>circumstances such as</w:t>
      </w:r>
      <w:r w:rsidRPr="009B2483">
        <w:t xml:space="preserve"> </w:t>
      </w:r>
      <w:r w:rsidRPr="00DA6DB6">
        <w:t>exposure to smoke and ash in many circumstances, and exposure during maintenance of motors, may not be properly appreciated.</w:t>
      </w:r>
      <w:r>
        <w:t xml:space="preserve"> </w:t>
      </w:r>
      <w:r w:rsidRPr="00642421">
        <w:t xml:space="preserve">However, the inconsistency in </w:t>
      </w:r>
      <w:r w:rsidRPr="00717EEE">
        <w:t xml:space="preserve">cancer </w:t>
      </w:r>
      <w:r w:rsidRPr="00642421">
        <w:t>classification</w:t>
      </w:r>
      <w:r w:rsidRPr="00717EEE">
        <w:t>s between some authoritative sources</w:t>
      </w:r>
      <w:r w:rsidRPr="00642421">
        <w:t xml:space="preserve"> could </w:t>
      </w:r>
      <w:r>
        <w:t xml:space="preserve">create uncertainty about the risks posed by </w:t>
      </w:r>
      <w:proofErr w:type="spellStart"/>
      <w:r>
        <w:t>PAHs</w:t>
      </w:r>
      <w:proofErr w:type="spellEnd"/>
      <w:r>
        <w:t xml:space="preserve"> exposures. </w:t>
      </w:r>
      <w:proofErr w:type="gramStart"/>
      <w:r>
        <w:t xml:space="preserve">While outside the scope of this report, future work could consider if revising the current classification information in </w:t>
      </w:r>
      <w:proofErr w:type="spellStart"/>
      <w:r>
        <w:t>HSIS</w:t>
      </w:r>
      <w:proofErr w:type="spellEnd"/>
      <w:r>
        <w:t xml:space="preserve"> is warranted based on the recent work of the </w:t>
      </w:r>
      <w:proofErr w:type="spellStart"/>
      <w:r>
        <w:t>IARC</w:t>
      </w:r>
      <w:proofErr w:type="spellEnd"/>
      <w:r>
        <w:t>.</w:t>
      </w:r>
      <w:proofErr w:type="gramEnd"/>
    </w:p>
    <w:p w:rsidR="00ED423B" w:rsidRPr="00C31B9B" w:rsidRDefault="00ED423B" w:rsidP="00BB6679">
      <w:r w:rsidRPr="00DA6DB6">
        <w:t>The use of controls by workers in the AWES sample was not good. Where information on the use of controls was collected</w:t>
      </w:r>
      <w:r>
        <w:t>,</w:t>
      </w:r>
      <w:r w:rsidRPr="00DA6DB6">
        <w:t xml:space="preserve"> less than half of respondents reported using what appeared to be adequate respiratory protective </w:t>
      </w:r>
      <w:r>
        <w:t>measures</w:t>
      </w:r>
      <w:r w:rsidRPr="00DA6DB6">
        <w:t xml:space="preserve"> and many reported not using any controls to prevent exposures. There is an opportunity to prevent and to decrease work-related exposures to </w:t>
      </w:r>
      <w:proofErr w:type="spellStart"/>
      <w:r w:rsidRPr="00DA6DB6">
        <w:t>PAHs</w:t>
      </w:r>
      <w:proofErr w:type="spellEnd"/>
      <w:r w:rsidRPr="00DA6DB6">
        <w:t xml:space="preserve">, and thereby reduce the potential for work-related cancer cases, through </w:t>
      </w:r>
      <w:r w:rsidRPr="00DA6DB6">
        <w:lastRenderedPageBreak/>
        <w:t xml:space="preserve">efforts to increase the number of workplaces that eliminate </w:t>
      </w:r>
      <w:r>
        <w:t>exposure to</w:t>
      </w:r>
      <w:r w:rsidRPr="00DA6DB6">
        <w:t xml:space="preserve"> </w:t>
      </w:r>
      <w:proofErr w:type="spellStart"/>
      <w:r w:rsidRPr="00DA6DB6">
        <w:t>PAHs</w:t>
      </w:r>
      <w:proofErr w:type="spellEnd"/>
      <w:r w:rsidRPr="00DA6DB6">
        <w:t xml:space="preserve"> where possible or consistently use high order controls and good work practices to eliminate or reduce exposures to </w:t>
      </w:r>
      <w:proofErr w:type="spellStart"/>
      <w:r w:rsidRPr="00DA6DB6">
        <w:t>PAHs</w:t>
      </w:r>
      <w:proofErr w:type="spellEnd"/>
      <w:r w:rsidRPr="00DA6DB6">
        <w:t xml:space="preserve"> when relatively common activities are carried out. This may simply require initiatives that raise awareness or </w:t>
      </w:r>
      <w:r w:rsidRPr="007805ED">
        <w:t xml:space="preserve">educate </w:t>
      </w:r>
      <w:proofErr w:type="spellStart"/>
      <w:r w:rsidRPr="007805ED">
        <w:t>PCBUs</w:t>
      </w:r>
      <w:proofErr w:type="spellEnd"/>
      <w:r w:rsidRPr="007805ED">
        <w:t xml:space="preserve"> and workers about known controls to prevent or minimise exposures to </w:t>
      </w:r>
      <w:proofErr w:type="spellStart"/>
      <w:r w:rsidRPr="007805ED">
        <w:t>PAHs</w:t>
      </w:r>
      <w:proofErr w:type="spellEnd"/>
      <w:r w:rsidRPr="007805ED">
        <w:t xml:space="preserve">. In particular, efforts could be focused on lowering exposures in those activities where a significant number of workers were assessed as having high </w:t>
      </w:r>
      <w:r>
        <w:t xml:space="preserve">or medium </w:t>
      </w:r>
      <w:r w:rsidRPr="007805ED">
        <w:t>exposures in the AWES</w:t>
      </w:r>
      <w:r>
        <w:t xml:space="preserve"> and ensuring that exposed workers </w:t>
      </w:r>
      <w:r w:rsidRPr="007805ED">
        <w:t>are supplied with and use appropriate respiratory protective equipment.</w:t>
      </w:r>
      <w:r>
        <w:t xml:space="preserve"> Examples of these circumstances include </w:t>
      </w:r>
      <w:r w:rsidRPr="00C31B9B">
        <w:t>workers involved in:</w:t>
      </w:r>
    </w:p>
    <w:p w:rsidR="00ED423B" w:rsidRPr="00D96AE0" w:rsidRDefault="00ED423B" w:rsidP="00BB6679">
      <w:pPr>
        <w:pStyle w:val="ListParagraph"/>
        <w:numPr>
          <w:ilvl w:val="0"/>
          <w:numId w:val="11"/>
        </w:numPr>
      </w:pPr>
      <w:r>
        <w:t>burning waste</w:t>
      </w:r>
    </w:p>
    <w:p w:rsidR="00ED423B" w:rsidRPr="00D96AE0" w:rsidRDefault="00ED423B" w:rsidP="00BB6679">
      <w:pPr>
        <w:pStyle w:val="ListParagraph"/>
        <w:numPr>
          <w:ilvl w:val="0"/>
          <w:numId w:val="10"/>
        </w:numPr>
      </w:pPr>
      <w:r>
        <w:t>cleaning ash from fire sites</w:t>
      </w:r>
    </w:p>
    <w:p w:rsidR="00ED423B" w:rsidRPr="00D96AE0" w:rsidRDefault="00ED423B" w:rsidP="00BB6679">
      <w:pPr>
        <w:pStyle w:val="ListParagraph"/>
        <w:numPr>
          <w:ilvl w:val="0"/>
          <w:numId w:val="10"/>
        </w:numPr>
      </w:pPr>
      <w:r w:rsidRPr="00D96AE0">
        <w:t>fighting fires or underta</w:t>
      </w:r>
      <w:r>
        <w:t>king fire overhaul and clean up</w:t>
      </w:r>
    </w:p>
    <w:p w:rsidR="00ED423B" w:rsidRPr="00D96AE0" w:rsidRDefault="00ED423B" w:rsidP="00BB6679">
      <w:pPr>
        <w:pStyle w:val="ListParagraph"/>
        <w:numPr>
          <w:ilvl w:val="0"/>
          <w:numId w:val="10"/>
        </w:numPr>
      </w:pPr>
      <w:r w:rsidRPr="00D96AE0">
        <w:t xml:space="preserve">preparing and </w:t>
      </w:r>
      <w:r>
        <w:t>using ammonium nitrate fuel oil,</w:t>
      </w:r>
      <w:r w:rsidRPr="00D96AE0">
        <w:t xml:space="preserve"> and</w:t>
      </w:r>
    </w:p>
    <w:p w:rsidR="00ED423B" w:rsidRPr="00D96AE0" w:rsidRDefault="00ED423B" w:rsidP="00BB6679">
      <w:pPr>
        <w:pStyle w:val="ListParagraph"/>
        <w:numPr>
          <w:ilvl w:val="0"/>
          <w:numId w:val="10"/>
        </w:numPr>
      </w:pPr>
      <w:proofErr w:type="gramStart"/>
      <w:r w:rsidRPr="00D96AE0">
        <w:t>road</w:t>
      </w:r>
      <w:proofErr w:type="gramEnd"/>
      <w:r w:rsidRPr="00D96AE0">
        <w:t xml:space="preserve"> building with hot asphalt road mix.</w:t>
      </w:r>
    </w:p>
    <w:p w:rsidR="00ED423B" w:rsidRPr="00C31B9B" w:rsidRDefault="00ED423B" w:rsidP="00BB6679">
      <w:r w:rsidRPr="00C31B9B">
        <w:t xml:space="preserve">Initial efforts could focus on initiatives that raise awareness or educate </w:t>
      </w:r>
      <w:proofErr w:type="spellStart"/>
      <w:r w:rsidRPr="00C31B9B">
        <w:t>PCBUs</w:t>
      </w:r>
      <w:proofErr w:type="spellEnd"/>
      <w:r w:rsidRPr="00C31B9B">
        <w:t xml:space="preserve"> and workers about minimi</w:t>
      </w:r>
      <w:r>
        <w:t>s</w:t>
      </w:r>
      <w:r w:rsidRPr="00C31B9B">
        <w:t xml:space="preserve">ing exposure to </w:t>
      </w:r>
      <w:proofErr w:type="spellStart"/>
      <w:r w:rsidRPr="00C31B9B">
        <w:t>PAHs</w:t>
      </w:r>
      <w:proofErr w:type="spellEnd"/>
      <w:r w:rsidRPr="00C31B9B">
        <w:t xml:space="preserve"> and using well-known and readily available controls to decrease exposures to </w:t>
      </w:r>
      <w:proofErr w:type="spellStart"/>
      <w:r w:rsidRPr="00C31B9B">
        <w:t>PAHs</w:t>
      </w:r>
      <w:proofErr w:type="spellEnd"/>
      <w:r w:rsidRPr="00C31B9B">
        <w:t>.</w:t>
      </w:r>
    </w:p>
    <w:p w:rsidR="00ED423B" w:rsidRPr="00143F8C" w:rsidRDefault="00ED423B" w:rsidP="00BB6679">
      <w:pPr>
        <w:pStyle w:val="Heading2"/>
      </w:pPr>
      <w:bookmarkStart w:id="52" w:name="_Toc401068312"/>
      <w:r w:rsidRPr="00143F8C">
        <w:t>Research opportunities</w:t>
      </w:r>
      <w:bookmarkEnd w:id="52"/>
    </w:p>
    <w:p w:rsidR="00ED423B" w:rsidRPr="00143F8C" w:rsidRDefault="00ED423B" w:rsidP="00BB6679">
      <w:pPr>
        <w:pStyle w:val="Heading3"/>
      </w:pPr>
      <w:bookmarkStart w:id="53" w:name="_Toc401068313"/>
      <w:r w:rsidRPr="00143F8C">
        <w:t>Exposures</w:t>
      </w:r>
      <w:bookmarkEnd w:id="53"/>
    </w:p>
    <w:p w:rsidR="00ED423B" w:rsidRPr="00143F8C" w:rsidRDefault="00ED423B" w:rsidP="00BB6679">
      <w:r w:rsidRPr="00143F8C">
        <w:t xml:space="preserve">The AWES project provides qualitative information on current exposures to </w:t>
      </w:r>
      <w:proofErr w:type="spellStart"/>
      <w:r w:rsidRPr="00143F8C">
        <w:t>PAHs</w:t>
      </w:r>
      <w:proofErr w:type="spellEnd"/>
      <w:r w:rsidRPr="00143F8C">
        <w:t xml:space="preserve"> based on job tasks. Quantitative measures of </w:t>
      </w:r>
      <w:proofErr w:type="spellStart"/>
      <w:r w:rsidRPr="00143F8C">
        <w:t>PAHs</w:t>
      </w:r>
      <w:proofErr w:type="spellEnd"/>
      <w:r w:rsidRPr="00143F8C">
        <w:t xml:space="preserve"> exposure in the workplace may be of use to validate the data collected in AWES and to help better understand the absolute levels of exposure to </w:t>
      </w:r>
      <w:proofErr w:type="spellStart"/>
      <w:r w:rsidRPr="00143F8C">
        <w:t>PAHs</w:t>
      </w:r>
      <w:proofErr w:type="spellEnd"/>
      <w:r w:rsidRPr="00143F8C">
        <w:t xml:space="preserve">. There was no scope to do this as part of the AWES but this information would be useful for </w:t>
      </w:r>
      <w:r>
        <w:t xml:space="preserve">the </w:t>
      </w:r>
      <w:r w:rsidRPr="00143F8C">
        <w:t xml:space="preserve">tasks </w:t>
      </w:r>
      <w:r>
        <w:t>identified in the AWES analysis.</w:t>
      </w:r>
    </w:p>
    <w:p w:rsidR="00ED423B" w:rsidRPr="00143F8C" w:rsidRDefault="00ED423B" w:rsidP="00BB6679">
      <w:pPr>
        <w:pStyle w:val="Heading3"/>
      </w:pPr>
      <w:bookmarkStart w:id="54" w:name="_Toc401068314"/>
      <w:r w:rsidRPr="00143F8C">
        <w:t>The use of control measures</w:t>
      </w:r>
      <w:bookmarkEnd w:id="54"/>
    </w:p>
    <w:p w:rsidR="00ED423B" w:rsidRPr="00143F8C" w:rsidRDefault="00ED423B" w:rsidP="00BB6679">
      <w:r w:rsidRPr="00143F8C">
        <w:t xml:space="preserve">The collection of more detailed information on the use of control measures should be considered in those work situations highlighted in this report where probable </w:t>
      </w:r>
      <w:proofErr w:type="spellStart"/>
      <w:r w:rsidRPr="00143F8C">
        <w:t>PAHs</w:t>
      </w:r>
      <w:proofErr w:type="spellEnd"/>
      <w:r w:rsidRPr="00143F8C">
        <w:t xml:space="preserve"> exposures were assessed as being high or </w:t>
      </w:r>
      <w:r>
        <w:t>medium</w:t>
      </w:r>
      <w:r w:rsidRPr="00143F8C">
        <w:t>. It would also be helpful to understand why appropriate control measures are not used where they should be. Work health and safety policy-makers and practitioners might be interested in aspects like identifying the extent to which:</w:t>
      </w:r>
    </w:p>
    <w:p w:rsidR="00ED423B" w:rsidRPr="00D96AE0" w:rsidRDefault="00ED423B" w:rsidP="00BB6679">
      <w:pPr>
        <w:pStyle w:val="ListParagraph"/>
        <w:numPr>
          <w:ilvl w:val="0"/>
          <w:numId w:val="12"/>
        </w:numPr>
      </w:pPr>
      <w:proofErr w:type="spellStart"/>
      <w:r w:rsidRPr="00D96AE0">
        <w:t>PCBUs</w:t>
      </w:r>
      <w:proofErr w:type="spellEnd"/>
      <w:r w:rsidRPr="00D96AE0">
        <w:t xml:space="preserve"> and workers understand the hazards and associated potential risks</w:t>
      </w:r>
    </w:p>
    <w:p w:rsidR="00ED423B" w:rsidRPr="00D96AE0" w:rsidRDefault="00ED423B" w:rsidP="00BB6679">
      <w:pPr>
        <w:pStyle w:val="ListParagraph"/>
        <w:numPr>
          <w:ilvl w:val="0"/>
          <w:numId w:val="12"/>
        </w:numPr>
      </w:pPr>
      <w:proofErr w:type="spellStart"/>
      <w:r w:rsidRPr="00D96AE0">
        <w:t>PCBUs</w:t>
      </w:r>
      <w:proofErr w:type="spellEnd"/>
      <w:r w:rsidRPr="00D96AE0">
        <w:t xml:space="preserve"> and workers understand the need for various control measures and how they operate</w:t>
      </w:r>
    </w:p>
    <w:p w:rsidR="00ED423B" w:rsidRPr="00D96AE0" w:rsidRDefault="00ED423B" w:rsidP="00BB6679">
      <w:pPr>
        <w:pStyle w:val="ListParagraph"/>
        <w:numPr>
          <w:ilvl w:val="0"/>
          <w:numId w:val="12"/>
        </w:numPr>
      </w:pPr>
      <w:r w:rsidRPr="00D96AE0">
        <w:t>higher order controls are used</w:t>
      </w:r>
    </w:p>
    <w:p w:rsidR="00ED423B" w:rsidRPr="00D96AE0" w:rsidRDefault="00ED423B" w:rsidP="00BB6679">
      <w:pPr>
        <w:pStyle w:val="ListParagraph"/>
        <w:numPr>
          <w:ilvl w:val="0"/>
          <w:numId w:val="12"/>
        </w:numPr>
      </w:pPr>
      <w:r w:rsidRPr="00D96AE0">
        <w:t>current regulations and guidance are adequate for preventing exposures, and</w:t>
      </w:r>
    </w:p>
    <w:p w:rsidR="00ED423B" w:rsidRPr="00D96AE0" w:rsidRDefault="00ED423B" w:rsidP="00BB6679">
      <w:pPr>
        <w:pStyle w:val="ListParagraph"/>
        <w:numPr>
          <w:ilvl w:val="0"/>
          <w:numId w:val="12"/>
        </w:numPr>
      </w:pPr>
      <w:proofErr w:type="gramStart"/>
      <w:r w:rsidRPr="00D96AE0">
        <w:t>current</w:t>
      </w:r>
      <w:proofErr w:type="gramEnd"/>
      <w:r w:rsidRPr="00D96AE0">
        <w:t xml:space="preserve"> methods for providing risk management information and assistance to </w:t>
      </w:r>
      <w:proofErr w:type="spellStart"/>
      <w:r>
        <w:t>PCBUs</w:t>
      </w:r>
      <w:proofErr w:type="spellEnd"/>
      <w:r w:rsidRPr="00D96AE0">
        <w:t xml:space="preserve"> are effective. </w:t>
      </w:r>
    </w:p>
    <w:p w:rsidR="00ED423B" w:rsidRPr="00143F8C" w:rsidRDefault="00ED423B" w:rsidP="00BB6679">
      <w:r w:rsidRPr="00143F8C">
        <w:t>This information would allow interventions and prioritisation of action to be based on sound evidence from Australian workplaces.</w:t>
      </w:r>
    </w:p>
    <w:p w:rsidR="00ED423B" w:rsidRPr="00EB2130" w:rsidRDefault="00ED423B" w:rsidP="00BB6679">
      <w:pPr>
        <w:pStyle w:val="Heading1"/>
      </w:pPr>
      <w:bookmarkStart w:id="55" w:name="_Toc401068315"/>
      <w:bookmarkEnd w:id="0"/>
      <w:r w:rsidRPr="00EB2130">
        <w:lastRenderedPageBreak/>
        <w:t>REFERENCES</w:t>
      </w:r>
      <w:bookmarkEnd w:id="55"/>
    </w:p>
    <w:p w:rsidR="00ED423B" w:rsidRPr="00A956E5" w:rsidRDefault="00ED423B" w:rsidP="00BB6679">
      <w:pPr>
        <w:rPr>
          <w:noProof/>
          <w:lang w:eastAsia="en-AU"/>
        </w:rPr>
      </w:pPr>
      <w:bookmarkStart w:id="56" w:name="_ENREF_1"/>
      <w:r w:rsidRPr="00A956E5">
        <w:rPr>
          <w:noProof/>
          <w:lang w:eastAsia="en-AU"/>
        </w:rPr>
        <w:t>Agency for Toxic Substances and Diseases Registry (1995). Toxicological profile for polycyclic aromatic hydrocarbons (PAHs). Atlanta.</w:t>
      </w:r>
      <w:bookmarkEnd w:id="56"/>
    </w:p>
    <w:p w:rsidR="00ED423B" w:rsidRPr="00A956E5" w:rsidRDefault="00ED423B" w:rsidP="00BB6679">
      <w:pPr>
        <w:rPr>
          <w:noProof/>
          <w:lang w:eastAsia="en-AU"/>
        </w:rPr>
      </w:pPr>
      <w:bookmarkStart w:id="57" w:name="_ENREF_2"/>
      <w:r w:rsidRPr="00A956E5">
        <w:rPr>
          <w:noProof/>
          <w:lang w:eastAsia="en-AU"/>
        </w:rPr>
        <w:t>Australian Bureau of Statistics (2002). National Health Survey, Summary of Results, Australia(Report No. 4364.0). Canberra.</w:t>
      </w:r>
      <w:bookmarkEnd w:id="57"/>
    </w:p>
    <w:p w:rsidR="00ED423B" w:rsidRPr="00A956E5" w:rsidRDefault="00ED423B" w:rsidP="00BB6679">
      <w:pPr>
        <w:rPr>
          <w:noProof/>
          <w:lang w:eastAsia="en-AU"/>
        </w:rPr>
      </w:pPr>
      <w:bookmarkStart w:id="58" w:name="_ENREF_3"/>
      <w:r w:rsidRPr="00A956E5">
        <w:rPr>
          <w:noProof/>
          <w:lang w:eastAsia="en-AU"/>
        </w:rPr>
        <w:t>Australian Bureau of Statistics (2006). Australian and New Zealand Standard Classification of Occupations. Canberra: Australian Bureau of Statistics.</w:t>
      </w:r>
      <w:bookmarkEnd w:id="58"/>
    </w:p>
    <w:p w:rsidR="00ED423B" w:rsidRPr="00A956E5" w:rsidRDefault="00ED423B" w:rsidP="00BB6679">
      <w:pPr>
        <w:rPr>
          <w:noProof/>
          <w:lang w:eastAsia="en-AU"/>
        </w:rPr>
      </w:pPr>
      <w:bookmarkStart w:id="59" w:name="_ENREF_4"/>
      <w:r w:rsidRPr="00A956E5">
        <w:rPr>
          <w:noProof/>
          <w:lang w:eastAsia="en-AU"/>
        </w:rPr>
        <w:t>Australian Bureau of Statistics (2011a). Labour Force Australia. Canberra.</w:t>
      </w:r>
      <w:bookmarkEnd w:id="59"/>
    </w:p>
    <w:p w:rsidR="00ED423B" w:rsidRPr="00A956E5" w:rsidRDefault="00ED423B" w:rsidP="00BB6679">
      <w:pPr>
        <w:rPr>
          <w:noProof/>
          <w:lang w:eastAsia="en-AU"/>
        </w:rPr>
      </w:pPr>
      <w:bookmarkStart w:id="60" w:name="_ENREF_5"/>
      <w:r w:rsidRPr="00A956E5">
        <w:rPr>
          <w:noProof/>
          <w:lang w:eastAsia="en-AU"/>
        </w:rPr>
        <w:t>Australian Bureau of Statistics (2011b). Census of Population and Housing. Canberra: Australian Bureau of Statistics.</w:t>
      </w:r>
      <w:bookmarkEnd w:id="60"/>
    </w:p>
    <w:p w:rsidR="00ED423B" w:rsidRPr="00A956E5" w:rsidRDefault="00ED423B" w:rsidP="00BB6679">
      <w:pPr>
        <w:rPr>
          <w:noProof/>
          <w:lang w:eastAsia="en-AU"/>
        </w:rPr>
      </w:pPr>
      <w:bookmarkStart w:id="61" w:name="_ENREF_6"/>
      <w:r w:rsidRPr="00A956E5">
        <w:rPr>
          <w:noProof/>
          <w:lang w:eastAsia="en-AU"/>
        </w:rPr>
        <w:t>Australian Safety and Compensation Council (2008). National Hazard Exposure Worker Surveillance (NHEWS): Survey Handbook. Canberra.</w:t>
      </w:r>
      <w:bookmarkEnd w:id="61"/>
    </w:p>
    <w:p w:rsidR="00ED423B" w:rsidRPr="00A956E5" w:rsidRDefault="00ED423B" w:rsidP="00BB6679">
      <w:pPr>
        <w:rPr>
          <w:noProof/>
          <w:lang w:eastAsia="en-AU"/>
        </w:rPr>
      </w:pPr>
      <w:bookmarkStart w:id="62" w:name="_ENREF_7"/>
      <w:r w:rsidRPr="00A956E5">
        <w:rPr>
          <w:noProof/>
          <w:lang w:eastAsia="en-AU"/>
        </w:rPr>
        <w:t>Australian Safety and Compensation Council (2009). National Hazard Exposure Worker Surveillance (NHEWS) Survey: 2008 Results (updated March 2009). Canberra.</w:t>
      </w:r>
      <w:bookmarkEnd w:id="62"/>
    </w:p>
    <w:p w:rsidR="00ED423B" w:rsidRPr="00A956E5" w:rsidRDefault="00ED423B" w:rsidP="00BB6679">
      <w:pPr>
        <w:rPr>
          <w:noProof/>
          <w:lang w:eastAsia="en-AU"/>
        </w:rPr>
      </w:pPr>
      <w:bookmarkStart w:id="63" w:name="_ENREF_8"/>
      <w:r w:rsidRPr="00A956E5">
        <w:rPr>
          <w:noProof/>
          <w:lang w:eastAsia="en-AU"/>
        </w:rPr>
        <w:t>Berko, H (1999). Technical Report No. 2: Polycyclic aromatic hydrocarbons (PAHs) in Australia. Perth.</w:t>
      </w:r>
      <w:bookmarkEnd w:id="63"/>
    </w:p>
    <w:p w:rsidR="00ED423B" w:rsidRPr="00A956E5" w:rsidRDefault="00ED423B" w:rsidP="00BB6679">
      <w:pPr>
        <w:rPr>
          <w:noProof/>
          <w:lang w:eastAsia="en-AU"/>
        </w:rPr>
      </w:pPr>
      <w:bookmarkStart w:id="64" w:name="_ENREF_9"/>
      <w:r w:rsidRPr="00A956E5">
        <w:rPr>
          <w:noProof/>
          <w:lang w:eastAsia="en-AU"/>
        </w:rPr>
        <w:t xml:space="preserve">CAREX Canada (2014). </w:t>
      </w:r>
      <w:proofErr w:type="gramStart"/>
      <w:r w:rsidRPr="00A956E5">
        <w:rPr>
          <w:noProof/>
          <w:lang w:eastAsia="en-AU"/>
        </w:rPr>
        <w:t>PAHs &lt;</w:t>
      </w:r>
      <w:hyperlink r:id="rId27" w:history="1">
        <w:r w:rsidRPr="00E538D2">
          <w:rPr>
            <w:rStyle w:val="Hyperlink"/>
            <w:lang w:eastAsia="en-AU"/>
          </w:rPr>
          <w:t>http://www.carexcanada.ca/en/polycyclic_aromatic_hydrocarbons/occupational_estimate/</w:t>
        </w:r>
        <w:r w:rsidRPr="00E538D2">
          <w:rPr>
            <w:rStyle w:val="Hyperlink"/>
            <w:rFonts w:ascii="Times New Roman" w:hAnsi="Times New Roman" w:cs="Times New Roman"/>
            <w:noProof/>
            <w:sz w:val="24"/>
            <w:lang w:eastAsia="en-AU"/>
          </w:rPr>
          <w:t>&gt;</w:t>
        </w:r>
        <w:r w:rsidRPr="00E538D2">
          <w:rPr>
            <w:rStyle w:val="Hyperlink"/>
            <w:noProof/>
            <w:lang w:eastAsia="en-AU"/>
          </w:rPr>
          <w:t>.</w:t>
        </w:r>
        <w:proofErr w:type="gramEnd"/>
      </w:hyperlink>
      <w:r w:rsidRPr="00A956E5">
        <w:rPr>
          <w:noProof/>
          <w:lang w:eastAsia="en-AU"/>
        </w:rPr>
        <w:t xml:space="preserve"> Viewed March, 2014.</w:t>
      </w:r>
      <w:bookmarkEnd w:id="64"/>
    </w:p>
    <w:p w:rsidR="00ED423B" w:rsidRPr="00A956E5" w:rsidRDefault="00ED423B" w:rsidP="00BB6679">
      <w:pPr>
        <w:rPr>
          <w:noProof/>
          <w:lang w:eastAsia="en-AU"/>
        </w:rPr>
      </w:pPr>
      <w:bookmarkStart w:id="65" w:name="_ENREF_10"/>
      <w:r w:rsidRPr="00A956E5">
        <w:rPr>
          <w:noProof/>
          <w:lang w:eastAsia="en-AU"/>
        </w:rPr>
        <w:t>Carey, R, Driscoll, T, Peters, S, Glass, D, Reid, A, Benke, G, et al. (2014). Estimated prevalence of exposure to occupational carcinogens in Australia (2011-2012). Occupational and Environmental Medicine, 71(1):55-62.</w:t>
      </w:r>
      <w:bookmarkEnd w:id="65"/>
    </w:p>
    <w:p w:rsidR="00ED423B" w:rsidRPr="00A956E5" w:rsidRDefault="00ED423B" w:rsidP="00BB6679">
      <w:pPr>
        <w:rPr>
          <w:noProof/>
          <w:lang w:eastAsia="en-AU"/>
        </w:rPr>
      </w:pPr>
      <w:bookmarkStart w:id="66" w:name="_ENREF_11"/>
      <w:r w:rsidRPr="00A956E5">
        <w:rPr>
          <w:noProof/>
          <w:lang w:eastAsia="en-AU"/>
        </w:rPr>
        <w:t>Cogliano, V, Baan, R, Straif, K, Grosse, Y, Secretan, B &amp; El Ghissassi, F (2008). Use of mechanistic data in IARC evaluations. Environmental and Molecular Mutagenesis, 49(2):100-109.</w:t>
      </w:r>
      <w:bookmarkEnd w:id="66"/>
    </w:p>
    <w:p w:rsidR="00ED423B" w:rsidRPr="00A956E5" w:rsidRDefault="00ED423B" w:rsidP="00BB6679">
      <w:pPr>
        <w:rPr>
          <w:noProof/>
          <w:lang w:eastAsia="en-AU"/>
        </w:rPr>
      </w:pPr>
      <w:bookmarkStart w:id="67" w:name="_ENREF_12"/>
      <w:r w:rsidRPr="00A956E5">
        <w:rPr>
          <w:noProof/>
          <w:lang w:eastAsia="en-AU"/>
        </w:rPr>
        <w:t>de Crespigny, F (2010). National Hazard Exposure Worker Surveillance.  Exposure to dust, gases, vapours, smoke and fumes and the provision of controls for these airborne hazards in Australian workplaces. Canberra.</w:t>
      </w:r>
      <w:bookmarkEnd w:id="67"/>
    </w:p>
    <w:p w:rsidR="00ED423B" w:rsidRPr="00A956E5" w:rsidRDefault="00ED423B" w:rsidP="00BB6679">
      <w:pPr>
        <w:rPr>
          <w:noProof/>
          <w:lang w:eastAsia="en-AU"/>
        </w:rPr>
      </w:pPr>
      <w:bookmarkStart w:id="68" w:name="_ENREF_13"/>
      <w:r w:rsidRPr="00A956E5">
        <w:rPr>
          <w:noProof/>
          <w:lang w:eastAsia="en-AU"/>
        </w:rPr>
        <w:t>Di Corleto (2010). Biological monitoring of occupational exposure to polycyclic aromatic hydrocarbons in prebake smelting. School of Public Health. PhD: Queensland University of Technology.</w:t>
      </w:r>
      <w:bookmarkEnd w:id="68"/>
    </w:p>
    <w:p w:rsidR="00ED423B" w:rsidRPr="00A956E5" w:rsidRDefault="00ED423B" w:rsidP="00BB6679">
      <w:pPr>
        <w:rPr>
          <w:noProof/>
          <w:lang w:eastAsia="en-AU"/>
        </w:rPr>
      </w:pPr>
      <w:bookmarkStart w:id="69" w:name="_ENREF_14"/>
      <w:r w:rsidRPr="00A956E5">
        <w:rPr>
          <w:noProof/>
          <w:lang w:eastAsia="en-AU"/>
        </w:rPr>
        <w:t>Finnish Institute of Occupational Health (1998). CAREX database. Helsinki.</w:t>
      </w:r>
      <w:bookmarkEnd w:id="69"/>
    </w:p>
    <w:p w:rsidR="00ED423B" w:rsidRPr="00A956E5" w:rsidRDefault="00ED423B" w:rsidP="00BB6679">
      <w:pPr>
        <w:rPr>
          <w:noProof/>
          <w:lang w:eastAsia="en-AU"/>
        </w:rPr>
      </w:pPr>
      <w:bookmarkStart w:id="70" w:name="_ENREF_15"/>
      <w:r w:rsidRPr="00A956E5">
        <w:rPr>
          <w:noProof/>
          <w:lang w:eastAsia="en-AU"/>
        </w:rPr>
        <w:t>Fritschi, L &amp; Driscoll, T (2006). Cancer due to occupation in Australia. Australia and New Zealand Journal of Public Health, 30(3):213-219.</w:t>
      </w:r>
      <w:bookmarkEnd w:id="70"/>
    </w:p>
    <w:p w:rsidR="00ED423B" w:rsidRPr="00A956E5" w:rsidRDefault="00ED423B" w:rsidP="00BB6679">
      <w:pPr>
        <w:rPr>
          <w:noProof/>
          <w:lang w:eastAsia="en-AU"/>
        </w:rPr>
      </w:pPr>
      <w:bookmarkStart w:id="71" w:name="_ENREF_16"/>
      <w:r w:rsidRPr="00A956E5">
        <w:rPr>
          <w:noProof/>
          <w:lang w:eastAsia="en-AU"/>
        </w:rPr>
        <w:t>Fritschi, L, Friesen, M, Glass, D, Benke, G, Girschik, J &amp; Sadkowsky, T (2009). OccIDEAS: retrospective occupational exposure assessment in community-based studies made easier. Journal of Environmental and Public Health:Epub: 2009:957023. doi: 10.1155/2009/957023.</w:t>
      </w:r>
      <w:bookmarkEnd w:id="71"/>
    </w:p>
    <w:p w:rsidR="00ED423B" w:rsidRPr="00A956E5" w:rsidRDefault="00ED423B" w:rsidP="00BB6679">
      <w:pPr>
        <w:rPr>
          <w:noProof/>
          <w:lang w:eastAsia="en-AU"/>
        </w:rPr>
      </w:pPr>
      <w:bookmarkStart w:id="72" w:name="_ENREF_17"/>
      <w:r w:rsidRPr="00A956E5">
        <w:rPr>
          <w:noProof/>
          <w:lang w:eastAsia="en-AU"/>
        </w:rPr>
        <w:t>International Agency for Research on Cancer (2010). IARC Monographs on the Evaluation of Carcinogenic Risks to Humans.  Volume 92. Some non-heterocyclic Polycyclic Aromatic Hydrocarbons and some related exposures: World Health Organization.</w:t>
      </w:r>
      <w:bookmarkEnd w:id="72"/>
    </w:p>
    <w:p w:rsidR="00ED423B" w:rsidRPr="00A956E5" w:rsidRDefault="00ED423B" w:rsidP="00BB6679">
      <w:pPr>
        <w:rPr>
          <w:noProof/>
          <w:lang w:eastAsia="en-AU"/>
        </w:rPr>
      </w:pPr>
      <w:bookmarkStart w:id="73" w:name="_ENREF_18"/>
      <w:r w:rsidRPr="00A956E5">
        <w:rPr>
          <w:noProof/>
          <w:lang w:eastAsia="en-AU"/>
        </w:rPr>
        <w:lastRenderedPageBreak/>
        <w:t>Kauppinen, T, Toikkanen, J, Pedersen, D, Young, R, Ahrens, W, Boffetta, P, et al. (2000). Occupational exposure to carcinogens in the European Union. Occupational and Environmental Medicine, 57:10-18.</w:t>
      </w:r>
      <w:bookmarkEnd w:id="73"/>
    </w:p>
    <w:p w:rsidR="00ED423B" w:rsidRPr="00A956E5" w:rsidRDefault="00ED423B" w:rsidP="00BB6679">
      <w:pPr>
        <w:rPr>
          <w:noProof/>
          <w:lang w:eastAsia="en-AU"/>
        </w:rPr>
      </w:pPr>
      <w:bookmarkStart w:id="74" w:name="_ENREF_19"/>
      <w:r w:rsidRPr="00A956E5">
        <w:rPr>
          <w:noProof/>
          <w:lang w:eastAsia="en-AU"/>
        </w:rPr>
        <w:t xml:space="preserve">Lowry, R (2013). </w:t>
      </w:r>
      <w:proofErr w:type="gramStart"/>
      <w:r w:rsidRPr="00A956E5">
        <w:rPr>
          <w:noProof/>
          <w:lang w:eastAsia="en-AU"/>
        </w:rPr>
        <w:t>Confidence interval of a proportion &lt;</w:t>
      </w:r>
      <w:hyperlink r:id="rId28" w:history="1">
        <w:r w:rsidRPr="00E538D2">
          <w:rPr>
            <w:rStyle w:val="Hyperlink"/>
            <w:lang w:eastAsia="en-AU"/>
          </w:rPr>
          <w:t>http://www.vassarstats.net/prop1.html</w:t>
        </w:r>
      </w:hyperlink>
      <w:r w:rsidRPr="00A956E5">
        <w:rPr>
          <w:rFonts w:ascii="Times New Roman" w:hAnsi="Times New Roman" w:cs="Times New Roman"/>
          <w:noProof/>
          <w:sz w:val="24"/>
          <w:lang w:eastAsia="en-AU"/>
        </w:rPr>
        <w:t>&gt;</w:t>
      </w:r>
      <w:r w:rsidRPr="00A956E5">
        <w:rPr>
          <w:noProof/>
          <w:lang w:eastAsia="en-AU"/>
        </w:rPr>
        <w:t>.</w:t>
      </w:r>
      <w:proofErr w:type="gramEnd"/>
      <w:r w:rsidRPr="00A956E5">
        <w:rPr>
          <w:noProof/>
          <w:lang w:eastAsia="en-AU"/>
        </w:rPr>
        <w:t xml:space="preserve"> Viewed February, 2014.</w:t>
      </w:r>
      <w:bookmarkEnd w:id="74"/>
    </w:p>
    <w:p w:rsidR="00ED423B" w:rsidRPr="00A956E5" w:rsidRDefault="00ED423B" w:rsidP="00BB6679">
      <w:pPr>
        <w:rPr>
          <w:noProof/>
          <w:lang w:eastAsia="en-AU"/>
        </w:rPr>
      </w:pPr>
      <w:bookmarkStart w:id="75" w:name="_ENREF_20"/>
      <w:r w:rsidRPr="00A956E5">
        <w:rPr>
          <w:noProof/>
          <w:lang w:eastAsia="en-AU"/>
        </w:rPr>
        <w:t>MacFarlane, E, Benke, G &amp; Keegel, T (2012). National Hazard Exposure Worker Surveillance: Chemical exposure and the provision of chemical exposure control measures in Australian workplaces. Canberra.</w:t>
      </w:r>
      <w:bookmarkEnd w:id="75"/>
    </w:p>
    <w:p w:rsidR="00ED423B" w:rsidRPr="00A956E5" w:rsidRDefault="00ED423B" w:rsidP="00BB6679">
      <w:pPr>
        <w:rPr>
          <w:noProof/>
          <w:lang w:eastAsia="en-AU"/>
        </w:rPr>
      </w:pPr>
      <w:bookmarkStart w:id="76" w:name="_ENREF_21"/>
      <w:r w:rsidRPr="00A956E5">
        <w:rPr>
          <w:noProof/>
          <w:lang w:eastAsia="en-AU"/>
        </w:rPr>
        <w:t>Mathers, C, Vos, T &amp; Stevenson, C (1999). The burden of disease and injury in Australia(AIHW Catalogue No.: PHE 17). Canberra.</w:t>
      </w:r>
      <w:bookmarkEnd w:id="76"/>
    </w:p>
    <w:p w:rsidR="00ED423B" w:rsidRPr="00A956E5" w:rsidRDefault="00ED423B" w:rsidP="00BB6679">
      <w:pPr>
        <w:rPr>
          <w:noProof/>
          <w:lang w:eastAsia="en-AU"/>
        </w:rPr>
      </w:pPr>
      <w:bookmarkStart w:id="77" w:name="_ENREF_22"/>
      <w:r w:rsidRPr="00A956E5">
        <w:rPr>
          <w:noProof/>
          <w:lang w:eastAsia="en-AU"/>
        </w:rPr>
        <w:t>Morrell, SK, C, Driscoll, T, Taylor, R, Salkeld, G &amp; Corbett, S (1998). Best estimate of the magnitude of mortality due to occupational exposure to hazardous substances. Occupational and Environmental Medicine, 55(9):634-641.</w:t>
      </w:r>
      <w:bookmarkEnd w:id="77"/>
    </w:p>
    <w:p w:rsidR="00ED423B" w:rsidRPr="00A956E5" w:rsidRDefault="00ED423B" w:rsidP="00BB6679">
      <w:pPr>
        <w:rPr>
          <w:noProof/>
          <w:lang w:eastAsia="en-AU"/>
        </w:rPr>
      </w:pPr>
      <w:bookmarkStart w:id="78" w:name="_ENREF_23"/>
      <w:r w:rsidRPr="00A956E5">
        <w:rPr>
          <w:noProof/>
          <w:lang w:eastAsia="en-AU"/>
        </w:rPr>
        <w:t>National Occupational Health and Safety Commission (2004). Approved Criteria for Classifying Hazardous Substances [NOHSC:1008(2004)] 3rd Edition. Canberra.</w:t>
      </w:r>
      <w:bookmarkEnd w:id="78"/>
    </w:p>
    <w:p w:rsidR="00ED423B" w:rsidRPr="00A956E5" w:rsidRDefault="00ED423B" w:rsidP="00BB6679">
      <w:pPr>
        <w:rPr>
          <w:noProof/>
          <w:lang w:eastAsia="en-AU"/>
        </w:rPr>
      </w:pPr>
      <w:bookmarkStart w:id="79" w:name="_ENREF_24"/>
      <w:r w:rsidRPr="00A956E5">
        <w:rPr>
          <w:noProof/>
          <w:lang w:eastAsia="en-AU"/>
        </w:rPr>
        <w:t>National Toxicology Program (2011). Report on Carcinogens 12th Edition.  Polycyclic Aromatic Hydrocarbons: 15 Listings. Research Triangle Park, NC.</w:t>
      </w:r>
      <w:bookmarkEnd w:id="79"/>
    </w:p>
    <w:p w:rsidR="00ED423B" w:rsidRPr="00A956E5" w:rsidRDefault="00ED423B" w:rsidP="00BB6679">
      <w:pPr>
        <w:rPr>
          <w:noProof/>
          <w:lang w:eastAsia="en-AU"/>
        </w:rPr>
      </w:pPr>
      <w:bookmarkStart w:id="80" w:name="_ENREF_25"/>
      <w:r w:rsidRPr="00A956E5">
        <w:rPr>
          <w:noProof/>
          <w:lang w:eastAsia="en-AU"/>
        </w:rPr>
        <w:t>Parks, C, Cooper, G, Nylander-French, L, Hoppin, J, Sanderson, W &amp; JM, D (2004). Comparing questionnaire-based methods to assess occupational silica exposure. Epidemiology, 15(4):433-441.</w:t>
      </w:r>
      <w:bookmarkEnd w:id="80"/>
    </w:p>
    <w:p w:rsidR="00ED423B" w:rsidRPr="00A956E5" w:rsidRDefault="00ED423B" w:rsidP="00BB6679">
      <w:pPr>
        <w:rPr>
          <w:noProof/>
          <w:lang w:eastAsia="en-AU"/>
        </w:rPr>
      </w:pPr>
      <w:bookmarkStart w:id="81" w:name="_ENREF_26"/>
      <w:r w:rsidRPr="00A956E5">
        <w:rPr>
          <w:noProof/>
          <w:lang w:eastAsia="en-AU"/>
        </w:rPr>
        <w:t>Reisen, F &amp; Tiganis, B (2007). Australian firefighters' exposures to air toxics in bushfire smoke.  What do we know? Aspendale, Victoria.</w:t>
      </w:r>
      <w:bookmarkEnd w:id="81"/>
    </w:p>
    <w:p w:rsidR="00ED423B" w:rsidRPr="00A956E5" w:rsidRDefault="00ED423B" w:rsidP="00BB6679">
      <w:pPr>
        <w:rPr>
          <w:noProof/>
          <w:lang w:eastAsia="en-AU"/>
        </w:rPr>
      </w:pPr>
      <w:bookmarkStart w:id="82" w:name="_ENREF_27"/>
      <w:r w:rsidRPr="00A956E5">
        <w:rPr>
          <w:noProof/>
          <w:lang w:eastAsia="en-AU"/>
        </w:rPr>
        <w:t>Reisen, F &amp; Brown, S (2009). Australian firefighters' exposure to air toxics during bushfire burns of autumn 2005 and 2006. Environment International, 35(2):342-352.</w:t>
      </w:r>
      <w:bookmarkEnd w:id="82"/>
    </w:p>
    <w:p w:rsidR="00ED423B" w:rsidRPr="00A956E5" w:rsidRDefault="00ED423B" w:rsidP="00BB6679">
      <w:pPr>
        <w:rPr>
          <w:noProof/>
          <w:lang w:eastAsia="en-AU"/>
        </w:rPr>
      </w:pPr>
      <w:bookmarkStart w:id="83" w:name="_ENREF_28"/>
      <w:r w:rsidRPr="00A956E5">
        <w:rPr>
          <w:noProof/>
          <w:lang w:eastAsia="en-AU"/>
        </w:rPr>
        <w:t>Rushton, L, Hutchings, S, Fortunato, L, Young, C, Evans, G, Brown, T, et al. (2012). Occupational cancer burden in Great Britain. British Journal of Cancer, 103:S3-S7.</w:t>
      </w:r>
      <w:bookmarkEnd w:id="83"/>
    </w:p>
    <w:p w:rsidR="00ED423B" w:rsidRPr="00A956E5" w:rsidRDefault="00ED423B" w:rsidP="00BB6679">
      <w:pPr>
        <w:rPr>
          <w:noProof/>
          <w:lang w:eastAsia="en-AU"/>
        </w:rPr>
      </w:pPr>
      <w:bookmarkStart w:id="84" w:name="_ENREF_29"/>
      <w:r w:rsidRPr="00A956E5">
        <w:rPr>
          <w:noProof/>
          <w:lang w:eastAsia="en-AU"/>
        </w:rPr>
        <w:t>Safe Work Australia (2011a). Model Work Health and Safety Regulations. Canberra.</w:t>
      </w:r>
      <w:bookmarkEnd w:id="84"/>
    </w:p>
    <w:p w:rsidR="00ED423B" w:rsidRPr="00A956E5" w:rsidRDefault="00ED423B" w:rsidP="00BB6679">
      <w:pPr>
        <w:rPr>
          <w:noProof/>
          <w:lang w:eastAsia="en-AU"/>
        </w:rPr>
      </w:pPr>
      <w:bookmarkStart w:id="85" w:name="_ENREF_30"/>
      <w:r w:rsidRPr="00A956E5">
        <w:rPr>
          <w:noProof/>
          <w:lang w:eastAsia="en-AU"/>
        </w:rPr>
        <w:t>Safe Work Australia (2011b). Workplace Exposure Standards for Airborne Contaminants. Canberra.</w:t>
      </w:r>
      <w:bookmarkEnd w:id="85"/>
    </w:p>
    <w:p w:rsidR="00ED423B" w:rsidRPr="00A956E5" w:rsidRDefault="00ED423B" w:rsidP="00BB6679">
      <w:pPr>
        <w:rPr>
          <w:noProof/>
          <w:lang w:eastAsia="en-AU"/>
        </w:rPr>
      </w:pPr>
      <w:bookmarkStart w:id="86" w:name="_ENREF_31"/>
      <w:r w:rsidRPr="00A956E5">
        <w:rPr>
          <w:noProof/>
          <w:lang w:eastAsia="en-AU"/>
        </w:rPr>
        <w:t>Safe Work Australia (2012a). Managing Risks of Hazardous Chemicals in the Workplace - Code of Practice. Canberra.</w:t>
      </w:r>
      <w:bookmarkEnd w:id="86"/>
    </w:p>
    <w:p w:rsidR="00ED423B" w:rsidRPr="00A956E5" w:rsidRDefault="00ED423B" w:rsidP="00BB6679">
      <w:pPr>
        <w:rPr>
          <w:noProof/>
          <w:lang w:eastAsia="en-AU"/>
        </w:rPr>
      </w:pPr>
      <w:bookmarkStart w:id="87" w:name="_ENREF_32"/>
      <w:r w:rsidRPr="00A956E5">
        <w:rPr>
          <w:noProof/>
          <w:lang w:eastAsia="en-AU"/>
        </w:rPr>
        <w:t>Safe Work Australia (2012b). Hazardous Substances Information System (HSIS) &lt;</w:t>
      </w:r>
      <w:hyperlink r:id="rId29" w:history="1">
        <w:r w:rsidRPr="00E538D2">
          <w:rPr>
            <w:rStyle w:val="Hyperlink"/>
            <w:lang w:eastAsia="en-AU"/>
          </w:rPr>
          <w:t>http://www.hsis.safeworkaustralia.gov.au/</w:t>
        </w:r>
      </w:hyperlink>
      <w:r w:rsidRPr="00A956E5">
        <w:rPr>
          <w:rFonts w:ascii="Times New Roman" w:hAnsi="Times New Roman" w:cs="Times New Roman"/>
          <w:noProof/>
          <w:sz w:val="24"/>
          <w:lang w:eastAsia="en-AU"/>
        </w:rPr>
        <w:t>&gt;</w:t>
      </w:r>
      <w:r w:rsidRPr="00A956E5">
        <w:rPr>
          <w:noProof/>
          <w:lang w:eastAsia="en-AU"/>
        </w:rPr>
        <w:t>. Viewed March, 2014.</w:t>
      </w:r>
      <w:bookmarkEnd w:id="87"/>
    </w:p>
    <w:p w:rsidR="00ED423B" w:rsidRPr="00A956E5" w:rsidRDefault="00ED423B" w:rsidP="00BB6679">
      <w:pPr>
        <w:rPr>
          <w:noProof/>
          <w:lang w:eastAsia="en-AU"/>
        </w:rPr>
      </w:pPr>
      <w:bookmarkStart w:id="88" w:name="_ENREF_33"/>
      <w:r w:rsidRPr="00A956E5">
        <w:rPr>
          <w:noProof/>
          <w:lang w:eastAsia="en-AU"/>
        </w:rPr>
        <w:t>Safe Work Australia (2012c). Australian Work Health and Safety Strategy 2012-2022. Canberra.</w:t>
      </w:r>
      <w:bookmarkEnd w:id="88"/>
    </w:p>
    <w:p w:rsidR="00ED423B" w:rsidRPr="00A956E5" w:rsidRDefault="00ED423B" w:rsidP="00BB6679">
      <w:pPr>
        <w:rPr>
          <w:noProof/>
          <w:lang w:eastAsia="en-AU"/>
        </w:rPr>
      </w:pPr>
      <w:bookmarkStart w:id="89" w:name="_ENREF_34"/>
      <w:r w:rsidRPr="00A956E5">
        <w:rPr>
          <w:noProof/>
          <w:lang w:eastAsia="en-AU"/>
        </w:rPr>
        <w:t>Safe Work Australia (2013a). Health monitoring for exposure to hazardous chemicals.  Guide for persons conducting a business or undertaking. Canberra.</w:t>
      </w:r>
      <w:bookmarkEnd w:id="89"/>
    </w:p>
    <w:p w:rsidR="00ED423B" w:rsidRPr="00A956E5" w:rsidRDefault="00ED423B" w:rsidP="00BB6679">
      <w:pPr>
        <w:rPr>
          <w:noProof/>
          <w:lang w:eastAsia="en-AU"/>
        </w:rPr>
      </w:pPr>
      <w:bookmarkStart w:id="90" w:name="_ENREF_35"/>
      <w:r w:rsidRPr="00A956E5">
        <w:rPr>
          <w:noProof/>
          <w:lang w:eastAsia="en-AU"/>
        </w:rPr>
        <w:t>Safe Work Australia (2013b). Polycyclic aromatic hydrocarbons (PAH). Canberra.</w:t>
      </w:r>
      <w:bookmarkEnd w:id="90"/>
    </w:p>
    <w:p w:rsidR="00ED423B" w:rsidRPr="00A956E5" w:rsidRDefault="00ED423B" w:rsidP="00BB6679">
      <w:pPr>
        <w:rPr>
          <w:noProof/>
          <w:lang w:eastAsia="en-AU"/>
        </w:rPr>
      </w:pPr>
      <w:bookmarkStart w:id="91" w:name="_ENREF_36"/>
      <w:r w:rsidRPr="00A956E5">
        <w:rPr>
          <w:noProof/>
          <w:lang w:eastAsia="en-AU"/>
        </w:rPr>
        <w:t>Safe Work Australia (2013c). Guidance on the interpretation of workplace exposure standards for airborne contaminants. Canberra.</w:t>
      </w:r>
      <w:bookmarkEnd w:id="91"/>
    </w:p>
    <w:p w:rsidR="00ED423B" w:rsidRPr="00A956E5" w:rsidRDefault="00ED423B" w:rsidP="00BB6679">
      <w:pPr>
        <w:rPr>
          <w:noProof/>
          <w:lang w:eastAsia="en-AU"/>
        </w:rPr>
      </w:pPr>
      <w:bookmarkStart w:id="92" w:name="_ENREF_37"/>
      <w:r w:rsidRPr="00A956E5">
        <w:rPr>
          <w:noProof/>
          <w:lang w:eastAsia="en-AU"/>
        </w:rPr>
        <w:t>Straif, K, Baan, R, Grosse, Y, Secretan, B, El Ghissassi, F, Cogliano, V, et al. (2005). Carcinogenicity of polycyclic aromatic hydrocarbons. Lancet Oncology, 6(12):931-932.</w:t>
      </w:r>
      <w:bookmarkEnd w:id="92"/>
    </w:p>
    <w:p w:rsidR="00ED423B" w:rsidRPr="00A956E5" w:rsidRDefault="00ED423B" w:rsidP="00BB6679">
      <w:pPr>
        <w:rPr>
          <w:noProof/>
          <w:lang w:eastAsia="en-AU"/>
        </w:rPr>
      </w:pPr>
      <w:bookmarkStart w:id="93" w:name="_ENREF_38"/>
      <w:r w:rsidRPr="00A956E5">
        <w:rPr>
          <w:noProof/>
          <w:lang w:eastAsia="en-AU"/>
        </w:rPr>
        <w:lastRenderedPageBreak/>
        <w:t>United Nations (2009). Globally Harmonised System of Classification and Labelling of Chemicals 3rd Revised Edition. Geneva: United Nations.</w:t>
      </w:r>
      <w:bookmarkEnd w:id="93"/>
    </w:p>
    <w:p w:rsidR="00ED423B" w:rsidRPr="00A956E5" w:rsidRDefault="00ED423B" w:rsidP="00BB6679">
      <w:pPr>
        <w:rPr>
          <w:noProof/>
          <w:lang w:eastAsia="en-AU"/>
        </w:rPr>
      </w:pPr>
      <w:bookmarkStart w:id="94" w:name="_ENREF_39"/>
      <w:r w:rsidRPr="00A956E5">
        <w:rPr>
          <w:noProof/>
          <w:lang w:eastAsia="en-AU"/>
        </w:rPr>
        <w:t>Van Tongeren, M, Jimenez, A, Hutchings, S, MacCalman, L, Rushton, L &amp; Cherrie, J (2012). Occupational cancer in Britain - Exposure assessment methodology. British Journal of Cancer, 107:S18 – S26.</w:t>
      </w:r>
      <w:bookmarkEnd w:id="94"/>
    </w:p>
    <w:p w:rsidR="00ED423B" w:rsidRPr="00A956E5" w:rsidRDefault="00ED423B" w:rsidP="00BB6679">
      <w:pPr>
        <w:rPr>
          <w:noProof/>
          <w:lang w:eastAsia="en-AU"/>
        </w:rPr>
      </w:pPr>
      <w:bookmarkStart w:id="95" w:name="_ENREF_40"/>
      <w:r w:rsidRPr="00A956E5">
        <w:rPr>
          <w:noProof/>
          <w:lang w:eastAsia="en-AU"/>
        </w:rPr>
        <w:t>Winder, C &amp; Lewis, S (1991). A thousand a year: an estimate of deaths in Australia from cancer associated with occupation. Cancer Forum, 15:70-76.</w:t>
      </w:r>
      <w:bookmarkEnd w:id="95"/>
    </w:p>
    <w:p w:rsidR="00ED423B" w:rsidRPr="00D96AE0" w:rsidRDefault="00ED423B" w:rsidP="00BB6679">
      <w:pPr>
        <w:rPr>
          <w:rFonts w:cs="Arial"/>
          <w:noProof/>
        </w:rPr>
      </w:pPr>
    </w:p>
    <w:p w:rsidR="00ED423B" w:rsidRPr="00424389" w:rsidRDefault="00ED423B" w:rsidP="00BB6679">
      <w:pPr>
        <w:pStyle w:val="Heading1"/>
      </w:pPr>
      <w:bookmarkStart w:id="96" w:name="_Toc158986474"/>
      <w:bookmarkStart w:id="97" w:name="_Toc327186468"/>
      <w:bookmarkStart w:id="98" w:name="_Toc401068316"/>
      <w:bookmarkStart w:id="99" w:name="_Toc322021546"/>
      <w:r w:rsidRPr="00424389">
        <w:lastRenderedPageBreak/>
        <w:t>LIST OF TABLES</w:t>
      </w:r>
      <w:bookmarkEnd w:id="96"/>
      <w:bookmarkEnd w:id="97"/>
      <w:bookmarkEnd w:id="98"/>
    </w:p>
    <w:p w:rsidR="00ED423B" w:rsidRDefault="00ED423B">
      <w:pPr>
        <w:pStyle w:val="TableofFigures"/>
        <w:rPr>
          <w:rFonts w:asciiTheme="minorHAnsi" w:eastAsiaTheme="minorEastAsia" w:hAnsiTheme="minorHAnsi" w:cstheme="minorBidi"/>
          <w:szCs w:val="22"/>
          <w:lang w:eastAsia="en-AU"/>
        </w:rPr>
      </w:pPr>
      <w:r w:rsidRPr="00F56357">
        <w:rPr>
          <w:highlight w:val="green"/>
        </w:rPr>
        <w:fldChar w:fldCharType="begin"/>
      </w:r>
      <w:r w:rsidRPr="00F56357">
        <w:rPr>
          <w:highlight w:val="green"/>
        </w:rPr>
        <w:instrText xml:space="preserve"> TOC \h \z \t "Table: Caption" \c </w:instrText>
      </w:r>
      <w:r w:rsidRPr="00F56357">
        <w:rPr>
          <w:highlight w:val="green"/>
        </w:rPr>
        <w:fldChar w:fldCharType="separate"/>
      </w:r>
      <w:hyperlink w:anchor="_Toc401068425" w:history="1">
        <w:r w:rsidRPr="005829CB">
          <w:rPr>
            <w:rStyle w:val="Hyperlink"/>
            <w:rFonts w:eastAsiaTheme="majorEastAsia"/>
          </w:rPr>
          <w:t>Table 1: Estimated number of Australian workers exposed to PAHs—by occupation.</w:t>
        </w:r>
        <w:r>
          <w:rPr>
            <w:webHidden/>
          </w:rPr>
          <w:tab/>
        </w:r>
        <w:r>
          <w:rPr>
            <w:webHidden/>
          </w:rPr>
          <w:fldChar w:fldCharType="begin"/>
        </w:r>
        <w:r>
          <w:rPr>
            <w:webHidden/>
          </w:rPr>
          <w:instrText xml:space="preserve"> PAGEREF _Toc401068425 \h </w:instrText>
        </w:r>
        <w:r>
          <w:rPr>
            <w:webHidden/>
          </w:rPr>
        </w:r>
        <w:r>
          <w:rPr>
            <w:webHidden/>
          </w:rPr>
          <w:fldChar w:fldCharType="separate"/>
        </w:r>
        <w:r>
          <w:rPr>
            <w:webHidden/>
          </w:rPr>
          <w:t>11</w:t>
        </w:r>
        <w:r>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26" w:history="1">
        <w:r w:rsidR="00ED423B" w:rsidRPr="005829CB">
          <w:rPr>
            <w:rStyle w:val="Hyperlink"/>
            <w:rFonts w:eastAsiaTheme="majorEastAsia"/>
          </w:rPr>
          <w:t>Table 2: Main circumstances resulting in exposure to PAHs.</w:t>
        </w:r>
        <w:r w:rsidR="00ED423B">
          <w:rPr>
            <w:webHidden/>
          </w:rPr>
          <w:tab/>
        </w:r>
        <w:r w:rsidR="00ED423B">
          <w:rPr>
            <w:webHidden/>
          </w:rPr>
          <w:fldChar w:fldCharType="begin"/>
        </w:r>
        <w:r w:rsidR="00ED423B">
          <w:rPr>
            <w:webHidden/>
          </w:rPr>
          <w:instrText xml:space="preserve"> PAGEREF _Toc401068426 \h </w:instrText>
        </w:r>
        <w:r w:rsidR="00ED423B">
          <w:rPr>
            <w:webHidden/>
          </w:rPr>
        </w:r>
        <w:r w:rsidR="00ED423B">
          <w:rPr>
            <w:webHidden/>
          </w:rPr>
          <w:fldChar w:fldCharType="separate"/>
        </w:r>
        <w:r w:rsidR="00ED423B">
          <w:rPr>
            <w:webHidden/>
          </w:rPr>
          <w:t>12</w:t>
        </w:r>
        <w:r w:rsidR="00ED423B">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27" w:history="1">
        <w:r w:rsidR="00ED423B" w:rsidRPr="005829CB">
          <w:rPr>
            <w:rStyle w:val="Hyperlink"/>
            <w:rFonts w:eastAsiaTheme="majorEastAsia"/>
          </w:rPr>
          <w:t>Table 3: Classification and HSIS listings for some individual PAHs</w:t>
        </w:r>
        <w:r w:rsidR="00ED423B">
          <w:rPr>
            <w:webHidden/>
          </w:rPr>
          <w:tab/>
        </w:r>
        <w:r w:rsidR="00ED423B">
          <w:rPr>
            <w:webHidden/>
          </w:rPr>
          <w:fldChar w:fldCharType="begin"/>
        </w:r>
        <w:r w:rsidR="00ED423B">
          <w:rPr>
            <w:webHidden/>
          </w:rPr>
          <w:instrText xml:space="preserve"> PAGEREF _Toc401068427 \h </w:instrText>
        </w:r>
        <w:r w:rsidR="00ED423B">
          <w:rPr>
            <w:webHidden/>
          </w:rPr>
        </w:r>
        <w:r w:rsidR="00ED423B">
          <w:rPr>
            <w:webHidden/>
          </w:rPr>
          <w:fldChar w:fldCharType="separate"/>
        </w:r>
        <w:r w:rsidR="00ED423B">
          <w:rPr>
            <w:webHidden/>
          </w:rPr>
          <w:t>27</w:t>
        </w:r>
        <w:r w:rsidR="00ED423B">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28" w:history="1">
        <w:r w:rsidR="00ED423B" w:rsidRPr="005829CB">
          <w:rPr>
            <w:rStyle w:val="Hyperlink"/>
            <w:rFonts w:eastAsiaTheme="majorEastAsia"/>
          </w:rPr>
          <w:t>Table 4: Occupations of all PAH-exposed persons—numbers and percentages</w:t>
        </w:r>
        <w:r w:rsidR="00ED423B">
          <w:rPr>
            <w:webHidden/>
          </w:rPr>
          <w:tab/>
        </w:r>
        <w:r w:rsidR="00ED423B">
          <w:rPr>
            <w:webHidden/>
          </w:rPr>
          <w:fldChar w:fldCharType="begin"/>
        </w:r>
        <w:r w:rsidR="00ED423B">
          <w:rPr>
            <w:webHidden/>
          </w:rPr>
          <w:instrText xml:space="preserve"> PAGEREF _Toc401068428 \h </w:instrText>
        </w:r>
        <w:r w:rsidR="00ED423B">
          <w:rPr>
            <w:webHidden/>
          </w:rPr>
        </w:r>
        <w:r w:rsidR="00ED423B">
          <w:rPr>
            <w:webHidden/>
          </w:rPr>
          <w:fldChar w:fldCharType="separate"/>
        </w:r>
        <w:r w:rsidR="00ED423B">
          <w:rPr>
            <w:webHidden/>
          </w:rPr>
          <w:t>31</w:t>
        </w:r>
        <w:r w:rsidR="00ED423B">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29" w:history="1">
        <w:r w:rsidR="00ED423B" w:rsidRPr="005829CB">
          <w:rPr>
            <w:rStyle w:val="Hyperlink"/>
            <w:rFonts w:eastAsiaTheme="majorEastAsia"/>
          </w:rPr>
          <w:t>Table 5: Industries of all PAH-exposed persons—numbers and percentages</w:t>
        </w:r>
        <w:r w:rsidR="00ED423B">
          <w:rPr>
            <w:webHidden/>
          </w:rPr>
          <w:tab/>
        </w:r>
        <w:r w:rsidR="00ED423B">
          <w:rPr>
            <w:webHidden/>
          </w:rPr>
          <w:fldChar w:fldCharType="begin"/>
        </w:r>
        <w:r w:rsidR="00ED423B">
          <w:rPr>
            <w:webHidden/>
          </w:rPr>
          <w:instrText xml:space="preserve"> PAGEREF _Toc401068429 \h </w:instrText>
        </w:r>
        <w:r w:rsidR="00ED423B">
          <w:rPr>
            <w:webHidden/>
          </w:rPr>
        </w:r>
        <w:r w:rsidR="00ED423B">
          <w:rPr>
            <w:webHidden/>
          </w:rPr>
          <w:fldChar w:fldCharType="separate"/>
        </w:r>
        <w:r w:rsidR="00ED423B">
          <w:rPr>
            <w:webHidden/>
          </w:rPr>
          <w:t>31</w:t>
        </w:r>
        <w:r w:rsidR="00ED423B">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30" w:history="1">
        <w:r w:rsidR="00ED423B" w:rsidRPr="005829CB">
          <w:rPr>
            <w:rStyle w:val="Hyperlink"/>
            <w:rFonts w:eastAsiaTheme="majorEastAsia"/>
          </w:rPr>
          <w:t>Table 6: Proportions of respondents in each</w:t>
        </w:r>
        <w:r w:rsidR="000B6BB8">
          <w:rPr>
            <w:rStyle w:val="Hyperlink"/>
            <w:rFonts w:eastAsiaTheme="majorEastAsia"/>
          </w:rPr>
          <w:t xml:space="preserve"> occupation who were exposed to</w:t>
        </w:r>
        <w:r w:rsidR="000B6BB8">
          <w:rPr>
            <w:rStyle w:val="Hyperlink"/>
            <w:rFonts w:eastAsiaTheme="majorEastAsia"/>
          </w:rPr>
          <w:br/>
        </w:r>
        <w:r w:rsidR="00ED423B" w:rsidRPr="005829CB">
          <w:rPr>
            <w:rStyle w:val="Hyperlink"/>
            <w:rFonts w:eastAsiaTheme="majorEastAsia"/>
          </w:rPr>
          <w:t>PAHs—per cent</w:t>
        </w:r>
        <w:r w:rsidR="000B6BB8">
          <w:rPr>
            <w:webHidden/>
          </w:rPr>
          <w:tab/>
        </w:r>
        <w:r w:rsidR="00ED423B">
          <w:rPr>
            <w:webHidden/>
          </w:rPr>
          <w:fldChar w:fldCharType="begin"/>
        </w:r>
        <w:r w:rsidR="00ED423B">
          <w:rPr>
            <w:webHidden/>
          </w:rPr>
          <w:instrText xml:space="preserve"> PAGEREF _Toc401068430 \h </w:instrText>
        </w:r>
        <w:r w:rsidR="00ED423B">
          <w:rPr>
            <w:webHidden/>
          </w:rPr>
        </w:r>
        <w:r w:rsidR="00ED423B">
          <w:rPr>
            <w:webHidden/>
          </w:rPr>
          <w:fldChar w:fldCharType="separate"/>
        </w:r>
        <w:r w:rsidR="00ED423B">
          <w:rPr>
            <w:webHidden/>
          </w:rPr>
          <w:t>32</w:t>
        </w:r>
        <w:r w:rsidR="00ED423B">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31" w:history="1">
        <w:r w:rsidR="00ED423B" w:rsidRPr="005829CB">
          <w:rPr>
            <w:rStyle w:val="Hyperlink"/>
            <w:rFonts w:eastAsiaTheme="majorEastAsia"/>
          </w:rPr>
          <w:t>Table 7: Proportions of respondents in ea</w:t>
        </w:r>
        <w:r w:rsidR="000B6BB8">
          <w:rPr>
            <w:rStyle w:val="Hyperlink"/>
            <w:rFonts w:eastAsiaTheme="majorEastAsia"/>
          </w:rPr>
          <w:t>ch industry who were exposed to</w:t>
        </w:r>
        <w:r w:rsidR="000B6BB8">
          <w:rPr>
            <w:rStyle w:val="Hyperlink"/>
            <w:rFonts w:eastAsiaTheme="majorEastAsia"/>
          </w:rPr>
          <w:br/>
        </w:r>
        <w:r w:rsidR="00ED423B" w:rsidRPr="005829CB">
          <w:rPr>
            <w:rStyle w:val="Hyperlink"/>
            <w:rFonts w:eastAsiaTheme="majorEastAsia"/>
          </w:rPr>
          <w:t>PAHs—per cent</w:t>
        </w:r>
        <w:r w:rsidR="00ED423B">
          <w:rPr>
            <w:webHidden/>
          </w:rPr>
          <w:tab/>
        </w:r>
        <w:r w:rsidR="00ED423B">
          <w:rPr>
            <w:webHidden/>
          </w:rPr>
          <w:fldChar w:fldCharType="begin"/>
        </w:r>
        <w:r w:rsidR="00ED423B">
          <w:rPr>
            <w:webHidden/>
          </w:rPr>
          <w:instrText xml:space="preserve"> PAGEREF _Toc401068431 \h </w:instrText>
        </w:r>
        <w:r w:rsidR="00ED423B">
          <w:rPr>
            <w:webHidden/>
          </w:rPr>
        </w:r>
        <w:r w:rsidR="00ED423B">
          <w:rPr>
            <w:webHidden/>
          </w:rPr>
          <w:fldChar w:fldCharType="separate"/>
        </w:r>
        <w:r w:rsidR="00ED423B">
          <w:rPr>
            <w:webHidden/>
          </w:rPr>
          <w:t>32</w:t>
        </w:r>
        <w:r w:rsidR="00ED423B">
          <w:rPr>
            <w:webHidden/>
          </w:rPr>
          <w:fldChar w:fldCharType="end"/>
        </w:r>
      </w:hyperlink>
    </w:p>
    <w:p w:rsidR="00ED423B" w:rsidRDefault="00ED423B" w:rsidP="00BB6679">
      <w:pPr>
        <w:pStyle w:val="Heading1"/>
      </w:pPr>
      <w:r w:rsidRPr="00F56357">
        <w:rPr>
          <w:rFonts w:cs="Arial"/>
          <w:sz w:val="22"/>
          <w:szCs w:val="22"/>
          <w:highlight w:val="green"/>
        </w:rPr>
        <w:lastRenderedPageBreak/>
        <w:fldChar w:fldCharType="end"/>
      </w:r>
      <w:bookmarkStart w:id="100" w:name="_Toc401068317"/>
      <w:r>
        <w:t>LIST OF FIGURES</w:t>
      </w:r>
      <w:bookmarkEnd w:id="100"/>
    </w:p>
    <w:p w:rsidR="00ED423B" w:rsidRDefault="00ED423B">
      <w:pPr>
        <w:pStyle w:val="TableofFigures"/>
        <w:rPr>
          <w:rFonts w:asciiTheme="minorHAnsi" w:eastAsiaTheme="minorEastAsia" w:hAnsiTheme="minorHAnsi" w:cstheme="minorBidi"/>
          <w:szCs w:val="22"/>
          <w:lang w:eastAsia="en-AU"/>
        </w:rPr>
      </w:pPr>
      <w:r w:rsidRPr="00F56357">
        <w:fldChar w:fldCharType="begin"/>
      </w:r>
      <w:r w:rsidRPr="00F56357">
        <w:instrText xml:space="preserve"> TOC \h \z \t "Figure: Caption" \c </w:instrText>
      </w:r>
      <w:r w:rsidRPr="00F56357">
        <w:fldChar w:fldCharType="separate"/>
      </w:r>
      <w:hyperlink w:anchor="_Toc401068433" w:history="1">
        <w:r w:rsidRPr="009200B7">
          <w:rPr>
            <w:rStyle w:val="Hyperlink"/>
            <w:rFonts w:eastAsiaTheme="majorEastAsia"/>
          </w:rPr>
          <w:t>Figure 1: Occupation of all respondents exposed to PAHs—per cent</w:t>
        </w:r>
        <w:r>
          <w:rPr>
            <w:webHidden/>
          </w:rPr>
          <w:tab/>
        </w:r>
        <w:r>
          <w:rPr>
            <w:webHidden/>
          </w:rPr>
          <w:fldChar w:fldCharType="begin"/>
        </w:r>
        <w:r>
          <w:rPr>
            <w:webHidden/>
          </w:rPr>
          <w:instrText xml:space="preserve"> PAGEREF _Toc401068433 \h </w:instrText>
        </w:r>
        <w:r>
          <w:rPr>
            <w:webHidden/>
          </w:rPr>
        </w:r>
        <w:r>
          <w:rPr>
            <w:webHidden/>
          </w:rPr>
          <w:fldChar w:fldCharType="separate"/>
        </w:r>
        <w:r>
          <w:rPr>
            <w:webHidden/>
          </w:rPr>
          <w:t>7</w:t>
        </w:r>
        <w:r>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34" w:history="1">
        <w:r w:rsidR="00ED423B" w:rsidRPr="009200B7">
          <w:rPr>
            <w:rStyle w:val="Hyperlink"/>
            <w:rFonts w:eastAsiaTheme="majorEastAsia"/>
          </w:rPr>
          <w:t>Figure 2: Industry of all respondents exposed to PAHs—per cent</w:t>
        </w:r>
        <w:r w:rsidR="00ED423B">
          <w:rPr>
            <w:webHidden/>
          </w:rPr>
          <w:tab/>
        </w:r>
        <w:r w:rsidR="00ED423B">
          <w:rPr>
            <w:webHidden/>
          </w:rPr>
          <w:fldChar w:fldCharType="begin"/>
        </w:r>
        <w:r w:rsidR="00ED423B">
          <w:rPr>
            <w:webHidden/>
          </w:rPr>
          <w:instrText xml:space="preserve"> PAGEREF _Toc401068434 \h </w:instrText>
        </w:r>
        <w:r w:rsidR="00ED423B">
          <w:rPr>
            <w:webHidden/>
          </w:rPr>
        </w:r>
        <w:r w:rsidR="00ED423B">
          <w:rPr>
            <w:webHidden/>
          </w:rPr>
          <w:fldChar w:fldCharType="separate"/>
        </w:r>
        <w:r w:rsidR="00ED423B">
          <w:rPr>
            <w:webHidden/>
          </w:rPr>
          <w:t>8</w:t>
        </w:r>
        <w:r w:rsidR="00ED423B">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35" w:history="1">
        <w:r w:rsidR="00ED423B" w:rsidRPr="009200B7">
          <w:rPr>
            <w:rStyle w:val="Hyperlink"/>
            <w:rFonts w:eastAsiaTheme="majorEastAsia"/>
          </w:rPr>
          <w:t>Figure 3: Proportion of all respondents in each occupation who were exposed to PAHs—per cent</w:t>
        </w:r>
        <w:r w:rsidR="00ED423B">
          <w:rPr>
            <w:webHidden/>
          </w:rPr>
          <w:tab/>
        </w:r>
        <w:r w:rsidR="00ED423B">
          <w:rPr>
            <w:webHidden/>
          </w:rPr>
          <w:fldChar w:fldCharType="begin"/>
        </w:r>
        <w:r w:rsidR="00ED423B">
          <w:rPr>
            <w:webHidden/>
          </w:rPr>
          <w:instrText xml:space="preserve"> PAGEREF _Toc401068435 \h </w:instrText>
        </w:r>
        <w:r w:rsidR="00ED423B">
          <w:rPr>
            <w:webHidden/>
          </w:rPr>
        </w:r>
        <w:r w:rsidR="00ED423B">
          <w:rPr>
            <w:webHidden/>
          </w:rPr>
          <w:fldChar w:fldCharType="separate"/>
        </w:r>
        <w:r w:rsidR="00ED423B">
          <w:rPr>
            <w:webHidden/>
          </w:rPr>
          <w:t>8</w:t>
        </w:r>
        <w:r w:rsidR="00ED423B">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36" w:history="1">
        <w:r w:rsidR="00ED423B" w:rsidRPr="009200B7">
          <w:rPr>
            <w:rStyle w:val="Hyperlink"/>
            <w:rFonts w:eastAsiaTheme="majorEastAsia"/>
          </w:rPr>
          <w:t>Figure 4: Proportion of male respondents in each occupation who were exposed to PAHs—per cent</w:t>
        </w:r>
        <w:r w:rsidR="00ED423B">
          <w:rPr>
            <w:webHidden/>
          </w:rPr>
          <w:tab/>
        </w:r>
        <w:r w:rsidR="00ED423B">
          <w:rPr>
            <w:webHidden/>
          </w:rPr>
          <w:fldChar w:fldCharType="begin"/>
        </w:r>
        <w:r w:rsidR="00ED423B">
          <w:rPr>
            <w:webHidden/>
          </w:rPr>
          <w:instrText xml:space="preserve"> PAGEREF _Toc401068436 \h </w:instrText>
        </w:r>
        <w:r w:rsidR="00ED423B">
          <w:rPr>
            <w:webHidden/>
          </w:rPr>
        </w:r>
        <w:r w:rsidR="00ED423B">
          <w:rPr>
            <w:webHidden/>
          </w:rPr>
          <w:fldChar w:fldCharType="separate"/>
        </w:r>
        <w:r w:rsidR="00ED423B">
          <w:rPr>
            <w:webHidden/>
          </w:rPr>
          <w:t>9</w:t>
        </w:r>
        <w:r w:rsidR="00ED423B">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37" w:history="1">
        <w:r w:rsidR="00ED423B" w:rsidRPr="009200B7">
          <w:rPr>
            <w:rStyle w:val="Hyperlink"/>
            <w:rFonts w:eastAsiaTheme="majorEastAsia"/>
          </w:rPr>
          <w:t>Figure 5: Proportion of respondents in each industry exposed to PAHs—percent</w:t>
        </w:r>
        <w:r w:rsidR="00ED423B">
          <w:rPr>
            <w:webHidden/>
          </w:rPr>
          <w:tab/>
        </w:r>
        <w:r w:rsidR="00ED423B">
          <w:rPr>
            <w:webHidden/>
          </w:rPr>
          <w:fldChar w:fldCharType="begin"/>
        </w:r>
        <w:r w:rsidR="00ED423B">
          <w:rPr>
            <w:webHidden/>
          </w:rPr>
          <w:instrText xml:space="preserve"> PAGEREF _Toc401068437 \h </w:instrText>
        </w:r>
        <w:r w:rsidR="00ED423B">
          <w:rPr>
            <w:webHidden/>
          </w:rPr>
        </w:r>
        <w:r w:rsidR="00ED423B">
          <w:rPr>
            <w:webHidden/>
          </w:rPr>
          <w:fldChar w:fldCharType="separate"/>
        </w:r>
        <w:r w:rsidR="00ED423B">
          <w:rPr>
            <w:webHidden/>
          </w:rPr>
          <w:t>9</w:t>
        </w:r>
        <w:r w:rsidR="00ED423B">
          <w:rPr>
            <w:webHidden/>
          </w:rPr>
          <w:fldChar w:fldCharType="end"/>
        </w:r>
      </w:hyperlink>
    </w:p>
    <w:p w:rsidR="00ED423B" w:rsidRDefault="00AC004A">
      <w:pPr>
        <w:pStyle w:val="TableofFigures"/>
        <w:rPr>
          <w:rFonts w:asciiTheme="minorHAnsi" w:eastAsiaTheme="minorEastAsia" w:hAnsiTheme="minorHAnsi" w:cstheme="minorBidi"/>
          <w:szCs w:val="22"/>
          <w:lang w:eastAsia="en-AU"/>
        </w:rPr>
      </w:pPr>
      <w:hyperlink w:anchor="_Toc401068438" w:history="1">
        <w:r w:rsidR="00ED423B" w:rsidRPr="009200B7">
          <w:rPr>
            <w:rStyle w:val="Hyperlink"/>
            <w:rFonts w:eastAsiaTheme="majorEastAsia"/>
          </w:rPr>
          <w:t>Figure 6: Proportion of male respondents in each industry exposed to PAHs</w:t>
        </w:r>
        <w:r w:rsidR="000B6BB8">
          <w:rPr>
            <w:rStyle w:val="Hyperlink"/>
            <w:rFonts w:eastAsiaTheme="majorEastAsia"/>
          </w:rPr>
          <w:br/>
        </w:r>
        <w:r w:rsidR="00ED423B" w:rsidRPr="009200B7">
          <w:rPr>
            <w:rStyle w:val="Hyperlink"/>
            <w:rFonts w:eastAsiaTheme="majorEastAsia"/>
          </w:rPr>
          <w:t>—per cent</w:t>
        </w:r>
        <w:r w:rsidR="000B6BB8">
          <w:rPr>
            <w:rStyle w:val="Hyperlink"/>
            <w:rFonts w:eastAsiaTheme="majorEastAsia"/>
          </w:rPr>
          <w:tab/>
        </w:r>
        <w:r w:rsidR="00ED423B">
          <w:rPr>
            <w:webHidden/>
          </w:rPr>
          <w:tab/>
        </w:r>
        <w:r w:rsidR="00ED423B">
          <w:rPr>
            <w:webHidden/>
          </w:rPr>
          <w:fldChar w:fldCharType="begin"/>
        </w:r>
        <w:r w:rsidR="00ED423B">
          <w:rPr>
            <w:webHidden/>
          </w:rPr>
          <w:instrText xml:space="preserve"> PAGEREF _Toc401068438 \h </w:instrText>
        </w:r>
        <w:r w:rsidR="00ED423B">
          <w:rPr>
            <w:webHidden/>
          </w:rPr>
        </w:r>
        <w:r w:rsidR="00ED423B">
          <w:rPr>
            <w:webHidden/>
          </w:rPr>
          <w:fldChar w:fldCharType="separate"/>
        </w:r>
        <w:r w:rsidR="00ED423B">
          <w:rPr>
            <w:webHidden/>
          </w:rPr>
          <w:t>10</w:t>
        </w:r>
        <w:r w:rsidR="00ED423B">
          <w:rPr>
            <w:webHidden/>
          </w:rPr>
          <w:fldChar w:fldCharType="end"/>
        </w:r>
      </w:hyperlink>
    </w:p>
    <w:p w:rsidR="00ED423B" w:rsidRPr="00521182" w:rsidRDefault="00ED423B" w:rsidP="00BB6679">
      <w:r w:rsidRPr="00F56357">
        <w:rPr>
          <w:rFonts w:cs="Arial"/>
          <w:szCs w:val="22"/>
        </w:rPr>
        <w:fldChar w:fldCharType="end"/>
      </w:r>
    </w:p>
    <w:p w:rsidR="00ED423B" w:rsidRDefault="00ED423B" w:rsidP="00BB6679">
      <w:pPr>
        <w:pStyle w:val="Heading1"/>
      </w:pPr>
      <w:bookmarkStart w:id="101" w:name="_Toc401068318"/>
      <w:r>
        <w:lastRenderedPageBreak/>
        <w:t>GLOSSARY</w:t>
      </w:r>
      <w:bookmarkEnd w:id="101"/>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95% CI</w:t>
      </w:r>
      <w:r>
        <w:rPr>
          <w:rFonts w:eastAsiaTheme="minorEastAsia"/>
          <w:noProof/>
        </w:rPr>
        <w:tab/>
      </w:r>
      <w:r w:rsidRPr="002E521A">
        <w:t>95% confidence interval</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ABS</w:t>
      </w:r>
      <w:r>
        <w:rPr>
          <w:rFonts w:eastAsiaTheme="minorEastAsia"/>
          <w:noProof/>
        </w:rPr>
        <w:tab/>
      </w:r>
      <w:r w:rsidRPr="002E521A">
        <w:t>Australian Bureau of Statistics</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ANZSCO</w:t>
      </w:r>
      <w:r>
        <w:rPr>
          <w:rFonts w:eastAsiaTheme="minorEastAsia"/>
          <w:noProof/>
        </w:rPr>
        <w:tab/>
      </w:r>
      <w:r w:rsidRPr="002E521A">
        <w:t>Australian and New Zealand Standard Classification of Occupations</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Approved Criteria</w:t>
      </w:r>
      <w:r>
        <w:rPr>
          <w:rFonts w:eastAsiaTheme="minorEastAsia"/>
          <w:noProof/>
        </w:rPr>
        <w:tab/>
      </w:r>
      <w:r w:rsidRPr="002E521A">
        <w:t>Approved Criteria for Classifying Hazardous Substances [</w:t>
      </w:r>
      <w:proofErr w:type="spellStart"/>
      <w:r w:rsidRPr="002E521A">
        <w:t>NOHSC</w:t>
      </w:r>
      <w:proofErr w:type="gramStart"/>
      <w:r w:rsidRPr="002E521A">
        <w:t>:1008</w:t>
      </w:r>
      <w:proofErr w:type="spellEnd"/>
      <w:proofErr w:type="gramEnd"/>
      <w:r w:rsidRPr="002E521A">
        <w:t>(2004] 3rd Edition</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AWES</w:t>
      </w:r>
      <w:r>
        <w:rPr>
          <w:rFonts w:eastAsiaTheme="minorEastAsia"/>
          <w:noProof/>
        </w:rPr>
        <w:tab/>
      </w:r>
      <w:r w:rsidRPr="002E521A">
        <w:t>Australia Workplace Exposure Study</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CAREX</w:t>
      </w:r>
      <w:r>
        <w:rPr>
          <w:rFonts w:eastAsiaTheme="minorEastAsia"/>
          <w:noProof/>
        </w:rPr>
        <w:tab/>
      </w:r>
      <w:r w:rsidRPr="002E521A">
        <w:t>Carcinogen Exposure (study)</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IARC</w:t>
      </w:r>
      <w:r>
        <w:rPr>
          <w:rFonts w:eastAsiaTheme="minorEastAsia"/>
          <w:noProof/>
        </w:rPr>
        <w:tab/>
      </w:r>
      <w:r w:rsidRPr="002E521A">
        <w:t>International Agency for Research on Cancer</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JSM</w:t>
      </w:r>
      <w:r>
        <w:rPr>
          <w:rFonts w:eastAsiaTheme="minorEastAsia"/>
          <w:noProof/>
        </w:rPr>
        <w:tab/>
      </w:r>
      <w:r w:rsidRPr="002E521A">
        <w:t>Job-specific module</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NHEWS</w:t>
      </w:r>
      <w:r>
        <w:rPr>
          <w:rFonts w:eastAsiaTheme="minorEastAsia"/>
          <w:noProof/>
        </w:rPr>
        <w:tab/>
      </w:r>
      <w:r w:rsidRPr="002E521A">
        <w:t>National Hazard Exposure Worker Surveillance (study)</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NICNAS</w:t>
      </w:r>
      <w:r>
        <w:rPr>
          <w:rFonts w:eastAsiaTheme="minorEastAsia"/>
          <w:noProof/>
        </w:rPr>
        <w:tab/>
      </w:r>
      <w:r w:rsidRPr="002E521A">
        <w:t>National Industrial Chemical Notification and Assessment Scheme</w:t>
      </w:r>
    </w:p>
    <w:p w:rsidR="00ED423B" w:rsidRDefault="00ED423B" w:rsidP="00BB6679">
      <w:pPr>
        <w:tabs>
          <w:tab w:val="left" w:pos="1985"/>
        </w:tabs>
        <w:ind w:left="1985" w:hanging="1985"/>
        <w:rPr>
          <w:rFonts w:eastAsiaTheme="minorEastAsia"/>
          <w:noProof/>
        </w:rPr>
      </w:pPr>
      <w:r w:rsidRPr="00A35BED">
        <w:rPr>
          <w:rFonts w:eastAsiaTheme="minorEastAsia"/>
          <w:noProof/>
        </w:rPr>
        <w:t>NTP</w:t>
      </w:r>
      <w:r w:rsidRPr="00A35BED">
        <w:rPr>
          <w:rFonts w:eastAsiaTheme="minorEastAsia"/>
          <w:noProof/>
        </w:rPr>
        <w:tab/>
        <w:t>National Toxicity Program</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OccIDEAS</w:t>
      </w:r>
      <w:r>
        <w:rPr>
          <w:rFonts w:eastAsiaTheme="minorEastAsia"/>
          <w:noProof/>
        </w:rPr>
        <w:tab/>
      </w:r>
      <w:r w:rsidRPr="002E521A">
        <w:t>An online tool to manage interviews and exposure assessments</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PCBU</w:t>
      </w:r>
      <w:r>
        <w:rPr>
          <w:rFonts w:eastAsiaTheme="minorEastAsia"/>
          <w:noProof/>
        </w:rPr>
        <w:tab/>
      </w:r>
      <w:r w:rsidRPr="002E521A">
        <w:t>Persons conducting a business or undertaking</w:t>
      </w:r>
    </w:p>
    <w:p w:rsidR="00ED423B" w:rsidRPr="0050757C" w:rsidRDefault="00ED423B" w:rsidP="00BB6679">
      <w:pPr>
        <w:tabs>
          <w:tab w:val="left" w:pos="1985"/>
        </w:tabs>
        <w:ind w:left="1985" w:hanging="1985"/>
        <w:rPr>
          <w:rFonts w:eastAsiaTheme="minorEastAsia"/>
          <w:noProof/>
        </w:rPr>
      </w:pPr>
      <w:r w:rsidRPr="0050757C">
        <w:rPr>
          <w:rFonts w:eastAsiaTheme="minorEastAsia"/>
          <w:noProof/>
        </w:rPr>
        <w:t>WHO</w:t>
      </w:r>
      <w:r>
        <w:rPr>
          <w:rFonts w:eastAsiaTheme="minorEastAsia"/>
          <w:noProof/>
        </w:rPr>
        <w:tab/>
      </w:r>
      <w:r w:rsidRPr="002E521A">
        <w:t>World Health Organization</w:t>
      </w:r>
    </w:p>
    <w:p w:rsidR="00ED423B" w:rsidRPr="0007053E" w:rsidRDefault="00ED423B" w:rsidP="00BB6679">
      <w:pPr>
        <w:tabs>
          <w:tab w:val="left" w:pos="1985"/>
        </w:tabs>
        <w:ind w:left="1985" w:hanging="1985"/>
        <w:rPr>
          <w:rFonts w:eastAsiaTheme="minorEastAsia"/>
          <w:noProof/>
        </w:rPr>
      </w:pPr>
      <w:r w:rsidRPr="0050757C">
        <w:rPr>
          <w:rFonts w:eastAsiaTheme="minorEastAsia"/>
          <w:noProof/>
        </w:rPr>
        <w:t>WHS</w:t>
      </w:r>
      <w:r>
        <w:rPr>
          <w:rFonts w:eastAsiaTheme="minorEastAsia"/>
          <w:noProof/>
        </w:rPr>
        <w:tab/>
      </w:r>
      <w:r w:rsidRPr="002E521A">
        <w:t>Work health and safety</w:t>
      </w:r>
    </w:p>
    <w:p w:rsidR="00ED423B" w:rsidRPr="00DC233C" w:rsidRDefault="00ED423B" w:rsidP="00BB6679">
      <w:pPr>
        <w:pStyle w:val="Heading1"/>
      </w:pPr>
      <w:bookmarkStart w:id="102" w:name="_Toc401068319"/>
      <w:r w:rsidRPr="00DC233C">
        <w:lastRenderedPageBreak/>
        <w:t xml:space="preserve">APPENDIX 1: </w:t>
      </w:r>
      <w:r>
        <w:t>C</w:t>
      </w:r>
      <w:r w:rsidRPr="00DC233C">
        <w:t>lassification of carcinogen</w:t>
      </w:r>
      <w:bookmarkEnd w:id="99"/>
      <w:r w:rsidRPr="00DC233C">
        <w:t>s</w:t>
      </w:r>
      <w:bookmarkStart w:id="103" w:name="_Toc210662244"/>
      <w:bookmarkStart w:id="104" w:name="_Toc322021547"/>
      <w:bookmarkEnd w:id="102"/>
    </w:p>
    <w:bookmarkEnd w:id="103"/>
    <w:bookmarkEnd w:id="104"/>
    <w:p w:rsidR="00ED423B" w:rsidRPr="00826347" w:rsidRDefault="00ED423B" w:rsidP="00BB6679">
      <w:pPr>
        <w:pStyle w:val="Heading2-NoTOC"/>
      </w:pPr>
      <w:proofErr w:type="spellStart"/>
      <w:r w:rsidRPr="00826347">
        <w:t>IARC</w:t>
      </w:r>
      <w:proofErr w:type="spellEnd"/>
      <w:r w:rsidRPr="00826347">
        <w:t xml:space="preserve"> classification of carcinogens</w:t>
      </w:r>
    </w:p>
    <w:p w:rsidR="00ED423B" w:rsidRPr="00826347" w:rsidRDefault="00ED423B" w:rsidP="00BB6679">
      <w:r w:rsidRPr="00826347">
        <w:t xml:space="preserve">The following information is taken from the </w:t>
      </w:r>
      <w:hyperlink r:id="rId30" w:history="1">
        <w:proofErr w:type="spellStart"/>
        <w:r w:rsidRPr="00CA1612">
          <w:rPr>
            <w:rStyle w:val="Hyperlink"/>
          </w:rPr>
          <w:t>IARC</w:t>
        </w:r>
        <w:proofErr w:type="spellEnd"/>
        <w:r w:rsidRPr="00CA1612">
          <w:rPr>
            <w:rStyle w:val="Hyperlink"/>
          </w:rPr>
          <w:t xml:space="preserve"> web site</w:t>
        </w:r>
      </w:hyperlink>
      <w:r w:rsidRPr="00826347">
        <w:t xml:space="preserve"> des</w:t>
      </w:r>
      <w:r w:rsidR="00CA1612">
        <w:t xml:space="preserve">cribing the </w:t>
      </w:r>
      <w:proofErr w:type="spellStart"/>
      <w:r w:rsidR="00CA1612">
        <w:t>IARC</w:t>
      </w:r>
      <w:proofErr w:type="spellEnd"/>
      <w:r w:rsidR="00CA1612">
        <w:t xml:space="preserve"> classification</w:t>
      </w:r>
      <w:r w:rsidRPr="00826347">
        <w:t>.</w:t>
      </w:r>
    </w:p>
    <w:p w:rsidR="00ED423B" w:rsidRPr="00826347" w:rsidRDefault="00ED423B" w:rsidP="00BB6679">
      <w:r w:rsidRPr="00A4250C">
        <w:rPr>
          <w:rStyle w:val="Strong"/>
        </w:rPr>
        <w:t>Group 1</w:t>
      </w:r>
      <w:r w:rsidRPr="00826347">
        <w:tab/>
        <w:t>The agent is carcinogenic to humans.</w:t>
      </w:r>
    </w:p>
    <w:p w:rsidR="00ED423B" w:rsidRPr="00826347" w:rsidRDefault="00ED423B" w:rsidP="00BB6679">
      <w:r w:rsidRPr="00A4250C">
        <w:rPr>
          <w:rStyle w:val="Strong"/>
        </w:rPr>
        <w:t xml:space="preserve">Group </w:t>
      </w:r>
      <w:proofErr w:type="spellStart"/>
      <w:r w:rsidRPr="00A4250C">
        <w:rPr>
          <w:rStyle w:val="Strong"/>
        </w:rPr>
        <w:t>2A</w:t>
      </w:r>
      <w:proofErr w:type="spellEnd"/>
      <w:r w:rsidRPr="00826347">
        <w:tab/>
      </w:r>
      <w:proofErr w:type="gramStart"/>
      <w:r w:rsidRPr="00826347">
        <w:t>The</w:t>
      </w:r>
      <w:proofErr w:type="gramEnd"/>
      <w:r w:rsidRPr="00826347">
        <w:t xml:space="preserve"> agent is probably carcinogenic to humans.</w:t>
      </w:r>
    </w:p>
    <w:p w:rsidR="00ED423B" w:rsidRPr="00826347" w:rsidRDefault="00ED423B" w:rsidP="00BB6679">
      <w:r w:rsidRPr="00A4250C">
        <w:rPr>
          <w:rStyle w:val="Strong"/>
        </w:rPr>
        <w:t xml:space="preserve">Group </w:t>
      </w:r>
      <w:proofErr w:type="spellStart"/>
      <w:r w:rsidRPr="00A4250C">
        <w:rPr>
          <w:rStyle w:val="Strong"/>
        </w:rPr>
        <w:t>2B</w:t>
      </w:r>
      <w:proofErr w:type="spellEnd"/>
      <w:r w:rsidRPr="00826347">
        <w:tab/>
      </w:r>
      <w:proofErr w:type="gramStart"/>
      <w:r w:rsidRPr="00826347">
        <w:t>The</w:t>
      </w:r>
      <w:proofErr w:type="gramEnd"/>
      <w:r w:rsidRPr="00826347">
        <w:t xml:space="preserve"> agent is possibly carcinogenic to humans.</w:t>
      </w:r>
    </w:p>
    <w:p w:rsidR="00ED423B" w:rsidRPr="00826347" w:rsidRDefault="00ED423B" w:rsidP="00BB6679">
      <w:r w:rsidRPr="00A4250C">
        <w:rPr>
          <w:rStyle w:val="Strong"/>
        </w:rPr>
        <w:t>Group 3</w:t>
      </w:r>
      <w:r w:rsidRPr="00826347">
        <w:tab/>
        <w:t>The agent is not classifiable as to its carcinogenicity to humans.</w:t>
      </w:r>
    </w:p>
    <w:p w:rsidR="00ED423B" w:rsidRDefault="00ED423B" w:rsidP="00BB6679">
      <w:r w:rsidRPr="00A4250C">
        <w:rPr>
          <w:rStyle w:val="Strong"/>
        </w:rPr>
        <w:t>Group 4</w:t>
      </w:r>
      <w:r w:rsidRPr="00826347">
        <w:tab/>
        <w:t>The agent is probably not carcinogenic to humans.</w:t>
      </w:r>
    </w:p>
    <w:p w:rsidR="00ED423B" w:rsidRPr="00995117" w:rsidRDefault="00ED423B" w:rsidP="00BB6679"/>
    <w:p w:rsidR="00ED423B" w:rsidRDefault="00ED423B" w:rsidP="00BB6679">
      <w:pPr>
        <w:pStyle w:val="Heading2-NoTOC"/>
      </w:pPr>
      <w:r>
        <w:t xml:space="preserve">US </w:t>
      </w:r>
      <w:proofErr w:type="spellStart"/>
      <w:r>
        <w:t>NTP</w:t>
      </w:r>
      <w:proofErr w:type="spellEnd"/>
      <w:r>
        <w:t xml:space="preserve"> Classifications</w:t>
      </w:r>
    </w:p>
    <w:p w:rsidR="00ED423B" w:rsidRDefault="00ED423B" w:rsidP="00BB6679">
      <w:r w:rsidRPr="002452F0">
        <w:t xml:space="preserve">Agents, substances, mixtures, or exposures, collectively called substances, can be listed in the </w:t>
      </w:r>
      <w:r>
        <w:t xml:space="preserve">US </w:t>
      </w:r>
      <w:proofErr w:type="spellStart"/>
      <w:r>
        <w:t>NTP</w:t>
      </w:r>
      <w:proofErr w:type="spellEnd"/>
      <w:r>
        <w:t xml:space="preserve"> </w:t>
      </w:r>
      <w:r w:rsidRPr="002452F0">
        <w:t>Report on Carcinogens, either as</w:t>
      </w:r>
      <w:r>
        <w:t>:</w:t>
      </w:r>
    </w:p>
    <w:p w:rsidR="00ED423B" w:rsidRPr="004B3F0A" w:rsidRDefault="00ED423B" w:rsidP="00BB6679">
      <w:pPr>
        <w:pStyle w:val="ListParagraph"/>
        <w:numPr>
          <w:ilvl w:val="0"/>
          <w:numId w:val="40"/>
        </w:numPr>
      </w:pPr>
      <w:r w:rsidRPr="004B3F0A">
        <w:t>known to be a human carcinogen, or</w:t>
      </w:r>
    </w:p>
    <w:p w:rsidR="00ED423B" w:rsidRPr="004B3F0A" w:rsidRDefault="00ED423B" w:rsidP="00BB6679">
      <w:pPr>
        <w:pStyle w:val="ListParagraph"/>
        <w:numPr>
          <w:ilvl w:val="0"/>
          <w:numId w:val="40"/>
        </w:numPr>
      </w:pPr>
      <w:proofErr w:type="gramStart"/>
      <w:r w:rsidRPr="004B3F0A">
        <w:t>reasonably</w:t>
      </w:r>
      <w:proofErr w:type="gramEnd"/>
      <w:r w:rsidRPr="004B3F0A">
        <w:t xml:space="preserve"> anticipated to be a human carcinogen.</w:t>
      </w:r>
    </w:p>
    <w:p w:rsidR="00ED423B" w:rsidRDefault="00ED423B" w:rsidP="00BB6679">
      <w:r>
        <w:t xml:space="preserve">Further details about listing criteria are </w:t>
      </w:r>
      <w:r w:rsidR="00CA1612">
        <w:t xml:space="preserve">available on the </w:t>
      </w:r>
      <w:hyperlink r:id="rId31" w:history="1">
        <w:r w:rsidR="00CA1612" w:rsidRPr="00CA1612">
          <w:rPr>
            <w:rStyle w:val="Hyperlink"/>
          </w:rPr>
          <w:t xml:space="preserve">US </w:t>
        </w:r>
        <w:proofErr w:type="spellStart"/>
        <w:r w:rsidR="00CA1612" w:rsidRPr="00CA1612">
          <w:rPr>
            <w:rStyle w:val="Hyperlink"/>
          </w:rPr>
          <w:t>NTP</w:t>
        </w:r>
        <w:proofErr w:type="spellEnd"/>
        <w:r w:rsidR="00CA1612" w:rsidRPr="00CA1612">
          <w:rPr>
            <w:rStyle w:val="Hyperlink"/>
          </w:rPr>
          <w:t xml:space="preserve"> website</w:t>
        </w:r>
      </w:hyperlink>
      <w:r>
        <w:t>.</w:t>
      </w:r>
    </w:p>
    <w:p w:rsidR="00ED423B" w:rsidRDefault="00ED423B" w:rsidP="00BB6679"/>
    <w:p w:rsidR="00ED423B" w:rsidRDefault="00ED423B" w:rsidP="00BB6679">
      <w:pPr>
        <w:pStyle w:val="Heading2-NoTOC"/>
      </w:pPr>
      <w:r>
        <w:t>Approved Criteria Classifications</w:t>
      </w:r>
    </w:p>
    <w:p w:rsidR="00ED423B" w:rsidRDefault="00ED423B" w:rsidP="00BB6679">
      <w:r>
        <w:t xml:space="preserve">The </w:t>
      </w:r>
      <w:r w:rsidRPr="000C1ED1">
        <w:rPr>
          <w:rStyle w:val="Emphasis"/>
          <w:rFonts w:eastAsiaTheme="majorEastAsia"/>
        </w:rPr>
        <w:t>Approved Criteria for Classifying Hazardous Substances [</w:t>
      </w:r>
      <w:proofErr w:type="spellStart"/>
      <w:r w:rsidRPr="000C1ED1">
        <w:rPr>
          <w:rStyle w:val="Emphasis"/>
          <w:rFonts w:eastAsiaTheme="majorEastAsia"/>
        </w:rPr>
        <w:t>NOHSC</w:t>
      </w:r>
      <w:proofErr w:type="gramStart"/>
      <w:r w:rsidRPr="000C1ED1">
        <w:rPr>
          <w:rStyle w:val="Emphasis"/>
          <w:rFonts w:eastAsiaTheme="majorEastAsia"/>
        </w:rPr>
        <w:t>:1008</w:t>
      </w:r>
      <w:proofErr w:type="spellEnd"/>
      <w:proofErr w:type="gramEnd"/>
      <w:r w:rsidRPr="000C1ED1">
        <w:rPr>
          <w:rStyle w:val="Emphasis"/>
          <w:rFonts w:eastAsiaTheme="majorEastAsia"/>
        </w:rPr>
        <w:t>(2004)]</w:t>
      </w:r>
      <w:r>
        <w:t xml:space="preserve"> (the Approved Criteria) uses the following classification categories for carcinogens:</w:t>
      </w:r>
    </w:p>
    <w:p w:rsidR="00ED423B" w:rsidRPr="00DF4C01" w:rsidRDefault="00ED423B" w:rsidP="00BB6679">
      <w:pPr>
        <w:rPr>
          <w:rStyle w:val="Strong"/>
          <w:b w:val="0"/>
        </w:rPr>
      </w:pPr>
      <w:proofErr w:type="gramStart"/>
      <w:r w:rsidRPr="00DF4C01">
        <w:rPr>
          <w:rStyle w:val="Strong"/>
        </w:rPr>
        <w:t>Category 1</w:t>
      </w:r>
      <w:r w:rsidRPr="00DF4C01">
        <w:rPr>
          <w:rStyle w:val="Strong"/>
        </w:rPr>
        <w:tab/>
      </w:r>
      <w:r w:rsidRPr="00DF4C01">
        <w:rPr>
          <w:rStyle w:val="Strong"/>
          <w:b w:val="0"/>
        </w:rPr>
        <w:t>Substances known to be carcinogenic to man.</w:t>
      </w:r>
      <w:proofErr w:type="gramEnd"/>
    </w:p>
    <w:p w:rsidR="00ED423B" w:rsidRPr="00DF4C01" w:rsidRDefault="00ED423B" w:rsidP="00BB6679">
      <w:pPr>
        <w:rPr>
          <w:rStyle w:val="Strong"/>
          <w:b w:val="0"/>
        </w:rPr>
      </w:pPr>
      <w:proofErr w:type="gramStart"/>
      <w:r w:rsidRPr="00DF4C01">
        <w:rPr>
          <w:rStyle w:val="Strong"/>
        </w:rPr>
        <w:t>Category 2</w:t>
      </w:r>
      <w:r w:rsidRPr="00DF4C01">
        <w:rPr>
          <w:rStyle w:val="Strong"/>
        </w:rPr>
        <w:tab/>
      </w:r>
      <w:r w:rsidRPr="00DF4C01">
        <w:rPr>
          <w:rStyle w:val="Strong"/>
          <w:b w:val="0"/>
        </w:rPr>
        <w:t>Substances that should be regarded as if they are carcinogenic to man.</w:t>
      </w:r>
      <w:proofErr w:type="gramEnd"/>
    </w:p>
    <w:p w:rsidR="00ED423B" w:rsidRDefault="00ED423B" w:rsidP="00BB6679">
      <w:pPr>
        <w:ind w:left="1470" w:hanging="1470"/>
        <w:rPr>
          <w:rStyle w:val="Strong"/>
          <w:b w:val="0"/>
        </w:rPr>
      </w:pPr>
      <w:proofErr w:type="gramStart"/>
      <w:r w:rsidRPr="00DF4C01">
        <w:rPr>
          <w:rStyle w:val="Strong"/>
        </w:rPr>
        <w:t>Category 3</w:t>
      </w:r>
      <w:r w:rsidRPr="00DF4C01">
        <w:rPr>
          <w:rStyle w:val="Strong"/>
        </w:rPr>
        <w:tab/>
      </w:r>
      <w:r w:rsidRPr="00DF4C01">
        <w:rPr>
          <w:rStyle w:val="Strong"/>
          <w:b w:val="0"/>
        </w:rPr>
        <w:t>Substances that cause concern for man owing to possible carcinogenic effects.</w:t>
      </w:r>
      <w:proofErr w:type="gramEnd"/>
    </w:p>
    <w:p w:rsidR="00ED423B" w:rsidRPr="000F1D71" w:rsidRDefault="00ED423B" w:rsidP="00BB6679"/>
    <w:p w:rsidR="00ED423B" w:rsidRPr="00521182" w:rsidRDefault="00ED423B" w:rsidP="00BB6679">
      <w:pPr>
        <w:pStyle w:val="Heading1"/>
      </w:pPr>
      <w:bookmarkStart w:id="105" w:name="_Toc401068320"/>
      <w:r w:rsidRPr="00521182">
        <w:lastRenderedPageBreak/>
        <w:t xml:space="preserve">APPENDIX 2: Classification of </w:t>
      </w:r>
      <w:r>
        <w:t xml:space="preserve">some exposure circumstances and some </w:t>
      </w:r>
      <w:r w:rsidRPr="00521182">
        <w:t xml:space="preserve">specific </w:t>
      </w:r>
      <w:proofErr w:type="spellStart"/>
      <w:r w:rsidRPr="00521182">
        <w:t>PAHs</w:t>
      </w:r>
      <w:bookmarkEnd w:id="105"/>
      <w:proofErr w:type="spellEnd"/>
    </w:p>
    <w:p w:rsidR="00ED423B" w:rsidRDefault="00ED423B" w:rsidP="00BB6679">
      <w:proofErr w:type="spellStart"/>
      <w:r>
        <w:t>IARC</w:t>
      </w:r>
      <w:proofErr w:type="spellEnd"/>
      <w:r>
        <w:t xml:space="preserve"> classifies some </w:t>
      </w:r>
      <w:proofErr w:type="spellStart"/>
      <w:r>
        <w:t>PAH</w:t>
      </w:r>
      <w:proofErr w:type="spellEnd"/>
      <w:r>
        <w:t xml:space="preserve"> exposure circumstances as follows:</w:t>
      </w:r>
    </w:p>
    <w:p w:rsidR="00ED423B" w:rsidRDefault="00ED423B" w:rsidP="00BB6679">
      <w:pPr>
        <w:tabs>
          <w:tab w:val="left" w:pos="1701"/>
        </w:tabs>
      </w:pPr>
      <w:r w:rsidRPr="00754195">
        <w:rPr>
          <w:rStyle w:val="Strong"/>
          <w:rFonts w:eastAsiaTheme="majorEastAsia"/>
        </w:rPr>
        <w:t>Group 1</w:t>
      </w:r>
      <w:r>
        <w:tab/>
      </w:r>
      <w:proofErr w:type="gramStart"/>
      <w:r>
        <w:t>Exposures</w:t>
      </w:r>
      <w:proofErr w:type="gramEnd"/>
      <w:r>
        <w:t xml:space="preserve"> during:</w:t>
      </w:r>
    </w:p>
    <w:p w:rsidR="00ED423B" w:rsidRDefault="00ED423B" w:rsidP="00BB6679">
      <w:pPr>
        <w:pStyle w:val="ListParagraph"/>
        <w:numPr>
          <w:ilvl w:val="3"/>
          <w:numId w:val="42"/>
        </w:numPr>
        <w:tabs>
          <w:tab w:val="left" w:pos="1701"/>
        </w:tabs>
      </w:pPr>
      <w:r>
        <w:t>coal gasification</w:t>
      </w:r>
    </w:p>
    <w:p w:rsidR="00ED423B" w:rsidRDefault="00ED423B" w:rsidP="00BB6679">
      <w:pPr>
        <w:pStyle w:val="ListParagraph"/>
        <w:numPr>
          <w:ilvl w:val="3"/>
          <w:numId w:val="42"/>
        </w:numPr>
        <w:tabs>
          <w:tab w:val="left" w:pos="1701"/>
        </w:tabs>
      </w:pPr>
      <w:r>
        <w:t>coke production</w:t>
      </w:r>
    </w:p>
    <w:p w:rsidR="00ED423B" w:rsidRDefault="00ED423B" w:rsidP="00BB6679">
      <w:pPr>
        <w:pStyle w:val="ListParagraph"/>
        <w:numPr>
          <w:ilvl w:val="3"/>
          <w:numId w:val="42"/>
        </w:numPr>
        <w:tabs>
          <w:tab w:val="left" w:pos="1701"/>
        </w:tabs>
      </w:pPr>
      <w:r>
        <w:t>coal-tar distillation</w:t>
      </w:r>
    </w:p>
    <w:p w:rsidR="00ED423B" w:rsidRDefault="00ED423B" w:rsidP="00BB6679">
      <w:pPr>
        <w:pStyle w:val="ListParagraph"/>
        <w:numPr>
          <w:ilvl w:val="3"/>
          <w:numId w:val="42"/>
        </w:numPr>
        <w:tabs>
          <w:tab w:val="left" w:pos="1701"/>
        </w:tabs>
      </w:pPr>
      <w:r>
        <w:t>paving and roofing with coal-tar pitch</w:t>
      </w:r>
    </w:p>
    <w:p w:rsidR="00ED423B" w:rsidRDefault="00ED423B" w:rsidP="00BB6679">
      <w:pPr>
        <w:pStyle w:val="ListParagraph"/>
        <w:numPr>
          <w:ilvl w:val="3"/>
          <w:numId w:val="42"/>
        </w:numPr>
        <w:tabs>
          <w:tab w:val="left" w:pos="1701"/>
        </w:tabs>
      </w:pPr>
      <w:r>
        <w:t>aluminium production</w:t>
      </w:r>
    </w:p>
    <w:p w:rsidR="00ED423B" w:rsidRDefault="00ED423B" w:rsidP="00BB6679">
      <w:pPr>
        <w:tabs>
          <w:tab w:val="left" w:pos="1701"/>
        </w:tabs>
      </w:pPr>
      <w:r>
        <w:tab/>
        <w:t>Exposure as a chimney sweep</w:t>
      </w:r>
    </w:p>
    <w:p w:rsidR="00ED423B" w:rsidRDefault="00ED423B" w:rsidP="00BB6679">
      <w:pPr>
        <w:tabs>
          <w:tab w:val="left" w:pos="1701"/>
        </w:tabs>
      </w:pPr>
      <w:r w:rsidRPr="00754195">
        <w:rPr>
          <w:rStyle w:val="Strong"/>
          <w:rFonts w:eastAsiaTheme="majorEastAsia"/>
        </w:rPr>
        <w:t xml:space="preserve">Group </w:t>
      </w:r>
      <w:proofErr w:type="spellStart"/>
      <w:r w:rsidRPr="00754195">
        <w:rPr>
          <w:rStyle w:val="Strong"/>
          <w:rFonts w:eastAsiaTheme="majorEastAsia"/>
        </w:rPr>
        <w:t>2A</w:t>
      </w:r>
      <w:proofErr w:type="spellEnd"/>
      <w:r>
        <w:tab/>
        <w:t>Exposures during carbon electrode manufacture</w:t>
      </w:r>
    </w:p>
    <w:p w:rsidR="00ED423B" w:rsidRDefault="00ED423B" w:rsidP="00BB6679">
      <w:pPr>
        <w:tabs>
          <w:tab w:val="left" w:pos="1701"/>
        </w:tabs>
      </w:pPr>
      <w:r w:rsidRPr="00754195">
        <w:rPr>
          <w:rStyle w:val="Strong"/>
          <w:rFonts w:eastAsiaTheme="majorEastAsia"/>
        </w:rPr>
        <w:t>Group 3</w:t>
      </w:r>
      <w:r>
        <w:tab/>
        <w:t>Exposures during calcium carbide production</w:t>
      </w:r>
    </w:p>
    <w:p w:rsidR="00ED423B" w:rsidRDefault="00ED423B" w:rsidP="00BB6679"/>
    <w:p w:rsidR="00ED423B" w:rsidRDefault="00ED423B" w:rsidP="00BB6679">
      <w:r>
        <w:t xml:space="preserve">Individual </w:t>
      </w:r>
      <w:proofErr w:type="spellStart"/>
      <w:r>
        <w:t>PAHs</w:t>
      </w:r>
      <w:proofErr w:type="spellEnd"/>
      <w:r>
        <w:t xml:space="preserve"> have been classified by </w:t>
      </w:r>
      <w:proofErr w:type="spellStart"/>
      <w:r>
        <w:t>IARC</w:t>
      </w:r>
      <w:proofErr w:type="spellEnd"/>
      <w:r>
        <w:t xml:space="preserve">, the </w:t>
      </w:r>
      <w:proofErr w:type="spellStart"/>
      <w:r>
        <w:t>NTP</w:t>
      </w:r>
      <w:proofErr w:type="spellEnd"/>
      <w:r>
        <w:t xml:space="preserve"> and are listed in </w:t>
      </w:r>
      <w:proofErr w:type="spellStart"/>
      <w:r>
        <w:t>HSIS</w:t>
      </w:r>
      <w:proofErr w:type="spellEnd"/>
      <w:r>
        <w:t xml:space="preserve"> as shown in Table 3.</w:t>
      </w:r>
    </w:p>
    <w:p w:rsidR="00ED423B" w:rsidRPr="00B00F18" w:rsidRDefault="00ED423B" w:rsidP="00BB6679">
      <w:pPr>
        <w:pStyle w:val="TableCaption"/>
      </w:pPr>
      <w:bookmarkStart w:id="106" w:name="_Toc386526223"/>
      <w:bookmarkStart w:id="107" w:name="_Toc401068427"/>
      <w:r w:rsidRPr="00B00F18">
        <w:t xml:space="preserve">Table </w:t>
      </w:r>
      <w:fldSimple w:instr=" SEQ Table_3. \* ARABIC ">
        <w:r>
          <w:rPr>
            <w:noProof/>
          </w:rPr>
          <w:t>3</w:t>
        </w:r>
      </w:fldSimple>
      <w:r>
        <w:t xml:space="preserve">: Classification and </w:t>
      </w:r>
      <w:proofErr w:type="spellStart"/>
      <w:r>
        <w:t>HSIS</w:t>
      </w:r>
      <w:proofErr w:type="spellEnd"/>
      <w:r>
        <w:t xml:space="preserve"> listings for some individual </w:t>
      </w:r>
      <w:proofErr w:type="spellStart"/>
      <w:r>
        <w:t>PAHs</w:t>
      </w:r>
      <w:bookmarkEnd w:id="106"/>
      <w:bookmarkEnd w:id="107"/>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Table 3: Classification and HSIS listings for some individual PAHs"/>
        <w:tblDescription w:val="This table lists 64 individual or groups of PAHS classified by the IARC, the NTP or are listed in HSIS. All but four have been classified by IARC as group 1–3 carcinogens. Those which haven't been classified by the IARC are classified by the NTP as reasonably anticipated to be human carcinogens."/>
      </w:tblPr>
      <w:tblGrid>
        <w:gridCol w:w="1639"/>
        <w:gridCol w:w="3838"/>
        <w:gridCol w:w="1508"/>
        <w:gridCol w:w="1139"/>
        <w:gridCol w:w="1163"/>
      </w:tblGrid>
      <w:tr w:rsidR="00ED423B" w:rsidRPr="00D26863" w:rsidTr="00BB6679">
        <w:trPr>
          <w:cantSplit/>
          <w:trHeight w:val="20"/>
          <w:tblHeader/>
        </w:trPr>
        <w:tc>
          <w:tcPr>
            <w:tcW w:w="1639" w:type="dxa"/>
            <w:vMerge w:val="restart"/>
            <w:tcBorders>
              <w:top w:val="single" w:sz="4" w:space="0" w:color="auto"/>
            </w:tcBorders>
            <w:vAlign w:val="bottom"/>
          </w:tcPr>
          <w:p w:rsidR="00ED423B" w:rsidRPr="006D6A7A" w:rsidRDefault="00ED423B" w:rsidP="00BB6679">
            <w:pPr>
              <w:pStyle w:val="TableFigHeadingText"/>
            </w:pPr>
            <w:r>
              <w:t>Chemical Abstract Service No.</w:t>
            </w:r>
          </w:p>
        </w:tc>
        <w:tc>
          <w:tcPr>
            <w:tcW w:w="3838" w:type="dxa"/>
            <w:vMerge w:val="restart"/>
            <w:tcBorders>
              <w:top w:val="single" w:sz="4" w:space="0" w:color="auto"/>
            </w:tcBorders>
            <w:vAlign w:val="bottom"/>
          </w:tcPr>
          <w:p w:rsidR="00ED423B" w:rsidRPr="00D26863" w:rsidRDefault="00ED423B" w:rsidP="00BB6679">
            <w:pPr>
              <w:pStyle w:val="TableFigHeadingText"/>
            </w:pPr>
            <w:r>
              <w:t>Name</w:t>
            </w:r>
          </w:p>
        </w:tc>
        <w:tc>
          <w:tcPr>
            <w:tcW w:w="3810" w:type="dxa"/>
            <w:gridSpan w:val="3"/>
            <w:tcBorders>
              <w:top w:val="single" w:sz="4" w:space="0" w:color="auto"/>
            </w:tcBorders>
            <w:vAlign w:val="bottom"/>
          </w:tcPr>
          <w:p w:rsidR="00ED423B" w:rsidRPr="00D26863" w:rsidRDefault="00ED423B" w:rsidP="00BB6679">
            <w:pPr>
              <w:pStyle w:val="TableFigHeadingText"/>
            </w:pPr>
            <w:r>
              <w:t>Carcinogen Classification</w:t>
            </w:r>
          </w:p>
        </w:tc>
      </w:tr>
      <w:tr w:rsidR="00ED423B" w:rsidRPr="00D26863" w:rsidTr="00BB6679">
        <w:trPr>
          <w:cantSplit/>
          <w:trHeight w:val="20"/>
          <w:tblHeader/>
        </w:trPr>
        <w:tc>
          <w:tcPr>
            <w:tcW w:w="1639" w:type="dxa"/>
            <w:vMerge/>
            <w:tcBorders>
              <w:bottom w:val="single" w:sz="4" w:space="0" w:color="auto"/>
            </w:tcBorders>
            <w:vAlign w:val="bottom"/>
          </w:tcPr>
          <w:p w:rsidR="00ED423B" w:rsidRDefault="00ED423B" w:rsidP="00BB6679">
            <w:pPr>
              <w:pStyle w:val="TableFigHeadingText"/>
            </w:pPr>
          </w:p>
        </w:tc>
        <w:tc>
          <w:tcPr>
            <w:tcW w:w="3838" w:type="dxa"/>
            <w:vMerge/>
            <w:tcBorders>
              <w:bottom w:val="single" w:sz="4" w:space="0" w:color="auto"/>
            </w:tcBorders>
            <w:vAlign w:val="bottom"/>
          </w:tcPr>
          <w:p w:rsidR="00ED423B" w:rsidRDefault="00ED423B" w:rsidP="00BB6679">
            <w:pPr>
              <w:pStyle w:val="TableFigHeadingText"/>
            </w:pPr>
          </w:p>
        </w:tc>
        <w:tc>
          <w:tcPr>
            <w:tcW w:w="1508" w:type="dxa"/>
            <w:tcBorders>
              <w:bottom w:val="single" w:sz="4" w:space="0" w:color="auto"/>
            </w:tcBorders>
            <w:vAlign w:val="bottom"/>
          </w:tcPr>
          <w:p w:rsidR="00ED423B" w:rsidRPr="00D26863" w:rsidRDefault="00ED423B" w:rsidP="00BB6679">
            <w:pPr>
              <w:pStyle w:val="TableFigHeadingText"/>
              <w:jc w:val="center"/>
            </w:pPr>
            <w:proofErr w:type="spellStart"/>
            <w:r w:rsidRPr="00D26863">
              <w:t>IARC</w:t>
            </w:r>
            <w:proofErr w:type="spellEnd"/>
          </w:p>
        </w:tc>
        <w:tc>
          <w:tcPr>
            <w:tcW w:w="1139" w:type="dxa"/>
            <w:tcBorders>
              <w:bottom w:val="single" w:sz="4" w:space="0" w:color="auto"/>
            </w:tcBorders>
            <w:vAlign w:val="bottom"/>
          </w:tcPr>
          <w:p w:rsidR="00ED423B" w:rsidRPr="00D26863" w:rsidRDefault="00ED423B" w:rsidP="00BB6679">
            <w:pPr>
              <w:pStyle w:val="TableFigHeadingText"/>
              <w:jc w:val="center"/>
            </w:pPr>
            <w:proofErr w:type="spellStart"/>
            <w:r w:rsidRPr="00D26863">
              <w:t>NTP</w:t>
            </w:r>
            <w:proofErr w:type="spellEnd"/>
          </w:p>
        </w:tc>
        <w:tc>
          <w:tcPr>
            <w:tcW w:w="1163" w:type="dxa"/>
            <w:tcBorders>
              <w:bottom w:val="single" w:sz="4" w:space="0" w:color="auto"/>
            </w:tcBorders>
            <w:vAlign w:val="bottom"/>
          </w:tcPr>
          <w:p w:rsidR="00ED423B" w:rsidRPr="00D26863" w:rsidRDefault="00ED423B" w:rsidP="00BB6679">
            <w:pPr>
              <w:pStyle w:val="TableFigHeadingText"/>
              <w:jc w:val="center"/>
            </w:pPr>
            <w:proofErr w:type="spellStart"/>
            <w:r w:rsidRPr="00D26863">
              <w:t>HSIS</w:t>
            </w:r>
            <w:proofErr w:type="spellEnd"/>
          </w:p>
        </w:tc>
      </w:tr>
      <w:tr w:rsidR="00ED423B" w:rsidRPr="00D26863" w:rsidTr="00BB6679">
        <w:trPr>
          <w:cantSplit/>
          <w:tblHeader/>
        </w:trPr>
        <w:tc>
          <w:tcPr>
            <w:tcW w:w="1639" w:type="dxa"/>
            <w:tcBorders>
              <w:top w:val="single" w:sz="4" w:space="0" w:color="auto"/>
            </w:tcBorders>
          </w:tcPr>
          <w:p w:rsidR="00ED423B" w:rsidRPr="006D6A7A" w:rsidRDefault="00ED423B" w:rsidP="00BB6679">
            <w:pPr>
              <w:pStyle w:val="TableFigText"/>
            </w:pPr>
            <w:proofErr w:type="spellStart"/>
            <w:r>
              <w:t>n.s</w:t>
            </w:r>
            <w:proofErr w:type="spellEnd"/>
            <w:r>
              <w:t>.</w:t>
            </w:r>
          </w:p>
        </w:tc>
        <w:tc>
          <w:tcPr>
            <w:tcW w:w="3838" w:type="dxa"/>
            <w:tcBorders>
              <w:top w:val="single" w:sz="4" w:space="0" w:color="auto"/>
            </w:tcBorders>
          </w:tcPr>
          <w:p w:rsidR="00ED423B" w:rsidRPr="00D26863" w:rsidRDefault="00ED423B" w:rsidP="00BB6679">
            <w:pPr>
              <w:pStyle w:val="TableFigText"/>
            </w:pPr>
            <w:r w:rsidRPr="00D26863">
              <w:t>Creosotes</w:t>
            </w:r>
          </w:p>
        </w:tc>
        <w:tc>
          <w:tcPr>
            <w:tcW w:w="1508" w:type="dxa"/>
            <w:tcBorders>
              <w:top w:val="single" w:sz="4" w:space="0" w:color="auto"/>
            </w:tcBorders>
          </w:tcPr>
          <w:p w:rsidR="00ED423B" w:rsidRPr="00D26863" w:rsidRDefault="00ED423B" w:rsidP="00BB6679">
            <w:pPr>
              <w:pStyle w:val="TableFigText"/>
              <w:jc w:val="center"/>
            </w:pPr>
            <w:proofErr w:type="spellStart"/>
            <w:r w:rsidRPr="00D26863">
              <w:t>2A</w:t>
            </w:r>
            <w:proofErr w:type="spellEnd"/>
          </w:p>
        </w:tc>
        <w:tc>
          <w:tcPr>
            <w:tcW w:w="1139" w:type="dxa"/>
            <w:tcBorders>
              <w:top w:val="single" w:sz="4" w:space="0" w:color="auto"/>
            </w:tcBorders>
          </w:tcPr>
          <w:p w:rsidR="00ED423B" w:rsidRPr="00D26863" w:rsidRDefault="00ED423B" w:rsidP="00BB6679">
            <w:pPr>
              <w:pStyle w:val="TableFigText"/>
              <w:jc w:val="center"/>
            </w:pPr>
          </w:p>
        </w:tc>
        <w:tc>
          <w:tcPr>
            <w:tcW w:w="1163" w:type="dxa"/>
            <w:tcBorders>
              <w:top w:val="single" w:sz="4" w:space="0" w:color="auto"/>
            </w:tcBorders>
          </w:tcPr>
          <w:p w:rsidR="00ED423B" w:rsidRPr="00D26863" w:rsidRDefault="00ED423B" w:rsidP="00BB6679">
            <w:pPr>
              <w:pStyle w:val="TableFigText"/>
              <w:jc w:val="center"/>
            </w:pPr>
          </w:p>
        </w:tc>
      </w:tr>
      <w:tr w:rsidR="00ED423B" w:rsidRPr="00D26863" w:rsidTr="00BB6679">
        <w:trPr>
          <w:cantSplit/>
          <w:tblHeader/>
        </w:trPr>
        <w:tc>
          <w:tcPr>
            <w:tcW w:w="1639" w:type="dxa"/>
          </w:tcPr>
          <w:p w:rsidR="00ED423B" w:rsidRPr="006D6A7A" w:rsidRDefault="00ED423B" w:rsidP="00BB6679">
            <w:pPr>
              <w:pStyle w:val="TableFigText"/>
            </w:pPr>
            <w:r w:rsidRPr="006D6A7A">
              <w:t>50-32-8</w:t>
            </w:r>
          </w:p>
        </w:tc>
        <w:tc>
          <w:tcPr>
            <w:tcW w:w="3838" w:type="dxa"/>
          </w:tcPr>
          <w:p w:rsidR="00ED423B" w:rsidRPr="00D26863" w:rsidRDefault="00ED423B" w:rsidP="00BB6679">
            <w:pPr>
              <w:pStyle w:val="TableFigText"/>
            </w:pPr>
            <w:proofErr w:type="spellStart"/>
            <w:r w:rsidRPr="00D26863">
              <w:t>Benzo</w:t>
            </w:r>
            <w:proofErr w:type="spellEnd"/>
            <w:r w:rsidRPr="00D26863">
              <w:t>[a]</w:t>
            </w:r>
            <w:proofErr w:type="spellStart"/>
            <w:r w:rsidRPr="00D26863">
              <w:t>pyrene</w:t>
            </w:r>
            <w:proofErr w:type="spellEnd"/>
          </w:p>
        </w:tc>
        <w:tc>
          <w:tcPr>
            <w:tcW w:w="1508" w:type="dxa"/>
          </w:tcPr>
          <w:p w:rsidR="00ED423B" w:rsidRPr="00D26863" w:rsidRDefault="00ED423B" w:rsidP="00BB6679">
            <w:pPr>
              <w:pStyle w:val="TableFigText"/>
              <w:jc w:val="center"/>
            </w:pPr>
            <w:r w:rsidRPr="00D26863">
              <w:t>1</w:t>
            </w:r>
          </w:p>
        </w:tc>
        <w:tc>
          <w:tcPr>
            <w:tcW w:w="1139" w:type="dxa"/>
          </w:tcPr>
          <w:p w:rsidR="00ED423B" w:rsidRPr="00D26863" w:rsidRDefault="00ED423B" w:rsidP="00BB6679">
            <w:pPr>
              <w:pStyle w:val="TableFigText"/>
              <w:jc w:val="center"/>
            </w:pPr>
            <w:r w:rsidRPr="00D26863">
              <w:t>RA</w:t>
            </w:r>
          </w:p>
        </w:tc>
        <w:tc>
          <w:tcPr>
            <w:tcW w:w="1163" w:type="dxa"/>
          </w:tcPr>
          <w:p w:rsidR="00ED423B" w:rsidRPr="00D26863" w:rsidRDefault="00ED423B" w:rsidP="00BB6679">
            <w:pPr>
              <w:pStyle w:val="TableFigText"/>
              <w:jc w:val="center"/>
            </w:pPr>
            <w:r>
              <w:t>2</w:t>
            </w:r>
          </w:p>
        </w:tc>
      </w:tr>
      <w:tr w:rsidR="00ED423B" w:rsidRPr="00D26863" w:rsidTr="00BB6679">
        <w:trPr>
          <w:cantSplit/>
          <w:trHeight w:val="286"/>
          <w:tblHeader/>
        </w:trPr>
        <w:tc>
          <w:tcPr>
            <w:tcW w:w="1639" w:type="dxa"/>
          </w:tcPr>
          <w:p w:rsidR="00ED423B" w:rsidRPr="006D6A7A" w:rsidRDefault="00ED423B" w:rsidP="00BB6679">
            <w:pPr>
              <w:pStyle w:val="TableFigText"/>
            </w:pPr>
            <w:r w:rsidRPr="006D6A7A">
              <w:t>27208-37-3</w:t>
            </w:r>
          </w:p>
        </w:tc>
        <w:tc>
          <w:tcPr>
            <w:tcW w:w="3838" w:type="dxa"/>
          </w:tcPr>
          <w:p w:rsidR="00ED423B" w:rsidRPr="00D26863" w:rsidRDefault="00ED423B" w:rsidP="00BB6679">
            <w:pPr>
              <w:pStyle w:val="TableFigText"/>
            </w:pPr>
            <w:proofErr w:type="spellStart"/>
            <w:r w:rsidRPr="00D26863">
              <w:t>Cyclopenta</w:t>
            </w:r>
            <w:proofErr w:type="spellEnd"/>
            <w:r w:rsidRPr="00D26863">
              <w:t>[cd]</w:t>
            </w:r>
            <w:proofErr w:type="spellStart"/>
            <w:r w:rsidRPr="00D26863">
              <w:t>pyrene</w:t>
            </w:r>
            <w:proofErr w:type="spellEnd"/>
          </w:p>
        </w:tc>
        <w:tc>
          <w:tcPr>
            <w:tcW w:w="1508" w:type="dxa"/>
          </w:tcPr>
          <w:p w:rsidR="00ED423B" w:rsidRPr="00D26863" w:rsidRDefault="00ED423B" w:rsidP="00BB6679">
            <w:pPr>
              <w:pStyle w:val="TableFigText"/>
              <w:jc w:val="center"/>
            </w:pPr>
            <w:proofErr w:type="spellStart"/>
            <w:r w:rsidRPr="00D26863">
              <w:t>2A</w:t>
            </w:r>
            <w:proofErr w:type="spellEnd"/>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85"/>
          <w:tblHeader/>
        </w:trPr>
        <w:tc>
          <w:tcPr>
            <w:tcW w:w="1639" w:type="dxa"/>
          </w:tcPr>
          <w:p w:rsidR="00ED423B" w:rsidRPr="006D6A7A" w:rsidRDefault="00ED423B" w:rsidP="00BB6679">
            <w:pPr>
              <w:pStyle w:val="TableFigText"/>
            </w:pPr>
            <w:r w:rsidRPr="006D6A7A">
              <w:t>50-70-3</w:t>
            </w:r>
          </w:p>
        </w:tc>
        <w:tc>
          <w:tcPr>
            <w:tcW w:w="3838" w:type="dxa"/>
          </w:tcPr>
          <w:p w:rsidR="00ED423B" w:rsidRPr="00D26863" w:rsidRDefault="00ED423B" w:rsidP="00BB6679">
            <w:pPr>
              <w:pStyle w:val="TableFigText"/>
            </w:pPr>
            <w:proofErr w:type="spellStart"/>
            <w:r w:rsidRPr="00D26863">
              <w:t>dibenz</w:t>
            </w:r>
            <w:proofErr w:type="spellEnd"/>
            <w:r w:rsidRPr="00D26863">
              <w:t>[</w:t>
            </w:r>
            <w:proofErr w:type="spellStart"/>
            <w:r w:rsidRPr="00D26863">
              <w:t>a,h</w:t>
            </w:r>
            <w:proofErr w:type="spellEnd"/>
            <w:r w:rsidRPr="00D26863">
              <w:t>]</w:t>
            </w:r>
            <w:proofErr w:type="spellStart"/>
            <w:r w:rsidRPr="00D26863">
              <w:t>anthracene</w:t>
            </w:r>
            <w:proofErr w:type="spellEnd"/>
          </w:p>
        </w:tc>
        <w:tc>
          <w:tcPr>
            <w:tcW w:w="1508" w:type="dxa"/>
          </w:tcPr>
          <w:p w:rsidR="00ED423B" w:rsidRPr="00D26863" w:rsidRDefault="00ED423B" w:rsidP="00BB6679">
            <w:pPr>
              <w:pStyle w:val="TableFigText"/>
              <w:jc w:val="center"/>
            </w:pPr>
            <w:proofErr w:type="spellStart"/>
            <w:r w:rsidRPr="00D26863">
              <w:t>2A</w:t>
            </w:r>
            <w:proofErr w:type="spellEnd"/>
          </w:p>
        </w:tc>
        <w:tc>
          <w:tcPr>
            <w:tcW w:w="1139" w:type="dxa"/>
          </w:tcPr>
          <w:p w:rsidR="00ED423B" w:rsidRPr="00D26863" w:rsidRDefault="00ED423B" w:rsidP="00BB6679">
            <w:pPr>
              <w:pStyle w:val="TableFigText"/>
              <w:jc w:val="center"/>
            </w:pPr>
            <w:r>
              <w:t>RA</w:t>
            </w:r>
          </w:p>
        </w:tc>
        <w:tc>
          <w:tcPr>
            <w:tcW w:w="1163" w:type="dxa"/>
          </w:tcPr>
          <w:p w:rsidR="00ED423B" w:rsidRPr="00D26863" w:rsidRDefault="00ED423B" w:rsidP="00BB6679">
            <w:pPr>
              <w:pStyle w:val="TableFigText"/>
              <w:jc w:val="center"/>
            </w:pPr>
            <w:r>
              <w:t>2</w:t>
            </w:r>
          </w:p>
        </w:tc>
      </w:tr>
      <w:tr w:rsidR="00ED423B" w:rsidRPr="00D26863" w:rsidTr="00BB6679">
        <w:trPr>
          <w:cantSplit/>
          <w:trHeight w:val="245"/>
          <w:tblHeader/>
        </w:trPr>
        <w:tc>
          <w:tcPr>
            <w:tcW w:w="1639" w:type="dxa"/>
          </w:tcPr>
          <w:p w:rsidR="00ED423B" w:rsidRPr="006D6A7A" w:rsidRDefault="00ED423B" w:rsidP="00BB6679">
            <w:pPr>
              <w:pStyle w:val="TableFigText"/>
            </w:pPr>
            <w:r w:rsidRPr="006D6A7A">
              <w:t>191-30-0</w:t>
            </w:r>
          </w:p>
        </w:tc>
        <w:tc>
          <w:tcPr>
            <w:tcW w:w="3838" w:type="dxa"/>
          </w:tcPr>
          <w:p w:rsidR="00ED423B" w:rsidRPr="00D26863" w:rsidRDefault="00ED423B" w:rsidP="00BB6679">
            <w:pPr>
              <w:pStyle w:val="TableFigText"/>
            </w:pPr>
            <w:proofErr w:type="spellStart"/>
            <w:r w:rsidRPr="00D26863">
              <w:t>dibenzo</w:t>
            </w:r>
            <w:proofErr w:type="spellEnd"/>
            <w:r w:rsidRPr="00D26863">
              <w:t>[</w:t>
            </w:r>
            <w:proofErr w:type="spellStart"/>
            <w:r w:rsidRPr="00D26863">
              <w:t>a,l</w:t>
            </w:r>
            <w:proofErr w:type="spellEnd"/>
            <w:r w:rsidRPr="00D26863">
              <w:t>]</w:t>
            </w:r>
            <w:proofErr w:type="spellStart"/>
            <w:r w:rsidRPr="00D26863">
              <w:t>pyrene</w:t>
            </w:r>
            <w:proofErr w:type="spellEnd"/>
          </w:p>
        </w:tc>
        <w:tc>
          <w:tcPr>
            <w:tcW w:w="1508" w:type="dxa"/>
          </w:tcPr>
          <w:p w:rsidR="00ED423B" w:rsidRPr="00D26863" w:rsidRDefault="00ED423B" w:rsidP="00BB6679">
            <w:pPr>
              <w:pStyle w:val="TableFigText"/>
              <w:jc w:val="center"/>
            </w:pPr>
            <w:proofErr w:type="spellStart"/>
            <w:r w:rsidRPr="00D26863">
              <w:t>2A</w:t>
            </w:r>
            <w:proofErr w:type="spellEnd"/>
          </w:p>
        </w:tc>
        <w:tc>
          <w:tcPr>
            <w:tcW w:w="1139" w:type="dxa"/>
          </w:tcPr>
          <w:p w:rsidR="00ED423B" w:rsidRPr="00D26863" w:rsidRDefault="00ED423B" w:rsidP="00BB6679">
            <w:pPr>
              <w:pStyle w:val="TableFigText"/>
              <w:jc w:val="center"/>
            </w:pPr>
            <w:r>
              <w:t>RA</w:t>
            </w:r>
          </w:p>
        </w:tc>
        <w:tc>
          <w:tcPr>
            <w:tcW w:w="1163" w:type="dxa"/>
          </w:tcPr>
          <w:p w:rsidR="00ED423B" w:rsidRPr="00D26863" w:rsidRDefault="00ED423B" w:rsidP="00BB6679">
            <w:pPr>
              <w:pStyle w:val="TableFigText"/>
              <w:jc w:val="center"/>
            </w:pPr>
          </w:p>
        </w:tc>
      </w:tr>
      <w:tr w:rsidR="00ED423B" w:rsidRPr="00D26863" w:rsidTr="00BB6679">
        <w:trPr>
          <w:cantSplit/>
          <w:trHeight w:val="326"/>
          <w:tblHeader/>
        </w:trPr>
        <w:tc>
          <w:tcPr>
            <w:tcW w:w="1639" w:type="dxa"/>
          </w:tcPr>
          <w:p w:rsidR="00ED423B" w:rsidRPr="006D6A7A" w:rsidRDefault="00ED423B" w:rsidP="00BB6679">
            <w:pPr>
              <w:pStyle w:val="TableFigText"/>
            </w:pPr>
            <w:r w:rsidRPr="006D6A7A">
              <w:t>202-33-5</w:t>
            </w:r>
          </w:p>
        </w:tc>
        <w:tc>
          <w:tcPr>
            <w:tcW w:w="3838" w:type="dxa"/>
          </w:tcPr>
          <w:p w:rsidR="00ED423B" w:rsidRPr="00D26863" w:rsidRDefault="00ED423B" w:rsidP="00BB6679">
            <w:pPr>
              <w:pStyle w:val="TableFigText"/>
            </w:pPr>
            <w:r w:rsidRPr="00D26863">
              <w:t>Benz[j]</w:t>
            </w:r>
            <w:proofErr w:type="spellStart"/>
            <w:r w:rsidRPr="00D26863">
              <w:t>aceanthrylene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98"/>
          <w:tblHeader/>
        </w:trPr>
        <w:tc>
          <w:tcPr>
            <w:tcW w:w="1639" w:type="dxa"/>
          </w:tcPr>
          <w:p w:rsidR="00ED423B" w:rsidRPr="006D6A7A" w:rsidRDefault="00ED423B" w:rsidP="00BB6679">
            <w:pPr>
              <w:pStyle w:val="TableFigText"/>
            </w:pPr>
            <w:r w:rsidRPr="006D6A7A">
              <w:t>56-55-3</w:t>
            </w:r>
          </w:p>
        </w:tc>
        <w:tc>
          <w:tcPr>
            <w:tcW w:w="3838" w:type="dxa"/>
          </w:tcPr>
          <w:p w:rsidR="00ED423B" w:rsidRPr="00D26863" w:rsidRDefault="00ED423B" w:rsidP="00BB6679">
            <w:pPr>
              <w:pStyle w:val="TableFigText"/>
            </w:pPr>
            <w:proofErr w:type="spellStart"/>
            <w:r w:rsidRPr="00D26863">
              <w:t>benz</w:t>
            </w:r>
            <w:proofErr w:type="spellEnd"/>
            <w:r w:rsidRPr="00D26863">
              <w:t>[a]</w:t>
            </w:r>
            <w:proofErr w:type="spellStart"/>
            <w:r w:rsidRPr="00D26863">
              <w:t>anthracene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r w:rsidRPr="00D26863">
              <w:t>RA</w:t>
            </w:r>
          </w:p>
        </w:tc>
        <w:tc>
          <w:tcPr>
            <w:tcW w:w="1163" w:type="dxa"/>
          </w:tcPr>
          <w:p w:rsidR="00ED423B" w:rsidRPr="00D26863" w:rsidRDefault="00ED423B" w:rsidP="00BB6679">
            <w:pPr>
              <w:pStyle w:val="TableFigText"/>
              <w:jc w:val="center"/>
            </w:pPr>
            <w:r>
              <w:t>2</w:t>
            </w:r>
          </w:p>
        </w:tc>
      </w:tr>
      <w:tr w:rsidR="00ED423B" w:rsidRPr="00D26863" w:rsidTr="00BB6679">
        <w:trPr>
          <w:cantSplit/>
          <w:trHeight w:val="231"/>
          <w:tblHeader/>
        </w:trPr>
        <w:tc>
          <w:tcPr>
            <w:tcW w:w="1639" w:type="dxa"/>
          </w:tcPr>
          <w:p w:rsidR="00ED423B" w:rsidRPr="006D6A7A" w:rsidRDefault="00ED423B" w:rsidP="00BB6679">
            <w:pPr>
              <w:pStyle w:val="TableFigText"/>
            </w:pPr>
            <w:r w:rsidRPr="006D6A7A">
              <w:t>205-99-2</w:t>
            </w:r>
          </w:p>
        </w:tc>
        <w:tc>
          <w:tcPr>
            <w:tcW w:w="3838" w:type="dxa"/>
          </w:tcPr>
          <w:p w:rsidR="00ED423B" w:rsidRPr="00D26863" w:rsidRDefault="00ED423B" w:rsidP="00BB6679">
            <w:pPr>
              <w:pStyle w:val="TableFigText"/>
            </w:pPr>
            <w:proofErr w:type="spellStart"/>
            <w:r w:rsidRPr="00D26863">
              <w:t>benzo</w:t>
            </w:r>
            <w:proofErr w:type="spellEnd"/>
            <w:r w:rsidRPr="00D26863">
              <w:t>[b]</w:t>
            </w:r>
            <w:proofErr w:type="spellStart"/>
            <w:r w:rsidRPr="00D26863">
              <w:t>fluoranthene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r w:rsidRPr="00D26863">
              <w:t>RA</w:t>
            </w:r>
          </w:p>
        </w:tc>
        <w:tc>
          <w:tcPr>
            <w:tcW w:w="1163" w:type="dxa"/>
          </w:tcPr>
          <w:p w:rsidR="00ED423B" w:rsidRPr="00D26863" w:rsidRDefault="00ED423B" w:rsidP="00BB6679">
            <w:pPr>
              <w:pStyle w:val="TableFigText"/>
              <w:jc w:val="center"/>
            </w:pPr>
            <w:r>
              <w:t>2</w:t>
            </w:r>
          </w:p>
        </w:tc>
      </w:tr>
      <w:tr w:rsidR="00ED423B" w:rsidRPr="00D26863" w:rsidTr="00BB6679">
        <w:trPr>
          <w:cantSplit/>
          <w:trHeight w:val="326"/>
          <w:tblHeader/>
        </w:trPr>
        <w:tc>
          <w:tcPr>
            <w:tcW w:w="1639" w:type="dxa"/>
          </w:tcPr>
          <w:p w:rsidR="00ED423B" w:rsidRPr="006D6A7A" w:rsidRDefault="00ED423B" w:rsidP="00BB6679">
            <w:pPr>
              <w:pStyle w:val="TableFigText"/>
            </w:pPr>
            <w:r w:rsidRPr="006D6A7A">
              <w:t>205-82-3</w:t>
            </w:r>
          </w:p>
        </w:tc>
        <w:tc>
          <w:tcPr>
            <w:tcW w:w="3838" w:type="dxa"/>
          </w:tcPr>
          <w:p w:rsidR="00ED423B" w:rsidRPr="00D26863" w:rsidRDefault="00ED423B" w:rsidP="00BB6679">
            <w:pPr>
              <w:pStyle w:val="TableFigText"/>
            </w:pPr>
            <w:proofErr w:type="spellStart"/>
            <w:r w:rsidRPr="00D26863">
              <w:t>benzo</w:t>
            </w:r>
            <w:proofErr w:type="spellEnd"/>
            <w:r w:rsidRPr="00D26863">
              <w:t>[j]</w:t>
            </w:r>
            <w:proofErr w:type="spellStart"/>
            <w:r w:rsidRPr="00D26863">
              <w:t>fluoranthene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r w:rsidRPr="00D26863">
              <w:t>RA</w:t>
            </w:r>
          </w:p>
        </w:tc>
        <w:tc>
          <w:tcPr>
            <w:tcW w:w="1163" w:type="dxa"/>
          </w:tcPr>
          <w:p w:rsidR="00ED423B" w:rsidRPr="00D26863" w:rsidRDefault="00ED423B" w:rsidP="00BB6679">
            <w:pPr>
              <w:pStyle w:val="TableFigText"/>
              <w:jc w:val="center"/>
            </w:pPr>
            <w:r>
              <w:t>2</w:t>
            </w:r>
          </w:p>
        </w:tc>
      </w:tr>
      <w:tr w:rsidR="00ED423B" w:rsidRPr="00D26863" w:rsidTr="00BB6679">
        <w:trPr>
          <w:cantSplit/>
          <w:trHeight w:val="285"/>
          <w:tblHeader/>
        </w:trPr>
        <w:tc>
          <w:tcPr>
            <w:tcW w:w="1639" w:type="dxa"/>
          </w:tcPr>
          <w:p w:rsidR="00ED423B" w:rsidRPr="006D6A7A" w:rsidRDefault="00ED423B" w:rsidP="00BB6679">
            <w:pPr>
              <w:pStyle w:val="TableFigText"/>
            </w:pPr>
            <w:r w:rsidRPr="006D6A7A">
              <w:t>207-08-9</w:t>
            </w:r>
          </w:p>
        </w:tc>
        <w:tc>
          <w:tcPr>
            <w:tcW w:w="3838" w:type="dxa"/>
          </w:tcPr>
          <w:p w:rsidR="00ED423B" w:rsidRPr="00D26863" w:rsidRDefault="00ED423B" w:rsidP="00BB6679">
            <w:pPr>
              <w:pStyle w:val="TableFigText"/>
            </w:pPr>
            <w:proofErr w:type="spellStart"/>
            <w:r w:rsidRPr="00D26863">
              <w:t>benzo</w:t>
            </w:r>
            <w:proofErr w:type="spellEnd"/>
            <w:r w:rsidRPr="00D26863">
              <w:t>[k]</w:t>
            </w:r>
            <w:proofErr w:type="spellStart"/>
            <w:r w:rsidRPr="00D26863">
              <w:t>fluoranthene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r>
              <w:t>RA</w:t>
            </w:r>
          </w:p>
        </w:tc>
        <w:tc>
          <w:tcPr>
            <w:tcW w:w="1163" w:type="dxa"/>
          </w:tcPr>
          <w:p w:rsidR="00ED423B" w:rsidRPr="00D26863" w:rsidRDefault="00ED423B" w:rsidP="00BB6679">
            <w:pPr>
              <w:pStyle w:val="TableFigText"/>
              <w:jc w:val="center"/>
            </w:pPr>
            <w:r>
              <w:t>2</w:t>
            </w:r>
          </w:p>
        </w:tc>
      </w:tr>
      <w:tr w:rsidR="00ED423B" w:rsidRPr="00D26863" w:rsidTr="00BB6679">
        <w:trPr>
          <w:cantSplit/>
          <w:trHeight w:val="238"/>
          <w:tblHeader/>
        </w:trPr>
        <w:tc>
          <w:tcPr>
            <w:tcW w:w="1639" w:type="dxa"/>
          </w:tcPr>
          <w:p w:rsidR="00ED423B" w:rsidRPr="006D6A7A" w:rsidRDefault="00ED423B" w:rsidP="00BB6679">
            <w:pPr>
              <w:pStyle w:val="TableFigText"/>
            </w:pPr>
            <w:r w:rsidRPr="006D6A7A">
              <w:t>195-19-7</w:t>
            </w:r>
          </w:p>
        </w:tc>
        <w:tc>
          <w:tcPr>
            <w:tcW w:w="3838" w:type="dxa"/>
          </w:tcPr>
          <w:p w:rsidR="00ED423B" w:rsidRPr="00D26863" w:rsidRDefault="00ED423B" w:rsidP="00BB6679">
            <w:pPr>
              <w:pStyle w:val="TableFigText"/>
            </w:pPr>
            <w:proofErr w:type="spellStart"/>
            <w:r w:rsidRPr="00D26863">
              <w:t>benzo</w:t>
            </w:r>
            <w:proofErr w:type="spellEnd"/>
            <w:r w:rsidRPr="00D26863">
              <w:t>[c]</w:t>
            </w:r>
            <w:proofErr w:type="spellStart"/>
            <w:r w:rsidRPr="00D26863">
              <w:t>phenanthrene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140"/>
          <w:tblHeader/>
        </w:trPr>
        <w:tc>
          <w:tcPr>
            <w:tcW w:w="1639" w:type="dxa"/>
          </w:tcPr>
          <w:p w:rsidR="00ED423B" w:rsidRPr="006D6A7A" w:rsidRDefault="00ED423B" w:rsidP="00BB6679">
            <w:pPr>
              <w:pStyle w:val="TableFigText"/>
            </w:pPr>
            <w:r w:rsidRPr="006D6A7A">
              <w:t>218-01-9</w:t>
            </w:r>
          </w:p>
        </w:tc>
        <w:tc>
          <w:tcPr>
            <w:tcW w:w="3838" w:type="dxa"/>
          </w:tcPr>
          <w:p w:rsidR="00ED423B" w:rsidRPr="00D26863" w:rsidRDefault="00ED423B" w:rsidP="00BB6679">
            <w:pPr>
              <w:pStyle w:val="TableFigText"/>
            </w:pPr>
            <w:r w:rsidRPr="00D26863">
              <w:t>chrysene</w:t>
            </w:r>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r>
              <w:t>2</w:t>
            </w:r>
          </w:p>
        </w:tc>
      </w:tr>
      <w:tr w:rsidR="00ED423B" w:rsidRPr="00D26863" w:rsidTr="00BB6679">
        <w:trPr>
          <w:cantSplit/>
          <w:trHeight w:val="313"/>
          <w:tblHeader/>
        </w:trPr>
        <w:tc>
          <w:tcPr>
            <w:tcW w:w="1639" w:type="dxa"/>
          </w:tcPr>
          <w:p w:rsidR="00ED423B" w:rsidRPr="006D6A7A" w:rsidRDefault="00ED423B" w:rsidP="00BB6679">
            <w:pPr>
              <w:pStyle w:val="TableFigText"/>
            </w:pPr>
            <w:r w:rsidRPr="006D6A7A">
              <w:t>189-64-0</w:t>
            </w:r>
          </w:p>
        </w:tc>
        <w:tc>
          <w:tcPr>
            <w:tcW w:w="3838" w:type="dxa"/>
          </w:tcPr>
          <w:p w:rsidR="00ED423B" w:rsidRPr="00D26863" w:rsidRDefault="00ED423B" w:rsidP="00BB6679">
            <w:pPr>
              <w:pStyle w:val="TableFigText"/>
            </w:pPr>
            <w:proofErr w:type="spellStart"/>
            <w:r w:rsidRPr="00D26863">
              <w:t>dibenzo</w:t>
            </w:r>
            <w:proofErr w:type="spellEnd"/>
            <w:r w:rsidRPr="00D26863">
              <w:t>[</w:t>
            </w:r>
            <w:proofErr w:type="spellStart"/>
            <w:r w:rsidRPr="00D26863">
              <w:t>a,h</w:t>
            </w:r>
            <w:proofErr w:type="spellEnd"/>
            <w:r w:rsidRPr="00D26863">
              <w:t>]</w:t>
            </w:r>
            <w:proofErr w:type="spellStart"/>
            <w:r w:rsidRPr="00D26863">
              <w:t>pyrene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r>
              <w:t>RA</w:t>
            </w:r>
          </w:p>
        </w:tc>
        <w:tc>
          <w:tcPr>
            <w:tcW w:w="1163" w:type="dxa"/>
          </w:tcPr>
          <w:p w:rsidR="00ED423B" w:rsidRPr="00D26863" w:rsidRDefault="00ED423B" w:rsidP="00BB6679">
            <w:pPr>
              <w:pStyle w:val="TableFigText"/>
              <w:jc w:val="center"/>
            </w:pPr>
          </w:p>
        </w:tc>
      </w:tr>
      <w:tr w:rsidR="00ED423B" w:rsidRPr="00D26863" w:rsidTr="00BB6679">
        <w:trPr>
          <w:cantSplit/>
          <w:trHeight w:val="251"/>
          <w:tblHeader/>
        </w:trPr>
        <w:tc>
          <w:tcPr>
            <w:tcW w:w="1639" w:type="dxa"/>
          </w:tcPr>
          <w:p w:rsidR="00ED423B" w:rsidRPr="006D6A7A" w:rsidRDefault="00ED423B" w:rsidP="00BB6679">
            <w:pPr>
              <w:pStyle w:val="TableFigText"/>
            </w:pPr>
            <w:r w:rsidRPr="006D6A7A">
              <w:t>191-30-0</w:t>
            </w:r>
          </w:p>
        </w:tc>
        <w:tc>
          <w:tcPr>
            <w:tcW w:w="3838" w:type="dxa"/>
          </w:tcPr>
          <w:p w:rsidR="00ED423B" w:rsidRPr="00D26863" w:rsidRDefault="00ED423B" w:rsidP="00BB6679">
            <w:pPr>
              <w:pStyle w:val="TableFigText"/>
            </w:pPr>
            <w:proofErr w:type="spellStart"/>
            <w:r w:rsidRPr="00D26863">
              <w:t>dibenzo</w:t>
            </w:r>
            <w:proofErr w:type="spellEnd"/>
            <w:r w:rsidRPr="00D26863">
              <w:t>[</w:t>
            </w:r>
            <w:proofErr w:type="spellStart"/>
            <w:r w:rsidRPr="00D26863">
              <w:t>a,i</w:t>
            </w:r>
            <w:proofErr w:type="spellEnd"/>
            <w:r w:rsidRPr="00D26863">
              <w:t>]-</w:t>
            </w:r>
            <w:proofErr w:type="spellStart"/>
            <w:r w:rsidRPr="00D26863">
              <w:t>pyrene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r>
              <w:t>RA</w:t>
            </w:r>
          </w:p>
        </w:tc>
        <w:tc>
          <w:tcPr>
            <w:tcW w:w="1163" w:type="dxa"/>
          </w:tcPr>
          <w:p w:rsidR="00ED423B" w:rsidRPr="00D26863" w:rsidRDefault="00ED423B" w:rsidP="00BB6679">
            <w:pPr>
              <w:pStyle w:val="TableFigText"/>
              <w:jc w:val="center"/>
            </w:pPr>
          </w:p>
        </w:tc>
      </w:tr>
      <w:tr w:rsidR="00ED423B" w:rsidRPr="00D26863" w:rsidTr="00BB6679">
        <w:trPr>
          <w:cantSplit/>
          <w:trHeight w:val="226"/>
          <w:tblHeader/>
        </w:trPr>
        <w:tc>
          <w:tcPr>
            <w:tcW w:w="1639" w:type="dxa"/>
          </w:tcPr>
          <w:p w:rsidR="00ED423B" w:rsidRPr="006D6A7A" w:rsidRDefault="00ED423B" w:rsidP="00BB6679">
            <w:pPr>
              <w:pStyle w:val="TableFigText"/>
            </w:pPr>
            <w:r w:rsidRPr="006D6A7A">
              <w:t>193-39-5</w:t>
            </w:r>
          </w:p>
        </w:tc>
        <w:tc>
          <w:tcPr>
            <w:tcW w:w="3838" w:type="dxa"/>
          </w:tcPr>
          <w:p w:rsidR="00ED423B" w:rsidRPr="00D26863" w:rsidRDefault="00ED423B" w:rsidP="00BB6679">
            <w:pPr>
              <w:pStyle w:val="TableFigText"/>
            </w:pPr>
            <w:proofErr w:type="spellStart"/>
            <w:r w:rsidRPr="00D26863">
              <w:t>indeno</w:t>
            </w:r>
            <w:proofErr w:type="spellEnd"/>
            <w:r w:rsidRPr="00D26863">
              <w:t>[1,2,3-cd]</w:t>
            </w:r>
            <w:proofErr w:type="spellStart"/>
            <w:r w:rsidRPr="00D26863">
              <w:t>pyrene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159"/>
          <w:tblHeader/>
        </w:trPr>
        <w:tc>
          <w:tcPr>
            <w:tcW w:w="1639" w:type="dxa"/>
          </w:tcPr>
          <w:p w:rsidR="00ED423B" w:rsidRPr="006D6A7A" w:rsidRDefault="00ED423B" w:rsidP="00BB6679">
            <w:pPr>
              <w:pStyle w:val="TableFigText"/>
            </w:pPr>
            <w:r w:rsidRPr="006D6A7A">
              <w:t>3697-24-3</w:t>
            </w:r>
          </w:p>
        </w:tc>
        <w:tc>
          <w:tcPr>
            <w:tcW w:w="3838" w:type="dxa"/>
          </w:tcPr>
          <w:p w:rsidR="00ED423B" w:rsidRPr="00D26863" w:rsidRDefault="00ED423B" w:rsidP="00BB6679">
            <w:pPr>
              <w:pStyle w:val="TableFigText"/>
            </w:pPr>
            <w:r w:rsidRPr="00D26863">
              <w:t>5-</w:t>
            </w:r>
            <w:proofErr w:type="spellStart"/>
            <w:r w:rsidRPr="00D26863">
              <w:t>methylchrysene</w:t>
            </w:r>
            <w:proofErr w:type="spellEnd"/>
          </w:p>
        </w:tc>
        <w:tc>
          <w:tcPr>
            <w:tcW w:w="1508" w:type="dxa"/>
          </w:tcPr>
          <w:p w:rsidR="00ED423B" w:rsidRPr="00D26863" w:rsidRDefault="00ED423B" w:rsidP="00BB6679">
            <w:pPr>
              <w:pStyle w:val="TableFigText"/>
              <w:jc w:val="center"/>
            </w:pPr>
            <w:proofErr w:type="spellStart"/>
            <w:r w:rsidRPr="00D26863">
              <w:t>2B</w:t>
            </w:r>
            <w:proofErr w:type="spellEnd"/>
          </w:p>
        </w:tc>
        <w:tc>
          <w:tcPr>
            <w:tcW w:w="1139" w:type="dxa"/>
          </w:tcPr>
          <w:p w:rsidR="00ED423B" w:rsidRPr="00D26863" w:rsidRDefault="00ED423B" w:rsidP="00BB6679">
            <w:pPr>
              <w:pStyle w:val="TableFigText"/>
              <w:jc w:val="center"/>
            </w:pPr>
            <w:r>
              <w:t>RA</w:t>
            </w:r>
          </w:p>
        </w:tc>
        <w:tc>
          <w:tcPr>
            <w:tcW w:w="1163" w:type="dxa"/>
          </w:tcPr>
          <w:p w:rsidR="00ED423B" w:rsidRPr="00D26863" w:rsidRDefault="00ED423B" w:rsidP="00BB6679">
            <w:pPr>
              <w:pStyle w:val="TableFigText"/>
              <w:jc w:val="center"/>
            </w:pPr>
          </w:p>
        </w:tc>
      </w:tr>
      <w:tr w:rsidR="00ED423B" w:rsidRPr="00D26863" w:rsidTr="00BB6679">
        <w:trPr>
          <w:cantSplit/>
          <w:trHeight w:val="94"/>
          <w:tblHeader/>
        </w:trPr>
        <w:tc>
          <w:tcPr>
            <w:tcW w:w="1639" w:type="dxa"/>
          </w:tcPr>
          <w:p w:rsidR="00ED423B" w:rsidRPr="006D6A7A" w:rsidRDefault="00ED423B" w:rsidP="00BB6679">
            <w:pPr>
              <w:pStyle w:val="TableFigText"/>
            </w:pPr>
            <w:r w:rsidRPr="006D6A7A">
              <w:t>83-32-9</w:t>
            </w:r>
          </w:p>
        </w:tc>
        <w:tc>
          <w:tcPr>
            <w:tcW w:w="3838" w:type="dxa"/>
          </w:tcPr>
          <w:p w:rsidR="00ED423B" w:rsidRPr="00D26863" w:rsidRDefault="00ED423B" w:rsidP="00BB6679">
            <w:pPr>
              <w:pStyle w:val="TableFigText"/>
            </w:pPr>
            <w:proofErr w:type="spellStart"/>
            <w:r>
              <w:t>a</w:t>
            </w:r>
            <w:r w:rsidRPr="00D26863">
              <w:t>cenaphthene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bl>
    <w:p w:rsidR="00ED423B" w:rsidRDefault="00ED423B">
      <w:pPr>
        <w:spacing w:after="200" w:line="276" w:lineRule="auto"/>
      </w:pPr>
      <w:r>
        <w:br w:type="page"/>
      </w:r>
    </w:p>
    <w:p w:rsidR="00ED423B" w:rsidRDefault="00ED423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Table 3: Classification and HSIS listings for some individual PAHs-continued"/>
        <w:tblDescription w:val="This table lists 64 individual or groups of PAHS classified by the IARC, the NTP or are listed in HSIS. All but four have been classified by IARC as group 1–3 carcinogens. Those which haven't been classified by the IARC are classified by the NTP as reasonably anticipated to be human carcinogens"/>
      </w:tblPr>
      <w:tblGrid>
        <w:gridCol w:w="1639"/>
        <w:gridCol w:w="3838"/>
        <w:gridCol w:w="1508"/>
        <w:gridCol w:w="1139"/>
        <w:gridCol w:w="1163"/>
      </w:tblGrid>
      <w:tr w:rsidR="00ED423B" w:rsidRPr="00D26863" w:rsidTr="00BB6679">
        <w:trPr>
          <w:cantSplit/>
          <w:trHeight w:val="20"/>
          <w:tblHeader/>
        </w:trPr>
        <w:tc>
          <w:tcPr>
            <w:tcW w:w="1639" w:type="dxa"/>
            <w:vMerge w:val="restart"/>
            <w:tcBorders>
              <w:top w:val="single" w:sz="4" w:space="0" w:color="auto"/>
            </w:tcBorders>
            <w:vAlign w:val="bottom"/>
          </w:tcPr>
          <w:p w:rsidR="00ED423B" w:rsidRPr="006D6A7A" w:rsidRDefault="00ED423B" w:rsidP="00BB6679">
            <w:pPr>
              <w:pStyle w:val="TableFigHeadingText"/>
            </w:pPr>
            <w:r>
              <w:t>Chemical Abstract Service No.</w:t>
            </w:r>
          </w:p>
        </w:tc>
        <w:tc>
          <w:tcPr>
            <w:tcW w:w="3838" w:type="dxa"/>
            <w:vMerge w:val="restart"/>
            <w:tcBorders>
              <w:top w:val="single" w:sz="4" w:space="0" w:color="auto"/>
            </w:tcBorders>
            <w:vAlign w:val="bottom"/>
          </w:tcPr>
          <w:p w:rsidR="00ED423B" w:rsidRPr="00D26863" w:rsidRDefault="00ED423B" w:rsidP="00BB6679">
            <w:pPr>
              <w:pStyle w:val="TableFigHeadingText"/>
            </w:pPr>
            <w:r>
              <w:t>Name</w:t>
            </w:r>
          </w:p>
        </w:tc>
        <w:tc>
          <w:tcPr>
            <w:tcW w:w="3810" w:type="dxa"/>
            <w:gridSpan w:val="3"/>
            <w:tcBorders>
              <w:top w:val="single" w:sz="4" w:space="0" w:color="auto"/>
            </w:tcBorders>
            <w:vAlign w:val="bottom"/>
          </w:tcPr>
          <w:p w:rsidR="00ED423B" w:rsidRPr="00D26863" w:rsidRDefault="00ED423B" w:rsidP="00BB6679">
            <w:pPr>
              <w:pStyle w:val="TableFigHeadingText"/>
            </w:pPr>
            <w:r>
              <w:t>Carcinogen Classification</w:t>
            </w:r>
          </w:p>
        </w:tc>
      </w:tr>
      <w:tr w:rsidR="00ED423B" w:rsidRPr="00D26863" w:rsidTr="00BB6679">
        <w:trPr>
          <w:cantSplit/>
          <w:trHeight w:val="20"/>
          <w:tblHeader/>
        </w:trPr>
        <w:tc>
          <w:tcPr>
            <w:tcW w:w="1639" w:type="dxa"/>
            <w:vMerge/>
            <w:tcBorders>
              <w:bottom w:val="single" w:sz="4" w:space="0" w:color="auto"/>
            </w:tcBorders>
            <w:vAlign w:val="bottom"/>
          </w:tcPr>
          <w:p w:rsidR="00ED423B" w:rsidRDefault="00ED423B" w:rsidP="00BB6679">
            <w:pPr>
              <w:pStyle w:val="TableFigHeadingText"/>
            </w:pPr>
          </w:p>
        </w:tc>
        <w:tc>
          <w:tcPr>
            <w:tcW w:w="3838" w:type="dxa"/>
            <w:vMerge/>
            <w:tcBorders>
              <w:bottom w:val="single" w:sz="4" w:space="0" w:color="auto"/>
            </w:tcBorders>
            <w:vAlign w:val="bottom"/>
          </w:tcPr>
          <w:p w:rsidR="00ED423B" w:rsidRDefault="00ED423B" w:rsidP="00BB6679">
            <w:pPr>
              <w:pStyle w:val="TableFigHeadingText"/>
            </w:pPr>
          </w:p>
        </w:tc>
        <w:tc>
          <w:tcPr>
            <w:tcW w:w="1508" w:type="dxa"/>
            <w:tcBorders>
              <w:bottom w:val="single" w:sz="4" w:space="0" w:color="auto"/>
            </w:tcBorders>
            <w:vAlign w:val="bottom"/>
          </w:tcPr>
          <w:p w:rsidR="00ED423B" w:rsidRPr="00D26863" w:rsidRDefault="00ED423B" w:rsidP="00BB6679">
            <w:pPr>
              <w:pStyle w:val="TableFigHeadingText"/>
              <w:jc w:val="center"/>
            </w:pPr>
            <w:proofErr w:type="spellStart"/>
            <w:r w:rsidRPr="00D26863">
              <w:t>IARC</w:t>
            </w:r>
            <w:proofErr w:type="spellEnd"/>
          </w:p>
        </w:tc>
        <w:tc>
          <w:tcPr>
            <w:tcW w:w="1139" w:type="dxa"/>
            <w:tcBorders>
              <w:bottom w:val="single" w:sz="4" w:space="0" w:color="auto"/>
            </w:tcBorders>
            <w:vAlign w:val="bottom"/>
          </w:tcPr>
          <w:p w:rsidR="00ED423B" w:rsidRPr="00D26863" w:rsidRDefault="00ED423B" w:rsidP="00BB6679">
            <w:pPr>
              <w:pStyle w:val="TableFigHeadingText"/>
              <w:jc w:val="center"/>
            </w:pPr>
            <w:proofErr w:type="spellStart"/>
            <w:r w:rsidRPr="00D26863">
              <w:t>NTP</w:t>
            </w:r>
            <w:proofErr w:type="spellEnd"/>
          </w:p>
        </w:tc>
        <w:tc>
          <w:tcPr>
            <w:tcW w:w="1163" w:type="dxa"/>
            <w:tcBorders>
              <w:bottom w:val="single" w:sz="4" w:space="0" w:color="auto"/>
            </w:tcBorders>
            <w:vAlign w:val="bottom"/>
          </w:tcPr>
          <w:p w:rsidR="00ED423B" w:rsidRPr="00D26863" w:rsidRDefault="00ED423B" w:rsidP="00BB6679">
            <w:pPr>
              <w:pStyle w:val="TableFigHeadingText"/>
              <w:jc w:val="center"/>
            </w:pPr>
            <w:proofErr w:type="spellStart"/>
            <w:r w:rsidRPr="00D26863">
              <w:t>HSIS</w:t>
            </w:r>
            <w:proofErr w:type="spellEnd"/>
          </w:p>
        </w:tc>
      </w:tr>
      <w:tr w:rsidR="00ED423B" w:rsidRPr="00D26863" w:rsidTr="00BB6679">
        <w:trPr>
          <w:cantSplit/>
          <w:trHeight w:val="149"/>
          <w:tblHeader/>
        </w:trPr>
        <w:tc>
          <w:tcPr>
            <w:tcW w:w="1639" w:type="dxa"/>
          </w:tcPr>
          <w:p w:rsidR="00ED423B" w:rsidRPr="006D6A7A" w:rsidRDefault="00ED423B" w:rsidP="00BB6679">
            <w:pPr>
              <w:pStyle w:val="TableFigText"/>
            </w:pPr>
            <w:r w:rsidRPr="006D6A7A">
              <w:t>191-26-4</w:t>
            </w:r>
          </w:p>
        </w:tc>
        <w:tc>
          <w:tcPr>
            <w:tcW w:w="3838" w:type="dxa"/>
          </w:tcPr>
          <w:p w:rsidR="00ED423B" w:rsidRPr="00D26863" w:rsidRDefault="00ED423B" w:rsidP="00BB6679">
            <w:pPr>
              <w:pStyle w:val="TableFigText"/>
            </w:pPr>
            <w:proofErr w:type="spellStart"/>
            <w:r w:rsidRPr="00D26863">
              <w:t>anthanthrene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98"/>
          <w:tblHeader/>
        </w:trPr>
        <w:tc>
          <w:tcPr>
            <w:tcW w:w="1639" w:type="dxa"/>
          </w:tcPr>
          <w:p w:rsidR="00ED423B" w:rsidRPr="006D6A7A" w:rsidRDefault="00ED423B" w:rsidP="00BB6679">
            <w:pPr>
              <w:pStyle w:val="TableFigText"/>
            </w:pPr>
            <w:r w:rsidRPr="006D6A7A">
              <w:t>120-12-7</w:t>
            </w:r>
          </w:p>
        </w:tc>
        <w:tc>
          <w:tcPr>
            <w:tcW w:w="3838" w:type="dxa"/>
          </w:tcPr>
          <w:p w:rsidR="00ED423B" w:rsidRPr="00D26863" w:rsidRDefault="00ED423B" w:rsidP="00BB6679">
            <w:pPr>
              <w:pStyle w:val="TableFigText"/>
            </w:pPr>
            <w:proofErr w:type="spellStart"/>
            <w:r w:rsidRPr="00D26863">
              <w:t>anthracene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85"/>
          <w:tblHeader/>
        </w:trPr>
        <w:tc>
          <w:tcPr>
            <w:tcW w:w="1639" w:type="dxa"/>
          </w:tcPr>
          <w:p w:rsidR="00ED423B" w:rsidRPr="006D6A7A" w:rsidRDefault="00ED423B" w:rsidP="00BB6679">
            <w:pPr>
              <w:pStyle w:val="TableFigText"/>
            </w:pPr>
            <w:r w:rsidRPr="006D6A7A">
              <w:t>202-94-8</w:t>
            </w:r>
          </w:p>
        </w:tc>
        <w:tc>
          <w:tcPr>
            <w:tcW w:w="3838" w:type="dxa"/>
          </w:tcPr>
          <w:p w:rsidR="00ED423B" w:rsidRPr="00D26863" w:rsidRDefault="00ED423B" w:rsidP="00BB6679">
            <w:pPr>
              <w:pStyle w:val="TableFigText"/>
            </w:pPr>
            <w:proofErr w:type="spellStart"/>
            <w:r w:rsidRPr="00D26863">
              <w:t>11H-benz</w:t>
            </w:r>
            <w:proofErr w:type="spellEnd"/>
            <w:r w:rsidRPr="00D26863">
              <w:t>[</w:t>
            </w:r>
            <w:proofErr w:type="spellStart"/>
            <w:r w:rsidRPr="00D26863">
              <w:t>bc</w:t>
            </w:r>
            <w:proofErr w:type="spellEnd"/>
            <w:r w:rsidRPr="00D26863">
              <w:t>]</w:t>
            </w:r>
            <w:proofErr w:type="spellStart"/>
            <w:r w:rsidRPr="00D26863">
              <w:t>aceanthrylene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47"/>
          <w:tblHeader/>
        </w:trPr>
        <w:tc>
          <w:tcPr>
            <w:tcW w:w="1639" w:type="dxa"/>
          </w:tcPr>
          <w:p w:rsidR="00ED423B" w:rsidRPr="006D6A7A" w:rsidRDefault="00ED423B" w:rsidP="00BB6679">
            <w:pPr>
              <w:pStyle w:val="TableFigText"/>
            </w:pPr>
            <w:r w:rsidRPr="006D6A7A">
              <w:t>211-91-6</w:t>
            </w:r>
          </w:p>
        </w:tc>
        <w:tc>
          <w:tcPr>
            <w:tcW w:w="3838" w:type="dxa"/>
          </w:tcPr>
          <w:p w:rsidR="00ED423B" w:rsidRPr="00D26863" w:rsidRDefault="00ED423B" w:rsidP="00BB6679">
            <w:pPr>
              <w:pStyle w:val="TableFigText"/>
            </w:pPr>
            <w:proofErr w:type="spellStart"/>
            <w:r w:rsidRPr="00D26863">
              <w:t>benz</w:t>
            </w:r>
            <w:proofErr w:type="spellEnd"/>
            <w:r w:rsidRPr="00D26863">
              <w:t>[l]</w:t>
            </w:r>
            <w:proofErr w:type="spellStart"/>
            <w:r w:rsidRPr="00D26863">
              <w:t>aceanthrylene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85"/>
          <w:tblHeader/>
        </w:trPr>
        <w:tc>
          <w:tcPr>
            <w:tcW w:w="1639" w:type="dxa"/>
          </w:tcPr>
          <w:p w:rsidR="00ED423B" w:rsidRPr="006D6A7A" w:rsidRDefault="00ED423B" w:rsidP="00BB6679">
            <w:pPr>
              <w:pStyle w:val="TableFigText"/>
            </w:pPr>
            <w:r w:rsidRPr="006D6A7A">
              <w:t>214-17-5</w:t>
            </w:r>
          </w:p>
        </w:tc>
        <w:tc>
          <w:tcPr>
            <w:tcW w:w="3838" w:type="dxa"/>
          </w:tcPr>
          <w:p w:rsidR="00ED423B" w:rsidRPr="00D26863" w:rsidRDefault="00ED423B" w:rsidP="00BB6679">
            <w:pPr>
              <w:pStyle w:val="TableFigText"/>
            </w:pPr>
            <w:proofErr w:type="spellStart"/>
            <w:r w:rsidRPr="00D26863">
              <w:t>benzo</w:t>
            </w:r>
            <w:proofErr w:type="spellEnd"/>
            <w:r w:rsidRPr="00D26863">
              <w:t>[b]chrysene</w:t>
            </w:r>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72"/>
          <w:tblHeader/>
        </w:trPr>
        <w:tc>
          <w:tcPr>
            <w:tcW w:w="1639" w:type="dxa"/>
          </w:tcPr>
          <w:p w:rsidR="00ED423B" w:rsidRPr="006D6A7A" w:rsidRDefault="00ED423B" w:rsidP="00BB6679">
            <w:pPr>
              <w:pStyle w:val="TableFigText"/>
            </w:pPr>
            <w:r w:rsidRPr="006D6A7A">
              <w:t>196-78-1</w:t>
            </w:r>
          </w:p>
        </w:tc>
        <w:tc>
          <w:tcPr>
            <w:tcW w:w="3838" w:type="dxa"/>
          </w:tcPr>
          <w:p w:rsidR="00ED423B" w:rsidRPr="00D26863" w:rsidRDefault="00ED423B" w:rsidP="00BB6679">
            <w:pPr>
              <w:pStyle w:val="TableFigText"/>
            </w:pPr>
            <w:proofErr w:type="spellStart"/>
            <w:r w:rsidRPr="00D26863">
              <w:t>benzo</w:t>
            </w:r>
            <w:proofErr w:type="spellEnd"/>
            <w:r w:rsidRPr="00D26863">
              <w:t>[g]-chrysene</w:t>
            </w:r>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85"/>
          <w:tblHeader/>
        </w:trPr>
        <w:tc>
          <w:tcPr>
            <w:tcW w:w="1639" w:type="dxa"/>
          </w:tcPr>
          <w:p w:rsidR="00ED423B" w:rsidRPr="006D6A7A" w:rsidRDefault="00ED423B" w:rsidP="00BB6679">
            <w:pPr>
              <w:pStyle w:val="TableFigText"/>
            </w:pPr>
            <w:r w:rsidRPr="006D6A7A">
              <w:t>203-33-8</w:t>
            </w:r>
          </w:p>
        </w:tc>
        <w:tc>
          <w:tcPr>
            <w:tcW w:w="3838" w:type="dxa"/>
          </w:tcPr>
          <w:p w:rsidR="00ED423B" w:rsidRPr="00D26863" w:rsidRDefault="00ED423B" w:rsidP="00BB6679">
            <w:pPr>
              <w:pStyle w:val="TableFigText"/>
            </w:pPr>
            <w:proofErr w:type="spellStart"/>
            <w:r w:rsidRPr="00D26863">
              <w:t>benzo</w:t>
            </w:r>
            <w:proofErr w:type="spellEnd"/>
            <w:r w:rsidRPr="00D26863">
              <w:t>[a]</w:t>
            </w:r>
            <w:proofErr w:type="spellStart"/>
            <w:r w:rsidRPr="00D26863">
              <w:t>fluoranthene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191"/>
          <w:tblHeader/>
        </w:trPr>
        <w:tc>
          <w:tcPr>
            <w:tcW w:w="1639" w:type="dxa"/>
          </w:tcPr>
          <w:p w:rsidR="00ED423B" w:rsidRPr="006D6A7A" w:rsidRDefault="00ED423B" w:rsidP="00BB6679">
            <w:pPr>
              <w:pStyle w:val="TableFigText"/>
            </w:pPr>
            <w:r w:rsidRPr="006D6A7A">
              <w:t>203-12-3</w:t>
            </w:r>
          </w:p>
        </w:tc>
        <w:tc>
          <w:tcPr>
            <w:tcW w:w="3838" w:type="dxa"/>
          </w:tcPr>
          <w:p w:rsidR="00ED423B" w:rsidRPr="00D26863" w:rsidRDefault="00ED423B" w:rsidP="00BB6679">
            <w:pPr>
              <w:pStyle w:val="TableFigText"/>
            </w:pPr>
            <w:proofErr w:type="spellStart"/>
            <w:r w:rsidRPr="00D26863">
              <w:t>benzo</w:t>
            </w:r>
            <w:proofErr w:type="spellEnd"/>
            <w:r w:rsidRPr="00D26863">
              <w:t>[</w:t>
            </w:r>
            <w:proofErr w:type="spellStart"/>
            <w:r w:rsidRPr="00D26863">
              <w:t>ghi</w:t>
            </w:r>
            <w:proofErr w:type="spellEnd"/>
            <w:r w:rsidRPr="00D26863">
              <w:t>]</w:t>
            </w:r>
            <w:proofErr w:type="spellStart"/>
            <w:r w:rsidRPr="00D26863">
              <w:t>fluoranthene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58"/>
          <w:tblHeader/>
        </w:trPr>
        <w:tc>
          <w:tcPr>
            <w:tcW w:w="1639" w:type="dxa"/>
          </w:tcPr>
          <w:p w:rsidR="00ED423B" w:rsidRPr="006D6A7A" w:rsidRDefault="00ED423B" w:rsidP="00BB6679">
            <w:pPr>
              <w:pStyle w:val="TableFigText"/>
            </w:pPr>
            <w:r w:rsidRPr="006D6A7A">
              <w:t>238-84-6</w:t>
            </w:r>
          </w:p>
        </w:tc>
        <w:tc>
          <w:tcPr>
            <w:tcW w:w="3838" w:type="dxa"/>
          </w:tcPr>
          <w:p w:rsidR="00ED423B" w:rsidRPr="00D26863" w:rsidRDefault="00ED423B" w:rsidP="00BB6679">
            <w:pPr>
              <w:pStyle w:val="TableFigText"/>
            </w:pPr>
            <w:proofErr w:type="spellStart"/>
            <w:r w:rsidRPr="00D26863">
              <w:t>benzo</w:t>
            </w:r>
            <w:proofErr w:type="spellEnd"/>
            <w:r w:rsidRPr="00D26863">
              <w:t>[a]</w:t>
            </w:r>
            <w:proofErr w:type="spellStart"/>
            <w:r w:rsidRPr="00D26863">
              <w:t>fluorene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85"/>
          <w:tblHeader/>
        </w:trPr>
        <w:tc>
          <w:tcPr>
            <w:tcW w:w="1639" w:type="dxa"/>
          </w:tcPr>
          <w:p w:rsidR="00ED423B" w:rsidRPr="006D6A7A" w:rsidRDefault="00ED423B" w:rsidP="00BB6679">
            <w:pPr>
              <w:pStyle w:val="TableFigText"/>
            </w:pPr>
            <w:r w:rsidRPr="006D6A7A">
              <w:t>243-17-4</w:t>
            </w:r>
          </w:p>
        </w:tc>
        <w:tc>
          <w:tcPr>
            <w:tcW w:w="3838" w:type="dxa"/>
          </w:tcPr>
          <w:p w:rsidR="00ED423B" w:rsidRPr="00D26863" w:rsidRDefault="00ED423B" w:rsidP="00BB6679">
            <w:pPr>
              <w:pStyle w:val="TableFigText"/>
            </w:pPr>
            <w:proofErr w:type="spellStart"/>
            <w:r w:rsidRPr="00D26863">
              <w:t>benzo</w:t>
            </w:r>
            <w:proofErr w:type="spellEnd"/>
            <w:r w:rsidRPr="00D26863">
              <w:t>[b]</w:t>
            </w:r>
            <w:proofErr w:type="spellStart"/>
            <w:r w:rsidRPr="00D26863">
              <w:t>fluorene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45"/>
          <w:tblHeader/>
        </w:trPr>
        <w:tc>
          <w:tcPr>
            <w:tcW w:w="1639" w:type="dxa"/>
          </w:tcPr>
          <w:p w:rsidR="00ED423B" w:rsidRPr="006D6A7A" w:rsidRDefault="00ED423B" w:rsidP="00BB6679">
            <w:pPr>
              <w:pStyle w:val="TableFigText"/>
            </w:pPr>
            <w:r w:rsidRPr="006D6A7A">
              <w:t>205-12-9</w:t>
            </w:r>
          </w:p>
        </w:tc>
        <w:tc>
          <w:tcPr>
            <w:tcW w:w="3838" w:type="dxa"/>
          </w:tcPr>
          <w:p w:rsidR="00ED423B" w:rsidRPr="00D26863" w:rsidRDefault="00ED423B" w:rsidP="00BB6679">
            <w:pPr>
              <w:pStyle w:val="TableFigText"/>
            </w:pPr>
            <w:proofErr w:type="spellStart"/>
            <w:r w:rsidRPr="00D26863">
              <w:t>benzo</w:t>
            </w:r>
            <w:proofErr w:type="spellEnd"/>
            <w:r w:rsidRPr="00D26863">
              <w:t>[c]</w:t>
            </w:r>
            <w:proofErr w:type="spellStart"/>
            <w:r w:rsidRPr="00D26863">
              <w:t>fluorene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58"/>
          <w:tblHeader/>
        </w:trPr>
        <w:tc>
          <w:tcPr>
            <w:tcW w:w="1639" w:type="dxa"/>
          </w:tcPr>
          <w:p w:rsidR="00ED423B" w:rsidRPr="006D6A7A" w:rsidRDefault="00ED423B" w:rsidP="00BB6679">
            <w:pPr>
              <w:pStyle w:val="TableFigText"/>
            </w:pPr>
            <w:r w:rsidRPr="006D6A7A">
              <w:t>191-24-2</w:t>
            </w:r>
          </w:p>
        </w:tc>
        <w:tc>
          <w:tcPr>
            <w:tcW w:w="3838" w:type="dxa"/>
          </w:tcPr>
          <w:p w:rsidR="00ED423B" w:rsidRPr="00D26863" w:rsidRDefault="00ED423B" w:rsidP="00BB6679">
            <w:pPr>
              <w:pStyle w:val="TableFigText"/>
            </w:pPr>
            <w:proofErr w:type="spellStart"/>
            <w:r w:rsidRPr="00D26863">
              <w:t>benzo</w:t>
            </w:r>
            <w:proofErr w:type="spellEnd"/>
            <w:r w:rsidRPr="00D26863">
              <w:t>[</w:t>
            </w:r>
            <w:proofErr w:type="spellStart"/>
            <w:r w:rsidRPr="00D26863">
              <w:t>ghi</w:t>
            </w:r>
            <w:proofErr w:type="spellEnd"/>
            <w:r w:rsidRPr="00D26863">
              <w:t>]</w:t>
            </w:r>
            <w:proofErr w:type="spellStart"/>
            <w:r w:rsidRPr="00D26863">
              <w:t>perylene</w:t>
            </w:r>
            <w:bookmarkStart w:id="108" w:name="_GoBack"/>
            <w:bookmarkEnd w:id="108"/>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31"/>
          <w:tblHeader/>
        </w:trPr>
        <w:tc>
          <w:tcPr>
            <w:tcW w:w="1639" w:type="dxa"/>
          </w:tcPr>
          <w:p w:rsidR="00ED423B" w:rsidRPr="006D6A7A" w:rsidRDefault="00ED423B" w:rsidP="00BB6679">
            <w:pPr>
              <w:pStyle w:val="TableFigText"/>
            </w:pPr>
            <w:r w:rsidRPr="006D6A7A">
              <w:t>192-97-2</w:t>
            </w:r>
          </w:p>
        </w:tc>
        <w:tc>
          <w:tcPr>
            <w:tcW w:w="3838" w:type="dxa"/>
          </w:tcPr>
          <w:p w:rsidR="00ED423B" w:rsidRPr="00D26863" w:rsidRDefault="00ED423B" w:rsidP="00BB6679">
            <w:pPr>
              <w:pStyle w:val="TableFigText"/>
            </w:pPr>
            <w:proofErr w:type="spellStart"/>
            <w:r w:rsidRPr="00D26863">
              <w:t>benzo</w:t>
            </w:r>
            <w:proofErr w:type="spellEnd"/>
            <w:r w:rsidRPr="00D26863">
              <w:t>[e]</w:t>
            </w:r>
            <w:proofErr w:type="spellStart"/>
            <w:r w:rsidRPr="00D26863">
              <w:t>pyrene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54"/>
          <w:tblHeader/>
        </w:trPr>
        <w:tc>
          <w:tcPr>
            <w:tcW w:w="1639" w:type="dxa"/>
          </w:tcPr>
          <w:p w:rsidR="00ED423B" w:rsidRPr="006D6A7A" w:rsidRDefault="00ED423B" w:rsidP="00BB6679">
            <w:pPr>
              <w:pStyle w:val="TableFigText"/>
            </w:pPr>
            <w:r w:rsidRPr="006D6A7A">
              <w:t>191-07-1</w:t>
            </w:r>
          </w:p>
        </w:tc>
        <w:tc>
          <w:tcPr>
            <w:tcW w:w="3838" w:type="dxa"/>
          </w:tcPr>
          <w:p w:rsidR="00ED423B" w:rsidRPr="00D26863" w:rsidRDefault="00ED423B" w:rsidP="00BB6679">
            <w:pPr>
              <w:pStyle w:val="TableFigText"/>
            </w:pPr>
            <w:proofErr w:type="spellStart"/>
            <w:r w:rsidRPr="00D26863">
              <w:t>coronene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64"/>
          <w:tblHeader/>
        </w:trPr>
        <w:tc>
          <w:tcPr>
            <w:tcW w:w="1639" w:type="dxa"/>
          </w:tcPr>
          <w:p w:rsidR="00ED423B" w:rsidRPr="006D6A7A" w:rsidRDefault="00ED423B" w:rsidP="00BB6679">
            <w:pPr>
              <w:pStyle w:val="TableFigText"/>
            </w:pPr>
            <w:r w:rsidRPr="006D6A7A">
              <w:t>202-98-2</w:t>
            </w:r>
          </w:p>
        </w:tc>
        <w:tc>
          <w:tcPr>
            <w:tcW w:w="3838" w:type="dxa"/>
          </w:tcPr>
          <w:p w:rsidR="00ED423B" w:rsidRPr="00D26863" w:rsidRDefault="00ED423B" w:rsidP="00BB6679">
            <w:pPr>
              <w:pStyle w:val="TableFigText"/>
            </w:pPr>
            <w:proofErr w:type="spellStart"/>
            <w:r w:rsidRPr="00D26863">
              <w:t>4H-cyclopenta</w:t>
            </w:r>
            <w:proofErr w:type="spellEnd"/>
            <w:r w:rsidRPr="00D26863">
              <w:t>-[</w:t>
            </w:r>
            <w:proofErr w:type="spellStart"/>
            <w:r w:rsidRPr="00D26863">
              <w:t>def</w:t>
            </w:r>
            <w:proofErr w:type="spellEnd"/>
            <w:r w:rsidRPr="00D26863">
              <w:t>]chrysene</w:t>
            </w:r>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75"/>
          <w:tblHeader/>
        </w:trPr>
        <w:tc>
          <w:tcPr>
            <w:tcW w:w="1639" w:type="dxa"/>
          </w:tcPr>
          <w:p w:rsidR="00ED423B" w:rsidRPr="006D6A7A" w:rsidRDefault="00ED423B" w:rsidP="00BB6679">
            <w:pPr>
              <w:pStyle w:val="TableFigText"/>
            </w:pPr>
            <w:r w:rsidRPr="006D6A7A">
              <w:t>7099-43-6</w:t>
            </w:r>
          </w:p>
        </w:tc>
        <w:tc>
          <w:tcPr>
            <w:tcW w:w="3838" w:type="dxa"/>
          </w:tcPr>
          <w:p w:rsidR="00ED423B" w:rsidRPr="00D26863" w:rsidRDefault="00ED423B" w:rsidP="00BB6679">
            <w:pPr>
              <w:pStyle w:val="TableFigText"/>
            </w:pPr>
            <w:r w:rsidRPr="00D26863">
              <w:t>5,6-</w:t>
            </w:r>
            <w:proofErr w:type="spellStart"/>
            <w:r w:rsidRPr="00D26863">
              <w:t>cyclopenteno</w:t>
            </w:r>
            <w:proofErr w:type="spellEnd"/>
            <w:r w:rsidRPr="00D26863">
              <w:t>-1,2-</w:t>
            </w:r>
            <w:proofErr w:type="spellStart"/>
            <w:r w:rsidRPr="00D26863">
              <w:t>benzanthracene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353"/>
          <w:tblHeader/>
        </w:trPr>
        <w:tc>
          <w:tcPr>
            <w:tcW w:w="1639" w:type="dxa"/>
          </w:tcPr>
          <w:p w:rsidR="00ED423B" w:rsidRPr="006D6A7A" w:rsidRDefault="00ED423B" w:rsidP="00BB6679">
            <w:pPr>
              <w:pStyle w:val="TableFigText"/>
            </w:pPr>
            <w:r w:rsidRPr="006D6A7A">
              <w:t>215-58-7</w:t>
            </w:r>
          </w:p>
        </w:tc>
        <w:tc>
          <w:tcPr>
            <w:tcW w:w="3838" w:type="dxa"/>
          </w:tcPr>
          <w:p w:rsidR="00ED423B" w:rsidRPr="00D26863" w:rsidRDefault="00ED423B" w:rsidP="00BB6679">
            <w:pPr>
              <w:pStyle w:val="TableFigText"/>
            </w:pPr>
            <w:proofErr w:type="spellStart"/>
            <w:r w:rsidRPr="00D26863">
              <w:t>dibenz</w:t>
            </w:r>
            <w:proofErr w:type="spellEnd"/>
            <w:r w:rsidRPr="00D26863">
              <w:t>[</w:t>
            </w:r>
            <w:proofErr w:type="spellStart"/>
            <w:r w:rsidRPr="00D26863">
              <w:t>a,c</w:t>
            </w:r>
            <w:proofErr w:type="spellEnd"/>
            <w:r w:rsidRPr="00D26863">
              <w:t>]</w:t>
            </w:r>
            <w:proofErr w:type="spellStart"/>
            <w:r w:rsidRPr="00D26863">
              <w:t>anthracene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28"/>
          <w:tblHeader/>
        </w:trPr>
        <w:tc>
          <w:tcPr>
            <w:tcW w:w="1639" w:type="dxa"/>
          </w:tcPr>
          <w:p w:rsidR="00ED423B" w:rsidRPr="006D6A7A" w:rsidRDefault="00ED423B" w:rsidP="00BB6679">
            <w:pPr>
              <w:pStyle w:val="TableFigText"/>
            </w:pPr>
            <w:r w:rsidRPr="006D6A7A">
              <w:t>224-41-9</w:t>
            </w:r>
          </w:p>
        </w:tc>
        <w:tc>
          <w:tcPr>
            <w:tcW w:w="3838" w:type="dxa"/>
          </w:tcPr>
          <w:p w:rsidR="00ED423B" w:rsidRPr="00D26863" w:rsidRDefault="00ED423B" w:rsidP="00BB6679">
            <w:pPr>
              <w:pStyle w:val="TableFigText"/>
            </w:pPr>
            <w:proofErr w:type="spellStart"/>
            <w:r w:rsidRPr="00D26863">
              <w:t>dibenz</w:t>
            </w:r>
            <w:proofErr w:type="spellEnd"/>
            <w:r w:rsidRPr="00D26863">
              <w:t>[</w:t>
            </w:r>
            <w:proofErr w:type="spellStart"/>
            <w:r w:rsidRPr="00D26863">
              <w:t>a,j</w:t>
            </w:r>
            <w:proofErr w:type="spellEnd"/>
            <w:r w:rsidRPr="00D26863">
              <w:t>]-</w:t>
            </w:r>
            <w:proofErr w:type="spellStart"/>
            <w:r w:rsidRPr="00D26863">
              <w:t>anthracene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92"/>
          <w:tblHeader/>
        </w:trPr>
        <w:tc>
          <w:tcPr>
            <w:tcW w:w="1639" w:type="dxa"/>
          </w:tcPr>
          <w:p w:rsidR="00ED423B" w:rsidRPr="006D6A7A" w:rsidRDefault="00ED423B" w:rsidP="00BB6679">
            <w:pPr>
              <w:pStyle w:val="TableFigText"/>
            </w:pPr>
            <w:r w:rsidRPr="006D6A7A">
              <w:t>5385-75-1</w:t>
            </w:r>
          </w:p>
        </w:tc>
        <w:tc>
          <w:tcPr>
            <w:tcW w:w="3838" w:type="dxa"/>
          </w:tcPr>
          <w:p w:rsidR="00ED423B" w:rsidRPr="00D26863" w:rsidRDefault="00ED423B" w:rsidP="00BB6679">
            <w:pPr>
              <w:pStyle w:val="TableFigText"/>
            </w:pPr>
            <w:proofErr w:type="spellStart"/>
            <w:r w:rsidRPr="00D26863">
              <w:t>dibenzo</w:t>
            </w:r>
            <w:proofErr w:type="spellEnd"/>
            <w:r w:rsidRPr="00D26863">
              <w:t>[</w:t>
            </w:r>
            <w:proofErr w:type="spellStart"/>
            <w:r w:rsidRPr="00D26863">
              <w:t>a,e</w:t>
            </w:r>
            <w:proofErr w:type="spellEnd"/>
            <w:r w:rsidRPr="00D26863">
              <w:t>]</w:t>
            </w:r>
            <w:proofErr w:type="spellStart"/>
            <w:r w:rsidRPr="00D26863">
              <w:t>fluoranthene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76"/>
          <w:tblHeader/>
        </w:trPr>
        <w:tc>
          <w:tcPr>
            <w:tcW w:w="1639" w:type="dxa"/>
          </w:tcPr>
          <w:p w:rsidR="00ED423B" w:rsidRPr="006D6A7A" w:rsidRDefault="00ED423B" w:rsidP="00BB6679">
            <w:pPr>
              <w:pStyle w:val="TableFigText"/>
            </w:pPr>
            <w:r w:rsidRPr="006D6A7A">
              <w:t>207-83-0</w:t>
            </w:r>
          </w:p>
        </w:tc>
        <w:tc>
          <w:tcPr>
            <w:tcW w:w="3838" w:type="dxa"/>
          </w:tcPr>
          <w:p w:rsidR="00ED423B" w:rsidRPr="00D26863" w:rsidRDefault="00ED423B" w:rsidP="00BB6679">
            <w:pPr>
              <w:pStyle w:val="TableFigText"/>
            </w:pPr>
            <w:proofErr w:type="spellStart"/>
            <w:r w:rsidRPr="00D26863">
              <w:t>13H-dibenzo</w:t>
            </w:r>
            <w:proofErr w:type="spellEnd"/>
            <w:r w:rsidRPr="00D26863">
              <w:t>[</w:t>
            </w:r>
            <w:proofErr w:type="spellStart"/>
            <w:r w:rsidRPr="00D26863">
              <w:t>a,g</w:t>
            </w:r>
            <w:proofErr w:type="spellEnd"/>
            <w:r w:rsidRPr="00D26863">
              <w:t>]</w:t>
            </w:r>
            <w:proofErr w:type="spellStart"/>
            <w:r w:rsidRPr="00D26863">
              <w:t>fluorene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72"/>
          <w:tblHeader/>
        </w:trPr>
        <w:tc>
          <w:tcPr>
            <w:tcW w:w="1639" w:type="dxa"/>
          </w:tcPr>
          <w:p w:rsidR="00ED423B" w:rsidRPr="006D6A7A" w:rsidRDefault="00ED423B" w:rsidP="00BB6679">
            <w:pPr>
              <w:pStyle w:val="TableFigText"/>
            </w:pPr>
            <w:r w:rsidRPr="006D6A7A">
              <w:t>192-47-2</w:t>
            </w:r>
          </w:p>
        </w:tc>
        <w:tc>
          <w:tcPr>
            <w:tcW w:w="3838" w:type="dxa"/>
          </w:tcPr>
          <w:p w:rsidR="00ED423B" w:rsidRPr="00D26863" w:rsidRDefault="00ED423B" w:rsidP="00BB6679">
            <w:pPr>
              <w:pStyle w:val="TableFigText"/>
            </w:pPr>
            <w:proofErr w:type="spellStart"/>
            <w:r w:rsidRPr="00D26863">
              <w:t>dibenzo</w:t>
            </w:r>
            <w:proofErr w:type="spellEnd"/>
            <w:r w:rsidRPr="00D26863">
              <w:t>[</w:t>
            </w:r>
            <w:proofErr w:type="spellStart"/>
            <w:r w:rsidRPr="00D26863">
              <w:t>h,rst</w:t>
            </w:r>
            <w:proofErr w:type="spellEnd"/>
            <w:r w:rsidRPr="00D26863">
              <w:t>]</w:t>
            </w:r>
            <w:proofErr w:type="spellStart"/>
            <w:r w:rsidRPr="00D26863">
              <w:t>pentaphene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99"/>
          <w:tblHeader/>
        </w:trPr>
        <w:tc>
          <w:tcPr>
            <w:tcW w:w="1639" w:type="dxa"/>
          </w:tcPr>
          <w:p w:rsidR="00ED423B" w:rsidRPr="006D6A7A" w:rsidRDefault="00ED423B" w:rsidP="00BB6679">
            <w:pPr>
              <w:pStyle w:val="TableFigText"/>
            </w:pPr>
            <w:r w:rsidRPr="006D6A7A">
              <w:t>192-65-4</w:t>
            </w:r>
          </w:p>
        </w:tc>
        <w:tc>
          <w:tcPr>
            <w:tcW w:w="3838" w:type="dxa"/>
          </w:tcPr>
          <w:p w:rsidR="00ED423B" w:rsidRPr="00D26863" w:rsidRDefault="00ED423B" w:rsidP="00BB6679">
            <w:pPr>
              <w:pStyle w:val="TableFigText"/>
            </w:pPr>
            <w:proofErr w:type="spellStart"/>
            <w:r w:rsidRPr="00D26863">
              <w:t>dibenzo</w:t>
            </w:r>
            <w:proofErr w:type="spellEnd"/>
            <w:r w:rsidRPr="00D26863">
              <w:t>[</w:t>
            </w:r>
            <w:proofErr w:type="spellStart"/>
            <w:r w:rsidRPr="00D26863">
              <w:t>a,e</w:t>
            </w:r>
            <w:proofErr w:type="spellEnd"/>
            <w:r w:rsidRPr="00D26863">
              <w:t>]</w:t>
            </w:r>
            <w:proofErr w:type="spellStart"/>
            <w:r w:rsidRPr="00D26863">
              <w:t>pyrene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r>
              <w:t>RA</w:t>
            </w:r>
          </w:p>
        </w:tc>
        <w:tc>
          <w:tcPr>
            <w:tcW w:w="1163" w:type="dxa"/>
          </w:tcPr>
          <w:p w:rsidR="00ED423B" w:rsidRPr="00D26863" w:rsidRDefault="00ED423B" w:rsidP="00BB6679">
            <w:pPr>
              <w:pStyle w:val="TableFigText"/>
              <w:jc w:val="center"/>
            </w:pPr>
          </w:p>
        </w:tc>
      </w:tr>
      <w:tr w:rsidR="00ED423B" w:rsidRPr="00D26863" w:rsidTr="00BB6679">
        <w:trPr>
          <w:cantSplit/>
          <w:trHeight w:val="231"/>
          <w:tblHeader/>
        </w:trPr>
        <w:tc>
          <w:tcPr>
            <w:tcW w:w="1639" w:type="dxa"/>
          </w:tcPr>
          <w:p w:rsidR="00ED423B" w:rsidRPr="006D6A7A" w:rsidRDefault="00ED423B" w:rsidP="00BB6679">
            <w:pPr>
              <w:pStyle w:val="TableFigText"/>
            </w:pPr>
            <w:r w:rsidRPr="006D6A7A">
              <w:t>192-5</w:t>
            </w:r>
            <w:r>
              <w:t>1-8</w:t>
            </w:r>
          </w:p>
        </w:tc>
        <w:tc>
          <w:tcPr>
            <w:tcW w:w="3838" w:type="dxa"/>
          </w:tcPr>
          <w:p w:rsidR="00ED423B" w:rsidRPr="00D26863" w:rsidRDefault="00ED423B" w:rsidP="00BB6679">
            <w:pPr>
              <w:pStyle w:val="TableFigText"/>
            </w:pPr>
            <w:proofErr w:type="spellStart"/>
            <w:r w:rsidRPr="00D26863">
              <w:t>dibenzo</w:t>
            </w:r>
            <w:proofErr w:type="spellEnd"/>
            <w:r w:rsidRPr="00D26863">
              <w:t>[</w:t>
            </w:r>
            <w:proofErr w:type="spellStart"/>
            <w:r w:rsidRPr="00D26863">
              <w:t>e,l</w:t>
            </w:r>
            <w:proofErr w:type="spellEnd"/>
            <w:r w:rsidRPr="00D26863">
              <w:t>]</w:t>
            </w:r>
            <w:proofErr w:type="spellStart"/>
            <w:r w:rsidRPr="00D26863">
              <w:t>pyrene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45"/>
          <w:tblHeader/>
        </w:trPr>
        <w:tc>
          <w:tcPr>
            <w:tcW w:w="1639" w:type="dxa"/>
          </w:tcPr>
          <w:p w:rsidR="00ED423B" w:rsidRPr="006D6A7A" w:rsidRDefault="00ED423B" w:rsidP="00BB6679">
            <w:pPr>
              <w:pStyle w:val="TableFigText"/>
            </w:pPr>
            <w:r w:rsidRPr="006D6A7A">
              <w:t>641-48-5</w:t>
            </w:r>
          </w:p>
        </w:tc>
        <w:tc>
          <w:tcPr>
            <w:tcW w:w="3838" w:type="dxa"/>
          </w:tcPr>
          <w:p w:rsidR="00ED423B" w:rsidRPr="00D26863" w:rsidRDefault="00ED423B" w:rsidP="00BB6679">
            <w:pPr>
              <w:pStyle w:val="TableFigText"/>
            </w:pPr>
            <w:r w:rsidRPr="00D26863">
              <w:t>1,2-</w:t>
            </w:r>
            <w:proofErr w:type="spellStart"/>
            <w:r w:rsidRPr="00D26863">
              <w:t>dihydroaceanthrylene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33"/>
          <w:tblHeader/>
        </w:trPr>
        <w:tc>
          <w:tcPr>
            <w:tcW w:w="1639" w:type="dxa"/>
          </w:tcPr>
          <w:p w:rsidR="00ED423B" w:rsidRPr="006D6A7A" w:rsidRDefault="00ED423B" w:rsidP="00BB6679">
            <w:pPr>
              <w:pStyle w:val="TableFigText"/>
            </w:pPr>
            <w:r w:rsidRPr="006D6A7A">
              <w:t>22349-59-3</w:t>
            </w:r>
          </w:p>
        </w:tc>
        <w:tc>
          <w:tcPr>
            <w:tcW w:w="3838" w:type="dxa"/>
          </w:tcPr>
          <w:p w:rsidR="00ED423B" w:rsidRPr="00D26863" w:rsidRDefault="00ED423B" w:rsidP="00BB6679">
            <w:pPr>
              <w:pStyle w:val="TableFigText"/>
            </w:pPr>
            <w:r w:rsidRPr="00D26863">
              <w:t>1,4-</w:t>
            </w:r>
            <w:proofErr w:type="spellStart"/>
            <w:r w:rsidRPr="00D26863">
              <w:t>dimethylphenanthrene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326"/>
          <w:tblHeader/>
        </w:trPr>
        <w:tc>
          <w:tcPr>
            <w:tcW w:w="1639" w:type="dxa"/>
          </w:tcPr>
          <w:p w:rsidR="00ED423B" w:rsidRPr="006D6A7A" w:rsidRDefault="00ED423B" w:rsidP="00BB6679">
            <w:pPr>
              <w:pStyle w:val="TableFigText"/>
            </w:pPr>
            <w:r w:rsidRPr="006D6A7A">
              <w:t>206-44-0</w:t>
            </w:r>
          </w:p>
        </w:tc>
        <w:tc>
          <w:tcPr>
            <w:tcW w:w="3838" w:type="dxa"/>
          </w:tcPr>
          <w:p w:rsidR="00ED423B" w:rsidRPr="00D26863" w:rsidRDefault="00ED423B" w:rsidP="00BB6679">
            <w:pPr>
              <w:pStyle w:val="TableFigText"/>
            </w:pPr>
            <w:proofErr w:type="spellStart"/>
            <w:r w:rsidRPr="00D26863">
              <w:t>Fluoranthene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363"/>
          <w:tblHeader/>
        </w:trPr>
        <w:tc>
          <w:tcPr>
            <w:tcW w:w="1639" w:type="dxa"/>
          </w:tcPr>
          <w:p w:rsidR="00ED423B" w:rsidRPr="006D6A7A" w:rsidRDefault="00ED423B" w:rsidP="00BB6679">
            <w:pPr>
              <w:pStyle w:val="TableFigText"/>
            </w:pPr>
            <w:r w:rsidRPr="006D6A7A">
              <w:t>86-73-7</w:t>
            </w:r>
          </w:p>
        </w:tc>
        <w:tc>
          <w:tcPr>
            <w:tcW w:w="3838" w:type="dxa"/>
          </w:tcPr>
          <w:p w:rsidR="00ED423B" w:rsidRPr="00D26863" w:rsidRDefault="00ED423B" w:rsidP="00BB6679">
            <w:pPr>
              <w:pStyle w:val="TableFigText"/>
            </w:pPr>
            <w:proofErr w:type="spellStart"/>
            <w:r w:rsidRPr="00D26863">
              <w:t>Fluorene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72"/>
          <w:tblHeader/>
        </w:trPr>
        <w:tc>
          <w:tcPr>
            <w:tcW w:w="1639" w:type="dxa"/>
          </w:tcPr>
          <w:p w:rsidR="00ED423B" w:rsidRPr="006D6A7A" w:rsidRDefault="00ED423B" w:rsidP="00BB6679">
            <w:pPr>
              <w:pStyle w:val="TableFigText"/>
            </w:pPr>
            <w:r w:rsidRPr="006D6A7A">
              <w:t>3351-28-8</w:t>
            </w:r>
          </w:p>
        </w:tc>
        <w:tc>
          <w:tcPr>
            <w:tcW w:w="3838" w:type="dxa"/>
          </w:tcPr>
          <w:p w:rsidR="00ED423B" w:rsidRPr="00D26863" w:rsidRDefault="00ED423B" w:rsidP="00BB6679">
            <w:pPr>
              <w:pStyle w:val="TableFigText"/>
            </w:pPr>
            <w:r w:rsidRPr="00D26863">
              <w:t>1-</w:t>
            </w:r>
            <w:proofErr w:type="spellStart"/>
            <w:r w:rsidRPr="00D26863">
              <w:t>methylchrysene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34"/>
          <w:tblHeader/>
        </w:trPr>
        <w:tc>
          <w:tcPr>
            <w:tcW w:w="1639" w:type="dxa"/>
          </w:tcPr>
          <w:p w:rsidR="00ED423B" w:rsidRPr="006D6A7A" w:rsidRDefault="00ED423B" w:rsidP="00BB6679">
            <w:pPr>
              <w:pStyle w:val="TableFigText"/>
            </w:pPr>
            <w:r w:rsidRPr="006D6A7A">
              <w:t>3351-32-4</w:t>
            </w:r>
          </w:p>
        </w:tc>
        <w:tc>
          <w:tcPr>
            <w:tcW w:w="3838" w:type="dxa"/>
          </w:tcPr>
          <w:p w:rsidR="00ED423B" w:rsidRPr="00D26863" w:rsidRDefault="00ED423B" w:rsidP="00BB6679">
            <w:pPr>
              <w:pStyle w:val="TableFigText"/>
            </w:pPr>
            <w:r w:rsidRPr="00D26863">
              <w:t>2-</w:t>
            </w:r>
            <w:proofErr w:type="spellStart"/>
            <w:r w:rsidRPr="00D26863">
              <w:t>methylchrysene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316"/>
          <w:tblHeader/>
        </w:trPr>
        <w:tc>
          <w:tcPr>
            <w:tcW w:w="1639" w:type="dxa"/>
          </w:tcPr>
          <w:p w:rsidR="00ED423B" w:rsidRPr="006D6A7A" w:rsidRDefault="00ED423B" w:rsidP="00BB6679">
            <w:pPr>
              <w:pStyle w:val="TableFigText"/>
            </w:pPr>
            <w:r w:rsidRPr="006D6A7A">
              <w:t>3351-31-3</w:t>
            </w:r>
          </w:p>
        </w:tc>
        <w:tc>
          <w:tcPr>
            <w:tcW w:w="3838" w:type="dxa"/>
          </w:tcPr>
          <w:p w:rsidR="00ED423B" w:rsidRPr="00D26863" w:rsidRDefault="00ED423B" w:rsidP="00BB6679">
            <w:pPr>
              <w:pStyle w:val="TableFigText"/>
            </w:pPr>
            <w:r w:rsidRPr="00D26863">
              <w:t>3-</w:t>
            </w:r>
            <w:proofErr w:type="spellStart"/>
            <w:r w:rsidRPr="00D26863">
              <w:t>methylchrysene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86"/>
          <w:tblHeader/>
        </w:trPr>
        <w:tc>
          <w:tcPr>
            <w:tcW w:w="1639" w:type="dxa"/>
          </w:tcPr>
          <w:p w:rsidR="00ED423B" w:rsidRPr="006D6A7A" w:rsidRDefault="00ED423B" w:rsidP="00BB6679">
            <w:pPr>
              <w:pStyle w:val="TableFigText"/>
            </w:pPr>
            <w:r w:rsidRPr="006D6A7A">
              <w:t>3351-30-2</w:t>
            </w:r>
          </w:p>
        </w:tc>
        <w:tc>
          <w:tcPr>
            <w:tcW w:w="3838" w:type="dxa"/>
          </w:tcPr>
          <w:p w:rsidR="00ED423B" w:rsidRPr="00D26863" w:rsidRDefault="00ED423B" w:rsidP="00BB6679">
            <w:pPr>
              <w:pStyle w:val="TableFigText"/>
            </w:pPr>
            <w:r w:rsidRPr="00D26863">
              <w:t>4-</w:t>
            </w:r>
            <w:proofErr w:type="spellStart"/>
            <w:r w:rsidRPr="00D26863">
              <w:t>methylchrysene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99"/>
          <w:tblHeader/>
        </w:trPr>
        <w:tc>
          <w:tcPr>
            <w:tcW w:w="1639" w:type="dxa"/>
          </w:tcPr>
          <w:p w:rsidR="00ED423B" w:rsidRPr="006D6A7A" w:rsidRDefault="00ED423B" w:rsidP="00BB6679">
            <w:pPr>
              <w:pStyle w:val="TableFigText"/>
            </w:pPr>
            <w:r w:rsidRPr="006D6A7A">
              <w:t>1705-85-7</w:t>
            </w:r>
          </w:p>
        </w:tc>
        <w:tc>
          <w:tcPr>
            <w:tcW w:w="3838" w:type="dxa"/>
          </w:tcPr>
          <w:p w:rsidR="00ED423B" w:rsidRPr="00D26863" w:rsidRDefault="00ED423B" w:rsidP="00BB6679">
            <w:pPr>
              <w:pStyle w:val="TableFigText"/>
            </w:pPr>
            <w:r w:rsidRPr="00D26863">
              <w:t>6-</w:t>
            </w:r>
            <w:proofErr w:type="spellStart"/>
            <w:r w:rsidRPr="00D26863">
              <w:t>methylchrysene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58"/>
          <w:tblHeader/>
        </w:trPr>
        <w:tc>
          <w:tcPr>
            <w:tcW w:w="1639" w:type="dxa"/>
          </w:tcPr>
          <w:p w:rsidR="00ED423B" w:rsidRPr="006D6A7A" w:rsidRDefault="00ED423B" w:rsidP="00BB6679">
            <w:pPr>
              <w:pStyle w:val="TableFigText"/>
            </w:pPr>
            <w:r w:rsidRPr="000D580B">
              <w:t>33543-31-6</w:t>
            </w:r>
          </w:p>
        </w:tc>
        <w:tc>
          <w:tcPr>
            <w:tcW w:w="3838" w:type="dxa"/>
          </w:tcPr>
          <w:p w:rsidR="00ED423B" w:rsidRPr="00D26863" w:rsidRDefault="00ED423B" w:rsidP="00BB6679">
            <w:pPr>
              <w:pStyle w:val="TableFigText"/>
            </w:pPr>
            <w:r w:rsidRPr="00D26863">
              <w:t>2-</w:t>
            </w:r>
            <w:proofErr w:type="spellStart"/>
            <w:r w:rsidRPr="00D26863">
              <w:t>methylfluoranthene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312"/>
          <w:tblHeader/>
        </w:trPr>
        <w:tc>
          <w:tcPr>
            <w:tcW w:w="1639" w:type="dxa"/>
          </w:tcPr>
          <w:p w:rsidR="00ED423B" w:rsidRPr="006D6A7A" w:rsidRDefault="00ED423B" w:rsidP="00BB6679">
            <w:pPr>
              <w:pStyle w:val="TableFigText"/>
            </w:pPr>
            <w:r w:rsidRPr="006D6A7A">
              <w:t>1706-01-0</w:t>
            </w:r>
          </w:p>
        </w:tc>
        <w:tc>
          <w:tcPr>
            <w:tcW w:w="3838" w:type="dxa"/>
          </w:tcPr>
          <w:p w:rsidR="00ED423B" w:rsidRPr="00D26863" w:rsidRDefault="00ED423B" w:rsidP="00BB6679">
            <w:pPr>
              <w:pStyle w:val="TableFigText"/>
            </w:pPr>
            <w:r w:rsidRPr="00D26863">
              <w:t>3-</w:t>
            </w:r>
            <w:proofErr w:type="spellStart"/>
            <w:r w:rsidRPr="00D26863">
              <w:t>methylfluoranthene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04"/>
          <w:tblHeader/>
        </w:trPr>
        <w:tc>
          <w:tcPr>
            <w:tcW w:w="1639" w:type="dxa"/>
          </w:tcPr>
          <w:p w:rsidR="00ED423B" w:rsidRPr="006D6A7A" w:rsidRDefault="00ED423B" w:rsidP="00BB6679">
            <w:pPr>
              <w:pStyle w:val="TableFigText"/>
            </w:pPr>
            <w:r w:rsidRPr="006D6A7A">
              <w:t>832-69-9</w:t>
            </w:r>
          </w:p>
        </w:tc>
        <w:tc>
          <w:tcPr>
            <w:tcW w:w="3838" w:type="dxa"/>
          </w:tcPr>
          <w:p w:rsidR="00ED423B" w:rsidRPr="00D26863" w:rsidRDefault="00ED423B" w:rsidP="00BB6679">
            <w:pPr>
              <w:pStyle w:val="TableFigText"/>
            </w:pPr>
            <w:r w:rsidRPr="00D26863">
              <w:t>1-</w:t>
            </w:r>
            <w:proofErr w:type="spellStart"/>
            <w:r w:rsidRPr="00D26863">
              <w:t>methylphenanthrene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45"/>
          <w:tblHeader/>
        </w:trPr>
        <w:tc>
          <w:tcPr>
            <w:tcW w:w="1639" w:type="dxa"/>
          </w:tcPr>
          <w:p w:rsidR="00ED423B" w:rsidRPr="006D6A7A" w:rsidRDefault="00ED423B" w:rsidP="00BB6679">
            <w:pPr>
              <w:pStyle w:val="TableFigText"/>
            </w:pPr>
            <w:r w:rsidRPr="006D6A7A">
              <w:t>111189-32-3</w:t>
            </w:r>
          </w:p>
        </w:tc>
        <w:tc>
          <w:tcPr>
            <w:tcW w:w="3838" w:type="dxa"/>
          </w:tcPr>
          <w:p w:rsidR="00ED423B" w:rsidRPr="00D26863" w:rsidRDefault="00ED423B" w:rsidP="00BB6679">
            <w:pPr>
              <w:pStyle w:val="TableFigText"/>
            </w:pPr>
            <w:proofErr w:type="spellStart"/>
            <w:r w:rsidRPr="00D26863">
              <w:t>naphtho</w:t>
            </w:r>
            <w:proofErr w:type="spellEnd"/>
            <w:r w:rsidRPr="00D26863">
              <w:t>[1,2-b]</w:t>
            </w:r>
            <w:proofErr w:type="spellStart"/>
            <w:r w:rsidRPr="00D26863">
              <w:t>fluoranthene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bl>
    <w:p w:rsidR="00ED423B" w:rsidRDefault="00ED423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Caption w:val="Table 3: Classification and HSIS listings for some individual PAHs-continued"/>
        <w:tblDescription w:val="This table lists 64 individual or groups of PAHS classified by the IARC, the NTP or are listed in HSIS. All but four have been classified by IARC as group 1–3 carcinogens. Those which haven't been classified by the IARC are classified by the NTP as reasonably anticipated to be human carcinogens"/>
      </w:tblPr>
      <w:tblGrid>
        <w:gridCol w:w="1639"/>
        <w:gridCol w:w="3838"/>
        <w:gridCol w:w="1508"/>
        <w:gridCol w:w="1139"/>
        <w:gridCol w:w="1163"/>
      </w:tblGrid>
      <w:tr w:rsidR="00ED423B" w:rsidRPr="00D26863" w:rsidTr="00BB6679">
        <w:trPr>
          <w:cantSplit/>
          <w:trHeight w:val="20"/>
          <w:tblHeader/>
        </w:trPr>
        <w:tc>
          <w:tcPr>
            <w:tcW w:w="1639" w:type="dxa"/>
            <w:vMerge w:val="restart"/>
            <w:tcBorders>
              <w:top w:val="single" w:sz="4" w:space="0" w:color="auto"/>
            </w:tcBorders>
            <w:vAlign w:val="bottom"/>
          </w:tcPr>
          <w:p w:rsidR="00ED423B" w:rsidRPr="006D6A7A" w:rsidRDefault="00ED423B" w:rsidP="00BB6679">
            <w:pPr>
              <w:pStyle w:val="TableFigHeadingText"/>
            </w:pPr>
            <w:r>
              <w:lastRenderedPageBreak/>
              <w:t>Chemical Abstract Service No.</w:t>
            </w:r>
          </w:p>
        </w:tc>
        <w:tc>
          <w:tcPr>
            <w:tcW w:w="3838" w:type="dxa"/>
            <w:vMerge w:val="restart"/>
            <w:tcBorders>
              <w:top w:val="single" w:sz="4" w:space="0" w:color="auto"/>
            </w:tcBorders>
            <w:vAlign w:val="bottom"/>
          </w:tcPr>
          <w:p w:rsidR="00ED423B" w:rsidRPr="00D26863" w:rsidRDefault="00ED423B" w:rsidP="00BB6679">
            <w:pPr>
              <w:pStyle w:val="TableFigHeadingText"/>
            </w:pPr>
            <w:r>
              <w:t>Name</w:t>
            </w:r>
          </w:p>
        </w:tc>
        <w:tc>
          <w:tcPr>
            <w:tcW w:w="3810" w:type="dxa"/>
            <w:gridSpan w:val="3"/>
            <w:tcBorders>
              <w:top w:val="single" w:sz="4" w:space="0" w:color="auto"/>
            </w:tcBorders>
            <w:vAlign w:val="bottom"/>
          </w:tcPr>
          <w:p w:rsidR="00ED423B" w:rsidRPr="00D26863" w:rsidRDefault="00ED423B" w:rsidP="00BB6679">
            <w:pPr>
              <w:pStyle w:val="TableFigHeadingText"/>
            </w:pPr>
            <w:r>
              <w:t>Carcinogen Classification</w:t>
            </w:r>
          </w:p>
        </w:tc>
      </w:tr>
      <w:tr w:rsidR="00ED423B" w:rsidRPr="00D26863" w:rsidTr="00BB6679">
        <w:trPr>
          <w:cantSplit/>
          <w:trHeight w:val="20"/>
          <w:tblHeader/>
        </w:trPr>
        <w:tc>
          <w:tcPr>
            <w:tcW w:w="1639" w:type="dxa"/>
            <w:vMerge/>
            <w:tcBorders>
              <w:bottom w:val="single" w:sz="4" w:space="0" w:color="auto"/>
            </w:tcBorders>
            <w:vAlign w:val="bottom"/>
          </w:tcPr>
          <w:p w:rsidR="00ED423B" w:rsidRDefault="00ED423B" w:rsidP="00BB6679">
            <w:pPr>
              <w:pStyle w:val="TableFigHeadingText"/>
            </w:pPr>
          </w:p>
        </w:tc>
        <w:tc>
          <w:tcPr>
            <w:tcW w:w="3838" w:type="dxa"/>
            <w:vMerge/>
            <w:tcBorders>
              <w:bottom w:val="single" w:sz="4" w:space="0" w:color="auto"/>
            </w:tcBorders>
            <w:vAlign w:val="bottom"/>
          </w:tcPr>
          <w:p w:rsidR="00ED423B" w:rsidRDefault="00ED423B" w:rsidP="00BB6679">
            <w:pPr>
              <w:pStyle w:val="TableFigHeadingText"/>
            </w:pPr>
          </w:p>
        </w:tc>
        <w:tc>
          <w:tcPr>
            <w:tcW w:w="1508" w:type="dxa"/>
            <w:tcBorders>
              <w:bottom w:val="single" w:sz="4" w:space="0" w:color="auto"/>
            </w:tcBorders>
            <w:vAlign w:val="bottom"/>
          </w:tcPr>
          <w:p w:rsidR="00ED423B" w:rsidRPr="00D26863" w:rsidRDefault="00ED423B" w:rsidP="00BB6679">
            <w:pPr>
              <w:pStyle w:val="TableFigHeadingText"/>
              <w:jc w:val="center"/>
            </w:pPr>
            <w:proofErr w:type="spellStart"/>
            <w:r w:rsidRPr="00D26863">
              <w:t>IARC</w:t>
            </w:r>
            <w:proofErr w:type="spellEnd"/>
          </w:p>
        </w:tc>
        <w:tc>
          <w:tcPr>
            <w:tcW w:w="1139" w:type="dxa"/>
            <w:tcBorders>
              <w:bottom w:val="single" w:sz="4" w:space="0" w:color="auto"/>
            </w:tcBorders>
            <w:vAlign w:val="bottom"/>
          </w:tcPr>
          <w:p w:rsidR="00ED423B" w:rsidRPr="00D26863" w:rsidRDefault="00ED423B" w:rsidP="00BB6679">
            <w:pPr>
              <w:pStyle w:val="TableFigHeadingText"/>
              <w:jc w:val="center"/>
            </w:pPr>
            <w:proofErr w:type="spellStart"/>
            <w:r w:rsidRPr="00D26863">
              <w:t>NTP</w:t>
            </w:r>
            <w:proofErr w:type="spellEnd"/>
          </w:p>
        </w:tc>
        <w:tc>
          <w:tcPr>
            <w:tcW w:w="1163" w:type="dxa"/>
            <w:tcBorders>
              <w:bottom w:val="single" w:sz="4" w:space="0" w:color="auto"/>
            </w:tcBorders>
            <w:vAlign w:val="bottom"/>
          </w:tcPr>
          <w:p w:rsidR="00ED423B" w:rsidRPr="00D26863" w:rsidRDefault="00ED423B" w:rsidP="00BB6679">
            <w:pPr>
              <w:pStyle w:val="TableFigHeadingText"/>
              <w:jc w:val="center"/>
            </w:pPr>
            <w:proofErr w:type="spellStart"/>
            <w:r w:rsidRPr="00D26863">
              <w:t>HSIS</w:t>
            </w:r>
            <w:proofErr w:type="spellEnd"/>
          </w:p>
        </w:tc>
      </w:tr>
      <w:tr w:rsidR="00ED423B" w:rsidRPr="00D26863" w:rsidTr="00BB6679">
        <w:trPr>
          <w:cantSplit/>
          <w:trHeight w:val="340"/>
          <w:tblHeader/>
        </w:trPr>
        <w:tc>
          <w:tcPr>
            <w:tcW w:w="1639" w:type="dxa"/>
          </w:tcPr>
          <w:p w:rsidR="00ED423B" w:rsidRPr="006D6A7A" w:rsidRDefault="00ED423B" w:rsidP="00BB6679">
            <w:pPr>
              <w:pStyle w:val="TableFigText"/>
            </w:pPr>
            <w:r w:rsidRPr="006D6A7A">
              <w:t>203-20-3</w:t>
            </w:r>
          </w:p>
        </w:tc>
        <w:tc>
          <w:tcPr>
            <w:tcW w:w="3838" w:type="dxa"/>
          </w:tcPr>
          <w:p w:rsidR="00ED423B" w:rsidRPr="00D26863" w:rsidRDefault="00ED423B" w:rsidP="00BB6679">
            <w:pPr>
              <w:pStyle w:val="TableFigText"/>
            </w:pPr>
            <w:proofErr w:type="spellStart"/>
            <w:r w:rsidRPr="00D26863">
              <w:t>naphtho</w:t>
            </w:r>
            <w:proofErr w:type="spellEnd"/>
            <w:r w:rsidRPr="00D26863">
              <w:t>[2,1-a]-</w:t>
            </w:r>
            <w:proofErr w:type="spellStart"/>
            <w:r w:rsidRPr="00D26863">
              <w:t>fluoranthene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58"/>
          <w:tblHeader/>
        </w:trPr>
        <w:tc>
          <w:tcPr>
            <w:tcW w:w="1639" w:type="dxa"/>
          </w:tcPr>
          <w:p w:rsidR="00ED423B" w:rsidRPr="006D6A7A" w:rsidRDefault="00ED423B" w:rsidP="00BB6679">
            <w:pPr>
              <w:pStyle w:val="TableFigText"/>
            </w:pPr>
            <w:r w:rsidRPr="006D6A7A">
              <w:t>193-09-9</w:t>
            </w:r>
          </w:p>
        </w:tc>
        <w:tc>
          <w:tcPr>
            <w:tcW w:w="3838" w:type="dxa"/>
          </w:tcPr>
          <w:p w:rsidR="00ED423B" w:rsidRPr="00D26863" w:rsidRDefault="00ED423B" w:rsidP="00BB6679">
            <w:pPr>
              <w:pStyle w:val="TableFigText"/>
            </w:pPr>
            <w:proofErr w:type="spellStart"/>
            <w:r w:rsidRPr="00D26863">
              <w:t>naphtho</w:t>
            </w:r>
            <w:proofErr w:type="spellEnd"/>
            <w:r w:rsidRPr="00D26863">
              <w:t>[2,3-e]</w:t>
            </w:r>
            <w:proofErr w:type="spellStart"/>
            <w:r w:rsidRPr="00D26863">
              <w:t>pyrene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34"/>
          <w:tblHeader/>
        </w:trPr>
        <w:tc>
          <w:tcPr>
            <w:tcW w:w="1639" w:type="dxa"/>
          </w:tcPr>
          <w:p w:rsidR="00ED423B" w:rsidRPr="006D6A7A" w:rsidRDefault="00ED423B" w:rsidP="00BB6679">
            <w:pPr>
              <w:pStyle w:val="TableFigText"/>
            </w:pPr>
            <w:r w:rsidRPr="006D6A7A">
              <w:t>198-55-0</w:t>
            </w:r>
          </w:p>
        </w:tc>
        <w:tc>
          <w:tcPr>
            <w:tcW w:w="3838" w:type="dxa"/>
          </w:tcPr>
          <w:p w:rsidR="00ED423B" w:rsidRPr="00D26863" w:rsidRDefault="00ED423B" w:rsidP="00BB6679">
            <w:pPr>
              <w:pStyle w:val="TableFigText"/>
            </w:pPr>
            <w:proofErr w:type="spellStart"/>
            <w:r w:rsidRPr="00D26863">
              <w:t>perylene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72"/>
          <w:tblHeader/>
        </w:trPr>
        <w:tc>
          <w:tcPr>
            <w:tcW w:w="1639" w:type="dxa"/>
          </w:tcPr>
          <w:p w:rsidR="00ED423B" w:rsidRPr="006D6A7A" w:rsidRDefault="00ED423B" w:rsidP="00BB6679">
            <w:pPr>
              <w:pStyle w:val="TableFigText"/>
            </w:pPr>
            <w:r w:rsidRPr="006D6A7A">
              <w:t>85-01-8</w:t>
            </w:r>
          </w:p>
        </w:tc>
        <w:tc>
          <w:tcPr>
            <w:tcW w:w="3838" w:type="dxa"/>
          </w:tcPr>
          <w:p w:rsidR="00ED423B" w:rsidRPr="00D26863" w:rsidRDefault="00ED423B" w:rsidP="00BB6679">
            <w:pPr>
              <w:pStyle w:val="TableFigText"/>
            </w:pPr>
            <w:proofErr w:type="spellStart"/>
            <w:r w:rsidRPr="00D26863">
              <w:t>phenanthrene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95"/>
          <w:tblHeader/>
        </w:trPr>
        <w:tc>
          <w:tcPr>
            <w:tcW w:w="1639" w:type="dxa"/>
          </w:tcPr>
          <w:p w:rsidR="00ED423B" w:rsidRPr="006D6A7A" w:rsidRDefault="00ED423B" w:rsidP="00BB6679">
            <w:pPr>
              <w:pStyle w:val="TableFigText"/>
            </w:pPr>
            <w:r w:rsidRPr="006D6A7A">
              <w:t>213-46-7</w:t>
            </w:r>
          </w:p>
        </w:tc>
        <w:tc>
          <w:tcPr>
            <w:tcW w:w="3838" w:type="dxa"/>
          </w:tcPr>
          <w:p w:rsidR="00ED423B" w:rsidRPr="00D26863" w:rsidRDefault="00ED423B" w:rsidP="00BB6679">
            <w:pPr>
              <w:pStyle w:val="TableFigText"/>
            </w:pPr>
            <w:proofErr w:type="spellStart"/>
            <w:r w:rsidRPr="00D26863">
              <w:t>picene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65"/>
          <w:tblHeader/>
        </w:trPr>
        <w:tc>
          <w:tcPr>
            <w:tcW w:w="1639" w:type="dxa"/>
          </w:tcPr>
          <w:p w:rsidR="00ED423B" w:rsidRPr="006D6A7A" w:rsidRDefault="00ED423B" w:rsidP="00BB6679">
            <w:pPr>
              <w:pStyle w:val="TableFigText"/>
            </w:pPr>
            <w:r w:rsidRPr="006D6A7A">
              <w:t>129-00-0</w:t>
            </w:r>
          </w:p>
        </w:tc>
        <w:tc>
          <w:tcPr>
            <w:tcW w:w="3838" w:type="dxa"/>
          </w:tcPr>
          <w:p w:rsidR="00ED423B" w:rsidRPr="00D26863" w:rsidRDefault="00ED423B" w:rsidP="00BB6679">
            <w:pPr>
              <w:pStyle w:val="TableFigText"/>
            </w:pPr>
            <w:proofErr w:type="spellStart"/>
            <w:r w:rsidRPr="00D26863">
              <w:t>pyrene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D26863" w:rsidTr="00BB6679">
        <w:trPr>
          <w:cantSplit/>
          <w:trHeight w:val="285"/>
          <w:tblHeader/>
        </w:trPr>
        <w:tc>
          <w:tcPr>
            <w:tcW w:w="1639" w:type="dxa"/>
          </w:tcPr>
          <w:p w:rsidR="00ED423B" w:rsidRPr="006D6A7A" w:rsidRDefault="00ED423B" w:rsidP="00BB6679">
            <w:pPr>
              <w:pStyle w:val="TableFigText"/>
            </w:pPr>
            <w:r w:rsidRPr="006D6A7A">
              <w:t>217-59-4</w:t>
            </w:r>
          </w:p>
        </w:tc>
        <w:tc>
          <w:tcPr>
            <w:tcW w:w="3838" w:type="dxa"/>
          </w:tcPr>
          <w:p w:rsidR="00ED423B" w:rsidRPr="00D26863" w:rsidRDefault="00ED423B" w:rsidP="00BB6679">
            <w:pPr>
              <w:pStyle w:val="TableFigText"/>
            </w:pPr>
            <w:proofErr w:type="spellStart"/>
            <w:r w:rsidRPr="00D26863">
              <w:t>triphenylene</w:t>
            </w:r>
            <w:proofErr w:type="spellEnd"/>
          </w:p>
        </w:tc>
        <w:tc>
          <w:tcPr>
            <w:tcW w:w="1508" w:type="dxa"/>
          </w:tcPr>
          <w:p w:rsidR="00ED423B" w:rsidRPr="00D26863" w:rsidRDefault="00ED423B" w:rsidP="00BB6679">
            <w:pPr>
              <w:pStyle w:val="TableFigText"/>
              <w:jc w:val="center"/>
            </w:pPr>
            <w:r w:rsidRPr="00D26863">
              <w:t>3</w:t>
            </w:r>
          </w:p>
        </w:tc>
        <w:tc>
          <w:tcPr>
            <w:tcW w:w="1139" w:type="dxa"/>
          </w:tcPr>
          <w:p w:rsidR="00ED423B" w:rsidRPr="00D26863" w:rsidRDefault="00ED423B" w:rsidP="00BB6679">
            <w:pPr>
              <w:pStyle w:val="TableFigText"/>
              <w:jc w:val="center"/>
            </w:pPr>
          </w:p>
        </w:tc>
        <w:tc>
          <w:tcPr>
            <w:tcW w:w="1163" w:type="dxa"/>
          </w:tcPr>
          <w:p w:rsidR="00ED423B" w:rsidRPr="00D26863" w:rsidRDefault="00ED423B" w:rsidP="00BB6679">
            <w:pPr>
              <w:pStyle w:val="TableFigText"/>
              <w:jc w:val="center"/>
            </w:pPr>
          </w:p>
        </w:tc>
      </w:tr>
      <w:tr w:rsidR="00ED423B" w:rsidRPr="000D580B" w:rsidTr="00BB6679">
        <w:trPr>
          <w:cantSplit/>
          <w:trHeight w:val="283"/>
          <w:tblHeader/>
        </w:trPr>
        <w:tc>
          <w:tcPr>
            <w:tcW w:w="1639" w:type="dxa"/>
          </w:tcPr>
          <w:p w:rsidR="00ED423B" w:rsidRPr="000D580B" w:rsidRDefault="00ED423B" w:rsidP="00BB6679">
            <w:pPr>
              <w:pStyle w:val="TableFigText"/>
            </w:pPr>
            <w:r w:rsidRPr="000D580B">
              <w:t>226-36-8</w:t>
            </w:r>
          </w:p>
        </w:tc>
        <w:tc>
          <w:tcPr>
            <w:tcW w:w="3838" w:type="dxa"/>
          </w:tcPr>
          <w:p w:rsidR="00ED423B" w:rsidRPr="000D580B" w:rsidRDefault="00ED423B" w:rsidP="00BB6679">
            <w:pPr>
              <w:pStyle w:val="TableFigText"/>
            </w:pPr>
            <w:proofErr w:type="spellStart"/>
            <w:r w:rsidRPr="000D580B">
              <w:t>dibenz</w:t>
            </w:r>
            <w:proofErr w:type="spellEnd"/>
            <w:r w:rsidRPr="000D580B">
              <w:t>[</w:t>
            </w:r>
            <w:proofErr w:type="spellStart"/>
            <w:r w:rsidRPr="000D580B">
              <w:t>a,h</w:t>
            </w:r>
            <w:proofErr w:type="spellEnd"/>
            <w:r w:rsidRPr="000D580B">
              <w:t>]</w:t>
            </w:r>
            <w:proofErr w:type="spellStart"/>
            <w:r w:rsidRPr="000D580B">
              <w:t>acridine</w:t>
            </w:r>
            <w:proofErr w:type="spellEnd"/>
          </w:p>
        </w:tc>
        <w:tc>
          <w:tcPr>
            <w:tcW w:w="1508" w:type="dxa"/>
          </w:tcPr>
          <w:p w:rsidR="00ED423B" w:rsidRPr="000D580B" w:rsidRDefault="00ED423B" w:rsidP="00BB6679">
            <w:pPr>
              <w:pStyle w:val="TableFigText"/>
              <w:jc w:val="center"/>
            </w:pPr>
          </w:p>
        </w:tc>
        <w:tc>
          <w:tcPr>
            <w:tcW w:w="1139" w:type="dxa"/>
          </w:tcPr>
          <w:p w:rsidR="00ED423B" w:rsidRPr="000D580B" w:rsidRDefault="00ED423B" w:rsidP="00BB6679">
            <w:pPr>
              <w:pStyle w:val="TableFigText"/>
              <w:jc w:val="center"/>
            </w:pPr>
            <w:r w:rsidRPr="000D580B">
              <w:t>RA</w:t>
            </w:r>
          </w:p>
        </w:tc>
        <w:tc>
          <w:tcPr>
            <w:tcW w:w="1163" w:type="dxa"/>
          </w:tcPr>
          <w:p w:rsidR="00ED423B" w:rsidRPr="000D580B" w:rsidRDefault="00ED423B" w:rsidP="00BB6679">
            <w:pPr>
              <w:pStyle w:val="TableFigText"/>
              <w:jc w:val="center"/>
            </w:pPr>
          </w:p>
        </w:tc>
      </w:tr>
      <w:tr w:rsidR="00ED423B" w:rsidRPr="000D580B" w:rsidTr="00BB6679">
        <w:trPr>
          <w:cantSplit/>
          <w:trHeight w:val="216"/>
          <w:tblHeader/>
        </w:trPr>
        <w:tc>
          <w:tcPr>
            <w:tcW w:w="1639" w:type="dxa"/>
          </w:tcPr>
          <w:p w:rsidR="00ED423B" w:rsidRPr="000D580B" w:rsidRDefault="00ED423B" w:rsidP="00BB6679">
            <w:pPr>
              <w:pStyle w:val="TableFigText"/>
            </w:pPr>
            <w:r w:rsidRPr="000D580B">
              <w:t>224-42-0</w:t>
            </w:r>
          </w:p>
        </w:tc>
        <w:tc>
          <w:tcPr>
            <w:tcW w:w="3838" w:type="dxa"/>
          </w:tcPr>
          <w:p w:rsidR="00ED423B" w:rsidRPr="000D580B" w:rsidRDefault="00ED423B" w:rsidP="00BB6679">
            <w:pPr>
              <w:pStyle w:val="TableFigText"/>
            </w:pPr>
            <w:proofErr w:type="spellStart"/>
            <w:r w:rsidRPr="000D580B">
              <w:t>dibenz</w:t>
            </w:r>
            <w:proofErr w:type="spellEnd"/>
            <w:r w:rsidRPr="000D580B">
              <w:t>[</w:t>
            </w:r>
            <w:proofErr w:type="spellStart"/>
            <w:r w:rsidRPr="000D580B">
              <w:t>a,j</w:t>
            </w:r>
            <w:proofErr w:type="spellEnd"/>
            <w:r w:rsidRPr="000D580B">
              <w:t>]</w:t>
            </w:r>
            <w:proofErr w:type="spellStart"/>
            <w:r w:rsidRPr="000D580B">
              <w:t>acridine</w:t>
            </w:r>
            <w:proofErr w:type="spellEnd"/>
          </w:p>
        </w:tc>
        <w:tc>
          <w:tcPr>
            <w:tcW w:w="1508" w:type="dxa"/>
          </w:tcPr>
          <w:p w:rsidR="00ED423B" w:rsidRPr="000D580B" w:rsidRDefault="00ED423B" w:rsidP="00BB6679">
            <w:pPr>
              <w:pStyle w:val="TableFigText"/>
              <w:jc w:val="center"/>
            </w:pPr>
          </w:p>
        </w:tc>
        <w:tc>
          <w:tcPr>
            <w:tcW w:w="1139" w:type="dxa"/>
          </w:tcPr>
          <w:p w:rsidR="00ED423B" w:rsidRPr="000D580B" w:rsidRDefault="00ED423B" w:rsidP="00BB6679">
            <w:pPr>
              <w:pStyle w:val="TableFigText"/>
              <w:jc w:val="center"/>
            </w:pPr>
            <w:r w:rsidRPr="000D580B">
              <w:t>RA</w:t>
            </w:r>
          </w:p>
        </w:tc>
        <w:tc>
          <w:tcPr>
            <w:tcW w:w="1163" w:type="dxa"/>
          </w:tcPr>
          <w:p w:rsidR="00ED423B" w:rsidRPr="000D580B" w:rsidRDefault="00ED423B" w:rsidP="00BB6679">
            <w:pPr>
              <w:pStyle w:val="TableFigText"/>
              <w:jc w:val="center"/>
            </w:pPr>
          </w:p>
        </w:tc>
      </w:tr>
      <w:tr w:rsidR="00ED423B" w:rsidRPr="000D580B" w:rsidTr="00BB6679">
        <w:trPr>
          <w:cantSplit/>
          <w:trHeight w:val="137"/>
          <w:tblHeader/>
        </w:trPr>
        <w:tc>
          <w:tcPr>
            <w:tcW w:w="1639" w:type="dxa"/>
          </w:tcPr>
          <w:p w:rsidR="00ED423B" w:rsidRPr="000D580B" w:rsidRDefault="00ED423B" w:rsidP="00BB6679">
            <w:pPr>
              <w:pStyle w:val="TableFigText"/>
            </w:pPr>
            <w:r w:rsidRPr="000D580B">
              <w:t>194-59-2</w:t>
            </w:r>
          </w:p>
        </w:tc>
        <w:tc>
          <w:tcPr>
            <w:tcW w:w="3838" w:type="dxa"/>
          </w:tcPr>
          <w:p w:rsidR="00ED423B" w:rsidRPr="000D580B" w:rsidRDefault="00ED423B" w:rsidP="00BB6679">
            <w:pPr>
              <w:pStyle w:val="TableFigText"/>
            </w:pPr>
            <w:proofErr w:type="spellStart"/>
            <w:r w:rsidRPr="000D580B">
              <w:t>7H-dibenzo</w:t>
            </w:r>
            <w:proofErr w:type="spellEnd"/>
            <w:r w:rsidRPr="000D580B">
              <w:t>[</w:t>
            </w:r>
            <w:proofErr w:type="spellStart"/>
            <w:r w:rsidRPr="000D580B">
              <w:t>c,g</w:t>
            </w:r>
            <w:proofErr w:type="spellEnd"/>
            <w:r w:rsidRPr="000D580B">
              <w:t>]</w:t>
            </w:r>
            <w:proofErr w:type="spellStart"/>
            <w:r w:rsidRPr="000D580B">
              <w:t>carbazole</w:t>
            </w:r>
            <w:proofErr w:type="spellEnd"/>
          </w:p>
        </w:tc>
        <w:tc>
          <w:tcPr>
            <w:tcW w:w="1508" w:type="dxa"/>
          </w:tcPr>
          <w:p w:rsidR="00ED423B" w:rsidRPr="000D580B" w:rsidRDefault="00ED423B" w:rsidP="00BB6679">
            <w:pPr>
              <w:pStyle w:val="TableFigText"/>
              <w:jc w:val="center"/>
            </w:pPr>
          </w:p>
        </w:tc>
        <w:tc>
          <w:tcPr>
            <w:tcW w:w="1139" w:type="dxa"/>
          </w:tcPr>
          <w:p w:rsidR="00ED423B" w:rsidRPr="000D580B" w:rsidRDefault="00ED423B" w:rsidP="00BB6679">
            <w:pPr>
              <w:pStyle w:val="TableFigText"/>
              <w:jc w:val="center"/>
            </w:pPr>
            <w:r w:rsidRPr="000D580B">
              <w:t>RA</w:t>
            </w:r>
          </w:p>
        </w:tc>
        <w:tc>
          <w:tcPr>
            <w:tcW w:w="1163" w:type="dxa"/>
          </w:tcPr>
          <w:p w:rsidR="00ED423B" w:rsidRPr="000D580B" w:rsidRDefault="00ED423B" w:rsidP="00BB6679">
            <w:pPr>
              <w:pStyle w:val="TableFigText"/>
              <w:jc w:val="center"/>
            </w:pPr>
          </w:p>
        </w:tc>
      </w:tr>
      <w:tr w:rsidR="00ED423B" w:rsidRPr="000D580B" w:rsidTr="00BB6679">
        <w:trPr>
          <w:cantSplit/>
          <w:trHeight w:val="84"/>
          <w:tblHeader/>
        </w:trPr>
        <w:tc>
          <w:tcPr>
            <w:tcW w:w="1639" w:type="dxa"/>
            <w:tcBorders>
              <w:bottom w:val="single" w:sz="4" w:space="0" w:color="auto"/>
            </w:tcBorders>
          </w:tcPr>
          <w:p w:rsidR="00ED423B" w:rsidRPr="000D580B" w:rsidRDefault="00ED423B" w:rsidP="00BB6679">
            <w:pPr>
              <w:pStyle w:val="TableFigText"/>
            </w:pPr>
            <w:r w:rsidRPr="000D580B">
              <w:t>193-39-5</w:t>
            </w:r>
          </w:p>
        </w:tc>
        <w:tc>
          <w:tcPr>
            <w:tcW w:w="3838" w:type="dxa"/>
            <w:tcBorders>
              <w:bottom w:val="single" w:sz="4" w:space="0" w:color="auto"/>
            </w:tcBorders>
          </w:tcPr>
          <w:p w:rsidR="00ED423B" w:rsidRPr="000D580B" w:rsidRDefault="00ED423B" w:rsidP="00BB6679">
            <w:pPr>
              <w:pStyle w:val="TableFigText"/>
            </w:pPr>
            <w:proofErr w:type="spellStart"/>
            <w:r w:rsidRPr="000D580B">
              <w:t>indeno</w:t>
            </w:r>
            <w:proofErr w:type="spellEnd"/>
            <w:r w:rsidRPr="000D580B">
              <w:t>[1,2,3-cd]</w:t>
            </w:r>
            <w:proofErr w:type="spellStart"/>
            <w:r w:rsidRPr="000D580B">
              <w:t>pyrene</w:t>
            </w:r>
            <w:proofErr w:type="spellEnd"/>
          </w:p>
        </w:tc>
        <w:tc>
          <w:tcPr>
            <w:tcW w:w="1508" w:type="dxa"/>
            <w:tcBorders>
              <w:bottom w:val="single" w:sz="4" w:space="0" w:color="auto"/>
            </w:tcBorders>
          </w:tcPr>
          <w:p w:rsidR="00ED423B" w:rsidRPr="000D580B" w:rsidRDefault="00ED423B" w:rsidP="00BB6679">
            <w:pPr>
              <w:pStyle w:val="TableFigText"/>
              <w:jc w:val="center"/>
            </w:pPr>
          </w:p>
        </w:tc>
        <w:tc>
          <w:tcPr>
            <w:tcW w:w="1139" w:type="dxa"/>
            <w:tcBorders>
              <w:bottom w:val="single" w:sz="4" w:space="0" w:color="auto"/>
            </w:tcBorders>
          </w:tcPr>
          <w:p w:rsidR="00ED423B" w:rsidRPr="000D580B" w:rsidRDefault="00ED423B" w:rsidP="00BB6679">
            <w:pPr>
              <w:pStyle w:val="TableFigText"/>
              <w:jc w:val="center"/>
            </w:pPr>
            <w:r w:rsidRPr="000D580B">
              <w:t>RA</w:t>
            </w:r>
          </w:p>
        </w:tc>
        <w:tc>
          <w:tcPr>
            <w:tcW w:w="1163" w:type="dxa"/>
            <w:tcBorders>
              <w:bottom w:val="single" w:sz="4" w:space="0" w:color="auto"/>
            </w:tcBorders>
          </w:tcPr>
          <w:p w:rsidR="00ED423B" w:rsidRPr="000D580B" w:rsidRDefault="00ED423B" w:rsidP="00BB6679">
            <w:pPr>
              <w:pStyle w:val="TableFigText"/>
              <w:jc w:val="center"/>
            </w:pPr>
          </w:p>
        </w:tc>
      </w:tr>
    </w:tbl>
    <w:p w:rsidR="00ED423B" w:rsidRDefault="00ED423B" w:rsidP="00BB6679">
      <w:pPr>
        <w:pStyle w:val="TableFigNoteOnly"/>
      </w:pPr>
      <w:proofErr w:type="spellStart"/>
      <w:proofErr w:type="gramStart"/>
      <w:r>
        <w:t>n.s</w:t>
      </w:r>
      <w:proofErr w:type="spellEnd"/>
      <w:proofErr w:type="gramEnd"/>
      <w:r>
        <w:t>.</w:t>
      </w:r>
      <w:r>
        <w:tab/>
        <w:t>not specified</w:t>
      </w:r>
    </w:p>
    <w:p w:rsidR="00ED423B" w:rsidRPr="005236E5" w:rsidRDefault="00ED423B" w:rsidP="00BB6679">
      <w:pPr>
        <w:pStyle w:val="Heading1"/>
      </w:pPr>
      <w:bookmarkStart w:id="109" w:name="_Toc401068321"/>
      <w:r w:rsidRPr="005236E5">
        <w:lastRenderedPageBreak/>
        <w:t xml:space="preserve">APPENDIX </w:t>
      </w:r>
      <w:r>
        <w:t>3</w:t>
      </w:r>
      <w:r w:rsidRPr="005236E5">
        <w:t>: Relevant questions and exposure coding rules for example Job-Specific Modules</w:t>
      </w:r>
      <w:bookmarkEnd w:id="109"/>
    </w:p>
    <w:p w:rsidR="00ED423B" w:rsidRPr="00D96AE0" w:rsidRDefault="00ED423B" w:rsidP="00BB6679">
      <w:pPr>
        <w:rPr>
          <w:rStyle w:val="Strong"/>
        </w:rPr>
      </w:pPr>
      <w:r w:rsidRPr="00D96AE0">
        <w:rPr>
          <w:rStyle w:val="Strong"/>
        </w:rPr>
        <w:t>Job-specific module for fire fighting</w:t>
      </w:r>
    </w:p>
    <w:p w:rsidR="00ED423B" w:rsidRPr="005236E5" w:rsidRDefault="00ED423B" w:rsidP="00BB6679">
      <w:r w:rsidRPr="005236E5">
        <w:t>What activities do you mainly perform as a fire fighter</w:t>
      </w:r>
      <w:r>
        <w:t>?</w:t>
      </w:r>
    </w:p>
    <w:p w:rsidR="00ED423B" w:rsidRDefault="00ED423B">
      <w:pPr>
        <w:pStyle w:val="ListParagraph"/>
        <w:numPr>
          <w:ilvl w:val="0"/>
          <w:numId w:val="14"/>
        </w:numPr>
      </w:pPr>
      <w:r>
        <w:t>f</w:t>
      </w:r>
      <w:r w:rsidRPr="005236E5">
        <w:t>rontline fire fighting</w:t>
      </w:r>
    </w:p>
    <w:p w:rsidR="00ED423B" w:rsidRDefault="00ED423B">
      <w:pPr>
        <w:pStyle w:val="ListParagraph"/>
        <w:numPr>
          <w:ilvl w:val="0"/>
          <w:numId w:val="14"/>
        </w:numPr>
      </w:pPr>
      <w:r>
        <w:t>s</w:t>
      </w:r>
      <w:r w:rsidRPr="005236E5">
        <w:t>earch and rescue including motor vehicle accidents</w:t>
      </w:r>
    </w:p>
    <w:p w:rsidR="00ED423B" w:rsidRDefault="00ED423B">
      <w:pPr>
        <w:pStyle w:val="ListParagraph"/>
        <w:numPr>
          <w:ilvl w:val="0"/>
          <w:numId w:val="14"/>
        </w:numPr>
      </w:pPr>
      <w:r>
        <w:t>r</w:t>
      </w:r>
      <w:r w:rsidRPr="005236E5">
        <w:t>espond to Incidents involving hazardous materials</w:t>
      </w:r>
    </w:p>
    <w:p w:rsidR="00ED423B" w:rsidRDefault="00ED423B">
      <w:pPr>
        <w:pStyle w:val="ListParagraph"/>
        <w:numPr>
          <w:ilvl w:val="0"/>
          <w:numId w:val="14"/>
        </w:numPr>
      </w:pPr>
      <w:r>
        <w:t>n</w:t>
      </w:r>
      <w:r w:rsidRPr="005236E5">
        <w:t>atural disaster response</w:t>
      </w:r>
    </w:p>
    <w:p w:rsidR="00ED423B" w:rsidRDefault="00ED423B">
      <w:pPr>
        <w:pStyle w:val="ListParagraph"/>
        <w:numPr>
          <w:ilvl w:val="0"/>
          <w:numId w:val="14"/>
        </w:numPr>
      </w:pPr>
      <w:r>
        <w:t>o</w:t>
      </w:r>
      <w:r w:rsidRPr="005236E5">
        <w:t>verhaul, clean up, and/or sifting through the remains of a fire</w:t>
      </w:r>
    </w:p>
    <w:p w:rsidR="00ED423B" w:rsidRDefault="00ED423B">
      <w:pPr>
        <w:pStyle w:val="ListParagraph"/>
        <w:numPr>
          <w:ilvl w:val="0"/>
          <w:numId w:val="14"/>
        </w:numPr>
      </w:pPr>
      <w:r>
        <w:t>s</w:t>
      </w:r>
      <w:r w:rsidRPr="005236E5">
        <w:t>upport, education, prevention, communications, or management activities</w:t>
      </w:r>
    </w:p>
    <w:p w:rsidR="00ED423B" w:rsidRDefault="00ED423B">
      <w:pPr>
        <w:pStyle w:val="ListParagraph"/>
        <w:numPr>
          <w:ilvl w:val="0"/>
          <w:numId w:val="14"/>
        </w:numPr>
      </w:pPr>
      <w:r>
        <w:t>o</w:t>
      </w:r>
      <w:r w:rsidRPr="005236E5">
        <w:t xml:space="preserve">ther, please specify </w:t>
      </w:r>
    </w:p>
    <w:p w:rsidR="00ED423B" w:rsidRPr="005236E5" w:rsidRDefault="00ED423B" w:rsidP="00BB6679">
      <w:r w:rsidRPr="005236E5">
        <w:t>How often do you wear breathing apparatus during frontline fighting?</w:t>
      </w:r>
    </w:p>
    <w:p w:rsidR="00ED423B" w:rsidRDefault="00ED423B">
      <w:pPr>
        <w:pStyle w:val="ListParagraph"/>
        <w:numPr>
          <w:ilvl w:val="0"/>
          <w:numId w:val="15"/>
        </w:numPr>
      </w:pPr>
      <w:r w:rsidRPr="005236E5">
        <w:t>always</w:t>
      </w:r>
    </w:p>
    <w:p w:rsidR="00ED423B" w:rsidRDefault="00ED423B">
      <w:pPr>
        <w:pStyle w:val="ListParagraph"/>
        <w:numPr>
          <w:ilvl w:val="0"/>
          <w:numId w:val="15"/>
        </w:numPr>
      </w:pPr>
      <w:r w:rsidRPr="005236E5">
        <w:t>more than 50% of the time</w:t>
      </w:r>
    </w:p>
    <w:p w:rsidR="00ED423B" w:rsidRDefault="00ED423B">
      <w:pPr>
        <w:pStyle w:val="ListParagraph"/>
        <w:numPr>
          <w:ilvl w:val="0"/>
          <w:numId w:val="15"/>
        </w:numPr>
      </w:pPr>
      <w:r w:rsidRPr="005236E5">
        <w:t>less than 50% of the time</w:t>
      </w:r>
    </w:p>
    <w:p w:rsidR="00ED423B" w:rsidRDefault="00ED423B">
      <w:pPr>
        <w:pStyle w:val="ListParagraph"/>
        <w:numPr>
          <w:ilvl w:val="0"/>
          <w:numId w:val="15"/>
        </w:numPr>
      </w:pPr>
      <w:r w:rsidRPr="005236E5">
        <w:t>never</w:t>
      </w:r>
    </w:p>
    <w:p w:rsidR="00ED423B" w:rsidRPr="005236E5" w:rsidRDefault="00ED423B" w:rsidP="00BB6679">
      <w:r w:rsidRPr="005236E5">
        <w:t>How often do you wear breathing apparatus during overhaul or clean up?</w:t>
      </w:r>
    </w:p>
    <w:p w:rsidR="00ED423B" w:rsidRDefault="00ED423B">
      <w:pPr>
        <w:pStyle w:val="ListParagraph"/>
        <w:numPr>
          <w:ilvl w:val="0"/>
          <w:numId w:val="16"/>
        </w:numPr>
      </w:pPr>
      <w:r w:rsidRPr="005236E5">
        <w:t>always</w:t>
      </w:r>
    </w:p>
    <w:p w:rsidR="00ED423B" w:rsidRDefault="00ED423B">
      <w:pPr>
        <w:pStyle w:val="ListParagraph"/>
        <w:numPr>
          <w:ilvl w:val="0"/>
          <w:numId w:val="16"/>
        </w:numPr>
      </w:pPr>
      <w:r w:rsidRPr="005236E5">
        <w:t>more than 50% of the time</w:t>
      </w:r>
    </w:p>
    <w:p w:rsidR="00ED423B" w:rsidRDefault="00ED423B">
      <w:pPr>
        <w:pStyle w:val="ListParagraph"/>
        <w:numPr>
          <w:ilvl w:val="0"/>
          <w:numId w:val="16"/>
        </w:numPr>
      </w:pPr>
      <w:r w:rsidRPr="005236E5">
        <w:t>less than 50% of the time</w:t>
      </w:r>
    </w:p>
    <w:p w:rsidR="00ED423B" w:rsidRDefault="00ED423B">
      <w:pPr>
        <w:pStyle w:val="ListParagraph"/>
        <w:numPr>
          <w:ilvl w:val="0"/>
          <w:numId w:val="16"/>
        </w:numPr>
      </w:pPr>
      <w:r w:rsidRPr="005236E5">
        <w:t>never</w:t>
      </w:r>
    </w:p>
    <w:p w:rsidR="00ED423B" w:rsidRPr="005236E5" w:rsidRDefault="00ED423B" w:rsidP="00BB6679">
      <w:r w:rsidRPr="005236E5">
        <w:t xml:space="preserve">Are you involved in back burning, controlled burning, or preventative burning? </w:t>
      </w:r>
    </w:p>
    <w:p w:rsidR="00ED423B" w:rsidRPr="005236E5" w:rsidRDefault="00ED423B" w:rsidP="00BB6679">
      <w:r w:rsidRPr="005236E5">
        <w:t>How often do you wear breathing apparatus when back burning?</w:t>
      </w:r>
    </w:p>
    <w:p w:rsidR="00ED423B" w:rsidRDefault="00ED423B">
      <w:pPr>
        <w:pStyle w:val="ListParagraph"/>
        <w:numPr>
          <w:ilvl w:val="0"/>
          <w:numId w:val="17"/>
        </w:numPr>
      </w:pPr>
      <w:r w:rsidRPr="005236E5">
        <w:t>always</w:t>
      </w:r>
    </w:p>
    <w:p w:rsidR="00ED423B" w:rsidRDefault="00ED423B">
      <w:pPr>
        <w:pStyle w:val="ListParagraph"/>
        <w:numPr>
          <w:ilvl w:val="0"/>
          <w:numId w:val="17"/>
        </w:numPr>
      </w:pPr>
      <w:r w:rsidRPr="005236E5">
        <w:t>more than 50% of the time</w:t>
      </w:r>
    </w:p>
    <w:p w:rsidR="00ED423B" w:rsidRDefault="00ED423B">
      <w:pPr>
        <w:pStyle w:val="ListParagraph"/>
        <w:numPr>
          <w:ilvl w:val="0"/>
          <w:numId w:val="17"/>
        </w:numPr>
      </w:pPr>
      <w:r w:rsidRPr="005236E5">
        <w:t>less than 50% of the time</w:t>
      </w:r>
    </w:p>
    <w:p w:rsidR="00ED423B" w:rsidRDefault="00ED423B">
      <w:pPr>
        <w:pStyle w:val="ListParagraph"/>
        <w:numPr>
          <w:ilvl w:val="0"/>
          <w:numId w:val="17"/>
        </w:numPr>
      </w:pPr>
      <w:r w:rsidRPr="005236E5">
        <w:t>never</w:t>
      </w:r>
    </w:p>
    <w:p w:rsidR="00ED423B" w:rsidRPr="005236E5" w:rsidRDefault="00ED423B" w:rsidP="00BB6679">
      <w:r w:rsidRPr="005236E5">
        <w:t xml:space="preserve">For overall or clean up or back burning, code as </w:t>
      </w:r>
      <w:r w:rsidRPr="00146270">
        <w:rPr>
          <w:rStyle w:val="Strong"/>
        </w:rPr>
        <w:t>high</w:t>
      </w:r>
      <w:r w:rsidRPr="005236E5">
        <w:t xml:space="preserve"> exposure if BA [breathing apparatus] used less than 50%; code as </w:t>
      </w:r>
      <w:r w:rsidRPr="00146270">
        <w:rPr>
          <w:rStyle w:val="Strong"/>
        </w:rPr>
        <w:t>medium</w:t>
      </w:r>
      <w:r w:rsidRPr="005236E5">
        <w:t xml:space="preserve"> if BA used more than 50% of the time or always.</w:t>
      </w:r>
    </w:p>
    <w:p w:rsidR="00ED423B" w:rsidRPr="00146270" w:rsidRDefault="00ED423B" w:rsidP="00BB6679">
      <w:pPr>
        <w:rPr>
          <w:rStyle w:val="Strong"/>
        </w:rPr>
      </w:pPr>
      <w:r w:rsidRPr="00146270">
        <w:rPr>
          <w:rStyle w:val="Strong"/>
        </w:rPr>
        <w:t>Job-specific module for road construction</w:t>
      </w:r>
    </w:p>
    <w:p w:rsidR="00ED423B" w:rsidRDefault="00ED423B" w:rsidP="00BB6679">
      <w:r>
        <w:t>Do you work with hot or cold mix asphalt? [</w:t>
      </w:r>
      <w:proofErr w:type="gramStart"/>
      <w:r>
        <w:t>allow</w:t>
      </w:r>
      <w:proofErr w:type="gramEnd"/>
      <w:r>
        <w:t xml:space="preserve"> multiple]</w:t>
      </w:r>
    </w:p>
    <w:p w:rsidR="00ED423B" w:rsidRDefault="00ED423B">
      <w:pPr>
        <w:pStyle w:val="ListParagraph"/>
        <w:numPr>
          <w:ilvl w:val="0"/>
          <w:numId w:val="18"/>
        </w:numPr>
      </w:pPr>
      <w:r>
        <w:t>hot mix</w:t>
      </w:r>
    </w:p>
    <w:p w:rsidR="00ED423B" w:rsidRDefault="00ED423B">
      <w:pPr>
        <w:pStyle w:val="ListParagraph"/>
        <w:numPr>
          <w:ilvl w:val="0"/>
          <w:numId w:val="18"/>
        </w:numPr>
      </w:pPr>
      <w:r>
        <w:t>cold mix</w:t>
      </w:r>
    </w:p>
    <w:p w:rsidR="00ED423B" w:rsidRDefault="00ED423B">
      <w:pPr>
        <w:pStyle w:val="ListParagraph"/>
        <w:numPr>
          <w:ilvl w:val="0"/>
          <w:numId w:val="18"/>
        </w:numPr>
      </w:pPr>
      <w:r>
        <w:t>other, please describe [free text]</w:t>
      </w:r>
    </w:p>
    <w:p w:rsidR="00ED423B" w:rsidRPr="00570F26" w:rsidRDefault="00ED423B" w:rsidP="00BB6679">
      <w:pPr>
        <w:rPr>
          <w:highlight w:val="green"/>
        </w:rPr>
      </w:pPr>
      <w:proofErr w:type="gramStart"/>
      <w:r>
        <w:t>C</w:t>
      </w:r>
      <w:r w:rsidRPr="005236E5">
        <w:t xml:space="preserve">ode as </w:t>
      </w:r>
      <w:r w:rsidRPr="00146270">
        <w:rPr>
          <w:rStyle w:val="Strong"/>
        </w:rPr>
        <w:t>medium</w:t>
      </w:r>
      <w:r w:rsidRPr="005236E5">
        <w:t xml:space="preserve"> exposure </w:t>
      </w:r>
      <w:r>
        <w:t xml:space="preserve">if hot mix; code as </w:t>
      </w:r>
      <w:r w:rsidRPr="00146270">
        <w:rPr>
          <w:rStyle w:val="Strong"/>
        </w:rPr>
        <w:t>low</w:t>
      </w:r>
      <w:r>
        <w:t xml:space="preserve"> exposure if cold mix.</w:t>
      </w:r>
      <w:proofErr w:type="gramEnd"/>
    </w:p>
    <w:p w:rsidR="00ED423B" w:rsidRPr="00B00F18" w:rsidRDefault="00ED423B" w:rsidP="00BB6679">
      <w:pPr>
        <w:pStyle w:val="Heading1"/>
      </w:pPr>
      <w:bookmarkStart w:id="110" w:name="_Toc401068322"/>
      <w:r w:rsidRPr="00B00F18">
        <w:lastRenderedPageBreak/>
        <w:t xml:space="preserve">APPENDIX </w:t>
      </w:r>
      <w:r>
        <w:t>4</w:t>
      </w:r>
      <w:r w:rsidRPr="00B00F18">
        <w:t>: Tables relevant to Figures presented in Chapter 3</w:t>
      </w:r>
      <w:bookmarkEnd w:id="110"/>
    </w:p>
    <w:p w:rsidR="00ED423B" w:rsidRPr="00B00F18" w:rsidRDefault="00ED423B" w:rsidP="00BB6679">
      <w:pPr>
        <w:pStyle w:val="TableCaption"/>
      </w:pPr>
      <w:bookmarkStart w:id="111" w:name="_Toc361087125"/>
      <w:bookmarkStart w:id="112" w:name="_Toc383378289"/>
      <w:bookmarkStart w:id="113" w:name="_Toc386526224"/>
      <w:bookmarkStart w:id="114" w:name="_Toc401068428"/>
      <w:r w:rsidRPr="00B00F18">
        <w:t xml:space="preserve">Table </w:t>
      </w:r>
      <w:fldSimple w:instr=" SEQ Table_3. \* ARABIC ">
        <w:r>
          <w:rPr>
            <w:noProof/>
          </w:rPr>
          <w:t>4</w:t>
        </w:r>
      </w:fldSimple>
      <w:r>
        <w:t xml:space="preserve">: </w:t>
      </w:r>
      <w:bookmarkEnd w:id="111"/>
      <w:r w:rsidRPr="00B00F18">
        <w:t xml:space="preserve">Occupations of all </w:t>
      </w:r>
      <w:proofErr w:type="spellStart"/>
      <w:r w:rsidRPr="00B00F18">
        <w:t>PAH</w:t>
      </w:r>
      <w:proofErr w:type="spellEnd"/>
      <w:r w:rsidRPr="00B00F18">
        <w:t>-exposed persons—numbers and percentages</w:t>
      </w:r>
      <w:bookmarkEnd w:id="112"/>
      <w:bookmarkEnd w:id="113"/>
      <w:bookmarkEnd w:id="114"/>
    </w:p>
    <w:tbl>
      <w:tblPr>
        <w:tblW w:w="0" w:type="auto"/>
        <w:tblBorders>
          <w:top w:val="single" w:sz="4" w:space="0" w:color="auto"/>
          <w:bottom w:val="single" w:sz="4" w:space="0" w:color="auto"/>
        </w:tblBorders>
        <w:tblLook w:val="00A0" w:firstRow="1" w:lastRow="0" w:firstColumn="1" w:lastColumn="0" w:noHBand="0" w:noVBand="0"/>
        <w:tblCaption w:val="Table 4: Occupations of all PAH-exposed persons—numbers and percentages"/>
        <w:tblDescription w:val="This table shows the occupations of the 297 AWES respondents likely to be exposed to PAHs. They included 99 managers (33.3% of all workers likely to be exposed), 68 technicians and trade workers (23.0%), 43 community and personal services workers (14.5%), 38 professionals (12.8%) and 30 labourers (10.1%). The remaining respondents (apprximately 6.3%) worked in other occupations."/>
      </w:tblPr>
      <w:tblGrid>
        <w:gridCol w:w="3969"/>
        <w:gridCol w:w="1858"/>
        <w:gridCol w:w="1858"/>
      </w:tblGrid>
      <w:tr w:rsidR="00ED423B" w:rsidRPr="00B00F18" w:rsidTr="00BB6679">
        <w:tc>
          <w:tcPr>
            <w:tcW w:w="3969" w:type="dxa"/>
            <w:tcBorders>
              <w:top w:val="single" w:sz="4" w:space="0" w:color="auto"/>
              <w:bottom w:val="single" w:sz="4" w:space="0" w:color="auto"/>
            </w:tcBorders>
          </w:tcPr>
          <w:p w:rsidR="00ED423B" w:rsidRPr="00B00F18" w:rsidRDefault="00ED423B" w:rsidP="00BB6679">
            <w:pPr>
              <w:pStyle w:val="TableFigHeadingText"/>
            </w:pPr>
            <w:r w:rsidRPr="00B00F18">
              <w:t>Occupation</w:t>
            </w:r>
          </w:p>
        </w:tc>
        <w:tc>
          <w:tcPr>
            <w:tcW w:w="1858" w:type="dxa"/>
            <w:tcBorders>
              <w:top w:val="single" w:sz="4" w:space="0" w:color="auto"/>
              <w:bottom w:val="single" w:sz="4" w:space="0" w:color="auto"/>
            </w:tcBorders>
          </w:tcPr>
          <w:p w:rsidR="00ED423B" w:rsidRPr="00B00F18" w:rsidRDefault="00ED423B" w:rsidP="00BB6679">
            <w:pPr>
              <w:pStyle w:val="TableFigHeadingText"/>
              <w:jc w:val="center"/>
            </w:pPr>
            <w:r w:rsidRPr="00B00F18">
              <w:t>Number</w:t>
            </w:r>
          </w:p>
        </w:tc>
        <w:tc>
          <w:tcPr>
            <w:tcW w:w="1858" w:type="dxa"/>
            <w:tcBorders>
              <w:top w:val="single" w:sz="4" w:space="0" w:color="auto"/>
              <w:bottom w:val="single" w:sz="4" w:space="0" w:color="auto"/>
            </w:tcBorders>
          </w:tcPr>
          <w:p w:rsidR="00ED423B" w:rsidRPr="00B00F18" w:rsidRDefault="00ED423B" w:rsidP="00BB6679">
            <w:pPr>
              <w:pStyle w:val="TableFigHeadingText"/>
              <w:jc w:val="center"/>
            </w:pPr>
            <w:r w:rsidRPr="00B00F18">
              <w:t>Per cent</w:t>
            </w:r>
          </w:p>
        </w:tc>
      </w:tr>
      <w:tr w:rsidR="00ED423B" w:rsidRPr="00B00F18" w:rsidTr="00BB6679">
        <w:tc>
          <w:tcPr>
            <w:tcW w:w="3969" w:type="dxa"/>
          </w:tcPr>
          <w:p w:rsidR="00ED423B" w:rsidRPr="00B00F18" w:rsidRDefault="00ED423B" w:rsidP="00BB6679">
            <w:pPr>
              <w:pStyle w:val="TableFigText"/>
            </w:pPr>
            <w:r w:rsidRPr="00B00F18">
              <w:t>Managers</w:t>
            </w:r>
          </w:p>
        </w:tc>
        <w:tc>
          <w:tcPr>
            <w:tcW w:w="1858" w:type="dxa"/>
          </w:tcPr>
          <w:p w:rsidR="00ED423B" w:rsidRPr="00B00F18" w:rsidRDefault="00ED423B" w:rsidP="00BB6679">
            <w:pPr>
              <w:pStyle w:val="TableFigText"/>
              <w:tabs>
                <w:tab w:val="clear" w:pos="425"/>
                <w:tab w:val="clear" w:pos="851"/>
                <w:tab w:val="decimal" w:pos="993"/>
              </w:tabs>
            </w:pPr>
            <w:r w:rsidRPr="00B00F18">
              <w:t>99</w:t>
            </w:r>
          </w:p>
        </w:tc>
        <w:tc>
          <w:tcPr>
            <w:tcW w:w="1858" w:type="dxa"/>
          </w:tcPr>
          <w:p w:rsidR="00ED423B" w:rsidRPr="00B00F18" w:rsidRDefault="00ED423B" w:rsidP="00BB6679">
            <w:pPr>
              <w:pStyle w:val="TableFigText"/>
              <w:tabs>
                <w:tab w:val="clear" w:pos="425"/>
                <w:tab w:val="clear" w:pos="851"/>
                <w:tab w:val="decimal" w:pos="836"/>
              </w:tabs>
            </w:pPr>
            <w:r w:rsidRPr="00B00F18">
              <w:t>33.3</w:t>
            </w:r>
          </w:p>
        </w:tc>
      </w:tr>
      <w:tr w:rsidR="00ED423B" w:rsidRPr="00B00F18" w:rsidTr="00BB6679">
        <w:tc>
          <w:tcPr>
            <w:tcW w:w="3969" w:type="dxa"/>
          </w:tcPr>
          <w:p w:rsidR="00ED423B" w:rsidRPr="00B00F18" w:rsidRDefault="00ED423B" w:rsidP="00BB6679">
            <w:pPr>
              <w:pStyle w:val="TableFigText"/>
            </w:pPr>
            <w:r w:rsidRPr="00B00F18">
              <w:t>Professionals</w:t>
            </w:r>
          </w:p>
        </w:tc>
        <w:tc>
          <w:tcPr>
            <w:tcW w:w="1858" w:type="dxa"/>
          </w:tcPr>
          <w:p w:rsidR="00ED423B" w:rsidRPr="00B00F18" w:rsidRDefault="00ED423B" w:rsidP="00BB6679">
            <w:pPr>
              <w:pStyle w:val="TableFigText"/>
              <w:tabs>
                <w:tab w:val="clear" w:pos="425"/>
                <w:tab w:val="clear" w:pos="851"/>
                <w:tab w:val="decimal" w:pos="993"/>
              </w:tabs>
            </w:pPr>
            <w:r w:rsidRPr="00B00F18">
              <w:t>38</w:t>
            </w:r>
          </w:p>
        </w:tc>
        <w:tc>
          <w:tcPr>
            <w:tcW w:w="1858" w:type="dxa"/>
          </w:tcPr>
          <w:p w:rsidR="00ED423B" w:rsidRPr="00B00F18" w:rsidRDefault="00ED423B" w:rsidP="00BB6679">
            <w:pPr>
              <w:pStyle w:val="TableFigText"/>
              <w:tabs>
                <w:tab w:val="clear" w:pos="425"/>
                <w:tab w:val="clear" w:pos="851"/>
                <w:tab w:val="decimal" w:pos="836"/>
              </w:tabs>
            </w:pPr>
            <w:r w:rsidRPr="00B00F18">
              <w:t>12.8</w:t>
            </w:r>
          </w:p>
        </w:tc>
      </w:tr>
      <w:tr w:rsidR="00ED423B" w:rsidRPr="00B00F18" w:rsidTr="00BB6679">
        <w:tc>
          <w:tcPr>
            <w:tcW w:w="3969" w:type="dxa"/>
          </w:tcPr>
          <w:p w:rsidR="00ED423B" w:rsidRPr="00B00F18" w:rsidRDefault="00ED423B" w:rsidP="00BB6679">
            <w:pPr>
              <w:pStyle w:val="TableFigText"/>
            </w:pPr>
            <w:r w:rsidRPr="00B00F18">
              <w:t>Technicians and trades workers</w:t>
            </w:r>
          </w:p>
        </w:tc>
        <w:tc>
          <w:tcPr>
            <w:tcW w:w="1858" w:type="dxa"/>
          </w:tcPr>
          <w:p w:rsidR="00ED423B" w:rsidRPr="00B00F18" w:rsidRDefault="00ED423B" w:rsidP="00BB6679">
            <w:pPr>
              <w:pStyle w:val="TableFigText"/>
              <w:tabs>
                <w:tab w:val="clear" w:pos="425"/>
                <w:tab w:val="clear" w:pos="851"/>
                <w:tab w:val="decimal" w:pos="993"/>
              </w:tabs>
            </w:pPr>
            <w:r w:rsidRPr="00B00F18">
              <w:t>68</w:t>
            </w:r>
          </w:p>
        </w:tc>
        <w:tc>
          <w:tcPr>
            <w:tcW w:w="1858" w:type="dxa"/>
          </w:tcPr>
          <w:p w:rsidR="00ED423B" w:rsidRPr="00B00F18" w:rsidRDefault="00ED423B" w:rsidP="00BB6679">
            <w:pPr>
              <w:pStyle w:val="TableFigText"/>
              <w:tabs>
                <w:tab w:val="clear" w:pos="425"/>
                <w:tab w:val="clear" w:pos="851"/>
                <w:tab w:val="decimal" w:pos="836"/>
              </w:tabs>
            </w:pPr>
            <w:r w:rsidRPr="00B00F18">
              <w:t>22.9</w:t>
            </w:r>
          </w:p>
        </w:tc>
      </w:tr>
      <w:tr w:rsidR="00ED423B" w:rsidRPr="00B00F18" w:rsidTr="00BB6679">
        <w:tc>
          <w:tcPr>
            <w:tcW w:w="3969" w:type="dxa"/>
          </w:tcPr>
          <w:p w:rsidR="00ED423B" w:rsidRPr="00B00F18" w:rsidRDefault="00ED423B" w:rsidP="00BB6679">
            <w:pPr>
              <w:pStyle w:val="TableFigText"/>
            </w:pPr>
            <w:r w:rsidRPr="00B00F18">
              <w:t>Community and personal service workers</w:t>
            </w:r>
          </w:p>
        </w:tc>
        <w:tc>
          <w:tcPr>
            <w:tcW w:w="1858" w:type="dxa"/>
          </w:tcPr>
          <w:p w:rsidR="00ED423B" w:rsidRPr="00B00F18" w:rsidRDefault="00ED423B" w:rsidP="00BB6679">
            <w:pPr>
              <w:pStyle w:val="TableFigText"/>
              <w:tabs>
                <w:tab w:val="clear" w:pos="425"/>
                <w:tab w:val="clear" w:pos="851"/>
                <w:tab w:val="decimal" w:pos="993"/>
              </w:tabs>
            </w:pPr>
            <w:r w:rsidRPr="00B00F18">
              <w:t>43</w:t>
            </w:r>
          </w:p>
        </w:tc>
        <w:tc>
          <w:tcPr>
            <w:tcW w:w="1858" w:type="dxa"/>
          </w:tcPr>
          <w:p w:rsidR="00ED423B" w:rsidRPr="00B00F18" w:rsidRDefault="00ED423B" w:rsidP="00BB6679">
            <w:pPr>
              <w:pStyle w:val="TableFigText"/>
              <w:tabs>
                <w:tab w:val="clear" w:pos="425"/>
                <w:tab w:val="clear" w:pos="851"/>
                <w:tab w:val="decimal" w:pos="836"/>
              </w:tabs>
            </w:pPr>
            <w:r w:rsidRPr="00B00F18">
              <w:t>14.5</w:t>
            </w:r>
          </w:p>
        </w:tc>
      </w:tr>
      <w:tr w:rsidR="00ED423B" w:rsidRPr="00B00F18" w:rsidTr="00BB6679">
        <w:tc>
          <w:tcPr>
            <w:tcW w:w="3969" w:type="dxa"/>
          </w:tcPr>
          <w:p w:rsidR="00ED423B" w:rsidRPr="00B00F18" w:rsidRDefault="00ED423B" w:rsidP="00BB6679">
            <w:pPr>
              <w:pStyle w:val="TableFigText"/>
            </w:pPr>
            <w:r w:rsidRPr="00B00F18">
              <w:t xml:space="preserve">Clerical and administrative </w:t>
            </w:r>
            <w:proofErr w:type="spellStart"/>
            <w:r w:rsidRPr="00B00F18">
              <w:t>workers</w:t>
            </w:r>
            <w:r w:rsidRPr="00B00F18">
              <w:rPr>
                <w:vertAlign w:val="superscript"/>
              </w:rPr>
              <w:t>1</w:t>
            </w:r>
            <w:proofErr w:type="spellEnd"/>
          </w:p>
        </w:tc>
        <w:tc>
          <w:tcPr>
            <w:tcW w:w="1858" w:type="dxa"/>
          </w:tcPr>
          <w:p w:rsidR="00ED423B" w:rsidRPr="00B00F18" w:rsidRDefault="00ED423B" w:rsidP="00BB6679">
            <w:pPr>
              <w:pStyle w:val="TableFigText"/>
              <w:tabs>
                <w:tab w:val="clear" w:pos="425"/>
                <w:tab w:val="clear" w:pos="851"/>
              </w:tabs>
              <w:jc w:val="center"/>
            </w:pPr>
            <w:r w:rsidRPr="00B00F18">
              <w:t>-</w:t>
            </w:r>
          </w:p>
        </w:tc>
        <w:tc>
          <w:tcPr>
            <w:tcW w:w="1858" w:type="dxa"/>
          </w:tcPr>
          <w:p w:rsidR="00ED423B" w:rsidRPr="00B00F18" w:rsidRDefault="00386765" w:rsidP="00BB6679">
            <w:pPr>
              <w:pStyle w:val="TableFigText"/>
              <w:tabs>
                <w:tab w:val="clear" w:pos="425"/>
                <w:tab w:val="clear" w:pos="851"/>
                <w:tab w:val="decimal" w:pos="836"/>
              </w:tabs>
            </w:pPr>
            <w:r>
              <w:t>-</w:t>
            </w:r>
          </w:p>
        </w:tc>
      </w:tr>
      <w:tr w:rsidR="00ED423B" w:rsidRPr="00B00F18" w:rsidTr="00BB6679">
        <w:tc>
          <w:tcPr>
            <w:tcW w:w="3969" w:type="dxa"/>
          </w:tcPr>
          <w:p w:rsidR="00ED423B" w:rsidRPr="00B00F18" w:rsidRDefault="00ED423B" w:rsidP="00BB6679">
            <w:pPr>
              <w:pStyle w:val="TableFigText"/>
            </w:pPr>
            <w:r w:rsidRPr="00B00F18">
              <w:t>Machinery operators and drivers</w:t>
            </w:r>
          </w:p>
        </w:tc>
        <w:tc>
          <w:tcPr>
            <w:tcW w:w="1858" w:type="dxa"/>
          </w:tcPr>
          <w:p w:rsidR="00ED423B" w:rsidRPr="00B00F18" w:rsidRDefault="00ED423B" w:rsidP="00BB6679">
            <w:pPr>
              <w:pStyle w:val="TableFigText"/>
              <w:tabs>
                <w:tab w:val="clear" w:pos="425"/>
                <w:tab w:val="clear" w:pos="851"/>
                <w:tab w:val="decimal" w:pos="993"/>
              </w:tabs>
            </w:pPr>
            <w:r w:rsidRPr="00B00F18">
              <w:t>17</w:t>
            </w:r>
          </w:p>
        </w:tc>
        <w:tc>
          <w:tcPr>
            <w:tcW w:w="1858" w:type="dxa"/>
          </w:tcPr>
          <w:p w:rsidR="00ED423B" w:rsidRPr="00B00F18" w:rsidRDefault="00ED423B" w:rsidP="00BB6679">
            <w:pPr>
              <w:pStyle w:val="TableFigText"/>
              <w:tabs>
                <w:tab w:val="clear" w:pos="425"/>
                <w:tab w:val="clear" w:pos="851"/>
                <w:tab w:val="decimal" w:pos="836"/>
              </w:tabs>
            </w:pPr>
            <w:r w:rsidRPr="00B00F18">
              <w:t>5.7</w:t>
            </w:r>
          </w:p>
        </w:tc>
      </w:tr>
      <w:tr w:rsidR="00ED423B" w:rsidRPr="00B00F18" w:rsidTr="00BB6679">
        <w:tc>
          <w:tcPr>
            <w:tcW w:w="3969" w:type="dxa"/>
          </w:tcPr>
          <w:p w:rsidR="00ED423B" w:rsidRPr="00B00F18" w:rsidRDefault="00ED423B" w:rsidP="00BB6679">
            <w:pPr>
              <w:pStyle w:val="TableFigText"/>
            </w:pPr>
            <w:r w:rsidRPr="00B00F18">
              <w:t>Labourers</w:t>
            </w:r>
          </w:p>
        </w:tc>
        <w:tc>
          <w:tcPr>
            <w:tcW w:w="1858" w:type="dxa"/>
          </w:tcPr>
          <w:p w:rsidR="00ED423B" w:rsidRPr="00B00F18" w:rsidRDefault="00ED423B" w:rsidP="00BB6679">
            <w:pPr>
              <w:pStyle w:val="TableFigText"/>
              <w:tabs>
                <w:tab w:val="clear" w:pos="425"/>
                <w:tab w:val="clear" w:pos="851"/>
                <w:tab w:val="decimal" w:pos="993"/>
              </w:tabs>
            </w:pPr>
            <w:r w:rsidRPr="00B00F18">
              <w:t>30</w:t>
            </w:r>
          </w:p>
        </w:tc>
        <w:tc>
          <w:tcPr>
            <w:tcW w:w="1858" w:type="dxa"/>
          </w:tcPr>
          <w:p w:rsidR="00ED423B" w:rsidRPr="00B00F18" w:rsidRDefault="00ED423B" w:rsidP="00BB6679">
            <w:pPr>
              <w:pStyle w:val="TableFigText"/>
              <w:tabs>
                <w:tab w:val="clear" w:pos="425"/>
                <w:tab w:val="clear" w:pos="851"/>
                <w:tab w:val="decimal" w:pos="836"/>
              </w:tabs>
            </w:pPr>
            <w:r w:rsidRPr="00B00F18">
              <w:t>10.1</w:t>
            </w:r>
          </w:p>
        </w:tc>
      </w:tr>
      <w:tr w:rsidR="00ED423B" w:rsidRPr="00B00F18" w:rsidTr="00BB6679">
        <w:tc>
          <w:tcPr>
            <w:tcW w:w="3969" w:type="dxa"/>
          </w:tcPr>
          <w:p w:rsidR="00ED423B" w:rsidRPr="00B00F18" w:rsidRDefault="00ED423B" w:rsidP="00BB6679">
            <w:pPr>
              <w:pStyle w:val="TableFigText"/>
            </w:pPr>
            <w:proofErr w:type="spellStart"/>
            <w:r>
              <w:t>Uncertain</w:t>
            </w:r>
            <w:r w:rsidRPr="002E62BA">
              <w:rPr>
                <w:vertAlign w:val="superscript"/>
              </w:rPr>
              <w:t>1</w:t>
            </w:r>
            <w:proofErr w:type="spellEnd"/>
          </w:p>
        </w:tc>
        <w:tc>
          <w:tcPr>
            <w:tcW w:w="1858" w:type="dxa"/>
          </w:tcPr>
          <w:p w:rsidR="00ED423B" w:rsidRPr="00B00F18" w:rsidRDefault="00ED423B" w:rsidP="00BB6679">
            <w:pPr>
              <w:pStyle w:val="TableFigText"/>
              <w:tabs>
                <w:tab w:val="clear" w:pos="425"/>
                <w:tab w:val="clear" w:pos="851"/>
              </w:tabs>
              <w:jc w:val="center"/>
              <w:rPr>
                <w:rFonts w:cs="Verdana"/>
              </w:rPr>
            </w:pPr>
            <w:r>
              <w:rPr>
                <w:rFonts w:cs="Verdana"/>
              </w:rPr>
              <w:t>-</w:t>
            </w:r>
          </w:p>
        </w:tc>
        <w:tc>
          <w:tcPr>
            <w:tcW w:w="1858" w:type="dxa"/>
          </w:tcPr>
          <w:p w:rsidR="00ED423B" w:rsidRPr="00B00F18" w:rsidRDefault="00386765" w:rsidP="00BB6679">
            <w:pPr>
              <w:pStyle w:val="TableFigText"/>
              <w:tabs>
                <w:tab w:val="clear" w:pos="425"/>
                <w:tab w:val="clear" w:pos="851"/>
                <w:tab w:val="decimal" w:pos="836"/>
              </w:tabs>
              <w:rPr>
                <w:rFonts w:cs="Verdana"/>
              </w:rPr>
            </w:pPr>
            <w:r>
              <w:rPr>
                <w:rFonts w:cs="Verdana"/>
              </w:rPr>
              <w:t>-</w:t>
            </w:r>
          </w:p>
        </w:tc>
      </w:tr>
      <w:tr w:rsidR="00ED423B" w:rsidRPr="00B00F18" w:rsidTr="00BB6679">
        <w:tc>
          <w:tcPr>
            <w:tcW w:w="3969" w:type="dxa"/>
            <w:tcBorders>
              <w:bottom w:val="single" w:sz="4" w:space="0" w:color="auto"/>
            </w:tcBorders>
          </w:tcPr>
          <w:p w:rsidR="00ED423B" w:rsidRPr="00B00F18" w:rsidRDefault="00ED423B" w:rsidP="00BB6679">
            <w:pPr>
              <w:pStyle w:val="TableFigHeadingText"/>
            </w:pPr>
            <w:proofErr w:type="spellStart"/>
            <w:r w:rsidRPr="00B00F18">
              <w:t>Total</w:t>
            </w:r>
            <w:r w:rsidRPr="00B00F18">
              <w:rPr>
                <w:vertAlign w:val="superscript"/>
              </w:rPr>
              <w:t>2</w:t>
            </w:r>
            <w:proofErr w:type="spellEnd"/>
          </w:p>
        </w:tc>
        <w:tc>
          <w:tcPr>
            <w:tcW w:w="1858" w:type="dxa"/>
            <w:tcBorders>
              <w:bottom w:val="single" w:sz="4" w:space="0" w:color="auto"/>
            </w:tcBorders>
          </w:tcPr>
          <w:p w:rsidR="00ED423B" w:rsidRPr="00B00F18" w:rsidRDefault="00ED423B" w:rsidP="00BB6679">
            <w:pPr>
              <w:pStyle w:val="TableFigHeadingText"/>
              <w:tabs>
                <w:tab w:val="clear" w:pos="425"/>
                <w:tab w:val="clear" w:pos="851"/>
                <w:tab w:val="decimal" w:pos="993"/>
              </w:tabs>
            </w:pPr>
            <w:r w:rsidRPr="00B00F18">
              <w:t>297</w:t>
            </w:r>
          </w:p>
        </w:tc>
        <w:tc>
          <w:tcPr>
            <w:tcW w:w="1858" w:type="dxa"/>
            <w:tcBorders>
              <w:bottom w:val="single" w:sz="4" w:space="0" w:color="auto"/>
            </w:tcBorders>
          </w:tcPr>
          <w:p w:rsidR="00ED423B" w:rsidRPr="00B00F18" w:rsidRDefault="00ED423B" w:rsidP="00BB6679">
            <w:pPr>
              <w:pStyle w:val="TableFigHeadingText"/>
              <w:tabs>
                <w:tab w:val="clear" w:pos="425"/>
                <w:tab w:val="clear" w:pos="851"/>
                <w:tab w:val="decimal" w:pos="836"/>
              </w:tabs>
            </w:pPr>
            <w:r w:rsidRPr="00B00F18">
              <w:t>100.0</w:t>
            </w:r>
          </w:p>
        </w:tc>
      </w:tr>
    </w:tbl>
    <w:p w:rsidR="00ED423B" w:rsidRPr="00B00F18" w:rsidRDefault="00ED423B" w:rsidP="00BB6679">
      <w:pPr>
        <w:pStyle w:val="TableFigNoteFirst"/>
      </w:pPr>
      <w:r>
        <w:t>Notes:</w:t>
      </w:r>
    </w:p>
    <w:p w:rsidR="00ED423B" w:rsidRPr="00B00F18" w:rsidRDefault="00ED423B" w:rsidP="00BB6679">
      <w:pPr>
        <w:pStyle w:val="TableFigNoteMiddle"/>
      </w:pPr>
      <w:r w:rsidRPr="00B00F18">
        <w:t>1:</w:t>
      </w:r>
      <w:r w:rsidRPr="00B00F18">
        <w:tab/>
        <w:t>There was at least one person from the clerical and administrative workers occupation category</w:t>
      </w:r>
      <w:r>
        <w:t xml:space="preserve"> and one person with uncertain occupation</w:t>
      </w:r>
      <w:r w:rsidRPr="00B00F18">
        <w:t>. Numbers and percentages for th</w:t>
      </w:r>
      <w:r>
        <w:t>is a</w:t>
      </w:r>
      <w:r w:rsidRPr="00B00F18">
        <w:t>re not shown because there were less than three persons in the category. There were no exposed persons from other occupation categories not shown.</w:t>
      </w:r>
    </w:p>
    <w:p w:rsidR="00ED423B" w:rsidRPr="00B00F18" w:rsidRDefault="00ED423B" w:rsidP="00BB6679">
      <w:pPr>
        <w:pStyle w:val="TableFigNoteLast"/>
      </w:pPr>
      <w:r w:rsidRPr="00B00F18">
        <w:t>2:</w:t>
      </w:r>
      <w:r w:rsidRPr="00B00F18">
        <w:tab/>
      </w:r>
      <w:r>
        <w:t>Numbers do not add to the total (</w:t>
      </w:r>
      <w:proofErr w:type="gramStart"/>
      <w:r>
        <w:t>nor</w:t>
      </w:r>
      <w:proofErr w:type="gramEnd"/>
      <w:r>
        <w:t xml:space="preserve"> percentages to 100) because subjects from t</w:t>
      </w:r>
      <w:r w:rsidRPr="00B00F18">
        <w:t>he clerical and administrative workers occupation category</w:t>
      </w:r>
      <w:r>
        <w:t xml:space="preserve"> or with unknown occupation are not included in the table</w:t>
      </w:r>
      <w:r w:rsidRPr="00B00F18">
        <w:t>.</w:t>
      </w:r>
    </w:p>
    <w:p w:rsidR="00ED423B" w:rsidRPr="00E97FA8" w:rsidRDefault="00ED423B" w:rsidP="00BB6679">
      <w:pPr>
        <w:pStyle w:val="TableCaption"/>
      </w:pPr>
      <w:bookmarkStart w:id="115" w:name="_Toc361087126"/>
      <w:bookmarkStart w:id="116" w:name="_Toc383378290"/>
      <w:bookmarkStart w:id="117" w:name="_Toc386526225"/>
      <w:bookmarkStart w:id="118" w:name="_Toc401068429"/>
      <w:r w:rsidRPr="00E97FA8">
        <w:t xml:space="preserve">Table </w:t>
      </w:r>
      <w:fldSimple w:instr=" SEQ Table_3. \* ARABIC ">
        <w:r>
          <w:rPr>
            <w:noProof/>
          </w:rPr>
          <w:t>5</w:t>
        </w:r>
      </w:fldSimple>
      <w:bookmarkEnd w:id="115"/>
      <w:r>
        <w:t xml:space="preserve">: </w:t>
      </w:r>
      <w:r w:rsidRPr="00E97FA8">
        <w:t xml:space="preserve">Industries of all </w:t>
      </w:r>
      <w:proofErr w:type="spellStart"/>
      <w:r>
        <w:t>PAH</w:t>
      </w:r>
      <w:proofErr w:type="spellEnd"/>
      <w:r w:rsidRPr="00E97FA8">
        <w:t>-exposed persons—numbers and percentages</w:t>
      </w:r>
      <w:bookmarkEnd w:id="116"/>
      <w:bookmarkEnd w:id="117"/>
      <w:bookmarkEnd w:id="118"/>
    </w:p>
    <w:tbl>
      <w:tblPr>
        <w:tblW w:w="0" w:type="auto"/>
        <w:tblBorders>
          <w:top w:val="single" w:sz="4" w:space="0" w:color="auto"/>
          <w:bottom w:val="single" w:sz="4" w:space="0" w:color="auto"/>
        </w:tblBorders>
        <w:tblLook w:val="00A0" w:firstRow="1" w:lastRow="0" w:firstColumn="1" w:lastColumn="0" w:noHBand="0" w:noVBand="0"/>
        <w:tblCaption w:val="Table 5: Industries of all PAH-exposed persons—numbers and percentages"/>
        <w:tblDescription w:val="This table shows the industries worked in by the 297 AWES respondents likely to be exposed to PAHs. They included 120 agriculture, forestry and fishing workers (40.4% of all workers likely to be exposed), 40 construction workers (13.5%), 38 health care and social assistance workers (12.8%), 28 public administration and safety workers like fire fighters (9.4%), and 25 accommodation and food services workers (8.4%). The remaining respondents (15.5%) worked across all other industries."/>
      </w:tblPr>
      <w:tblGrid>
        <w:gridCol w:w="3969"/>
        <w:gridCol w:w="1858"/>
        <w:gridCol w:w="13"/>
        <w:gridCol w:w="1845"/>
        <w:gridCol w:w="26"/>
      </w:tblGrid>
      <w:tr w:rsidR="00ED423B" w:rsidRPr="00E97FA8" w:rsidTr="00BB6679">
        <w:trPr>
          <w:gridAfter w:val="1"/>
          <w:wAfter w:w="26" w:type="dxa"/>
        </w:trPr>
        <w:tc>
          <w:tcPr>
            <w:tcW w:w="3969" w:type="dxa"/>
            <w:tcBorders>
              <w:top w:val="single" w:sz="4" w:space="0" w:color="auto"/>
              <w:bottom w:val="single" w:sz="4" w:space="0" w:color="auto"/>
            </w:tcBorders>
          </w:tcPr>
          <w:p w:rsidR="00ED423B" w:rsidRPr="00E97FA8" w:rsidRDefault="00ED423B" w:rsidP="00BB6679">
            <w:pPr>
              <w:pStyle w:val="TableFigHeadingText"/>
            </w:pPr>
            <w:r w:rsidRPr="00E97FA8">
              <w:t>Industry</w:t>
            </w:r>
          </w:p>
        </w:tc>
        <w:tc>
          <w:tcPr>
            <w:tcW w:w="1858" w:type="dxa"/>
            <w:tcBorders>
              <w:top w:val="single" w:sz="4" w:space="0" w:color="auto"/>
              <w:bottom w:val="single" w:sz="4" w:space="0" w:color="auto"/>
            </w:tcBorders>
          </w:tcPr>
          <w:p w:rsidR="00ED423B" w:rsidRPr="00E97FA8" w:rsidRDefault="00ED423B" w:rsidP="00BB6679">
            <w:pPr>
              <w:pStyle w:val="TableFigHeadingText"/>
              <w:jc w:val="center"/>
            </w:pPr>
            <w:r w:rsidRPr="00E97FA8">
              <w:t>Number</w:t>
            </w:r>
          </w:p>
        </w:tc>
        <w:tc>
          <w:tcPr>
            <w:tcW w:w="1858" w:type="dxa"/>
            <w:gridSpan w:val="2"/>
            <w:tcBorders>
              <w:top w:val="single" w:sz="4" w:space="0" w:color="auto"/>
              <w:bottom w:val="single" w:sz="4" w:space="0" w:color="auto"/>
            </w:tcBorders>
          </w:tcPr>
          <w:p w:rsidR="00ED423B" w:rsidRPr="00E97FA8" w:rsidRDefault="00ED423B" w:rsidP="00BB6679">
            <w:pPr>
              <w:pStyle w:val="TableFigHeadingText"/>
              <w:jc w:val="center"/>
            </w:pPr>
            <w:r w:rsidRPr="00E97FA8">
              <w:t>Per cent</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Agriculture, forestry and fishing</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120</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40.4</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Mining</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12</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4.0</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Manufacturing</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11</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3.7</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Construction</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40</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13.5</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Trade (wholesale and retail)</w:t>
            </w:r>
            <w:r w:rsidRPr="00E97FA8">
              <w:rPr>
                <w:vertAlign w:val="superscript"/>
              </w:rPr>
              <w:t>1</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s>
              <w:jc w:val="center"/>
            </w:pPr>
            <w:r w:rsidRPr="00E97FA8">
              <w:t>-</w:t>
            </w:r>
          </w:p>
        </w:tc>
        <w:tc>
          <w:tcPr>
            <w:tcW w:w="1871" w:type="dxa"/>
            <w:gridSpan w:val="2"/>
            <w:tcBorders>
              <w:top w:val="nil"/>
              <w:left w:val="nil"/>
              <w:bottom w:val="nil"/>
              <w:right w:val="nil"/>
            </w:tcBorders>
          </w:tcPr>
          <w:p w:rsidR="00ED423B" w:rsidRPr="00E97FA8" w:rsidRDefault="00386765" w:rsidP="00BB6679">
            <w:pPr>
              <w:pStyle w:val="TableFigText"/>
              <w:tabs>
                <w:tab w:val="clear" w:pos="425"/>
                <w:tab w:val="clear" w:pos="851"/>
              </w:tabs>
              <w:jc w:val="center"/>
            </w:pPr>
            <w:r>
              <w:t>-</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Accommodation and food services</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25</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8.4</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Transport, postal and warehousing</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4</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1.3</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Professional, scientific and technical services</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12</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4.0</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Public administration and safety</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28</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9.4</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 xml:space="preserve">Education and </w:t>
            </w:r>
            <w:proofErr w:type="spellStart"/>
            <w:r w:rsidRPr="00E97FA8">
              <w:t>training</w:t>
            </w:r>
            <w:r w:rsidRPr="00E97FA8">
              <w:rPr>
                <w:vertAlign w:val="superscript"/>
              </w:rPr>
              <w:t>1</w:t>
            </w:r>
            <w:proofErr w:type="spellEnd"/>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s>
              <w:jc w:val="center"/>
            </w:pPr>
            <w:r w:rsidRPr="00E97FA8">
              <w:t>-</w:t>
            </w:r>
          </w:p>
        </w:tc>
        <w:tc>
          <w:tcPr>
            <w:tcW w:w="1871" w:type="dxa"/>
            <w:gridSpan w:val="2"/>
            <w:tcBorders>
              <w:top w:val="nil"/>
              <w:left w:val="nil"/>
              <w:bottom w:val="nil"/>
              <w:right w:val="nil"/>
            </w:tcBorders>
          </w:tcPr>
          <w:p w:rsidR="00ED423B" w:rsidRPr="00E97FA8" w:rsidRDefault="00386765" w:rsidP="00BB6679">
            <w:pPr>
              <w:pStyle w:val="TableFigText"/>
              <w:tabs>
                <w:tab w:val="clear" w:pos="425"/>
                <w:tab w:val="clear" w:pos="851"/>
                <w:tab w:val="decimal" w:pos="823"/>
              </w:tabs>
            </w:pPr>
            <w:r>
              <w:t>-</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BB6679">
            <w:pPr>
              <w:pStyle w:val="TableFigText"/>
            </w:pPr>
            <w:r w:rsidRPr="00E97FA8">
              <w:t>Health care and social assistance</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38</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12.8</w:t>
            </w:r>
          </w:p>
        </w:tc>
      </w:tr>
      <w:tr w:rsidR="00ED423B" w:rsidRPr="00E97FA8"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bottom w:val="nil"/>
              <w:right w:val="nil"/>
            </w:tcBorders>
          </w:tcPr>
          <w:p w:rsidR="00ED423B" w:rsidRPr="00E97FA8" w:rsidRDefault="00ED423B" w:rsidP="00824292">
            <w:pPr>
              <w:pStyle w:val="TableFigText"/>
            </w:pPr>
            <w:r w:rsidRPr="00E97FA8">
              <w:t>Uncertain</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993"/>
              </w:tabs>
            </w:pPr>
            <w:r w:rsidRPr="00E97FA8">
              <w:t>4</w:t>
            </w:r>
          </w:p>
        </w:tc>
        <w:tc>
          <w:tcPr>
            <w:tcW w:w="1871" w:type="dxa"/>
            <w:gridSpan w:val="2"/>
            <w:tcBorders>
              <w:top w:val="nil"/>
              <w:left w:val="nil"/>
              <w:bottom w:val="nil"/>
              <w:right w:val="nil"/>
            </w:tcBorders>
          </w:tcPr>
          <w:p w:rsidR="00ED423B" w:rsidRPr="00E97FA8" w:rsidRDefault="00ED423B" w:rsidP="00BB6679">
            <w:pPr>
              <w:pStyle w:val="TableFigText"/>
              <w:tabs>
                <w:tab w:val="clear" w:pos="425"/>
                <w:tab w:val="clear" w:pos="851"/>
                <w:tab w:val="decimal" w:pos="823"/>
              </w:tabs>
            </w:pPr>
            <w:r w:rsidRPr="00E97FA8">
              <w:t>1.3</w:t>
            </w:r>
          </w:p>
        </w:tc>
      </w:tr>
      <w:tr w:rsidR="00ED423B" w:rsidRPr="001C462D" w:rsidTr="00BB6679">
        <w:tblPrEx>
          <w:tblBorders>
            <w:left w:val="single" w:sz="4" w:space="0" w:color="auto"/>
            <w:right w:val="single" w:sz="4" w:space="0" w:color="auto"/>
            <w:insideH w:val="single" w:sz="4" w:space="0" w:color="auto"/>
            <w:insideV w:val="single" w:sz="4" w:space="0" w:color="auto"/>
          </w:tblBorders>
        </w:tblPrEx>
        <w:tc>
          <w:tcPr>
            <w:tcW w:w="3969" w:type="dxa"/>
            <w:tcBorders>
              <w:top w:val="nil"/>
              <w:left w:val="nil"/>
              <w:right w:val="nil"/>
            </w:tcBorders>
          </w:tcPr>
          <w:p w:rsidR="00ED423B" w:rsidRPr="00E97FA8" w:rsidRDefault="00ED423B" w:rsidP="00BB6679">
            <w:pPr>
              <w:pStyle w:val="TableFigHeadingText"/>
            </w:pPr>
            <w:proofErr w:type="spellStart"/>
            <w:r w:rsidRPr="00E97FA8">
              <w:t>Total</w:t>
            </w:r>
            <w:r w:rsidRPr="00E97FA8">
              <w:rPr>
                <w:vertAlign w:val="superscript"/>
              </w:rPr>
              <w:t>2</w:t>
            </w:r>
            <w:proofErr w:type="spellEnd"/>
          </w:p>
        </w:tc>
        <w:tc>
          <w:tcPr>
            <w:tcW w:w="1871" w:type="dxa"/>
            <w:gridSpan w:val="2"/>
            <w:tcBorders>
              <w:top w:val="nil"/>
              <w:left w:val="nil"/>
              <w:right w:val="nil"/>
            </w:tcBorders>
          </w:tcPr>
          <w:p w:rsidR="00ED423B" w:rsidRPr="00E97FA8" w:rsidRDefault="00ED423B" w:rsidP="00BB6679">
            <w:pPr>
              <w:pStyle w:val="TableFigHeadingText"/>
              <w:tabs>
                <w:tab w:val="clear" w:pos="425"/>
                <w:tab w:val="clear" w:pos="851"/>
                <w:tab w:val="decimal" w:pos="993"/>
              </w:tabs>
            </w:pPr>
            <w:r w:rsidRPr="00E97FA8">
              <w:t>297</w:t>
            </w:r>
          </w:p>
        </w:tc>
        <w:tc>
          <w:tcPr>
            <w:tcW w:w="1871" w:type="dxa"/>
            <w:gridSpan w:val="2"/>
            <w:tcBorders>
              <w:top w:val="nil"/>
              <w:left w:val="nil"/>
              <w:right w:val="nil"/>
            </w:tcBorders>
          </w:tcPr>
          <w:p w:rsidR="00ED423B" w:rsidRPr="00E97FA8" w:rsidRDefault="00ED423B" w:rsidP="00BB6679">
            <w:pPr>
              <w:pStyle w:val="TableFigHeadingText"/>
              <w:tabs>
                <w:tab w:val="clear" w:pos="425"/>
                <w:tab w:val="clear" w:pos="851"/>
                <w:tab w:val="decimal" w:pos="823"/>
              </w:tabs>
            </w:pPr>
            <w:r w:rsidRPr="00E97FA8">
              <w:t>100.0</w:t>
            </w:r>
          </w:p>
        </w:tc>
      </w:tr>
    </w:tbl>
    <w:p w:rsidR="00ED423B" w:rsidRPr="00146270" w:rsidRDefault="00ED423B" w:rsidP="00BB6679">
      <w:pPr>
        <w:pStyle w:val="TableFigNoteFirst"/>
      </w:pPr>
      <w:r w:rsidRPr="00146270">
        <w:t>Notes:</w:t>
      </w:r>
    </w:p>
    <w:p w:rsidR="00ED423B" w:rsidRPr="00B00F18" w:rsidRDefault="00ED423B" w:rsidP="00BB6679">
      <w:pPr>
        <w:pStyle w:val="TableFigNoteMiddle"/>
      </w:pPr>
      <w:r w:rsidRPr="00B00F18">
        <w:t>1:</w:t>
      </w:r>
      <w:r w:rsidRPr="00B00F18">
        <w:tab/>
        <w:t xml:space="preserve">There was at least one person from </w:t>
      </w:r>
      <w:r>
        <w:t xml:space="preserve">each of </w:t>
      </w:r>
      <w:r w:rsidRPr="00B00F18">
        <w:t xml:space="preserve">the </w:t>
      </w:r>
      <w:r>
        <w:t>trade and the education and training industry categories</w:t>
      </w:r>
      <w:r w:rsidRPr="00B00F18">
        <w:t>. Numbers and percentages for these are not shown because there were less than three persons i</w:t>
      </w:r>
      <w:r>
        <w:t>n each</w:t>
      </w:r>
      <w:r w:rsidRPr="00B00F18">
        <w:t xml:space="preserve"> category. There were no exposed persons from other </w:t>
      </w:r>
      <w:r>
        <w:t xml:space="preserve">industry </w:t>
      </w:r>
      <w:r w:rsidRPr="00B00F18">
        <w:t>categories not shown.</w:t>
      </w:r>
    </w:p>
    <w:p w:rsidR="00ED423B" w:rsidRPr="00B00F18" w:rsidRDefault="00ED423B" w:rsidP="00BB6679">
      <w:pPr>
        <w:pStyle w:val="TableFigNoteLast"/>
      </w:pPr>
      <w:r w:rsidRPr="00B00F18">
        <w:t>2:</w:t>
      </w:r>
      <w:r w:rsidRPr="00B00F18">
        <w:tab/>
      </w:r>
      <w:r>
        <w:t>Numbers do not add to the total (</w:t>
      </w:r>
      <w:proofErr w:type="gramStart"/>
      <w:r>
        <w:t>nor</w:t>
      </w:r>
      <w:proofErr w:type="gramEnd"/>
      <w:r>
        <w:t xml:space="preserve"> percentages to 100) because subjects from </w:t>
      </w:r>
      <w:r w:rsidRPr="00B00F18">
        <w:t xml:space="preserve">the </w:t>
      </w:r>
      <w:r>
        <w:t>trade and the education and training industry categories or with uncertain industry are not included in the table</w:t>
      </w:r>
      <w:r w:rsidRPr="00B00F18">
        <w:t>.</w:t>
      </w:r>
    </w:p>
    <w:p w:rsidR="00ED423B" w:rsidRPr="00B758F1" w:rsidRDefault="00ED423B" w:rsidP="00BB6679">
      <w:pPr>
        <w:pStyle w:val="TableCaption"/>
      </w:pPr>
      <w:r w:rsidRPr="00570F26">
        <w:rPr>
          <w:highlight w:val="green"/>
        </w:rPr>
        <w:br w:type="page"/>
      </w:r>
      <w:bookmarkStart w:id="119" w:name="_Toc361087127"/>
      <w:bookmarkStart w:id="120" w:name="_Toc383378291"/>
      <w:bookmarkStart w:id="121" w:name="_Toc386526226"/>
      <w:bookmarkStart w:id="122" w:name="_Toc401068430"/>
      <w:r w:rsidRPr="00B758F1">
        <w:lastRenderedPageBreak/>
        <w:t xml:space="preserve">Table </w:t>
      </w:r>
      <w:fldSimple w:instr=" SEQ Table_3. \* ARABIC ">
        <w:r>
          <w:rPr>
            <w:noProof/>
          </w:rPr>
          <w:t>6</w:t>
        </w:r>
      </w:fldSimple>
      <w:bookmarkEnd w:id="119"/>
      <w:r>
        <w:t xml:space="preserve">: </w:t>
      </w:r>
      <w:r w:rsidRPr="00B758F1">
        <w:t xml:space="preserve">Proportions of respondents in each occupation who were exposed to </w:t>
      </w:r>
      <w:proofErr w:type="spellStart"/>
      <w:r>
        <w:t>PAHs</w:t>
      </w:r>
      <w:proofErr w:type="spellEnd"/>
      <w:r w:rsidRPr="00B758F1">
        <w:t>—per cent</w:t>
      </w:r>
      <w:bookmarkEnd w:id="120"/>
      <w:bookmarkEnd w:id="121"/>
      <w:bookmarkEnd w:id="122"/>
    </w:p>
    <w:tbl>
      <w:tblPr>
        <w:tblW w:w="0" w:type="auto"/>
        <w:tblBorders>
          <w:top w:val="single" w:sz="4" w:space="0" w:color="auto"/>
          <w:bottom w:val="single" w:sz="4" w:space="0" w:color="auto"/>
        </w:tblBorders>
        <w:tblLook w:val="00A0" w:firstRow="1" w:lastRow="0" w:firstColumn="1" w:lastColumn="0" w:noHBand="0" w:noVBand="0"/>
        <w:tblCaption w:val="Table 6: Proportions of respondents in each occupation who were exposed to PAHs—per cent"/>
        <w:tblDescription w:val="This table shows the proportion of all AWES respondents by gender within each occupational category who were likely to be exposed to PAHs.&#10;Of AWES respondents, 26.1 % of male managers, 10.7% of male labourers, 9.5% of male technicians and trade workers and 9.0% of male professionals were considered to be exposed to PAHs. By comparison, only 5.8% of female professionals, 5.7% of female managers, and 5.5% of female labourers were considered to be exposed to PAHs. &#10;"/>
      </w:tblPr>
      <w:tblGrid>
        <w:gridCol w:w="3846"/>
        <w:gridCol w:w="1829"/>
        <w:gridCol w:w="1840"/>
        <w:gridCol w:w="1772"/>
      </w:tblGrid>
      <w:tr w:rsidR="00ED423B" w:rsidRPr="00B758F1" w:rsidTr="00BB6679">
        <w:tc>
          <w:tcPr>
            <w:tcW w:w="3846" w:type="dxa"/>
            <w:tcBorders>
              <w:top w:val="single" w:sz="4" w:space="0" w:color="auto"/>
              <w:bottom w:val="single" w:sz="4" w:space="0" w:color="auto"/>
            </w:tcBorders>
          </w:tcPr>
          <w:p w:rsidR="00ED423B" w:rsidRPr="00B758F1" w:rsidRDefault="00ED423B" w:rsidP="00BB6679">
            <w:pPr>
              <w:pStyle w:val="TableFigHeadingText"/>
            </w:pPr>
            <w:r w:rsidRPr="00B758F1">
              <w:t>Occupation</w:t>
            </w:r>
          </w:p>
        </w:tc>
        <w:tc>
          <w:tcPr>
            <w:tcW w:w="1829" w:type="dxa"/>
            <w:tcBorders>
              <w:top w:val="single" w:sz="4" w:space="0" w:color="auto"/>
              <w:bottom w:val="single" w:sz="4" w:space="0" w:color="auto"/>
            </w:tcBorders>
          </w:tcPr>
          <w:p w:rsidR="00ED423B" w:rsidRPr="00B758F1" w:rsidRDefault="00ED423B" w:rsidP="00BB6679">
            <w:pPr>
              <w:pStyle w:val="TableFigHeadingText"/>
              <w:jc w:val="center"/>
            </w:pPr>
            <w:r w:rsidRPr="00B758F1">
              <w:t>Male</w:t>
            </w:r>
          </w:p>
        </w:tc>
        <w:tc>
          <w:tcPr>
            <w:tcW w:w="1840" w:type="dxa"/>
            <w:tcBorders>
              <w:top w:val="single" w:sz="4" w:space="0" w:color="auto"/>
              <w:bottom w:val="single" w:sz="4" w:space="0" w:color="auto"/>
            </w:tcBorders>
          </w:tcPr>
          <w:p w:rsidR="00ED423B" w:rsidRPr="00B758F1" w:rsidRDefault="00ED423B" w:rsidP="00BB6679">
            <w:pPr>
              <w:pStyle w:val="TableFigHeadingText"/>
              <w:jc w:val="center"/>
            </w:pPr>
            <w:r w:rsidRPr="00B758F1">
              <w:t>Female</w:t>
            </w:r>
          </w:p>
        </w:tc>
        <w:tc>
          <w:tcPr>
            <w:tcW w:w="1772" w:type="dxa"/>
            <w:tcBorders>
              <w:top w:val="single" w:sz="4" w:space="0" w:color="auto"/>
              <w:bottom w:val="single" w:sz="4" w:space="0" w:color="auto"/>
            </w:tcBorders>
          </w:tcPr>
          <w:p w:rsidR="00ED423B" w:rsidRPr="00B758F1" w:rsidRDefault="00ED423B" w:rsidP="00BB6679">
            <w:pPr>
              <w:pStyle w:val="TableFigHeadingText"/>
              <w:jc w:val="center"/>
            </w:pPr>
            <w:r w:rsidRPr="00B758F1">
              <w:t>Total</w:t>
            </w:r>
          </w:p>
        </w:tc>
      </w:tr>
      <w:tr w:rsidR="00ED423B" w:rsidRPr="00B758F1" w:rsidTr="00BB6679">
        <w:tc>
          <w:tcPr>
            <w:tcW w:w="3846" w:type="dxa"/>
          </w:tcPr>
          <w:p w:rsidR="00ED423B" w:rsidRPr="00B758F1" w:rsidRDefault="00ED423B" w:rsidP="00BB6679">
            <w:pPr>
              <w:pStyle w:val="TableFigText"/>
            </w:pPr>
            <w:r w:rsidRPr="00B758F1">
              <w:t>Managers</w:t>
            </w:r>
          </w:p>
        </w:tc>
        <w:tc>
          <w:tcPr>
            <w:tcW w:w="1829" w:type="dxa"/>
          </w:tcPr>
          <w:p w:rsidR="00ED423B" w:rsidRPr="00B758F1" w:rsidRDefault="00ED423B" w:rsidP="00BB6679">
            <w:pPr>
              <w:pStyle w:val="TableFigText"/>
              <w:tabs>
                <w:tab w:val="clear" w:pos="425"/>
                <w:tab w:val="clear" w:pos="851"/>
                <w:tab w:val="decimal" w:pos="832"/>
              </w:tabs>
            </w:pPr>
            <w:r w:rsidRPr="00B758F1">
              <w:t>26.1</w:t>
            </w:r>
          </w:p>
        </w:tc>
        <w:tc>
          <w:tcPr>
            <w:tcW w:w="1840" w:type="dxa"/>
          </w:tcPr>
          <w:p w:rsidR="00ED423B" w:rsidRPr="00B758F1" w:rsidRDefault="00ED423B" w:rsidP="00BB6679">
            <w:pPr>
              <w:pStyle w:val="TableFigText"/>
              <w:tabs>
                <w:tab w:val="clear" w:pos="425"/>
                <w:tab w:val="clear" w:pos="851"/>
                <w:tab w:val="decimal" w:pos="832"/>
              </w:tabs>
            </w:pPr>
            <w:r w:rsidRPr="00B758F1">
              <w:t>5.7</w:t>
            </w:r>
          </w:p>
        </w:tc>
        <w:tc>
          <w:tcPr>
            <w:tcW w:w="1772" w:type="dxa"/>
          </w:tcPr>
          <w:p w:rsidR="00ED423B" w:rsidRPr="00B758F1" w:rsidRDefault="00ED423B" w:rsidP="00BB6679">
            <w:pPr>
              <w:pStyle w:val="TableFigText"/>
              <w:tabs>
                <w:tab w:val="clear" w:pos="425"/>
                <w:tab w:val="clear" w:pos="851"/>
                <w:tab w:val="decimal" w:pos="832"/>
              </w:tabs>
            </w:pPr>
            <w:r w:rsidRPr="00B758F1">
              <w:t>15.4</w:t>
            </w:r>
          </w:p>
        </w:tc>
      </w:tr>
      <w:tr w:rsidR="00ED423B" w:rsidRPr="00B758F1" w:rsidTr="00BB6679">
        <w:tc>
          <w:tcPr>
            <w:tcW w:w="3846" w:type="dxa"/>
          </w:tcPr>
          <w:p w:rsidR="00ED423B" w:rsidRPr="00B758F1" w:rsidRDefault="00ED423B" w:rsidP="00BB6679">
            <w:pPr>
              <w:pStyle w:val="TableFigText"/>
            </w:pPr>
            <w:r w:rsidRPr="00B758F1">
              <w:t>Professionals</w:t>
            </w:r>
          </w:p>
        </w:tc>
        <w:tc>
          <w:tcPr>
            <w:tcW w:w="1829" w:type="dxa"/>
          </w:tcPr>
          <w:p w:rsidR="00ED423B" w:rsidRPr="00B758F1" w:rsidRDefault="00ED423B" w:rsidP="00BB6679">
            <w:pPr>
              <w:pStyle w:val="TableFigText"/>
              <w:tabs>
                <w:tab w:val="clear" w:pos="425"/>
                <w:tab w:val="clear" w:pos="851"/>
                <w:tab w:val="decimal" w:pos="832"/>
              </w:tabs>
            </w:pPr>
            <w:r w:rsidRPr="00B758F1">
              <w:t>9.0</w:t>
            </w:r>
          </w:p>
        </w:tc>
        <w:tc>
          <w:tcPr>
            <w:tcW w:w="1840" w:type="dxa"/>
          </w:tcPr>
          <w:p w:rsidR="00ED423B" w:rsidRPr="00B758F1" w:rsidRDefault="00ED423B" w:rsidP="00BB6679">
            <w:pPr>
              <w:pStyle w:val="TableFigText"/>
              <w:tabs>
                <w:tab w:val="clear" w:pos="425"/>
                <w:tab w:val="clear" w:pos="851"/>
                <w:tab w:val="decimal" w:pos="832"/>
              </w:tabs>
            </w:pPr>
            <w:r w:rsidRPr="00B758F1">
              <w:t>5.8</w:t>
            </w:r>
          </w:p>
        </w:tc>
        <w:tc>
          <w:tcPr>
            <w:tcW w:w="1772" w:type="dxa"/>
          </w:tcPr>
          <w:p w:rsidR="00ED423B" w:rsidRPr="00B758F1" w:rsidRDefault="00ED423B" w:rsidP="00BB6679">
            <w:pPr>
              <w:pStyle w:val="TableFigText"/>
              <w:tabs>
                <w:tab w:val="clear" w:pos="425"/>
                <w:tab w:val="clear" w:pos="851"/>
                <w:tab w:val="decimal" w:pos="832"/>
              </w:tabs>
            </w:pPr>
            <w:r w:rsidRPr="00B758F1">
              <w:t>7.4</w:t>
            </w:r>
          </w:p>
        </w:tc>
      </w:tr>
      <w:tr w:rsidR="00ED423B" w:rsidRPr="00B758F1" w:rsidTr="00BB6679">
        <w:tc>
          <w:tcPr>
            <w:tcW w:w="3846" w:type="dxa"/>
          </w:tcPr>
          <w:p w:rsidR="00ED423B" w:rsidRPr="00B758F1" w:rsidRDefault="00ED423B" w:rsidP="00BB6679">
            <w:pPr>
              <w:pStyle w:val="TableFigText"/>
            </w:pPr>
            <w:r w:rsidRPr="00B758F1">
              <w:t>Technicians and trades workers</w:t>
            </w:r>
          </w:p>
        </w:tc>
        <w:tc>
          <w:tcPr>
            <w:tcW w:w="1829" w:type="dxa"/>
          </w:tcPr>
          <w:p w:rsidR="00ED423B" w:rsidRPr="00B758F1" w:rsidRDefault="00ED423B" w:rsidP="00BB6679">
            <w:pPr>
              <w:pStyle w:val="TableFigText"/>
              <w:tabs>
                <w:tab w:val="clear" w:pos="425"/>
                <w:tab w:val="clear" w:pos="851"/>
                <w:tab w:val="decimal" w:pos="832"/>
              </w:tabs>
            </w:pPr>
            <w:r w:rsidRPr="00B758F1">
              <w:t>9.5</w:t>
            </w:r>
          </w:p>
        </w:tc>
        <w:tc>
          <w:tcPr>
            <w:tcW w:w="1840" w:type="dxa"/>
          </w:tcPr>
          <w:p w:rsidR="00ED423B" w:rsidRPr="00B758F1" w:rsidRDefault="00ED423B" w:rsidP="00BB6679">
            <w:pPr>
              <w:pStyle w:val="TableFigText"/>
              <w:tabs>
                <w:tab w:val="clear" w:pos="425"/>
                <w:tab w:val="clear" w:pos="851"/>
                <w:tab w:val="decimal" w:pos="832"/>
              </w:tabs>
            </w:pPr>
            <w:r w:rsidRPr="00B758F1">
              <w:t>3.9</w:t>
            </w:r>
          </w:p>
        </w:tc>
        <w:tc>
          <w:tcPr>
            <w:tcW w:w="1772" w:type="dxa"/>
          </w:tcPr>
          <w:p w:rsidR="00ED423B" w:rsidRPr="00B758F1" w:rsidRDefault="00ED423B" w:rsidP="00BB6679">
            <w:pPr>
              <w:pStyle w:val="TableFigText"/>
              <w:tabs>
                <w:tab w:val="clear" w:pos="425"/>
                <w:tab w:val="clear" w:pos="851"/>
                <w:tab w:val="decimal" w:pos="832"/>
              </w:tabs>
            </w:pPr>
            <w:r w:rsidRPr="00B758F1">
              <w:t>8.1</w:t>
            </w:r>
          </w:p>
        </w:tc>
      </w:tr>
      <w:tr w:rsidR="00ED423B" w:rsidRPr="00B758F1" w:rsidTr="00BB6679">
        <w:tc>
          <w:tcPr>
            <w:tcW w:w="3846" w:type="dxa"/>
          </w:tcPr>
          <w:p w:rsidR="00ED423B" w:rsidRPr="00B758F1" w:rsidRDefault="00ED423B" w:rsidP="00BB6679">
            <w:pPr>
              <w:pStyle w:val="TableFigText"/>
            </w:pPr>
            <w:r w:rsidRPr="00B758F1">
              <w:t>Community and personal service workers</w:t>
            </w:r>
          </w:p>
        </w:tc>
        <w:tc>
          <w:tcPr>
            <w:tcW w:w="1829" w:type="dxa"/>
          </w:tcPr>
          <w:p w:rsidR="00ED423B" w:rsidRPr="00B758F1" w:rsidRDefault="00ED423B" w:rsidP="00BB6679">
            <w:pPr>
              <w:pStyle w:val="TableFigText"/>
              <w:tabs>
                <w:tab w:val="clear" w:pos="425"/>
                <w:tab w:val="clear" w:pos="851"/>
                <w:tab w:val="decimal" w:pos="832"/>
              </w:tabs>
            </w:pPr>
            <w:r w:rsidRPr="00B758F1">
              <w:t>3.2</w:t>
            </w:r>
          </w:p>
        </w:tc>
        <w:tc>
          <w:tcPr>
            <w:tcW w:w="1840" w:type="dxa"/>
          </w:tcPr>
          <w:p w:rsidR="00ED423B" w:rsidRPr="00B758F1" w:rsidRDefault="00ED423B" w:rsidP="00BB6679">
            <w:pPr>
              <w:pStyle w:val="TableFigText"/>
              <w:tabs>
                <w:tab w:val="clear" w:pos="425"/>
                <w:tab w:val="clear" w:pos="851"/>
                <w:tab w:val="decimal" w:pos="832"/>
              </w:tabs>
            </w:pPr>
            <w:r w:rsidRPr="00B758F1">
              <w:t>0.9</w:t>
            </w:r>
          </w:p>
        </w:tc>
        <w:tc>
          <w:tcPr>
            <w:tcW w:w="1772" w:type="dxa"/>
          </w:tcPr>
          <w:p w:rsidR="00ED423B" w:rsidRPr="00B758F1" w:rsidRDefault="00ED423B" w:rsidP="00BB6679">
            <w:pPr>
              <w:pStyle w:val="TableFigText"/>
              <w:tabs>
                <w:tab w:val="clear" w:pos="425"/>
                <w:tab w:val="clear" w:pos="851"/>
                <w:tab w:val="decimal" w:pos="832"/>
              </w:tabs>
            </w:pPr>
            <w:r w:rsidRPr="00B758F1">
              <w:t>1.9</w:t>
            </w:r>
          </w:p>
        </w:tc>
      </w:tr>
      <w:tr w:rsidR="00ED423B" w:rsidRPr="00B758F1" w:rsidTr="00BB6679">
        <w:tc>
          <w:tcPr>
            <w:tcW w:w="3846" w:type="dxa"/>
          </w:tcPr>
          <w:p w:rsidR="00ED423B" w:rsidRPr="00B758F1" w:rsidRDefault="00ED423B" w:rsidP="00BB6679">
            <w:pPr>
              <w:pStyle w:val="TableFigText"/>
            </w:pPr>
            <w:r w:rsidRPr="00B758F1">
              <w:t>Clerical and administrative workers</w:t>
            </w:r>
          </w:p>
        </w:tc>
        <w:tc>
          <w:tcPr>
            <w:tcW w:w="1829" w:type="dxa"/>
          </w:tcPr>
          <w:p w:rsidR="00ED423B" w:rsidRPr="00B758F1" w:rsidRDefault="00ED423B" w:rsidP="00BB6679">
            <w:pPr>
              <w:pStyle w:val="TableFigText"/>
              <w:tabs>
                <w:tab w:val="clear" w:pos="425"/>
                <w:tab w:val="clear" w:pos="851"/>
                <w:tab w:val="decimal" w:pos="832"/>
              </w:tabs>
            </w:pPr>
            <w:r w:rsidRPr="00B758F1">
              <w:t>3.5</w:t>
            </w:r>
          </w:p>
        </w:tc>
        <w:tc>
          <w:tcPr>
            <w:tcW w:w="1840" w:type="dxa"/>
          </w:tcPr>
          <w:p w:rsidR="00ED423B" w:rsidRPr="00B758F1" w:rsidRDefault="00ED423B" w:rsidP="00BB6679">
            <w:pPr>
              <w:pStyle w:val="TableFigText"/>
              <w:tabs>
                <w:tab w:val="clear" w:pos="425"/>
                <w:tab w:val="clear" w:pos="851"/>
              </w:tabs>
              <w:jc w:val="center"/>
            </w:pPr>
            <w:r>
              <w:t>-</w:t>
            </w:r>
          </w:p>
        </w:tc>
        <w:tc>
          <w:tcPr>
            <w:tcW w:w="1772" w:type="dxa"/>
          </w:tcPr>
          <w:p w:rsidR="00ED423B" w:rsidRPr="00B758F1" w:rsidRDefault="00ED423B" w:rsidP="00BB6679">
            <w:pPr>
              <w:pStyle w:val="TableFigText"/>
              <w:tabs>
                <w:tab w:val="clear" w:pos="425"/>
                <w:tab w:val="clear" w:pos="851"/>
                <w:tab w:val="decimal" w:pos="832"/>
              </w:tabs>
            </w:pPr>
            <w:r w:rsidRPr="00B758F1">
              <w:t>2.4</w:t>
            </w:r>
          </w:p>
        </w:tc>
      </w:tr>
      <w:tr w:rsidR="00ED423B" w:rsidRPr="00B758F1" w:rsidTr="00BB6679">
        <w:tc>
          <w:tcPr>
            <w:tcW w:w="3846" w:type="dxa"/>
          </w:tcPr>
          <w:p w:rsidR="00ED423B" w:rsidRPr="00B758F1" w:rsidRDefault="00ED423B" w:rsidP="00BB6679">
            <w:pPr>
              <w:pStyle w:val="TableFigText"/>
            </w:pPr>
            <w:r w:rsidRPr="00B758F1">
              <w:t>Machinery operators and drivers</w:t>
            </w:r>
          </w:p>
        </w:tc>
        <w:tc>
          <w:tcPr>
            <w:tcW w:w="1829" w:type="dxa"/>
          </w:tcPr>
          <w:p w:rsidR="00ED423B" w:rsidRPr="00B758F1" w:rsidRDefault="00ED423B" w:rsidP="00BB6679">
            <w:pPr>
              <w:pStyle w:val="TableFigText"/>
              <w:tabs>
                <w:tab w:val="clear" w:pos="425"/>
                <w:tab w:val="clear" w:pos="851"/>
                <w:tab w:val="decimal" w:pos="832"/>
              </w:tabs>
            </w:pPr>
            <w:r w:rsidRPr="00B758F1">
              <w:t>7.0</w:t>
            </w:r>
          </w:p>
        </w:tc>
        <w:tc>
          <w:tcPr>
            <w:tcW w:w="1840" w:type="dxa"/>
          </w:tcPr>
          <w:p w:rsidR="00ED423B" w:rsidRPr="00B758F1" w:rsidRDefault="00ED423B" w:rsidP="00BB6679">
            <w:pPr>
              <w:pStyle w:val="TableFigText"/>
              <w:tabs>
                <w:tab w:val="clear" w:pos="425"/>
                <w:tab w:val="clear" w:pos="851"/>
              </w:tabs>
              <w:jc w:val="center"/>
            </w:pPr>
            <w:r>
              <w:t>-</w:t>
            </w:r>
          </w:p>
        </w:tc>
        <w:tc>
          <w:tcPr>
            <w:tcW w:w="1772" w:type="dxa"/>
          </w:tcPr>
          <w:p w:rsidR="00ED423B" w:rsidRPr="00B758F1" w:rsidRDefault="00ED423B" w:rsidP="00BB6679">
            <w:pPr>
              <w:pStyle w:val="TableFigText"/>
              <w:tabs>
                <w:tab w:val="clear" w:pos="425"/>
                <w:tab w:val="clear" w:pos="851"/>
                <w:tab w:val="decimal" w:pos="832"/>
              </w:tabs>
            </w:pPr>
            <w:r w:rsidRPr="00B758F1">
              <w:t>6.4</w:t>
            </w:r>
          </w:p>
        </w:tc>
      </w:tr>
      <w:tr w:rsidR="00ED423B" w:rsidRPr="00B758F1" w:rsidTr="00BB6679">
        <w:tc>
          <w:tcPr>
            <w:tcW w:w="3846" w:type="dxa"/>
          </w:tcPr>
          <w:p w:rsidR="00ED423B" w:rsidRPr="00B758F1" w:rsidRDefault="00ED423B" w:rsidP="00BB6679">
            <w:pPr>
              <w:pStyle w:val="TableFigText"/>
            </w:pPr>
            <w:r w:rsidRPr="00B758F1">
              <w:t>Labourers</w:t>
            </w:r>
          </w:p>
        </w:tc>
        <w:tc>
          <w:tcPr>
            <w:tcW w:w="1829" w:type="dxa"/>
          </w:tcPr>
          <w:p w:rsidR="00ED423B" w:rsidRPr="00B758F1" w:rsidRDefault="00ED423B" w:rsidP="00BB6679">
            <w:pPr>
              <w:pStyle w:val="TableFigText"/>
              <w:tabs>
                <w:tab w:val="clear" w:pos="425"/>
                <w:tab w:val="clear" w:pos="851"/>
                <w:tab w:val="decimal" w:pos="832"/>
              </w:tabs>
            </w:pPr>
            <w:r w:rsidRPr="00B758F1">
              <w:t>10.7</w:t>
            </w:r>
          </w:p>
        </w:tc>
        <w:tc>
          <w:tcPr>
            <w:tcW w:w="1840" w:type="dxa"/>
          </w:tcPr>
          <w:p w:rsidR="00ED423B" w:rsidRPr="00B758F1" w:rsidRDefault="00ED423B" w:rsidP="00BB6679">
            <w:pPr>
              <w:pStyle w:val="TableFigText"/>
              <w:tabs>
                <w:tab w:val="clear" w:pos="425"/>
                <w:tab w:val="clear" w:pos="851"/>
                <w:tab w:val="decimal" w:pos="832"/>
              </w:tabs>
            </w:pPr>
            <w:r w:rsidRPr="00B758F1">
              <w:t>5.5</w:t>
            </w:r>
          </w:p>
        </w:tc>
        <w:tc>
          <w:tcPr>
            <w:tcW w:w="1772" w:type="dxa"/>
          </w:tcPr>
          <w:p w:rsidR="00ED423B" w:rsidRPr="00B758F1" w:rsidRDefault="00ED423B" w:rsidP="00BB6679">
            <w:pPr>
              <w:pStyle w:val="TableFigText"/>
              <w:tabs>
                <w:tab w:val="clear" w:pos="425"/>
                <w:tab w:val="clear" w:pos="851"/>
                <w:tab w:val="decimal" w:pos="832"/>
              </w:tabs>
            </w:pPr>
            <w:r w:rsidRPr="00B758F1">
              <w:t>9.2</w:t>
            </w:r>
          </w:p>
        </w:tc>
      </w:tr>
      <w:tr w:rsidR="00ED423B" w:rsidRPr="00B758F1" w:rsidTr="00BB6679">
        <w:tc>
          <w:tcPr>
            <w:tcW w:w="3846" w:type="dxa"/>
            <w:tcBorders>
              <w:bottom w:val="single" w:sz="4" w:space="0" w:color="auto"/>
            </w:tcBorders>
          </w:tcPr>
          <w:p w:rsidR="00ED423B" w:rsidRPr="00B758F1" w:rsidRDefault="00ED423B" w:rsidP="00BB6679">
            <w:pPr>
              <w:pStyle w:val="TableFigHeadingText"/>
            </w:pPr>
            <w:r w:rsidRPr="00B758F1">
              <w:t>Total</w:t>
            </w:r>
          </w:p>
        </w:tc>
        <w:tc>
          <w:tcPr>
            <w:tcW w:w="1829" w:type="dxa"/>
            <w:tcBorders>
              <w:bottom w:val="single" w:sz="4" w:space="0" w:color="auto"/>
            </w:tcBorders>
          </w:tcPr>
          <w:p w:rsidR="00ED423B" w:rsidRPr="0072102C" w:rsidRDefault="00ED423B" w:rsidP="00BB6679">
            <w:pPr>
              <w:pStyle w:val="TableFigHeadingText"/>
              <w:tabs>
                <w:tab w:val="clear" w:pos="425"/>
                <w:tab w:val="clear" w:pos="851"/>
                <w:tab w:val="decimal" w:pos="832"/>
              </w:tabs>
            </w:pPr>
            <w:r w:rsidRPr="0072102C">
              <w:t>8.6</w:t>
            </w:r>
          </w:p>
        </w:tc>
        <w:tc>
          <w:tcPr>
            <w:tcW w:w="1840" w:type="dxa"/>
            <w:tcBorders>
              <w:bottom w:val="single" w:sz="4" w:space="0" w:color="auto"/>
            </w:tcBorders>
          </w:tcPr>
          <w:p w:rsidR="00ED423B" w:rsidRPr="0072102C" w:rsidRDefault="00ED423B" w:rsidP="00BB6679">
            <w:pPr>
              <w:pStyle w:val="TableFigHeadingText"/>
              <w:tabs>
                <w:tab w:val="clear" w:pos="425"/>
                <w:tab w:val="clear" w:pos="851"/>
                <w:tab w:val="decimal" w:pos="832"/>
              </w:tabs>
            </w:pPr>
            <w:r w:rsidRPr="0072102C">
              <w:t>2.6</w:t>
            </w:r>
          </w:p>
        </w:tc>
        <w:tc>
          <w:tcPr>
            <w:tcW w:w="1772" w:type="dxa"/>
            <w:tcBorders>
              <w:bottom w:val="single" w:sz="4" w:space="0" w:color="auto"/>
            </w:tcBorders>
          </w:tcPr>
          <w:p w:rsidR="00ED423B" w:rsidRPr="0072102C" w:rsidRDefault="00ED423B" w:rsidP="00BB6679">
            <w:pPr>
              <w:pStyle w:val="TableFigHeadingText"/>
              <w:tabs>
                <w:tab w:val="clear" w:pos="425"/>
                <w:tab w:val="clear" w:pos="851"/>
                <w:tab w:val="decimal" w:pos="832"/>
              </w:tabs>
            </w:pPr>
            <w:r w:rsidRPr="0072102C">
              <w:t>5.9</w:t>
            </w:r>
          </w:p>
        </w:tc>
      </w:tr>
    </w:tbl>
    <w:p w:rsidR="00ED423B" w:rsidRPr="00B758F1" w:rsidRDefault="00ED423B" w:rsidP="00BB6679">
      <w:pPr>
        <w:pStyle w:val="TableFigNoteOnly"/>
      </w:pPr>
      <w:r>
        <w:t xml:space="preserve">Note: </w:t>
      </w:r>
      <w:r w:rsidRPr="00B758F1">
        <w:t>There was at least one person from the clerical and administrative workers occupation category. Percentages for this category are not shown because there were less than three persons in the category. There were no exposed persons from other occupation categories not shown.</w:t>
      </w:r>
    </w:p>
    <w:p w:rsidR="00ED423B" w:rsidRPr="00CF752E" w:rsidRDefault="00ED423B" w:rsidP="00BB6679">
      <w:pPr>
        <w:pStyle w:val="TableCaption"/>
      </w:pPr>
      <w:bookmarkStart w:id="123" w:name="_Toc361087128"/>
      <w:bookmarkStart w:id="124" w:name="_Toc383378292"/>
      <w:bookmarkStart w:id="125" w:name="_Toc386526227"/>
      <w:bookmarkStart w:id="126" w:name="_Toc401068431"/>
      <w:r w:rsidRPr="00CF752E">
        <w:t xml:space="preserve">Table </w:t>
      </w:r>
      <w:fldSimple w:instr=" SEQ Table_3. \* ARABIC ">
        <w:r>
          <w:rPr>
            <w:noProof/>
          </w:rPr>
          <w:t>7</w:t>
        </w:r>
      </w:fldSimple>
      <w:bookmarkEnd w:id="123"/>
      <w:r>
        <w:t xml:space="preserve">: </w:t>
      </w:r>
      <w:r w:rsidRPr="00CF752E">
        <w:t xml:space="preserve">Proportions of respondents in each industry who were exposed to </w:t>
      </w:r>
      <w:proofErr w:type="spellStart"/>
      <w:r>
        <w:t>PAHs</w:t>
      </w:r>
      <w:proofErr w:type="spellEnd"/>
      <w:r w:rsidRPr="00CF752E">
        <w:t>—per cent</w:t>
      </w:r>
      <w:bookmarkEnd w:id="124"/>
      <w:bookmarkEnd w:id="125"/>
      <w:bookmarkEnd w:id="126"/>
    </w:p>
    <w:tbl>
      <w:tblPr>
        <w:tblW w:w="0" w:type="auto"/>
        <w:tblBorders>
          <w:top w:val="single" w:sz="4" w:space="0" w:color="auto"/>
          <w:bottom w:val="single" w:sz="4" w:space="0" w:color="auto"/>
        </w:tblBorders>
        <w:tblLayout w:type="fixed"/>
        <w:tblLook w:val="00A0" w:firstRow="1" w:lastRow="0" w:firstColumn="1" w:lastColumn="0" w:noHBand="0" w:noVBand="0"/>
        <w:tblCaption w:val="Table 7: Proportions of respondents in each industry who were exposed to PAHs—per cent"/>
        <w:tblDescription w:val="This table shows the proportion of all AWES respondents by gender within each industry who were likely to be exposed to PAHs.&#10;Of all AWES respondents, the highest proportions of exposed workers included 56.8% of male agriculture, forestry and fishing workers, 49.1% of male public administration and safety workers like firefighters, 36.4% of female agriculture, forestry and fishing workers and 18.7% of male health care and social assistance workers."/>
      </w:tblPr>
      <w:tblGrid>
        <w:gridCol w:w="3402"/>
        <w:gridCol w:w="1871"/>
        <w:gridCol w:w="1871"/>
        <w:gridCol w:w="1871"/>
      </w:tblGrid>
      <w:tr w:rsidR="00ED423B" w:rsidRPr="00CF752E" w:rsidTr="00BB6679">
        <w:tc>
          <w:tcPr>
            <w:tcW w:w="3402" w:type="dxa"/>
            <w:tcBorders>
              <w:top w:val="single" w:sz="4" w:space="0" w:color="auto"/>
              <w:bottom w:val="single" w:sz="4" w:space="0" w:color="auto"/>
            </w:tcBorders>
          </w:tcPr>
          <w:p w:rsidR="00ED423B" w:rsidRPr="00CF752E" w:rsidRDefault="00ED423B" w:rsidP="00BB6679">
            <w:pPr>
              <w:pStyle w:val="TableFigHeadingText"/>
            </w:pPr>
            <w:r w:rsidRPr="00CF752E">
              <w:t>Industry</w:t>
            </w:r>
          </w:p>
        </w:tc>
        <w:tc>
          <w:tcPr>
            <w:tcW w:w="1871" w:type="dxa"/>
            <w:tcBorders>
              <w:top w:val="single" w:sz="4" w:space="0" w:color="auto"/>
              <w:bottom w:val="single" w:sz="4" w:space="0" w:color="auto"/>
            </w:tcBorders>
          </w:tcPr>
          <w:p w:rsidR="00ED423B" w:rsidRPr="00CF752E" w:rsidRDefault="00ED423B" w:rsidP="00BB6679">
            <w:pPr>
              <w:pStyle w:val="TableFigHeadingText"/>
              <w:jc w:val="center"/>
            </w:pPr>
            <w:r w:rsidRPr="00CF752E">
              <w:t>Male</w:t>
            </w:r>
          </w:p>
        </w:tc>
        <w:tc>
          <w:tcPr>
            <w:tcW w:w="1871" w:type="dxa"/>
            <w:tcBorders>
              <w:top w:val="single" w:sz="4" w:space="0" w:color="auto"/>
              <w:bottom w:val="single" w:sz="4" w:space="0" w:color="auto"/>
            </w:tcBorders>
          </w:tcPr>
          <w:p w:rsidR="00ED423B" w:rsidRPr="00CF752E" w:rsidRDefault="00ED423B" w:rsidP="00BB6679">
            <w:pPr>
              <w:pStyle w:val="TableFigHeadingText"/>
              <w:jc w:val="center"/>
            </w:pPr>
            <w:r w:rsidRPr="00CF752E">
              <w:t>Female</w:t>
            </w:r>
          </w:p>
        </w:tc>
        <w:tc>
          <w:tcPr>
            <w:tcW w:w="1871" w:type="dxa"/>
            <w:tcBorders>
              <w:top w:val="single" w:sz="4" w:space="0" w:color="auto"/>
              <w:bottom w:val="single" w:sz="4" w:space="0" w:color="auto"/>
            </w:tcBorders>
          </w:tcPr>
          <w:p w:rsidR="00ED423B" w:rsidRPr="00CF752E" w:rsidRDefault="00ED423B" w:rsidP="00BB6679">
            <w:pPr>
              <w:pStyle w:val="TableFigHeadingText"/>
              <w:jc w:val="center"/>
            </w:pPr>
            <w:r w:rsidRPr="00CF752E">
              <w:t>Total</w:t>
            </w:r>
          </w:p>
        </w:tc>
      </w:tr>
      <w:tr w:rsidR="00ED423B" w:rsidRPr="00CF752E" w:rsidTr="00BB6679">
        <w:tc>
          <w:tcPr>
            <w:tcW w:w="3402" w:type="dxa"/>
          </w:tcPr>
          <w:p w:rsidR="00ED423B" w:rsidRPr="00CF752E" w:rsidRDefault="00ED423B" w:rsidP="00BB6679">
            <w:pPr>
              <w:pStyle w:val="TableFigText"/>
            </w:pPr>
            <w:r w:rsidRPr="00CF752E">
              <w:t>Agriculture, forestry and fishing</w:t>
            </w:r>
          </w:p>
        </w:tc>
        <w:tc>
          <w:tcPr>
            <w:tcW w:w="1871" w:type="dxa"/>
          </w:tcPr>
          <w:p w:rsidR="00ED423B" w:rsidRPr="00CF752E" w:rsidRDefault="00ED423B" w:rsidP="00BB6679">
            <w:pPr>
              <w:pStyle w:val="TableFigText"/>
              <w:tabs>
                <w:tab w:val="clear" w:pos="425"/>
                <w:tab w:val="decimal" w:pos="851"/>
              </w:tabs>
            </w:pPr>
            <w:r w:rsidRPr="00CF752E">
              <w:t>56.8</w:t>
            </w:r>
          </w:p>
        </w:tc>
        <w:tc>
          <w:tcPr>
            <w:tcW w:w="1871" w:type="dxa"/>
          </w:tcPr>
          <w:p w:rsidR="00ED423B" w:rsidRPr="00CF752E" w:rsidRDefault="00ED423B" w:rsidP="00BB6679">
            <w:pPr>
              <w:pStyle w:val="TableFigText"/>
              <w:tabs>
                <w:tab w:val="clear" w:pos="425"/>
                <w:tab w:val="decimal" w:pos="851"/>
              </w:tabs>
            </w:pPr>
            <w:r w:rsidRPr="00CF752E">
              <w:t>36.4</w:t>
            </w:r>
          </w:p>
        </w:tc>
        <w:tc>
          <w:tcPr>
            <w:tcW w:w="1871" w:type="dxa"/>
          </w:tcPr>
          <w:p w:rsidR="00ED423B" w:rsidRPr="00CF752E" w:rsidRDefault="00ED423B" w:rsidP="00BB6679">
            <w:pPr>
              <w:pStyle w:val="TableFigText"/>
              <w:tabs>
                <w:tab w:val="clear" w:pos="425"/>
                <w:tab w:val="decimal" w:pos="851"/>
              </w:tabs>
            </w:pPr>
            <w:r w:rsidRPr="00CF752E">
              <w:t>51.9</w:t>
            </w:r>
          </w:p>
        </w:tc>
      </w:tr>
      <w:tr w:rsidR="00ED423B" w:rsidRPr="00CF752E" w:rsidTr="00BB6679">
        <w:tc>
          <w:tcPr>
            <w:tcW w:w="3402" w:type="dxa"/>
          </w:tcPr>
          <w:p w:rsidR="00ED423B" w:rsidRPr="00CF752E" w:rsidRDefault="00ED423B" w:rsidP="00BB6679">
            <w:pPr>
              <w:pStyle w:val="TableFigText"/>
            </w:pPr>
            <w:r w:rsidRPr="00CF752E">
              <w:t>Mining</w:t>
            </w:r>
          </w:p>
        </w:tc>
        <w:tc>
          <w:tcPr>
            <w:tcW w:w="1871" w:type="dxa"/>
          </w:tcPr>
          <w:p w:rsidR="00ED423B" w:rsidRPr="00CF752E" w:rsidRDefault="00ED423B" w:rsidP="00BB6679">
            <w:pPr>
              <w:pStyle w:val="TableFigText"/>
              <w:tabs>
                <w:tab w:val="clear" w:pos="425"/>
                <w:tab w:val="decimal" w:pos="851"/>
              </w:tabs>
            </w:pPr>
            <w:r w:rsidRPr="00CF752E">
              <w:t>10.7</w:t>
            </w:r>
          </w:p>
        </w:tc>
        <w:tc>
          <w:tcPr>
            <w:tcW w:w="1871" w:type="dxa"/>
          </w:tcPr>
          <w:p w:rsidR="00ED423B" w:rsidRPr="00CF752E" w:rsidRDefault="00ED423B" w:rsidP="00BB6679">
            <w:pPr>
              <w:pStyle w:val="TableFigText"/>
              <w:tabs>
                <w:tab w:val="clear" w:pos="425"/>
                <w:tab w:val="decimal" w:pos="851"/>
              </w:tabs>
            </w:pPr>
            <w:r w:rsidRPr="00CF752E">
              <w:t>10.0</w:t>
            </w:r>
          </w:p>
        </w:tc>
        <w:tc>
          <w:tcPr>
            <w:tcW w:w="1871" w:type="dxa"/>
          </w:tcPr>
          <w:p w:rsidR="00ED423B" w:rsidRPr="00CF752E" w:rsidRDefault="00ED423B" w:rsidP="00BB6679">
            <w:pPr>
              <w:pStyle w:val="TableFigText"/>
              <w:tabs>
                <w:tab w:val="clear" w:pos="425"/>
                <w:tab w:val="decimal" w:pos="851"/>
              </w:tabs>
            </w:pPr>
            <w:r w:rsidRPr="00CF752E">
              <w:t>10.6</w:t>
            </w:r>
          </w:p>
        </w:tc>
      </w:tr>
      <w:tr w:rsidR="00ED423B" w:rsidRPr="00CF752E" w:rsidTr="00BB6679">
        <w:tc>
          <w:tcPr>
            <w:tcW w:w="3402" w:type="dxa"/>
          </w:tcPr>
          <w:p w:rsidR="00ED423B" w:rsidRPr="00CF752E" w:rsidRDefault="00ED423B" w:rsidP="00BB6679">
            <w:pPr>
              <w:pStyle w:val="TableFigText"/>
            </w:pPr>
            <w:r w:rsidRPr="00CF752E">
              <w:t>Manufacturing</w:t>
            </w:r>
          </w:p>
        </w:tc>
        <w:tc>
          <w:tcPr>
            <w:tcW w:w="1871" w:type="dxa"/>
          </w:tcPr>
          <w:p w:rsidR="00ED423B" w:rsidRPr="00CF752E" w:rsidRDefault="00ED423B" w:rsidP="00BB6679">
            <w:pPr>
              <w:pStyle w:val="TableFigText"/>
              <w:tabs>
                <w:tab w:val="clear" w:pos="425"/>
                <w:tab w:val="decimal" w:pos="851"/>
              </w:tabs>
            </w:pPr>
            <w:r w:rsidRPr="00CF752E">
              <w:t>7.8</w:t>
            </w:r>
          </w:p>
        </w:tc>
        <w:tc>
          <w:tcPr>
            <w:tcW w:w="1871" w:type="dxa"/>
          </w:tcPr>
          <w:p w:rsidR="00ED423B" w:rsidRPr="00CF752E" w:rsidRDefault="00ED423B" w:rsidP="00BB6679">
            <w:pPr>
              <w:pStyle w:val="TableFigText"/>
              <w:tabs>
                <w:tab w:val="clear" w:pos="425"/>
                <w:tab w:val="decimal" w:pos="851"/>
              </w:tabs>
            </w:pPr>
            <w:r w:rsidRPr="00CF752E">
              <w:t>0.0</w:t>
            </w:r>
          </w:p>
        </w:tc>
        <w:tc>
          <w:tcPr>
            <w:tcW w:w="1871" w:type="dxa"/>
          </w:tcPr>
          <w:p w:rsidR="00ED423B" w:rsidRPr="00CF752E" w:rsidRDefault="00ED423B" w:rsidP="00BB6679">
            <w:pPr>
              <w:pStyle w:val="TableFigText"/>
              <w:tabs>
                <w:tab w:val="clear" w:pos="425"/>
                <w:tab w:val="decimal" w:pos="851"/>
              </w:tabs>
            </w:pPr>
            <w:r w:rsidRPr="00CF752E">
              <w:t>7.0</w:t>
            </w:r>
          </w:p>
        </w:tc>
      </w:tr>
      <w:tr w:rsidR="00ED423B" w:rsidRPr="00CF752E" w:rsidTr="00BB6679">
        <w:tc>
          <w:tcPr>
            <w:tcW w:w="3402" w:type="dxa"/>
          </w:tcPr>
          <w:p w:rsidR="00ED423B" w:rsidRPr="00CF752E" w:rsidRDefault="00ED423B" w:rsidP="00BB6679">
            <w:pPr>
              <w:pStyle w:val="TableFigText"/>
            </w:pPr>
            <w:r w:rsidRPr="00CF752E">
              <w:t>Construction</w:t>
            </w:r>
          </w:p>
        </w:tc>
        <w:tc>
          <w:tcPr>
            <w:tcW w:w="1871" w:type="dxa"/>
          </w:tcPr>
          <w:p w:rsidR="00ED423B" w:rsidRPr="00CF752E" w:rsidRDefault="00ED423B" w:rsidP="00BB6679">
            <w:pPr>
              <w:pStyle w:val="TableFigText"/>
              <w:tabs>
                <w:tab w:val="clear" w:pos="425"/>
                <w:tab w:val="decimal" w:pos="851"/>
              </w:tabs>
            </w:pPr>
            <w:r w:rsidRPr="00CF752E">
              <w:t>7.5</w:t>
            </w:r>
          </w:p>
        </w:tc>
        <w:tc>
          <w:tcPr>
            <w:tcW w:w="1871" w:type="dxa"/>
          </w:tcPr>
          <w:p w:rsidR="00ED423B" w:rsidRPr="00CF752E" w:rsidRDefault="00ED423B" w:rsidP="00BB6679">
            <w:pPr>
              <w:pStyle w:val="TableFigText"/>
              <w:tabs>
                <w:tab w:val="clear" w:pos="425"/>
                <w:tab w:val="decimal" w:pos="851"/>
              </w:tabs>
            </w:pPr>
            <w:r w:rsidRPr="00CF752E">
              <w:t>0.0</w:t>
            </w:r>
          </w:p>
        </w:tc>
        <w:tc>
          <w:tcPr>
            <w:tcW w:w="1871" w:type="dxa"/>
          </w:tcPr>
          <w:p w:rsidR="00ED423B" w:rsidRPr="00CF752E" w:rsidRDefault="00ED423B" w:rsidP="00BB6679">
            <w:pPr>
              <w:pStyle w:val="TableFigText"/>
              <w:tabs>
                <w:tab w:val="clear" w:pos="425"/>
                <w:tab w:val="decimal" w:pos="851"/>
              </w:tabs>
            </w:pPr>
            <w:r w:rsidRPr="00CF752E">
              <w:t>7.2</w:t>
            </w:r>
          </w:p>
        </w:tc>
      </w:tr>
      <w:tr w:rsidR="00ED423B" w:rsidRPr="00CF752E" w:rsidTr="00BB6679">
        <w:tc>
          <w:tcPr>
            <w:tcW w:w="3402" w:type="dxa"/>
          </w:tcPr>
          <w:p w:rsidR="00ED423B" w:rsidRPr="00CF752E" w:rsidRDefault="00ED423B" w:rsidP="00BB6679">
            <w:pPr>
              <w:pStyle w:val="TableFigText"/>
            </w:pPr>
            <w:r w:rsidRPr="00CF752E">
              <w:t>Trade (wholesale and retail)</w:t>
            </w:r>
          </w:p>
        </w:tc>
        <w:tc>
          <w:tcPr>
            <w:tcW w:w="1871" w:type="dxa"/>
          </w:tcPr>
          <w:p w:rsidR="00ED423B" w:rsidRPr="00CF752E" w:rsidRDefault="00ED423B" w:rsidP="00BB6679">
            <w:pPr>
              <w:pStyle w:val="TableFigText"/>
              <w:tabs>
                <w:tab w:val="clear" w:pos="425"/>
                <w:tab w:val="decimal" w:pos="851"/>
              </w:tabs>
            </w:pPr>
            <w:r w:rsidRPr="00CF752E">
              <w:t>1.8</w:t>
            </w:r>
          </w:p>
        </w:tc>
        <w:tc>
          <w:tcPr>
            <w:tcW w:w="1871" w:type="dxa"/>
          </w:tcPr>
          <w:p w:rsidR="00ED423B" w:rsidRPr="00CF752E" w:rsidRDefault="00ED423B" w:rsidP="00BB6679">
            <w:pPr>
              <w:pStyle w:val="TableFigText"/>
              <w:tabs>
                <w:tab w:val="clear" w:pos="425"/>
                <w:tab w:val="decimal" w:pos="851"/>
              </w:tabs>
            </w:pPr>
            <w:r w:rsidRPr="00CF752E">
              <w:t>0.0</w:t>
            </w:r>
          </w:p>
        </w:tc>
        <w:tc>
          <w:tcPr>
            <w:tcW w:w="1871" w:type="dxa"/>
          </w:tcPr>
          <w:p w:rsidR="00ED423B" w:rsidRPr="00CF752E" w:rsidRDefault="00ED423B" w:rsidP="00BB6679">
            <w:pPr>
              <w:pStyle w:val="TableFigText"/>
              <w:tabs>
                <w:tab w:val="clear" w:pos="425"/>
                <w:tab w:val="decimal" w:pos="851"/>
              </w:tabs>
            </w:pPr>
            <w:r w:rsidRPr="00CF752E">
              <w:t>1.1</w:t>
            </w:r>
          </w:p>
        </w:tc>
      </w:tr>
      <w:tr w:rsidR="00ED423B" w:rsidRPr="00CF752E" w:rsidTr="00BB6679">
        <w:tc>
          <w:tcPr>
            <w:tcW w:w="3402" w:type="dxa"/>
          </w:tcPr>
          <w:p w:rsidR="00ED423B" w:rsidRPr="00CF752E" w:rsidRDefault="00ED423B" w:rsidP="00BB6679">
            <w:pPr>
              <w:pStyle w:val="TableFigText"/>
            </w:pPr>
            <w:r w:rsidRPr="00CF752E">
              <w:t>Accommodation and food services</w:t>
            </w:r>
          </w:p>
        </w:tc>
        <w:tc>
          <w:tcPr>
            <w:tcW w:w="1871" w:type="dxa"/>
          </w:tcPr>
          <w:p w:rsidR="00ED423B" w:rsidRPr="00CF752E" w:rsidRDefault="00ED423B" w:rsidP="00BB6679">
            <w:pPr>
              <w:pStyle w:val="TableFigText"/>
              <w:tabs>
                <w:tab w:val="clear" w:pos="425"/>
                <w:tab w:val="decimal" w:pos="851"/>
              </w:tabs>
            </w:pPr>
            <w:r w:rsidRPr="00CF752E">
              <w:t>17.6</w:t>
            </w:r>
          </w:p>
        </w:tc>
        <w:tc>
          <w:tcPr>
            <w:tcW w:w="1871" w:type="dxa"/>
          </w:tcPr>
          <w:p w:rsidR="00ED423B" w:rsidRPr="00CF752E" w:rsidRDefault="00ED423B" w:rsidP="00BB6679">
            <w:pPr>
              <w:pStyle w:val="TableFigText"/>
              <w:tabs>
                <w:tab w:val="clear" w:pos="425"/>
                <w:tab w:val="decimal" w:pos="851"/>
              </w:tabs>
            </w:pPr>
            <w:r w:rsidRPr="00CF752E">
              <w:t>14.1</w:t>
            </w:r>
          </w:p>
        </w:tc>
        <w:tc>
          <w:tcPr>
            <w:tcW w:w="1871" w:type="dxa"/>
          </w:tcPr>
          <w:p w:rsidR="00ED423B" w:rsidRPr="00CF752E" w:rsidRDefault="00ED423B" w:rsidP="00BB6679">
            <w:pPr>
              <w:pStyle w:val="TableFigText"/>
              <w:tabs>
                <w:tab w:val="clear" w:pos="425"/>
                <w:tab w:val="decimal" w:pos="851"/>
              </w:tabs>
            </w:pPr>
            <w:r w:rsidRPr="00CF752E">
              <w:t>15.7</w:t>
            </w:r>
          </w:p>
        </w:tc>
      </w:tr>
      <w:tr w:rsidR="00ED423B" w:rsidRPr="00CF752E" w:rsidTr="00BB6679">
        <w:tc>
          <w:tcPr>
            <w:tcW w:w="3402" w:type="dxa"/>
          </w:tcPr>
          <w:p w:rsidR="00ED423B" w:rsidRPr="00CF752E" w:rsidRDefault="00ED423B" w:rsidP="00BB6679">
            <w:pPr>
              <w:pStyle w:val="TableFigText"/>
            </w:pPr>
            <w:r w:rsidRPr="00CF752E">
              <w:t>Transport, postal and warehousing</w:t>
            </w:r>
          </w:p>
        </w:tc>
        <w:tc>
          <w:tcPr>
            <w:tcW w:w="1871" w:type="dxa"/>
          </w:tcPr>
          <w:p w:rsidR="00ED423B" w:rsidRPr="00CF752E" w:rsidRDefault="00ED423B" w:rsidP="00BB6679">
            <w:pPr>
              <w:pStyle w:val="TableFigText"/>
              <w:tabs>
                <w:tab w:val="clear" w:pos="425"/>
                <w:tab w:val="decimal" w:pos="851"/>
              </w:tabs>
            </w:pPr>
            <w:r w:rsidRPr="00CF752E">
              <w:t>1.7</w:t>
            </w:r>
          </w:p>
        </w:tc>
        <w:tc>
          <w:tcPr>
            <w:tcW w:w="1871" w:type="dxa"/>
          </w:tcPr>
          <w:p w:rsidR="00ED423B" w:rsidRPr="00CF752E" w:rsidRDefault="00ED423B" w:rsidP="00BB6679">
            <w:pPr>
              <w:pStyle w:val="TableFigText"/>
              <w:tabs>
                <w:tab w:val="clear" w:pos="425"/>
                <w:tab w:val="decimal" w:pos="851"/>
              </w:tabs>
            </w:pPr>
            <w:r w:rsidRPr="00CF752E">
              <w:t>0.0</w:t>
            </w:r>
          </w:p>
        </w:tc>
        <w:tc>
          <w:tcPr>
            <w:tcW w:w="1871" w:type="dxa"/>
          </w:tcPr>
          <w:p w:rsidR="00ED423B" w:rsidRPr="00CF752E" w:rsidRDefault="00ED423B" w:rsidP="00BB6679">
            <w:pPr>
              <w:pStyle w:val="TableFigText"/>
              <w:tabs>
                <w:tab w:val="clear" w:pos="425"/>
                <w:tab w:val="decimal" w:pos="851"/>
              </w:tabs>
            </w:pPr>
            <w:r w:rsidRPr="00CF752E">
              <w:t>1.5</w:t>
            </w:r>
          </w:p>
        </w:tc>
      </w:tr>
      <w:tr w:rsidR="00ED423B" w:rsidRPr="00CF752E" w:rsidTr="00BB6679">
        <w:tc>
          <w:tcPr>
            <w:tcW w:w="3402" w:type="dxa"/>
          </w:tcPr>
          <w:p w:rsidR="00ED423B" w:rsidRPr="00CF752E" w:rsidRDefault="00ED423B" w:rsidP="00BB6679">
            <w:pPr>
              <w:pStyle w:val="TableFigText"/>
              <w:tabs>
                <w:tab w:val="clear" w:pos="851"/>
              </w:tabs>
            </w:pPr>
            <w:r w:rsidRPr="00CF752E">
              <w:t>Professional, scientific and technical services</w:t>
            </w:r>
          </w:p>
        </w:tc>
        <w:tc>
          <w:tcPr>
            <w:tcW w:w="1871" w:type="dxa"/>
          </w:tcPr>
          <w:p w:rsidR="00ED423B" w:rsidRPr="00CF752E" w:rsidRDefault="00ED423B" w:rsidP="00BB6679">
            <w:pPr>
              <w:pStyle w:val="TableFigText"/>
              <w:tabs>
                <w:tab w:val="clear" w:pos="425"/>
                <w:tab w:val="decimal" w:pos="851"/>
              </w:tabs>
            </w:pPr>
            <w:r w:rsidRPr="00CF752E">
              <w:t>7.8</w:t>
            </w:r>
          </w:p>
        </w:tc>
        <w:tc>
          <w:tcPr>
            <w:tcW w:w="1871" w:type="dxa"/>
          </w:tcPr>
          <w:p w:rsidR="00ED423B" w:rsidRPr="00CF752E" w:rsidRDefault="00ED423B" w:rsidP="00BB6679">
            <w:pPr>
              <w:pStyle w:val="TableFigText"/>
              <w:tabs>
                <w:tab w:val="clear" w:pos="425"/>
                <w:tab w:val="decimal" w:pos="851"/>
              </w:tabs>
            </w:pPr>
            <w:r w:rsidRPr="00CF752E">
              <w:t>3.7</w:t>
            </w:r>
          </w:p>
        </w:tc>
        <w:tc>
          <w:tcPr>
            <w:tcW w:w="1871" w:type="dxa"/>
          </w:tcPr>
          <w:p w:rsidR="00ED423B" w:rsidRPr="00CF752E" w:rsidRDefault="00ED423B" w:rsidP="00BB6679">
            <w:pPr>
              <w:pStyle w:val="TableFigText"/>
              <w:tabs>
                <w:tab w:val="clear" w:pos="425"/>
                <w:tab w:val="decimal" w:pos="851"/>
              </w:tabs>
            </w:pPr>
            <w:r w:rsidRPr="00CF752E">
              <w:t>6.1</w:t>
            </w:r>
          </w:p>
        </w:tc>
      </w:tr>
      <w:tr w:rsidR="00ED423B" w:rsidRPr="00CF752E" w:rsidTr="00BB6679">
        <w:tc>
          <w:tcPr>
            <w:tcW w:w="3402" w:type="dxa"/>
          </w:tcPr>
          <w:p w:rsidR="00ED423B" w:rsidRPr="00CF752E" w:rsidRDefault="00ED423B" w:rsidP="00BB6679">
            <w:pPr>
              <w:pStyle w:val="TableFigText"/>
            </w:pPr>
            <w:r w:rsidRPr="00CF752E">
              <w:t>Public administration and safety</w:t>
            </w:r>
          </w:p>
        </w:tc>
        <w:tc>
          <w:tcPr>
            <w:tcW w:w="1871" w:type="dxa"/>
          </w:tcPr>
          <w:p w:rsidR="00ED423B" w:rsidRPr="00CF752E" w:rsidRDefault="00ED423B" w:rsidP="00BB6679">
            <w:pPr>
              <w:pStyle w:val="TableFigText"/>
              <w:tabs>
                <w:tab w:val="clear" w:pos="425"/>
                <w:tab w:val="decimal" w:pos="851"/>
              </w:tabs>
            </w:pPr>
            <w:r w:rsidRPr="00CF752E">
              <w:t>49.1</w:t>
            </w:r>
          </w:p>
        </w:tc>
        <w:tc>
          <w:tcPr>
            <w:tcW w:w="1871" w:type="dxa"/>
          </w:tcPr>
          <w:p w:rsidR="00ED423B" w:rsidRPr="00CF752E" w:rsidRDefault="00ED423B" w:rsidP="00BB6679">
            <w:pPr>
              <w:pStyle w:val="TableFigText"/>
              <w:tabs>
                <w:tab w:val="clear" w:pos="425"/>
                <w:tab w:val="decimal" w:pos="851"/>
              </w:tabs>
            </w:pPr>
            <w:r w:rsidRPr="00CF752E">
              <w:t>11.8</w:t>
            </w:r>
          </w:p>
        </w:tc>
        <w:tc>
          <w:tcPr>
            <w:tcW w:w="1871" w:type="dxa"/>
          </w:tcPr>
          <w:p w:rsidR="00ED423B" w:rsidRPr="00CF752E" w:rsidRDefault="00ED423B" w:rsidP="00BB6679">
            <w:pPr>
              <w:pStyle w:val="TableFigText"/>
              <w:tabs>
                <w:tab w:val="clear" w:pos="425"/>
                <w:tab w:val="decimal" w:pos="851"/>
              </w:tabs>
            </w:pPr>
            <w:r w:rsidRPr="00CF752E">
              <w:t>40.0</w:t>
            </w:r>
          </w:p>
        </w:tc>
      </w:tr>
      <w:tr w:rsidR="00ED423B" w:rsidRPr="00CF752E" w:rsidTr="00BB6679">
        <w:tc>
          <w:tcPr>
            <w:tcW w:w="3402" w:type="dxa"/>
          </w:tcPr>
          <w:p w:rsidR="00ED423B" w:rsidRPr="00CF752E" w:rsidRDefault="00ED423B" w:rsidP="00BB6679">
            <w:pPr>
              <w:pStyle w:val="TableFigText"/>
            </w:pPr>
            <w:r w:rsidRPr="00CF752E">
              <w:t>Education and training</w:t>
            </w:r>
          </w:p>
        </w:tc>
        <w:tc>
          <w:tcPr>
            <w:tcW w:w="1871" w:type="dxa"/>
          </w:tcPr>
          <w:p w:rsidR="00ED423B" w:rsidRPr="00CF752E" w:rsidRDefault="00ED423B" w:rsidP="00BB6679">
            <w:pPr>
              <w:pStyle w:val="TableFigText"/>
              <w:tabs>
                <w:tab w:val="clear" w:pos="425"/>
                <w:tab w:val="decimal" w:pos="851"/>
              </w:tabs>
            </w:pPr>
            <w:r w:rsidRPr="00CF752E">
              <w:t>0.0</w:t>
            </w:r>
          </w:p>
        </w:tc>
        <w:tc>
          <w:tcPr>
            <w:tcW w:w="1871" w:type="dxa"/>
          </w:tcPr>
          <w:p w:rsidR="00ED423B" w:rsidRPr="00CF752E" w:rsidRDefault="00ED423B" w:rsidP="00BB6679">
            <w:pPr>
              <w:pStyle w:val="TableFigText"/>
              <w:tabs>
                <w:tab w:val="clear" w:pos="425"/>
                <w:tab w:val="decimal" w:pos="851"/>
              </w:tabs>
            </w:pPr>
            <w:r w:rsidRPr="00CF752E">
              <w:t>4.3</w:t>
            </w:r>
          </w:p>
        </w:tc>
        <w:tc>
          <w:tcPr>
            <w:tcW w:w="1871" w:type="dxa"/>
          </w:tcPr>
          <w:p w:rsidR="00ED423B" w:rsidRPr="00CF752E" w:rsidRDefault="00ED423B" w:rsidP="00BB6679">
            <w:pPr>
              <w:pStyle w:val="TableFigText"/>
              <w:tabs>
                <w:tab w:val="clear" w:pos="425"/>
                <w:tab w:val="decimal" w:pos="851"/>
              </w:tabs>
            </w:pPr>
            <w:r w:rsidRPr="00CF752E">
              <w:t>2.2</w:t>
            </w:r>
          </w:p>
        </w:tc>
      </w:tr>
      <w:tr w:rsidR="00ED423B" w:rsidRPr="00CF752E" w:rsidTr="00BB6679">
        <w:tc>
          <w:tcPr>
            <w:tcW w:w="3402" w:type="dxa"/>
          </w:tcPr>
          <w:p w:rsidR="00ED423B" w:rsidRPr="00CF752E" w:rsidRDefault="00ED423B" w:rsidP="00BB6679">
            <w:pPr>
              <w:pStyle w:val="TableFigText"/>
            </w:pPr>
            <w:r w:rsidRPr="00CF752E">
              <w:t>Health care and social assistance</w:t>
            </w:r>
          </w:p>
        </w:tc>
        <w:tc>
          <w:tcPr>
            <w:tcW w:w="1871" w:type="dxa"/>
          </w:tcPr>
          <w:p w:rsidR="00ED423B" w:rsidRPr="00CF752E" w:rsidRDefault="00ED423B" w:rsidP="00BB6679">
            <w:pPr>
              <w:pStyle w:val="TableFigText"/>
              <w:tabs>
                <w:tab w:val="clear" w:pos="425"/>
                <w:tab w:val="decimal" w:pos="851"/>
              </w:tabs>
            </w:pPr>
            <w:r w:rsidRPr="00CF752E">
              <w:t>18.7</w:t>
            </w:r>
          </w:p>
        </w:tc>
        <w:tc>
          <w:tcPr>
            <w:tcW w:w="1871" w:type="dxa"/>
          </w:tcPr>
          <w:p w:rsidR="00ED423B" w:rsidRPr="00CF752E" w:rsidRDefault="00ED423B" w:rsidP="00BB6679">
            <w:pPr>
              <w:pStyle w:val="TableFigText"/>
              <w:tabs>
                <w:tab w:val="clear" w:pos="425"/>
                <w:tab w:val="decimal" w:pos="851"/>
              </w:tabs>
            </w:pPr>
            <w:r w:rsidRPr="00CF752E">
              <w:t>6.1</w:t>
            </w:r>
          </w:p>
        </w:tc>
        <w:tc>
          <w:tcPr>
            <w:tcW w:w="1871" w:type="dxa"/>
          </w:tcPr>
          <w:p w:rsidR="00ED423B" w:rsidRPr="00CF752E" w:rsidRDefault="00ED423B" w:rsidP="00BB6679">
            <w:pPr>
              <w:pStyle w:val="TableFigText"/>
              <w:tabs>
                <w:tab w:val="clear" w:pos="425"/>
                <w:tab w:val="decimal" w:pos="851"/>
              </w:tabs>
            </w:pPr>
            <w:r w:rsidRPr="00CF752E">
              <w:t>9.4</w:t>
            </w:r>
          </w:p>
        </w:tc>
      </w:tr>
      <w:tr w:rsidR="00ED423B" w:rsidRPr="00CF752E" w:rsidTr="00BB6679">
        <w:tc>
          <w:tcPr>
            <w:tcW w:w="3402" w:type="dxa"/>
            <w:tcBorders>
              <w:bottom w:val="single" w:sz="4" w:space="0" w:color="auto"/>
            </w:tcBorders>
          </w:tcPr>
          <w:p w:rsidR="00ED423B" w:rsidRPr="00CF752E" w:rsidRDefault="00ED423B" w:rsidP="00BB6679">
            <w:pPr>
              <w:pStyle w:val="TableFigHeadingText"/>
            </w:pPr>
            <w:r w:rsidRPr="00CF752E">
              <w:t>Total</w:t>
            </w:r>
          </w:p>
        </w:tc>
        <w:tc>
          <w:tcPr>
            <w:tcW w:w="1871" w:type="dxa"/>
            <w:tcBorders>
              <w:bottom w:val="single" w:sz="4" w:space="0" w:color="auto"/>
            </w:tcBorders>
          </w:tcPr>
          <w:p w:rsidR="00ED423B" w:rsidRPr="00CF752E" w:rsidRDefault="00ED423B" w:rsidP="00BB6679">
            <w:pPr>
              <w:pStyle w:val="TableFigHeadingText"/>
              <w:tabs>
                <w:tab w:val="clear" w:pos="425"/>
                <w:tab w:val="decimal" w:pos="851"/>
              </w:tabs>
            </w:pPr>
            <w:r w:rsidRPr="00CF752E">
              <w:t>8.6</w:t>
            </w:r>
          </w:p>
        </w:tc>
        <w:tc>
          <w:tcPr>
            <w:tcW w:w="1871" w:type="dxa"/>
            <w:tcBorders>
              <w:bottom w:val="single" w:sz="4" w:space="0" w:color="auto"/>
            </w:tcBorders>
          </w:tcPr>
          <w:p w:rsidR="00ED423B" w:rsidRPr="00CF752E" w:rsidRDefault="00ED423B" w:rsidP="00BB6679">
            <w:pPr>
              <w:pStyle w:val="TableFigHeadingText"/>
              <w:tabs>
                <w:tab w:val="clear" w:pos="425"/>
                <w:tab w:val="decimal" w:pos="851"/>
              </w:tabs>
            </w:pPr>
            <w:r w:rsidRPr="00CF752E">
              <w:t>2.6</w:t>
            </w:r>
          </w:p>
        </w:tc>
        <w:tc>
          <w:tcPr>
            <w:tcW w:w="1871" w:type="dxa"/>
            <w:tcBorders>
              <w:bottom w:val="single" w:sz="4" w:space="0" w:color="auto"/>
            </w:tcBorders>
          </w:tcPr>
          <w:p w:rsidR="00ED423B" w:rsidRPr="00CF752E" w:rsidRDefault="00ED423B" w:rsidP="00BB6679">
            <w:pPr>
              <w:pStyle w:val="TableFigHeadingText"/>
              <w:tabs>
                <w:tab w:val="clear" w:pos="425"/>
                <w:tab w:val="decimal" w:pos="851"/>
              </w:tabs>
            </w:pPr>
            <w:r w:rsidRPr="00CF752E">
              <w:t>5.9</w:t>
            </w:r>
          </w:p>
        </w:tc>
      </w:tr>
    </w:tbl>
    <w:p w:rsidR="00ED423B" w:rsidRDefault="00ED423B" w:rsidP="00BB6679">
      <w:pPr>
        <w:pStyle w:val="TableFigNoteOnly"/>
        <w:tabs>
          <w:tab w:val="clear" w:pos="851"/>
        </w:tabs>
      </w:pPr>
      <w:r>
        <w:t xml:space="preserve">Note: </w:t>
      </w:r>
      <w:r w:rsidRPr="00B758F1">
        <w:t xml:space="preserve">There was at least one person from </w:t>
      </w:r>
      <w:r>
        <w:t xml:space="preserve">of </w:t>
      </w:r>
      <w:r w:rsidRPr="00B00F18">
        <w:t xml:space="preserve">the </w:t>
      </w:r>
      <w:r>
        <w:t>trade (wholesale and retail) and the education and training industry categories</w:t>
      </w:r>
      <w:r w:rsidRPr="00B758F1">
        <w:t>. Percentages for th</w:t>
      </w:r>
      <w:r>
        <w:t>ese categories</w:t>
      </w:r>
      <w:r w:rsidRPr="00B758F1">
        <w:t xml:space="preserve"> are not shown because there were less than three persons in </w:t>
      </w:r>
      <w:r>
        <w:t xml:space="preserve">each of </w:t>
      </w:r>
      <w:r w:rsidRPr="00B758F1">
        <w:t>the categor</w:t>
      </w:r>
      <w:r>
        <w:t>ies</w:t>
      </w:r>
      <w:r w:rsidRPr="00B758F1">
        <w:t xml:space="preserve">. There were no exposed persons from other </w:t>
      </w:r>
      <w:r>
        <w:t>industry</w:t>
      </w:r>
      <w:r w:rsidRPr="00B758F1">
        <w:t xml:space="preserve"> categories not shown.</w:t>
      </w:r>
    </w:p>
    <w:p w:rsidR="00ED423B" w:rsidRPr="00146270" w:rsidRDefault="00ED423B" w:rsidP="00BB6679">
      <w:pPr>
        <w:rPr>
          <w:lang w:eastAsia="en-AU"/>
        </w:rPr>
      </w:pPr>
    </w:p>
    <w:p w:rsidR="00BB6679" w:rsidRDefault="00BB6679"/>
    <w:sectPr w:rsidR="00BB6679" w:rsidSect="00BB6679">
      <w:headerReference w:type="default" r:id="rId32"/>
      <w:footerReference w:type="default" r:id="rId33"/>
      <w:footnotePr>
        <w:numRestart w:val="eachSect"/>
      </w:footnotePr>
      <w:endnotePr>
        <w:numFmt w:val="decimal"/>
      </w:endnotePr>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92" w:rsidRDefault="00425292" w:rsidP="00ED423B">
      <w:pPr>
        <w:spacing w:after="0" w:line="240" w:lineRule="auto"/>
      </w:pPr>
      <w:r>
        <w:separator/>
      </w:r>
    </w:p>
  </w:endnote>
  <w:endnote w:type="continuationSeparator" w:id="0">
    <w:p w:rsidR="00425292" w:rsidRDefault="00425292" w:rsidP="00ED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Default="00425292">
    <w:pPr>
      <w:pStyle w:val="Footer"/>
      <w:framePr w:wrap="around" w:vAnchor="text" w:hAnchor="margin" w:xAlign="right" w:y="1"/>
    </w:pPr>
    <w:r>
      <w:fldChar w:fldCharType="begin"/>
    </w:r>
    <w:r>
      <w:instrText xml:space="preserve">PAGE  </w:instrText>
    </w:r>
    <w:r>
      <w:fldChar w:fldCharType="separate"/>
    </w:r>
    <w:r>
      <w:rPr>
        <w:noProof/>
      </w:rPr>
      <w:t>31</w:t>
    </w:r>
    <w:r>
      <w:rPr>
        <w:noProof/>
      </w:rPr>
      <w:fldChar w:fldCharType="end"/>
    </w:r>
  </w:p>
  <w:p w:rsidR="00425292" w:rsidRDefault="004252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Default="00425292">
    <w:pPr>
      <w:pStyle w:val="Footer"/>
      <w:framePr w:wrap="around" w:vAnchor="text" w:hAnchor="margin" w:xAlign="right" w:y="1"/>
    </w:pPr>
    <w:r>
      <w:fldChar w:fldCharType="begin"/>
    </w:r>
    <w:r>
      <w:instrText xml:space="preserve">PAGE  </w:instrText>
    </w:r>
    <w:r>
      <w:fldChar w:fldCharType="separate"/>
    </w:r>
    <w:r>
      <w:rPr>
        <w:noProof/>
      </w:rPr>
      <w:t>xxxi</w:t>
    </w:r>
    <w:r>
      <w:fldChar w:fldCharType="end"/>
    </w:r>
  </w:p>
  <w:p w:rsidR="00425292" w:rsidRDefault="004252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Default="00425292" w:rsidP="00BB6679">
    <w:pPr>
      <w:pStyle w:val="Footer"/>
      <w:tabs>
        <w:tab w:val="clear" w:pos="8640"/>
        <w:tab w:val="right" w:pos="9072"/>
      </w:tabs>
      <w:rPr>
        <w:sz w:val="18"/>
        <w:szCs w:val="18"/>
      </w:rPr>
    </w:pPr>
  </w:p>
  <w:p w:rsidR="00425292" w:rsidRDefault="00425292" w:rsidP="00BB6679">
    <w:pPr>
      <w:pStyle w:val="Footer"/>
      <w:tabs>
        <w:tab w:val="clear" w:pos="8640"/>
        <w:tab w:val="right" w:pos="9072"/>
      </w:tabs>
    </w:pPr>
    <w:r w:rsidRPr="007065AA">
      <w:rPr>
        <w:i/>
        <w:sz w:val="18"/>
        <w:szCs w:val="18"/>
      </w:rPr>
      <w:t>The Australian Work Exposures Study (AWES): Polycyclic aromatic hydrocarbons</w:t>
    </w:r>
    <w:r w:rsidRPr="007065AA">
      <w:rPr>
        <w:i/>
        <w:sz w:val="18"/>
        <w:szCs w:val="18"/>
      </w:rPr>
      <w:tab/>
    </w:r>
    <w:r w:rsidRPr="007065AA">
      <w:rPr>
        <w:i/>
        <w:sz w:val="18"/>
        <w:szCs w:val="18"/>
      </w:rPr>
      <w:fldChar w:fldCharType="begin"/>
    </w:r>
    <w:r w:rsidRPr="007065AA">
      <w:rPr>
        <w:i/>
        <w:sz w:val="18"/>
        <w:szCs w:val="18"/>
      </w:rPr>
      <w:instrText xml:space="preserve"> PAGE   \* MERGEFORMAT </w:instrText>
    </w:r>
    <w:r w:rsidRPr="007065AA">
      <w:rPr>
        <w:i/>
        <w:sz w:val="18"/>
        <w:szCs w:val="18"/>
      </w:rPr>
      <w:fldChar w:fldCharType="separate"/>
    </w:r>
    <w:r w:rsidR="00AC004A">
      <w:rPr>
        <w:i/>
        <w:noProof/>
        <w:sz w:val="18"/>
        <w:szCs w:val="18"/>
      </w:rPr>
      <w:t>ii</w:t>
    </w:r>
    <w:r w:rsidRPr="007065AA">
      <w:rPr>
        <w:i/>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Default="00425292" w:rsidP="00BB6679">
    <w:pPr>
      <w:pStyle w:val="Footer"/>
      <w:tabs>
        <w:tab w:val="clear" w:pos="4320"/>
        <w:tab w:val="clear" w:pos="8640"/>
        <w:tab w:val="right" w:pos="14459"/>
      </w:tabs>
      <w:rPr>
        <w:sz w:val="18"/>
        <w:szCs w:val="18"/>
      </w:rPr>
    </w:pPr>
  </w:p>
  <w:p w:rsidR="00425292" w:rsidRDefault="00425292" w:rsidP="00BB6679">
    <w:pPr>
      <w:pStyle w:val="Footer"/>
      <w:tabs>
        <w:tab w:val="clear" w:pos="4320"/>
        <w:tab w:val="clear" w:pos="8640"/>
        <w:tab w:val="right" w:pos="14459"/>
      </w:tabs>
    </w:pPr>
    <w:r w:rsidRPr="007065AA">
      <w:rPr>
        <w:i/>
        <w:sz w:val="18"/>
        <w:szCs w:val="18"/>
      </w:rPr>
      <w:t>The Australian Work Exposures Study (AWES): Polycyclic aromatic hydrocarbons</w:t>
    </w:r>
    <w:r w:rsidRPr="007065AA">
      <w:rPr>
        <w:i/>
        <w:sz w:val="18"/>
        <w:szCs w:val="18"/>
      </w:rPr>
      <w:tab/>
    </w:r>
    <w:r w:rsidRPr="007065AA">
      <w:rPr>
        <w:i/>
        <w:sz w:val="18"/>
        <w:szCs w:val="18"/>
      </w:rPr>
      <w:fldChar w:fldCharType="begin"/>
    </w:r>
    <w:r w:rsidRPr="007065AA">
      <w:rPr>
        <w:i/>
        <w:sz w:val="18"/>
        <w:szCs w:val="18"/>
      </w:rPr>
      <w:instrText xml:space="preserve"> PAGE   \* MERGEFORMAT </w:instrText>
    </w:r>
    <w:r w:rsidRPr="007065AA">
      <w:rPr>
        <w:i/>
        <w:sz w:val="18"/>
        <w:szCs w:val="18"/>
      </w:rPr>
      <w:fldChar w:fldCharType="separate"/>
    </w:r>
    <w:r w:rsidR="00AC004A">
      <w:rPr>
        <w:i/>
        <w:noProof/>
        <w:sz w:val="18"/>
        <w:szCs w:val="18"/>
      </w:rPr>
      <w:t>11</w:t>
    </w:r>
    <w:r w:rsidRPr="007065AA">
      <w:rPr>
        <w: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Default="00425292" w:rsidP="00BB6679">
    <w:pPr>
      <w:pStyle w:val="Footer"/>
      <w:tabs>
        <w:tab w:val="clear" w:pos="4320"/>
        <w:tab w:val="clear" w:pos="8640"/>
        <w:tab w:val="right" w:pos="9071"/>
      </w:tabs>
      <w:rPr>
        <w:sz w:val="18"/>
        <w:szCs w:val="18"/>
      </w:rPr>
    </w:pPr>
  </w:p>
  <w:p w:rsidR="00425292" w:rsidRDefault="00425292" w:rsidP="00BB6679">
    <w:pPr>
      <w:pStyle w:val="Footer"/>
      <w:tabs>
        <w:tab w:val="clear" w:pos="4320"/>
        <w:tab w:val="clear" w:pos="8640"/>
        <w:tab w:val="right" w:pos="9071"/>
      </w:tabs>
    </w:pPr>
    <w:r w:rsidRPr="007065AA">
      <w:rPr>
        <w:i/>
        <w:sz w:val="18"/>
        <w:szCs w:val="18"/>
      </w:rPr>
      <w:t>The Australian Work Exposures Study (AWES): Polycyclic aromatic hydrocarbons</w:t>
    </w:r>
    <w:r w:rsidRPr="007065AA">
      <w:rPr>
        <w:i/>
        <w:sz w:val="18"/>
        <w:szCs w:val="18"/>
      </w:rPr>
      <w:tab/>
    </w:r>
    <w:r w:rsidRPr="007065AA">
      <w:rPr>
        <w:i/>
        <w:sz w:val="18"/>
        <w:szCs w:val="18"/>
      </w:rPr>
      <w:fldChar w:fldCharType="begin"/>
    </w:r>
    <w:r w:rsidRPr="007065AA">
      <w:rPr>
        <w:i/>
        <w:sz w:val="18"/>
        <w:szCs w:val="18"/>
      </w:rPr>
      <w:instrText xml:space="preserve"> PAGE   \* MERGEFORMAT </w:instrText>
    </w:r>
    <w:r w:rsidRPr="007065AA">
      <w:rPr>
        <w:i/>
        <w:sz w:val="18"/>
        <w:szCs w:val="18"/>
      </w:rPr>
      <w:fldChar w:fldCharType="separate"/>
    </w:r>
    <w:r w:rsidR="00AC004A">
      <w:rPr>
        <w:i/>
        <w:noProof/>
        <w:sz w:val="18"/>
        <w:szCs w:val="18"/>
      </w:rPr>
      <w:t>27</w:t>
    </w:r>
    <w:r w:rsidRPr="007065AA">
      <w:rP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92" w:rsidRDefault="00425292" w:rsidP="00ED423B">
      <w:pPr>
        <w:spacing w:after="0" w:line="240" w:lineRule="auto"/>
      </w:pPr>
      <w:r>
        <w:separator/>
      </w:r>
    </w:p>
  </w:footnote>
  <w:footnote w:type="continuationSeparator" w:id="0">
    <w:p w:rsidR="00425292" w:rsidRDefault="00425292" w:rsidP="00ED423B">
      <w:pPr>
        <w:spacing w:after="0" w:line="240" w:lineRule="auto"/>
      </w:pPr>
      <w:r>
        <w:continuationSeparator/>
      </w:r>
    </w:p>
  </w:footnote>
  <w:footnote w:id="1">
    <w:p w:rsidR="00425292" w:rsidRDefault="00425292" w:rsidP="00BB6679">
      <w:pPr>
        <w:pStyle w:val="FootnoteText"/>
      </w:pPr>
      <w:r>
        <w:rPr>
          <w:rStyle w:val="FootnoteReference"/>
        </w:rPr>
        <w:footnoteRef/>
      </w:r>
      <w:r>
        <w:t xml:space="preserve"> The </w:t>
      </w:r>
      <w:proofErr w:type="spellStart"/>
      <w:r w:rsidRPr="007A2FB9">
        <w:t>IARC</w:t>
      </w:r>
      <w:proofErr w:type="spellEnd"/>
      <w:r w:rsidRPr="007A2FB9">
        <w:t xml:space="preserve"> classification is described briefly in Appendix 1</w:t>
      </w:r>
      <w:r>
        <w:t>.</w:t>
      </w:r>
    </w:p>
  </w:footnote>
  <w:footnote w:id="2">
    <w:p w:rsidR="00425292" w:rsidRPr="00A8775B" w:rsidRDefault="00425292" w:rsidP="00BB6679">
      <w:pPr>
        <w:pStyle w:val="FootnoteText"/>
        <w:rPr>
          <w:lang w:val="en-AU"/>
        </w:rPr>
      </w:pPr>
      <w:r>
        <w:rPr>
          <w:rStyle w:val="FootnoteReference"/>
        </w:rPr>
        <w:footnoteRef/>
      </w:r>
      <w:r>
        <w:t xml:space="preserve"> </w:t>
      </w:r>
      <w:r>
        <w:rPr>
          <w:lang w:val="en-AU"/>
        </w:rPr>
        <w:t xml:space="preserve">Victoria and Western Australia have not adopted the model </w:t>
      </w:r>
      <w:proofErr w:type="spellStart"/>
      <w:r>
        <w:rPr>
          <w:lang w:val="en-AU"/>
        </w:rPr>
        <w:t>WHS</w:t>
      </w:r>
      <w:proofErr w:type="spellEnd"/>
      <w:r>
        <w:rPr>
          <w:lang w:val="en-AU"/>
        </w:rPr>
        <w:t xml:space="preserve"> Regulations and specific regulatory requirements in these jurisdictions may differ.</w:t>
      </w:r>
    </w:p>
  </w:footnote>
  <w:footnote w:id="3">
    <w:p w:rsidR="00425292" w:rsidRPr="00432F8A" w:rsidRDefault="00425292">
      <w:pPr>
        <w:pStyle w:val="FootnoteText"/>
        <w:rPr>
          <w:lang w:val="en-AU"/>
        </w:rPr>
      </w:pPr>
      <w:r>
        <w:rPr>
          <w:rStyle w:val="FootnoteReference"/>
        </w:rPr>
        <w:footnoteRef/>
      </w:r>
      <w:r>
        <w:t xml:space="preserve"> A detailed overview of the AWES study and the prevalence of exposures to the 38</w:t>
      </w:r>
      <w:r w:rsidR="00F56243">
        <w:t xml:space="preserve"> carcinogens has been published—see </w:t>
      </w:r>
      <w:r>
        <w:rPr>
          <w:noProof/>
        </w:rPr>
        <w:t>Carey, R, Driscoll, T, Peters, S, Glass, D, Reid, A, Benke, G, et al. (2014). Estimated prevalence of exposure to occupational carcinogens in Australia (2011-2012). Occupational and Environmental Medicine, 71(1):55-62</w:t>
      </w:r>
      <w:r>
        <w:t>. This section of the report summarises the research methodology.</w:t>
      </w:r>
    </w:p>
  </w:footnote>
  <w:footnote w:id="4">
    <w:p w:rsidR="00F56243" w:rsidRPr="00F56243" w:rsidRDefault="00F56243">
      <w:pPr>
        <w:pStyle w:val="FootnoteText"/>
        <w:rPr>
          <w:lang w:val="en-AU"/>
        </w:rPr>
      </w:pPr>
      <w:r>
        <w:rPr>
          <w:rStyle w:val="FootnoteReference"/>
        </w:rPr>
        <w:footnoteRef/>
      </w:r>
      <w:r>
        <w:t xml:space="preserve"> </w:t>
      </w:r>
      <w:r w:rsidRPr="00F56243">
        <w:t>Tables providing data on which Figures are based are in Appendix 3</w:t>
      </w:r>
      <w:r>
        <w:t>.</w:t>
      </w:r>
    </w:p>
  </w:footnote>
  <w:footnote w:id="5">
    <w:p w:rsidR="00425292" w:rsidRPr="00E76A39" w:rsidRDefault="00425292">
      <w:pPr>
        <w:pStyle w:val="FootnoteText"/>
        <w:rPr>
          <w:lang w:val="en-AU"/>
        </w:rPr>
      </w:pPr>
      <w:r>
        <w:rPr>
          <w:rStyle w:val="FootnoteReference"/>
        </w:rPr>
        <w:footnoteRef/>
      </w:r>
      <w:r>
        <w:t xml:space="preserve"> </w:t>
      </w:r>
      <w:r>
        <w:rPr>
          <w:lang w:val="en-AU"/>
        </w:rPr>
        <w:t>This industry classification includes Australian Defence Force personnel, and public order, safety, and regulatory services staff like fire fighters</w:t>
      </w:r>
    </w:p>
  </w:footnote>
  <w:footnote w:id="6">
    <w:p w:rsidR="00425292" w:rsidRPr="00470066" w:rsidRDefault="00425292">
      <w:pPr>
        <w:pStyle w:val="FootnoteText"/>
        <w:rPr>
          <w:lang w:val="en-AU"/>
        </w:rPr>
      </w:pPr>
      <w:r>
        <w:rPr>
          <w:rStyle w:val="FootnoteReference"/>
        </w:rPr>
        <w:footnoteRef/>
      </w:r>
      <w:r>
        <w:t xml:space="preserve"> AWES respondents were asked “Do you repair or maintain power mowers or other equipment?” Additional questions about the type of equipment were not asked.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Pr="00AA3662" w:rsidRDefault="00425292" w:rsidP="00A26428">
    <w:pPr>
      <w:pStyle w:val="Header"/>
      <w:jc w:val="right"/>
    </w:pPr>
    <w:r>
      <w:rPr>
        <w:noProof/>
        <w:lang w:eastAsia="en-AU"/>
      </w:rPr>
      <w:drawing>
        <wp:inline distT="0" distB="0" distL="0" distR="0" wp14:anchorId="780390EC" wp14:editId="3BDBA6E5">
          <wp:extent cx="2524125" cy="514350"/>
          <wp:effectExtent l="0" t="0" r="9525" b="0"/>
          <wp:docPr id="3" name="Picture 3" descr="Safe Wor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Default="004252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Pr="00AA3662" w:rsidRDefault="00425292" w:rsidP="00BB66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Default="004252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Default="004252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Pr="00AA3662" w:rsidRDefault="00425292" w:rsidP="00BB667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Default="0042529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292" w:rsidRPr="00AA3662" w:rsidRDefault="00425292" w:rsidP="00BB6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58F"/>
    <w:multiLevelType w:val="hybridMultilevel"/>
    <w:tmpl w:val="BAC22538"/>
    <w:lvl w:ilvl="0" w:tplc="5682505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9B0DDA"/>
    <w:multiLevelType w:val="hybridMultilevel"/>
    <w:tmpl w:val="19402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AF1C3B"/>
    <w:multiLevelType w:val="hybridMultilevel"/>
    <w:tmpl w:val="65003A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EC71D54"/>
    <w:multiLevelType w:val="hybridMultilevel"/>
    <w:tmpl w:val="B436F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67782A"/>
    <w:multiLevelType w:val="hybridMultilevel"/>
    <w:tmpl w:val="7F66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AF6477"/>
    <w:multiLevelType w:val="multilevel"/>
    <w:tmpl w:val="DDDE41F2"/>
    <w:lvl w:ilvl="0">
      <w:start w:val="1"/>
      <w:numFmt w:val="lowerLetter"/>
      <w:lvlText w:val="%1)"/>
      <w:lvlJc w:val="left"/>
      <w:pPr>
        <w:tabs>
          <w:tab w:val="num" w:pos="1080"/>
        </w:tabs>
        <w:ind w:left="1080" w:hanging="360"/>
      </w:p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
    <w:nsid w:val="163649D9"/>
    <w:multiLevelType w:val="hybridMultilevel"/>
    <w:tmpl w:val="7FC4E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15024E"/>
    <w:multiLevelType w:val="hybridMultilevel"/>
    <w:tmpl w:val="2E92E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8D453D"/>
    <w:multiLevelType w:val="hybridMultilevel"/>
    <w:tmpl w:val="0D8C1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6C1FDE"/>
    <w:multiLevelType w:val="hybridMultilevel"/>
    <w:tmpl w:val="72720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AF15B0"/>
    <w:multiLevelType w:val="hybridMultilevel"/>
    <w:tmpl w:val="892CD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7351EE"/>
    <w:multiLevelType w:val="hybridMultilevel"/>
    <w:tmpl w:val="AFF02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656A23"/>
    <w:multiLevelType w:val="hybridMultilevel"/>
    <w:tmpl w:val="36E8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CF6417"/>
    <w:multiLevelType w:val="multilevel"/>
    <w:tmpl w:val="27D0B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E6E3FE5"/>
    <w:multiLevelType w:val="hybridMultilevel"/>
    <w:tmpl w:val="CA861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EC7276"/>
    <w:multiLevelType w:val="hybridMultilevel"/>
    <w:tmpl w:val="EA267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552560"/>
    <w:multiLevelType w:val="hybridMultilevel"/>
    <w:tmpl w:val="2834A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7F0912"/>
    <w:multiLevelType w:val="hybridMultilevel"/>
    <w:tmpl w:val="6CE27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CF7755"/>
    <w:multiLevelType w:val="hybridMultilevel"/>
    <w:tmpl w:val="89BC6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7C78A8"/>
    <w:multiLevelType w:val="hybridMultilevel"/>
    <w:tmpl w:val="2B389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885088"/>
    <w:multiLevelType w:val="hybridMultilevel"/>
    <w:tmpl w:val="90467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DA760E"/>
    <w:multiLevelType w:val="hybridMultilevel"/>
    <w:tmpl w:val="790A1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DF5118"/>
    <w:multiLevelType w:val="hybridMultilevel"/>
    <w:tmpl w:val="B2087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1E5E93"/>
    <w:multiLevelType w:val="hybridMultilevel"/>
    <w:tmpl w:val="FF224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3E7339A"/>
    <w:multiLevelType w:val="hybridMultilevel"/>
    <w:tmpl w:val="D110E468"/>
    <w:lvl w:ilvl="0" w:tplc="8224FD2E">
      <w:numFmt w:val="bullet"/>
      <w:lvlText w:val="-"/>
      <w:lvlJc w:val="left"/>
      <w:pPr>
        <w:tabs>
          <w:tab w:val="num" w:pos="720"/>
        </w:tabs>
        <w:ind w:left="720" w:hanging="360"/>
      </w:pPr>
      <w:rPr>
        <w:rFonts w:ascii="Times New Roman" w:eastAsia="Times New Roman" w:hAnsi="Times New Roman" w:hint="default"/>
      </w:rPr>
    </w:lvl>
    <w:lvl w:ilvl="1" w:tplc="789449BE">
      <w:start w:val="1"/>
      <w:numFmt w:val="bullet"/>
      <w:lvlText w:val="o"/>
      <w:lvlJc w:val="left"/>
      <w:pPr>
        <w:tabs>
          <w:tab w:val="num" w:pos="1440"/>
        </w:tabs>
        <w:ind w:left="1440" w:hanging="360"/>
      </w:pPr>
      <w:rPr>
        <w:rFonts w:ascii="Courier New" w:hAnsi="Courier New" w:cs="Courier New" w:hint="default"/>
      </w:rPr>
    </w:lvl>
    <w:lvl w:ilvl="2" w:tplc="51AE013C" w:tentative="1">
      <w:start w:val="1"/>
      <w:numFmt w:val="bullet"/>
      <w:lvlText w:val=""/>
      <w:lvlJc w:val="left"/>
      <w:pPr>
        <w:tabs>
          <w:tab w:val="num" w:pos="2160"/>
        </w:tabs>
        <w:ind w:left="2160" w:hanging="360"/>
      </w:pPr>
      <w:rPr>
        <w:rFonts w:ascii="Wingdings" w:hAnsi="Wingdings" w:cs="Wingdings" w:hint="default"/>
      </w:rPr>
    </w:lvl>
    <w:lvl w:ilvl="3" w:tplc="D308760A" w:tentative="1">
      <w:start w:val="1"/>
      <w:numFmt w:val="bullet"/>
      <w:lvlText w:val=""/>
      <w:lvlJc w:val="left"/>
      <w:pPr>
        <w:tabs>
          <w:tab w:val="num" w:pos="2880"/>
        </w:tabs>
        <w:ind w:left="2880" w:hanging="360"/>
      </w:pPr>
      <w:rPr>
        <w:rFonts w:ascii="Symbol" w:hAnsi="Symbol" w:cs="Symbol" w:hint="default"/>
      </w:rPr>
    </w:lvl>
    <w:lvl w:ilvl="4" w:tplc="D82ED57A" w:tentative="1">
      <w:start w:val="1"/>
      <w:numFmt w:val="bullet"/>
      <w:lvlText w:val="o"/>
      <w:lvlJc w:val="left"/>
      <w:pPr>
        <w:tabs>
          <w:tab w:val="num" w:pos="3600"/>
        </w:tabs>
        <w:ind w:left="3600" w:hanging="360"/>
      </w:pPr>
      <w:rPr>
        <w:rFonts w:ascii="Courier New" w:hAnsi="Courier New" w:cs="Courier New" w:hint="default"/>
      </w:rPr>
    </w:lvl>
    <w:lvl w:ilvl="5" w:tplc="4C386630" w:tentative="1">
      <w:start w:val="1"/>
      <w:numFmt w:val="bullet"/>
      <w:lvlText w:val=""/>
      <w:lvlJc w:val="left"/>
      <w:pPr>
        <w:tabs>
          <w:tab w:val="num" w:pos="4320"/>
        </w:tabs>
        <w:ind w:left="4320" w:hanging="360"/>
      </w:pPr>
      <w:rPr>
        <w:rFonts w:ascii="Wingdings" w:hAnsi="Wingdings" w:cs="Wingdings" w:hint="default"/>
      </w:rPr>
    </w:lvl>
    <w:lvl w:ilvl="6" w:tplc="B510968E" w:tentative="1">
      <w:start w:val="1"/>
      <w:numFmt w:val="bullet"/>
      <w:lvlText w:val=""/>
      <w:lvlJc w:val="left"/>
      <w:pPr>
        <w:tabs>
          <w:tab w:val="num" w:pos="5040"/>
        </w:tabs>
        <w:ind w:left="5040" w:hanging="360"/>
      </w:pPr>
      <w:rPr>
        <w:rFonts w:ascii="Symbol" w:hAnsi="Symbol" w:cs="Symbol" w:hint="default"/>
      </w:rPr>
    </w:lvl>
    <w:lvl w:ilvl="7" w:tplc="6EA04D42" w:tentative="1">
      <w:start w:val="1"/>
      <w:numFmt w:val="bullet"/>
      <w:lvlText w:val="o"/>
      <w:lvlJc w:val="left"/>
      <w:pPr>
        <w:tabs>
          <w:tab w:val="num" w:pos="5760"/>
        </w:tabs>
        <w:ind w:left="5760" w:hanging="360"/>
      </w:pPr>
      <w:rPr>
        <w:rFonts w:ascii="Courier New" w:hAnsi="Courier New" w:cs="Courier New" w:hint="default"/>
      </w:rPr>
    </w:lvl>
    <w:lvl w:ilvl="8" w:tplc="577C9632" w:tentative="1">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5"/>
  </w:num>
  <w:num w:numId="3">
    <w:abstractNumId w:val="4"/>
  </w:num>
  <w:num w:numId="4">
    <w:abstractNumId w:val="12"/>
  </w:num>
  <w:num w:numId="5">
    <w:abstractNumId w:val="21"/>
  </w:num>
  <w:num w:numId="6">
    <w:abstractNumId w:val="6"/>
  </w:num>
  <w:num w:numId="7">
    <w:abstractNumId w:val="20"/>
  </w:num>
  <w:num w:numId="8">
    <w:abstractNumId w:val="23"/>
  </w:num>
  <w:num w:numId="9">
    <w:abstractNumId w:val="22"/>
  </w:num>
  <w:num w:numId="10">
    <w:abstractNumId w:val="15"/>
  </w:num>
  <w:num w:numId="11">
    <w:abstractNumId w:val="14"/>
  </w:num>
  <w:num w:numId="12">
    <w:abstractNumId w:val="9"/>
  </w:num>
  <w:num w:numId="13">
    <w:abstractNumId w:val="18"/>
  </w:num>
  <w:num w:numId="14">
    <w:abstractNumId w:val="16"/>
  </w:num>
  <w:num w:numId="15">
    <w:abstractNumId w:val="8"/>
  </w:num>
  <w:num w:numId="16">
    <w:abstractNumId w:val="3"/>
  </w:num>
  <w:num w:numId="17">
    <w:abstractNumId w:val="7"/>
  </w:num>
  <w:num w:numId="18">
    <w:abstractNumId w:val="19"/>
  </w:num>
  <w:num w:numId="19">
    <w:abstractNumId w:val="1"/>
  </w:num>
  <w:num w:numId="20">
    <w:abstractNumId w:val="11"/>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7"/>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D423B"/>
    <w:rsid w:val="000801E5"/>
    <w:rsid w:val="000B6BB8"/>
    <w:rsid w:val="00156F40"/>
    <w:rsid w:val="001B3BA4"/>
    <w:rsid w:val="00230773"/>
    <w:rsid w:val="00262B2F"/>
    <w:rsid w:val="003361F9"/>
    <w:rsid w:val="00353730"/>
    <w:rsid w:val="00386765"/>
    <w:rsid w:val="003F78D9"/>
    <w:rsid w:val="004114D5"/>
    <w:rsid w:val="00425292"/>
    <w:rsid w:val="00465321"/>
    <w:rsid w:val="00586281"/>
    <w:rsid w:val="0059684A"/>
    <w:rsid w:val="005A75A3"/>
    <w:rsid w:val="005D633A"/>
    <w:rsid w:val="00614397"/>
    <w:rsid w:val="00651F62"/>
    <w:rsid w:val="00701568"/>
    <w:rsid w:val="00721283"/>
    <w:rsid w:val="007E621B"/>
    <w:rsid w:val="008162F7"/>
    <w:rsid w:val="00824292"/>
    <w:rsid w:val="008455AE"/>
    <w:rsid w:val="008552BF"/>
    <w:rsid w:val="008D26AB"/>
    <w:rsid w:val="008D5F32"/>
    <w:rsid w:val="00956E61"/>
    <w:rsid w:val="00A26428"/>
    <w:rsid w:val="00A65E1C"/>
    <w:rsid w:val="00A8559A"/>
    <w:rsid w:val="00A96C36"/>
    <w:rsid w:val="00AC004A"/>
    <w:rsid w:val="00BB6679"/>
    <w:rsid w:val="00BB6AD4"/>
    <w:rsid w:val="00C70CE9"/>
    <w:rsid w:val="00C964A5"/>
    <w:rsid w:val="00CA1612"/>
    <w:rsid w:val="00DB4C8F"/>
    <w:rsid w:val="00DE3431"/>
    <w:rsid w:val="00E538D2"/>
    <w:rsid w:val="00EC5194"/>
    <w:rsid w:val="00ED423B"/>
    <w:rsid w:val="00F07553"/>
    <w:rsid w:val="00F56243"/>
    <w:rsid w:val="00F97042"/>
    <w:rsid w:val="00FC69DB"/>
    <w:rsid w:val="00FD4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6" w:uiPriority="39"/>
    <w:lsdException w:name="toc 7" w:uiPriority="39"/>
    <w:lsdException w:name="toc 8"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3B"/>
    <w:pPr>
      <w:spacing w:after="160" w:line="260" w:lineRule="atLeast"/>
    </w:pPr>
    <w:rPr>
      <w:rFonts w:ascii="Arial" w:eastAsia="Times New Roman" w:hAnsi="Arial"/>
      <w:szCs w:val="20"/>
    </w:rPr>
  </w:style>
  <w:style w:type="paragraph" w:styleId="Heading1">
    <w:name w:val="heading 1"/>
    <w:next w:val="Normal"/>
    <w:link w:val="Heading1Char"/>
    <w:qFormat/>
    <w:rsid w:val="00ED423B"/>
    <w:pPr>
      <w:keepNext/>
      <w:keepLines/>
      <w:pageBreakBefore/>
      <w:spacing w:before="160" w:after="240" w:line="240" w:lineRule="auto"/>
      <w:outlineLvl w:val="0"/>
    </w:pPr>
    <w:rPr>
      <w:rFonts w:ascii="Arial" w:eastAsiaTheme="majorEastAsia" w:hAnsi="Arial" w:cstheme="majorBidi"/>
      <w:b/>
      <w:sz w:val="32"/>
      <w:szCs w:val="20"/>
      <w:lang w:val="en-US"/>
    </w:rPr>
  </w:style>
  <w:style w:type="paragraph" w:styleId="Heading2">
    <w:name w:val="heading 2"/>
    <w:next w:val="Normal"/>
    <w:link w:val="Heading2Char"/>
    <w:qFormat/>
    <w:rsid w:val="00ED423B"/>
    <w:pPr>
      <w:keepNext/>
      <w:keepLines/>
      <w:spacing w:after="80" w:line="240" w:lineRule="auto"/>
      <w:outlineLvl w:val="1"/>
    </w:pPr>
    <w:rPr>
      <w:rFonts w:ascii="Arial" w:eastAsiaTheme="majorEastAsia" w:hAnsi="Arial" w:cstheme="majorBidi"/>
      <w:b/>
      <w:sz w:val="28"/>
      <w:szCs w:val="20"/>
      <w:lang w:val="en-US"/>
    </w:rPr>
  </w:style>
  <w:style w:type="paragraph" w:styleId="Heading3">
    <w:name w:val="heading 3"/>
    <w:next w:val="Normal"/>
    <w:link w:val="Heading3Char"/>
    <w:qFormat/>
    <w:rsid w:val="00ED423B"/>
    <w:pPr>
      <w:keepNext/>
      <w:keepLines/>
      <w:spacing w:after="80" w:line="340" w:lineRule="atLeast"/>
      <w:outlineLvl w:val="2"/>
    </w:pPr>
    <w:rPr>
      <w:rFonts w:ascii="Arial" w:eastAsiaTheme="majorEastAsia" w:hAnsi="Arial" w:cstheme="majorBidi"/>
      <w:b/>
      <w:sz w:val="24"/>
      <w:szCs w:val="20"/>
      <w:lang w:val="en-US"/>
    </w:rPr>
  </w:style>
  <w:style w:type="paragraph" w:styleId="Heading4">
    <w:name w:val="heading 4"/>
    <w:basedOn w:val="Normal"/>
    <w:next w:val="Normal"/>
    <w:link w:val="Heading4Char"/>
    <w:qFormat/>
    <w:rsid w:val="00ED423B"/>
    <w:pPr>
      <w:keepNext/>
      <w:spacing w:after="80"/>
      <w:outlineLvl w:val="3"/>
    </w:pPr>
    <w:rPr>
      <w:rFonts w:eastAsiaTheme="majorEastAsia" w:cstheme="majorBidi"/>
      <w:b/>
      <w:i/>
    </w:rPr>
  </w:style>
  <w:style w:type="paragraph" w:styleId="Heading5">
    <w:name w:val="heading 5"/>
    <w:basedOn w:val="Normal"/>
    <w:next w:val="Normal"/>
    <w:link w:val="Heading5Char"/>
    <w:uiPriority w:val="99"/>
    <w:rsid w:val="00ED423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D423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42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423B"/>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423B"/>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23B"/>
    <w:rPr>
      <w:rFonts w:ascii="Arial" w:eastAsiaTheme="majorEastAsia" w:hAnsi="Arial" w:cstheme="majorBidi"/>
      <w:b/>
      <w:sz w:val="32"/>
      <w:szCs w:val="20"/>
      <w:lang w:val="en-US"/>
    </w:rPr>
  </w:style>
  <w:style w:type="character" w:customStyle="1" w:styleId="Heading2Char">
    <w:name w:val="Heading 2 Char"/>
    <w:basedOn w:val="DefaultParagraphFont"/>
    <w:link w:val="Heading2"/>
    <w:rsid w:val="00ED423B"/>
    <w:rPr>
      <w:rFonts w:ascii="Arial" w:eastAsiaTheme="majorEastAsia" w:hAnsi="Arial" w:cstheme="majorBidi"/>
      <w:b/>
      <w:sz w:val="28"/>
      <w:szCs w:val="20"/>
      <w:lang w:val="en-US"/>
    </w:rPr>
  </w:style>
  <w:style w:type="character" w:customStyle="1" w:styleId="Heading3Char">
    <w:name w:val="Heading 3 Char"/>
    <w:basedOn w:val="DefaultParagraphFont"/>
    <w:link w:val="Heading3"/>
    <w:rsid w:val="00ED423B"/>
    <w:rPr>
      <w:rFonts w:ascii="Arial" w:eastAsiaTheme="majorEastAsia" w:hAnsi="Arial" w:cstheme="majorBidi"/>
      <w:b/>
      <w:sz w:val="24"/>
      <w:szCs w:val="20"/>
      <w:lang w:val="en-US"/>
    </w:rPr>
  </w:style>
  <w:style w:type="character" w:customStyle="1" w:styleId="Heading4Char">
    <w:name w:val="Heading 4 Char"/>
    <w:basedOn w:val="DefaultParagraphFont"/>
    <w:link w:val="Heading4"/>
    <w:rsid w:val="00ED423B"/>
    <w:rPr>
      <w:rFonts w:ascii="Arial" w:eastAsiaTheme="majorEastAsia" w:hAnsi="Arial" w:cstheme="majorBidi"/>
      <w:b/>
      <w:i/>
      <w:szCs w:val="20"/>
    </w:rPr>
  </w:style>
  <w:style w:type="character" w:customStyle="1" w:styleId="Heading5Char">
    <w:name w:val="Heading 5 Char"/>
    <w:basedOn w:val="DefaultParagraphFont"/>
    <w:link w:val="Heading5"/>
    <w:uiPriority w:val="9"/>
    <w:rsid w:val="00ED423B"/>
    <w:rPr>
      <w:rFonts w:ascii="Arial" w:eastAsia="Times New Roman" w:hAnsi="Arial"/>
      <w:b/>
      <w:bCs/>
      <w:i/>
      <w:iCs/>
      <w:sz w:val="26"/>
      <w:szCs w:val="26"/>
    </w:rPr>
  </w:style>
  <w:style w:type="character" w:customStyle="1" w:styleId="Heading6Char">
    <w:name w:val="Heading 6 Char"/>
    <w:basedOn w:val="DefaultParagraphFont"/>
    <w:link w:val="Heading6"/>
    <w:uiPriority w:val="9"/>
    <w:semiHidden/>
    <w:rsid w:val="00ED423B"/>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ED423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ED42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423B"/>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rsid w:val="00ED423B"/>
    <w:pPr>
      <w:tabs>
        <w:tab w:val="center" w:pos="4320"/>
        <w:tab w:val="right" w:pos="8640"/>
      </w:tabs>
    </w:pPr>
  </w:style>
  <w:style w:type="character" w:customStyle="1" w:styleId="FooterChar">
    <w:name w:val="Footer Char"/>
    <w:basedOn w:val="DefaultParagraphFont"/>
    <w:link w:val="Footer"/>
    <w:uiPriority w:val="99"/>
    <w:rsid w:val="00ED423B"/>
    <w:rPr>
      <w:rFonts w:ascii="Arial" w:eastAsia="Times New Roman" w:hAnsi="Arial"/>
      <w:szCs w:val="20"/>
    </w:rPr>
  </w:style>
  <w:style w:type="paragraph" w:styleId="FootnoteText">
    <w:name w:val="footnote text"/>
    <w:link w:val="FootnoteTextChar"/>
    <w:qFormat/>
    <w:rsid w:val="00ED423B"/>
    <w:pPr>
      <w:spacing w:after="0" w:line="240" w:lineRule="auto"/>
    </w:pPr>
    <w:rPr>
      <w:rFonts w:ascii="Arial" w:eastAsia="Times" w:hAnsi="Arial"/>
      <w:sz w:val="18"/>
      <w:szCs w:val="20"/>
      <w:lang w:val="en-GB"/>
    </w:rPr>
  </w:style>
  <w:style w:type="character" w:customStyle="1" w:styleId="FootnoteTextChar">
    <w:name w:val="Footnote Text Char"/>
    <w:basedOn w:val="DefaultParagraphFont"/>
    <w:link w:val="FootnoteText"/>
    <w:rsid w:val="00ED423B"/>
    <w:rPr>
      <w:rFonts w:ascii="Arial" w:eastAsia="Times" w:hAnsi="Arial"/>
      <w:sz w:val="18"/>
      <w:szCs w:val="20"/>
      <w:lang w:val="en-GB"/>
    </w:rPr>
  </w:style>
  <w:style w:type="character" w:styleId="FootnoteReference">
    <w:name w:val="footnote reference"/>
    <w:basedOn w:val="DefaultParagraphFont"/>
    <w:semiHidden/>
    <w:rsid w:val="00ED423B"/>
    <w:rPr>
      <w:vertAlign w:val="superscript"/>
    </w:rPr>
  </w:style>
  <w:style w:type="paragraph" w:styleId="Header">
    <w:name w:val="header"/>
    <w:basedOn w:val="Normal"/>
    <w:link w:val="HeaderChar"/>
    <w:rsid w:val="00ED423B"/>
    <w:pPr>
      <w:tabs>
        <w:tab w:val="center" w:pos="4153"/>
        <w:tab w:val="right" w:pos="8306"/>
      </w:tabs>
    </w:pPr>
    <w:rPr>
      <w:sz w:val="20"/>
    </w:rPr>
  </w:style>
  <w:style w:type="character" w:customStyle="1" w:styleId="HeaderChar">
    <w:name w:val="Header Char"/>
    <w:basedOn w:val="DefaultParagraphFont"/>
    <w:link w:val="Header"/>
    <w:uiPriority w:val="99"/>
    <w:rsid w:val="00ED423B"/>
    <w:rPr>
      <w:rFonts w:ascii="Arial" w:eastAsia="Times New Roman" w:hAnsi="Arial"/>
      <w:sz w:val="20"/>
      <w:szCs w:val="20"/>
    </w:rPr>
  </w:style>
  <w:style w:type="character" w:styleId="EndnoteReference">
    <w:name w:val="endnote reference"/>
    <w:basedOn w:val="DefaultParagraphFont"/>
    <w:uiPriority w:val="99"/>
    <w:semiHidden/>
    <w:rsid w:val="00ED423B"/>
    <w:rPr>
      <w:vertAlign w:val="superscript"/>
    </w:rPr>
  </w:style>
  <w:style w:type="paragraph" w:styleId="EndnoteText">
    <w:name w:val="endnote text"/>
    <w:basedOn w:val="Normal"/>
    <w:link w:val="EndnoteTextChar"/>
    <w:uiPriority w:val="99"/>
    <w:semiHidden/>
    <w:rsid w:val="00ED423B"/>
    <w:rPr>
      <w:sz w:val="20"/>
    </w:rPr>
  </w:style>
  <w:style w:type="character" w:customStyle="1" w:styleId="EndnoteTextChar">
    <w:name w:val="Endnote Text Char"/>
    <w:basedOn w:val="DefaultParagraphFont"/>
    <w:link w:val="EndnoteText"/>
    <w:uiPriority w:val="99"/>
    <w:semiHidden/>
    <w:rsid w:val="00ED423B"/>
    <w:rPr>
      <w:rFonts w:ascii="Arial" w:eastAsia="Times New Roman" w:hAnsi="Arial"/>
      <w:sz w:val="20"/>
      <w:szCs w:val="20"/>
    </w:rPr>
  </w:style>
  <w:style w:type="paragraph" w:styleId="TOC1">
    <w:name w:val="toc 1"/>
    <w:aliases w:val="TOC Tim"/>
    <w:basedOn w:val="Normal"/>
    <w:autoRedefine/>
    <w:uiPriority w:val="39"/>
    <w:rsid w:val="00ED423B"/>
    <w:pPr>
      <w:tabs>
        <w:tab w:val="right" w:pos="8789"/>
      </w:tabs>
      <w:spacing w:before="240"/>
      <w:ind w:right="566"/>
    </w:pPr>
    <w:rPr>
      <w:rFonts w:cs="Verdana"/>
      <w:b/>
      <w:bCs/>
      <w:noProof/>
    </w:rPr>
  </w:style>
  <w:style w:type="character" w:styleId="Hyperlink">
    <w:name w:val="Hyperlink"/>
    <w:basedOn w:val="DefaultParagraphFont"/>
    <w:uiPriority w:val="99"/>
    <w:rsid w:val="00ED423B"/>
    <w:rPr>
      <w:color w:val="0000FF"/>
      <w:u w:val="single"/>
    </w:rPr>
  </w:style>
  <w:style w:type="paragraph" w:styleId="Title">
    <w:name w:val="Title"/>
    <w:basedOn w:val="Normal"/>
    <w:link w:val="TitleChar"/>
    <w:uiPriority w:val="99"/>
    <w:qFormat/>
    <w:rsid w:val="00ED423B"/>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rsid w:val="00ED423B"/>
    <w:rPr>
      <w:rFonts w:ascii="Arial" w:eastAsia="Times New Roman" w:hAnsi="Arial" w:cs="Arial"/>
      <w:b/>
      <w:bCs/>
      <w:kern w:val="28"/>
      <w:sz w:val="32"/>
      <w:szCs w:val="32"/>
    </w:rPr>
  </w:style>
  <w:style w:type="paragraph" w:styleId="TOC2">
    <w:name w:val="toc 2"/>
    <w:basedOn w:val="TOC1"/>
    <w:next w:val="Normal"/>
    <w:autoRedefine/>
    <w:uiPriority w:val="39"/>
    <w:rsid w:val="00ED423B"/>
    <w:pPr>
      <w:spacing w:before="120"/>
      <w:ind w:left="1134" w:right="282" w:hanging="567"/>
    </w:pPr>
    <w:rPr>
      <w:b w:val="0"/>
      <w:bCs w:val="0"/>
    </w:rPr>
  </w:style>
  <w:style w:type="paragraph" w:styleId="TOC3">
    <w:name w:val="toc 3"/>
    <w:basedOn w:val="Normal"/>
    <w:next w:val="Normal"/>
    <w:autoRedefine/>
    <w:uiPriority w:val="39"/>
    <w:rsid w:val="00ED423B"/>
    <w:pPr>
      <w:tabs>
        <w:tab w:val="right" w:pos="8789"/>
      </w:tabs>
      <w:ind w:left="1134" w:right="282"/>
    </w:pPr>
    <w:rPr>
      <w:noProof/>
    </w:rPr>
  </w:style>
  <w:style w:type="paragraph" w:styleId="TOC4">
    <w:name w:val="toc 4"/>
    <w:basedOn w:val="TOC1"/>
    <w:next w:val="TOC2"/>
    <w:autoRedefine/>
    <w:uiPriority w:val="99"/>
    <w:semiHidden/>
    <w:rsid w:val="00ED423B"/>
    <w:pPr>
      <w:tabs>
        <w:tab w:val="left" w:pos="1418"/>
      </w:tabs>
      <w:ind w:left="2835" w:hanging="1701"/>
    </w:pPr>
  </w:style>
  <w:style w:type="paragraph" w:styleId="TOC5">
    <w:name w:val="toc 5"/>
    <w:basedOn w:val="Normal"/>
    <w:next w:val="Normal"/>
    <w:autoRedefine/>
    <w:uiPriority w:val="99"/>
    <w:semiHidden/>
    <w:rsid w:val="00ED423B"/>
    <w:pPr>
      <w:ind w:left="960"/>
    </w:pPr>
  </w:style>
  <w:style w:type="character" w:styleId="FollowedHyperlink">
    <w:name w:val="FollowedHyperlink"/>
    <w:basedOn w:val="DefaultParagraphFont"/>
    <w:uiPriority w:val="99"/>
    <w:rsid w:val="00ED423B"/>
    <w:rPr>
      <w:color w:val="800080"/>
      <w:u w:val="single"/>
    </w:rPr>
  </w:style>
  <w:style w:type="paragraph" w:styleId="TOC6">
    <w:name w:val="toc 6"/>
    <w:basedOn w:val="TOC1"/>
    <w:next w:val="TOC7"/>
    <w:autoRedefine/>
    <w:uiPriority w:val="39"/>
    <w:rsid w:val="00ED423B"/>
    <w:pPr>
      <w:tabs>
        <w:tab w:val="clear" w:pos="8789"/>
        <w:tab w:val="left" w:pos="425"/>
        <w:tab w:val="right" w:pos="8505"/>
      </w:tabs>
      <w:ind w:right="851"/>
    </w:pPr>
    <w:rPr>
      <w:smallCaps/>
    </w:rPr>
  </w:style>
  <w:style w:type="paragraph" w:styleId="TOC7">
    <w:name w:val="toc 7"/>
    <w:basedOn w:val="Normal"/>
    <w:next w:val="TOC8"/>
    <w:autoRedefine/>
    <w:uiPriority w:val="39"/>
    <w:rsid w:val="00ED423B"/>
    <w:pPr>
      <w:tabs>
        <w:tab w:val="right" w:pos="8505"/>
      </w:tabs>
      <w:spacing w:before="120"/>
      <w:ind w:left="851" w:right="1701" w:hanging="284"/>
    </w:pPr>
    <w:rPr>
      <w:rFonts w:ascii="Verdana" w:hAnsi="Verdana" w:cs="Verdana"/>
      <w:b/>
      <w:bCs/>
      <w:noProof/>
      <w:sz w:val="20"/>
    </w:rPr>
  </w:style>
  <w:style w:type="paragraph" w:styleId="TOC8">
    <w:name w:val="toc 8"/>
    <w:basedOn w:val="TOC3"/>
    <w:next w:val="Normal"/>
    <w:autoRedefine/>
    <w:uiPriority w:val="39"/>
    <w:rsid w:val="00ED423B"/>
    <w:pPr>
      <w:ind w:left="1135" w:right="1134"/>
    </w:pPr>
    <w:rPr>
      <w:rFonts w:ascii="Verdana" w:hAnsi="Verdana" w:cs="Verdana"/>
      <w:sz w:val="20"/>
    </w:rPr>
  </w:style>
  <w:style w:type="paragraph" w:styleId="TOC9">
    <w:name w:val="toc 9"/>
    <w:basedOn w:val="Normal"/>
    <w:next w:val="Normal"/>
    <w:autoRedefine/>
    <w:uiPriority w:val="99"/>
    <w:semiHidden/>
    <w:rsid w:val="00ED423B"/>
    <w:pPr>
      <w:ind w:left="1600"/>
    </w:pPr>
    <w:rPr>
      <w:sz w:val="20"/>
    </w:rPr>
  </w:style>
  <w:style w:type="paragraph" w:styleId="Subtitle">
    <w:name w:val="Subtitle"/>
    <w:basedOn w:val="Normal"/>
    <w:link w:val="SubtitleChar"/>
    <w:uiPriority w:val="11"/>
    <w:unhideWhenUsed/>
    <w:qFormat/>
    <w:rsid w:val="00ED42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423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rsid w:val="00ED423B"/>
    <w:pPr>
      <w:shd w:val="clear" w:color="auto" w:fill="000080"/>
      <w:autoSpaceDE w:val="0"/>
      <w:autoSpaceDN w:val="0"/>
    </w:pPr>
    <w:rPr>
      <w:rFonts w:ascii="Tahoma" w:hAnsi="Tahoma" w:cs="Tahoma"/>
      <w:sz w:val="20"/>
    </w:rPr>
  </w:style>
  <w:style w:type="character" w:customStyle="1" w:styleId="DocumentMapChar">
    <w:name w:val="Document Map Char"/>
    <w:basedOn w:val="DefaultParagraphFont"/>
    <w:link w:val="DocumentMap"/>
    <w:uiPriority w:val="99"/>
    <w:semiHidden/>
    <w:rsid w:val="00ED423B"/>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ED423B"/>
    <w:rPr>
      <w:i/>
      <w:iCs/>
    </w:rPr>
  </w:style>
  <w:style w:type="paragraph" w:styleId="PlainText">
    <w:name w:val="Plain Text"/>
    <w:basedOn w:val="Normal"/>
    <w:link w:val="PlainTextChar"/>
    <w:uiPriority w:val="99"/>
    <w:rsid w:val="00ED423B"/>
    <w:rPr>
      <w:rFonts w:ascii="Courier New" w:hAnsi="Courier New" w:cs="Courier New"/>
      <w:sz w:val="20"/>
    </w:rPr>
  </w:style>
  <w:style w:type="character" w:customStyle="1" w:styleId="PlainTextChar">
    <w:name w:val="Plain Text Char"/>
    <w:basedOn w:val="DefaultParagraphFont"/>
    <w:link w:val="PlainText"/>
    <w:uiPriority w:val="99"/>
    <w:rsid w:val="00ED423B"/>
    <w:rPr>
      <w:rFonts w:ascii="Courier New" w:eastAsia="Times New Roman" w:hAnsi="Courier New" w:cs="Courier New"/>
      <w:sz w:val="20"/>
      <w:szCs w:val="20"/>
    </w:rPr>
  </w:style>
  <w:style w:type="paragraph" w:styleId="TableofFigures">
    <w:name w:val="table of figures"/>
    <w:basedOn w:val="TOC1"/>
    <w:next w:val="Normal"/>
    <w:uiPriority w:val="99"/>
    <w:rsid w:val="00ED423B"/>
    <w:pPr>
      <w:tabs>
        <w:tab w:val="clear" w:pos="8789"/>
        <w:tab w:val="left" w:pos="1134"/>
        <w:tab w:val="right" w:pos="8505"/>
      </w:tabs>
    </w:pPr>
    <w:rPr>
      <w:b w:val="0"/>
      <w:bCs w:val="0"/>
    </w:rPr>
  </w:style>
  <w:style w:type="paragraph" w:styleId="NormalWeb">
    <w:name w:val="Normal (Web)"/>
    <w:basedOn w:val="Normal"/>
    <w:uiPriority w:val="99"/>
    <w:rsid w:val="00ED423B"/>
    <w:pPr>
      <w:spacing w:before="100" w:beforeAutospacing="1" w:after="100" w:afterAutospacing="1"/>
    </w:pPr>
    <w:rPr>
      <w:rFonts w:ascii="Verdana" w:eastAsia="Arial Unicode MS" w:hAnsi="Verdana" w:cs="Verdana"/>
    </w:rPr>
  </w:style>
  <w:style w:type="paragraph" w:styleId="BalloonText">
    <w:name w:val="Balloon Text"/>
    <w:basedOn w:val="Normal"/>
    <w:link w:val="BalloonTextChar"/>
    <w:uiPriority w:val="99"/>
    <w:semiHidden/>
    <w:rsid w:val="00ED423B"/>
    <w:rPr>
      <w:rFonts w:ascii="Tahoma" w:hAnsi="Tahoma" w:cs="Tahoma"/>
      <w:sz w:val="16"/>
      <w:szCs w:val="16"/>
    </w:rPr>
  </w:style>
  <w:style w:type="character" w:customStyle="1" w:styleId="BalloonTextChar">
    <w:name w:val="Balloon Text Char"/>
    <w:basedOn w:val="DefaultParagraphFont"/>
    <w:link w:val="BalloonText"/>
    <w:uiPriority w:val="99"/>
    <w:semiHidden/>
    <w:rsid w:val="00ED423B"/>
    <w:rPr>
      <w:rFonts w:ascii="Tahoma" w:eastAsia="Times New Roman" w:hAnsi="Tahoma" w:cs="Tahoma"/>
      <w:sz w:val="16"/>
      <w:szCs w:val="16"/>
    </w:rPr>
  </w:style>
  <w:style w:type="character" w:styleId="CommentReference">
    <w:name w:val="annotation reference"/>
    <w:basedOn w:val="DefaultParagraphFont"/>
    <w:semiHidden/>
    <w:rsid w:val="00ED423B"/>
    <w:rPr>
      <w:sz w:val="18"/>
      <w:szCs w:val="18"/>
    </w:rPr>
  </w:style>
  <w:style w:type="paragraph" w:styleId="CommentText">
    <w:name w:val="annotation text"/>
    <w:basedOn w:val="Normal"/>
    <w:link w:val="CommentTextChar"/>
    <w:semiHidden/>
    <w:rsid w:val="00ED423B"/>
  </w:style>
  <w:style w:type="character" w:customStyle="1" w:styleId="CommentTextChar">
    <w:name w:val="Comment Text Char"/>
    <w:basedOn w:val="DefaultParagraphFont"/>
    <w:link w:val="CommentText"/>
    <w:semiHidden/>
    <w:rsid w:val="00ED423B"/>
    <w:rPr>
      <w:rFonts w:ascii="Arial" w:eastAsia="Times New Roman" w:hAnsi="Arial"/>
      <w:szCs w:val="20"/>
    </w:rPr>
  </w:style>
  <w:style w:type="paragraph" w:customStyle="1" w:styleId="TableFigText">
    <w:name w:val="Table/Fig: Text"/>
    <w:qFormat/>
    <w:rsid w:val="00ED423B"/>
    <w:pPr>
      <w:keepLines/>
      <w:tabs>
        <w:tab w:val="left" w:pos="425"/>
        <w:tab w:val="left" w:pos="851"/>
      </w:tabs>
      <w:spacing w:before="60" w:after="60" w:line="200" w:lineRule="atLeast"/>
    </w:pPr>
    <w:rPr>
      <w:rFonts w:ascii="Arial" w:eastAsia="Times New Roman" w:hAnsi="Arial" w:cs="Arial"/>
      <w:sz w:val="20"/>
      <w:szCs w:val="20"/>
      <w:lang w:val="en-US"/>
    </w:rPr>
  </w:style>
  <w:style w:type="paragraph" w:customStyle="1" w:styleId="TableFigHeadingtotal">
    <w:name w:val="Table/Fig: Heading &amp; total"/>
    <w:basedOn w:val="TableFigText"/>
    <w:uiPriority w:val="99"/>
    <w:rsid w:val="00ED423B"/>
    <w:rPr>
      <w:b/>
      <w:bCs/>
    </w:rPr>
  </w:style>
  <w:style w:type="paragraph" w:customStyle="1" w:styleId="TableCaption">
    <w:name w:val="Table: Caption"/>
    <w:basedOn w:val="Normal"/>
    <w:next w:val="Normal"/>
    <w:qFormat/>
    <w:rsid w:val="00ED423B"/>
    <w:pPr>
      <w:keepNext/>
      <w:keepLines/>
      <w:spacing w:before="240" w:after="120" w:line="240" w:lineRule="auto"/>
    </w:pPr>
    <w:rPr>
      <w:b/>
      <w:sz w:val="20"/>
    </w:rPr>
  </w:style>
  <w:style w:type="table" w:styleId="TableClassic1">
    <w:name w:val="Table Classic 1"/>
    <w:basedOn w:val="TableNormal"/>
    <w:uiPriority w:val="99"/>
    <w:rsid w:val="00ED423B"/>
    <w:pPr>
      <w:spacing w:before="40" w:after="40" w:line="260" w:lineRule="atLeast"/>
    </w:pPr>
    <w:rPr>
      <w:rFonts w:ascii="New York" w:eastAsia="Times New Roman" w:hAnsi="New York" w:cs="New York"/>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D423B"/>
    <w:pPr>
      <w:spacing w:before="40" w:after="40" w:line="260" w:lineRule="atLeast"/>
    </w:pPr>
    <w:rPr>
      <w:rFonts w:ascii="New York" w:eastAsia="Times New Roman" w:hAnsi="New York" w:cs="New York"/>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99"/>
    <w:rsid w:val="00ED423B"/>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D423B"/>
    <w:rPr>
      <w:b/>
      <w:bCs/>
      <w:sz w:val="20"/>
    </w:rPr>
  </w:style>
  <w:style w:type="character" w:customStyle="1" w:styleId="CommentSubjectChar">
    <w:name w:val="Comment Subject Char"/>
    <w:basedOn w:val="CommentTextChar"/>
    <w:link w:val="CommentSubject"/>
    <w:uiPriority w:val="99"/>
    <w:semiHidden/>
    <w:rsid w:val="00ED423B"/>
    <w:rPr>
      <w:rFonts w:ascii="Arial" w:eastAsia="Times New Roman" w:hAnsi="Arial"/>
      <w:b/>
      <w:bCs/>
      <w:sz w:val="20"/>
      <w:szCs w:val="20"/>
    </w:rPr>
  </w:style>
  <w:style w:type="paragraph" w:customStyle="1" w:styleId="Heading2-NoTOC">
    <w:name w:val="Heading 2 - No TOC"/>
    <w:basedOn w:val="Heading2"/>
    <w:next w:val="Normal"/>
    <w:qFormat/>
    <w:rsid w:val="00ED423B"/>
    <w:rPr>
      <w:bCs/>
    </w:rPr>
  </w:style>
  <w:style w:type="paragraph" w:customStyle="1" w:styleId="Heading1-NoTOC">
    <w:name w:val="Heading 1 - No TOC"/>
    <w:basedOn w:val="Heading1"/>
    <w:rsid w:val="00ED423B"/>
    <w:rPr>
      <w:bCs/>
    </w:rPr>
  </w:style>
  <w:style w:type="paragraph" w:styleId="ListParagraph">
    <w:name w:val="List Paragraph"/>
    <w:basedOn w:val="Normal"/>
    <w:uiPriority w:val="34"/>
    <w:unhideWhenUsed/>
    <w:qFormat/>
    <w:rsid w:val="00ED423B"/>
    <w:pPr>
      <w:ind w:left="720"/>
      <w:contextualSpacing/>
    </w:pPr>
  </w:style>
  <w:style w:type="paragraph" w:styleId="Revision">
    <w:name w:val="Revision"/>
    <w:hidden/>
    <w:uiPriority w:val="99"/>
    <w:semiHidden/>
    <w:rsid w:val="00ED423B"/>
    <w:rPr>
      <w:rFonts w:eastAsia="Times New Roman"/>
      <w:sz w:val="24"/>
      <w:szCs w:val="24"/>
      <w:lang w:val="en-US"/>
    </w:rPr>
  </w:style>
  <w:style w:type="paragraph" w:customStyle="1" w:styleId="BoxText">
    <w:name w:val="Box: Text"/>
    <w:basedOn w:val="Normal"/>
    <w:next w:val="Normal"/>
    <w:qFormat/>
    <w:rsid w:val="00ED423B"/>
    <w:pPr>
      <w:spacing w:line="240" w:lineRule="atLeast"/>
      <w:ind w:left="227" w:right="227"/>
    </w:pPr>
    <w:rPr>
      <w:i/>
      <w:sz w:val="20"/>
    </w:rPr>
  </w:style>
  <w:style w:type="paragraph" w:customStyle="1" w:styleId="BoxHeading">
    <w:name w:val="Box: Heading"/>
    <w:basedOn w:val="BoxText"/>
    <w:next w:val="BoxText"/>
    <w:qFormat/>
    <w:rsid w:val="00ED423B"/>
    <w:pPr>
      <w:spacing w:before="120" w:after="60"/>
    </w:pPr>
    <w:rPr>
      <w:b/>
      <w:i w:val="0"/>
      <w:sz w:val="22"/>
    </w:rPr>
  </w:style>
  <w:style w:type="paragraph" w:customStyle="1" w:styleId="FigureCaption">
    <w:name w:val="Figure: Caption"/>
    <w:basedOn w:val="Normal"/>
    <w:next w:val="Normal"/>
    <w:qFormat/>
    <w:rsid w:val="00ED423B"/>
    <w:pPr>
      <w:keepNext/>
      <w:keepLines/>
      <w:spacing w:before="120" w:after="120" w:line="240" w:lineRule="atLeast"/>
      <w:ind w:left="896" w:hanging="896"/>
    </w:pPr>
    <w:rPr>
      <w:b/>
      <w:sz w:val="20"/>
    </w:rPr>
  </w:style>
  <w:style w:type="paragraph" w:customStyle="1" w:styleId="TableFigHeadingText">
    <w:name w:val="Table/Fig: Heading Text"/>
    <w:basedOn w:val="TableFigText"/>
    <w:qFormat/>
    <w:rsid w:val="00ED423B"/>
    <w:rPr>
      <w:rFonts w:cs="Times New Roman"/>
      <w:b/>
    </w:rPr>
  </w:style>
  <w:style w:type="paragraph" w:customStyle="1" w:styleId="TableFigNoteOnly">
    <w:name w:val="Table/Fig: Note–Only"/>
    <w:basedOn w:val="Normal"/>
    <w:next w:val="Normal"/>
    <w:qFormat/>
    <w:rsid w:val="00ED423B"/>
    <w:pPr>
      <w:keepLines/>
      <w:tabs>
        <w:tab w:val="left" w:pos="425"/>
        <w:tab w:val="left" w:pos="851"/>
      </w:tabs>
      <w:spacing w:before="120" w:after="240" w:line="180" w:lineRule="atLeast"/>
    </w:pPr>
    <w:rPr>
      <w:rFonts w:cs="Times New Roman"/>
      <w:sz w:val="18"/>
    </w:rPr>
  </w:style>
  <w:style w:type="paragraph" w:customStyle="1" w:styleId="TableFigNoteFirst">
    <w:name w:val="Table/Fig: Note–First"/>
    <w:basedOn w:val="Normal"/>
    <w:next w:val="Normal"/>
    <w:qFormat/>
    <w:rsid w:val="00ED423B"/>
    <w:pPr>
      <w:keepLines/>
      <w:tabs>
        <w:tab w:val="left" w:pos="425"/>
        <w:tab w:val="left" w:pos="851"/>
      </w:tabs>
      <w:spacing w:before="120" w:after="40" w:line="180" w:lineRule="atLeast"/>
    </w:pPr>
    <w:rPr>
      <w:rFonts w:cs="Times New Roman"/>
      <w:sz w:val="18"/>
    </w:rPr>
  </w:style>
  <w:style w:type="paragraph" w:customStyle="1" w:styleId="TableFigNoteMiddle">
    <w:name w:val="Table/Fig: Note–Middle"/>
    <w:basedOn w:val="Normal"/>
    <w:next w:val="Normal"/>
    <w:qFormat/>
    <w:rsid w:val="00ED423B"/>
    <w:pPr>
      <w:keepLines/>
      <w:tabs>
        <w:tab w:val="left" w:pos="425"/>
        <w:tab w:val="left" w:pos="851"/>
      </w:tabs>
      <w:spacing w:before="40" w:after="40" w:line="180" w:lineRule="atLeast"/>
      <w:ind w:left="426" w:hanging="426"/>
    </w:pPr>
    <w:rPr>
      <w:rFonts w:cs="Times New Roman"/>
      <w:sz w:val="18"/>
    </w:rPr>
  </w:style>
  <w:style w:type="paragraph" w:customStyle="1" w:styleId="TableFigNoteLast">
    <w:name w:val="Table/Fig: Note–Last"/>
    <w:basedOn w:val="Normal"/>
    <w:next w:val="Normal"/>
    <w:qFormat/>
    <w:rsid w:val="00ED423B"/>
    <w:pPr>
      <w:keepLines/>
      <w:tabs>
        <w:tab w:val="left" w:pos="425"/>
        <w:tab w:val="left" w:pos="851"/>
      </w:tabs>
      <w:spacing w:before="40" w:after="240" w:line="180" w:lineRule="atLeast"/>
      <w:ind w:left="426" w:hanging="426"/>
    </w:pPr>
    <w:rPr>
      <w:rFonts w:cs="Times New Roman"/>
      <w:sz w:val="18"/>
    </w:rPr>
  </w:style>
  <w:style w:type="paragraph" w:customStyle="1" w:styleId="BulletStyle">
    <w:name w:val="Bullet Style"/>
    <w:next w:val="Normal"/>
    <w:link w:val="BulletStyleChar"/>
    <w:qFormat/>
    <w:rsid w:val="00ED423B"/>
    <w:pPr>
      <w:tabs>
        <w:tab w:val="left" w:pos="142"/>
      </w:tabs>
      <w:spacing w:after="120" w:line="240" w:lineRule="atLeast"/>
      <w:ind w:left="142" w:hanging="142"/>
    </w:pPr>
    <w:rPr>
      <w:rFonts w:ascii="Arial" w:eastAsia="Times New Roman" w:hAnsi="Arial"/>
      <w:szCs w:val="20"/>
      <w:lang w:val="en-US"/>
    </w:rPr>
  </w:style>
  <w:style w:type="character" w:customStyle="1" w:styleId="BulletStyleChar">
    <w:name w:val="Bullet Style Char"/>
    <w:basedOn w:val="DefaultParagraphFont"/>
    <w:link w:val="BulletStyle"/>
    <w:rsid w:val="00ED423B"/>
    <w:rPr>
      <w:rFonts w:ascii="Arial" w:eastAsia="Times New Roman" w:hAnsi="Arial"/>
      <w:szCs w:val="20"/>
      <w:lang w:val="en-US"/>
    </w:rPr>
  </w:style>
  <w:style w:type="paragraph" w:customStyle="1" w:styleId="Heading3-NoTOC">
    <w:name w:val="Heading 3 - No TOC"/>
    <w:basedOn w:val="Heading3"/>
    <w:next w:val="Normal"/>
    <w:qFormat/>
    <w:rsid w:val="00ED423B"/>
  </w:style>
  <w:style w:type="character" w:styleId="Strong">
    <w:name w:val="Strong"/>
    <w:basedOn w:val="DefaultParagraphFont"/>
    <w:qFormat/>
    <w:rsid w:val="00ED423B"/>
    <w:rPr>
      <w:b/>
      <w:bCs/>
    </w:rPr>
  </w:style>
  <w:style w:type="paragraph" w:styleId="ListBullet">
    <w:name w:val="List Bullet"/>
    <w:basedOn w:val="List"/>
    <w:autoRedefine/>
    <w:rsid w:val="00ED423B"/>
    <w:pPr>
      <w:numPr>
        <w:numId w:val="41"/>
      </w:numPr>
      <w:tabs>
        <w:tab w:val="num" w:pos="720"/>
        <w:tab w:val="left" w:pos="1701"/>
        <w:tab w:val="left" w:pos="4395"/>
      </w:tabs>
      <w:spacing w:after="240" w:line="240" w:lineRule="atLeast"/>
      <w:ind w:hanging="720"/>
      <w:contextualSpacing w:val="0"/>
    </w:pPr>
    <w:rPr>
      <w:spacing w:val="-5"/>
      <w:lang w:val="en-US"/>
    </w:rPr>
  </w:style>
  <w:style w:type="paragraph" w:styleId="List">
    <w:name w:val="List"/>
    <w:basedOn w:val="Normal"/>
    <w:uiPriority w:val="99"/>
    <w:semiHidden/>
    <w:rsid w:val="00ED423B"/>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6" w:uiPriority="39"/>
    <w:lsdException w:name="toc 7" w:uiPriority="39"/>
    <w:lsdException w:name="toc 8"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3B"/>
    <w:pPr>
      <w:spacing w:after="160" w:line="260" w:lineRule="atLeast"/>
    </w:pPr>
    <w:rPr>
      <w:rFonts w:ascii="Arial" w:eastAsia="Times New Roman" w:hAnsi="Arial"/>
      <w:szCs w:val="20"/>
    </w:rPr>
  </w:style>
  <w:style w:type="paragraph" w:styleId="Heading1">
    <w:name w:val="heading 1"/>
    <w:next w:val="Normal"/>
    <w:link w:val="Heading1Char"/>
    <w:qFormat/>
    <w:rsid w:val="00ED423B"/>
    <w:pPr>
      <w:keepNext/>
      <w:keepLines/>
      <w:pageBreakBefore/>
      <w:spacing w:before="160" w:after="240" w:line="240" w:lineRule="auto"/>
      <w:outlineLvl w:val="0"/>
    </w:pPr>
    <w:rPr>
      <w:rFonts w:ascii="Arial" w:eastAsiaTheme="majorEastAsia" w:hAnsi="Arial" w:cstheme="majorBidi"/>
      <w:b/>
      <w:sz w:val="32"/>
      <w:szCs w:val="20"/>
      <w:lang w:val="en-US"/>
    </w:rPr>
  </w:style>
  <w:style w:type="paragraph" w:styleId="Heading2">
    <w:name w:val="heading 2"/>
    <w:next w:val="Normal"/>
    <w:link w:val="Heading2Char"/>
    <w:qFormat/>
    <w:rsid w:val="00ED423B"/>
    <w:pPr>
      <w:keepNext/>
      <w:keepLines/>
      <w:spacing w:after="80" w:line="240" w:lineRule="auto"/>
      <w:outlineLvl w:val="1"/>
    </w:pPr>
    <w:rPr>
      <w:rFonts w:ascii="Arial" w:eastAsiaTheme="majorEastAsia" w:hAnsi="Arial" w:cstheme="majorBidi"/>
      <w:b/>
      <w:sz w:val="28"/>
      <w:szCs w:val="20"/>
      <w:lang w:val="en-US"/>
    </w:rPr>
  </w:style>
  <w:style w:type="paragraph" w:styleId="Heading3">
    <w:name w:val="heading 3"/>
    <w:next w:val="Normal"/>
    <w:link w:val="Heading3Char"/>
    <w:qFormat/>
    <w:rsid w:val="00ED423B"/>
    <w:pPr>
      <w:keepNext/>
      <w:keepLines/>
      <w:spacing w:after="80" w:line="340" w:lineRule="atLeast"/>
      <w:outlineLvl w:val="2"/>
    </w:pPr>
    <w:rPr>
      <w:rFonts w:ascii="Arial" w:eastAsiaTheme="majorEastAsia" w:hAnsi="Arial" w:cstheme="majorBidi"/>
      <w:b/>
      <w:sz w:val="24"/>
      <w:szCs w:val="20"/>
      <w:lang w:val="en-US"/>
    </w:rPr>
  </w:style>
  <w:style w:type="paragraph" w:styleId="Heading4">
    <w:name w:val="heading 4"/>
    <w:basedOn w:val="Normal"/>
    <w:next w:val="Normal"/>
    <w:link w:val="Heading4Char"/>
    <w:qFormat/>
    <w:rsid w:val="00ED423B"/>
    <w:pPr>
      <w:keepNext/>
      <w:spacing w:after="80"/>
      <w:outlineLvl w:val="3"/>
    </w:pPr>
    <w:rPr>
      <w:rFonts w:eastAsiaTheme="majorEastAsia" w:cstheme="majorBidi"/>
      <w:b/>
      <w:i/>
    </w:rPr>
  </w:style>
  <w:style w:type="paragraph" w:styleId="Heading5">
    <w:name w:val="heading 5"/>
    <w:basedOn w:val="Normal"/>
    <w:next w:val="Normal"/>
    <w:link w:val="Heading5Char"/>
    <w:uiPriority w:val="99"/>
    <w:rsid w:val="00ED423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D423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42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423B"/>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D423B"/>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23B"/>
    <w:rPr>
      <w:rFonts w:ascii="Arial" w:eastAsiaTheme="majorEastAsia" w:hAnsi="Arial" w:cstheme="majorBidi"/>
      <w:b/>
      <w:sz w:val="32"/>
      <w:szCs w:val="20"/>
      <w:lang w:val="en-US"/>
    </w:rPr>
  </w:style>
  <w:style w:type="character" w:customStyle="1" w:styleId="Heading2Char">
    <w:name w:val="Heading 2 Char"/>
    <w:basedOn w:val="DefaultParagraphFont"/>
    <w:link w:val="Heading2"/>
    <w:rsid w:val="00ED423B"/>
    <w:rPr>
      <w:rFonts w:ascii="Arial" w:eastAsiaTheme="majorEastAsia" w:hAnsi="Arial" w:cstheme="majorBidi"/>
      <w:b/>
      <w:sz w:val="28"/>
      <w:szCs w:val="20"/>
      <w:lang w:val="en-US"/>
    </w:rPr>
  </w:style>
  <w:style w:type="character" w:customStyle="1" w:styleId="Heading3Char">
    <w:name w:val="Heading 3 Char"/>
    <w:basedOn w:val="DefaultParagraphFont"/>
    <w:link w:val="Heading3"/>
    <w:rsid w:val="00ED423B"/>
    <w:rPr>
      <w:rFonts w:ascii="Arial" w:eastAsiaTheme="majorEastAsia" w:hAnsi="Arial" w:cstheme="majorBidi"/>
      <w:b/>
      <w:sz w:val="24"/>
      <w:szCs w:val="20"/>
      <w:lang w:val="en-US"/>
    </w:rPr>
  </w:style>
  <w:style w:type="character" w:customStyle="1" w:styleId="Heading4Char">
    <w:name w:val="Heading 4 Char"/>
    <w:basedOn w:val="DefaultParagraphFont"/>
    <w:link w:val="Heading4"/>
    <w:rsid w:val="00ED423B"/>
    <w:rPr>
      <w:rFonts w:ascii="Arial" w:eastAsiaTheme="majorEastAsia" w:hAnsi="Arial" w:cstheme="majorBidi"/>
      <w:b/>
      <w:i/>
      <w:szCs w:val="20"/>
    </w:rPr>
  </w:style>
  <w:style w:type="character" w:customStyle="1" w:styleId="Heading5Char">
    <w:name w:val="Heading 5 Char"/>
    <w:basedOn w:val="DefaultParagraphFont"/>
    <w:link w:val="Heading5"/>
    <w:uiPriority w:val="9"/>
    <w:rsid w:val="00ED423B"/>
    <w:rPr>
      <w:rFonts w:ascii="Arial" w:eastAsia="Times New Roman" w:hAnsi="Arial"/>
      <w:b/>
      <w:bCs/>
      <w:i/>
      <w:iCs/>
      <w:sz w:val="26"/>
      <w:szCs w:val="26"/>
    </w:rPr>
  </w:style>
  <w:style w:type="character" w:customStyle="1" w:styleId="Heading6Char">
    <w:name w:val="Heading 6 Char"/>
    <w:basedOn w:val="DefaultParagraphFont"/>
    <w:link w:val="Heading6"/>
    <w:uiPriority w:val="9"/>
    <w:semiHidden/>
    <w:rsid w:val="00ED423B"/>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ED423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ED42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423B"/>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rsid w:val="00ED423B"/>
    <w:pPr>
      <w:tabs>
        <w:tab w:val="center" w:pos="4320"/>
        <w:tab w:val="right" w:pos="8640"/>
      </w:tabs>
    </w:pPr>
  </w:style>
  <w:style w:type="character" w:customStyle="1" w:styleId="FooterChar">
    <w:name w:val="Footer Char"/>
    <w:basedOn w:val="DefaultParagraphFont"/>
    <w:link w:val="Footer"/>
    <w:uiPriority w:val="99"/>
    <w:rsid w:val="00ED423B"/>
    <w:rPr>
      <w:rFonts w:ascii="Arial" w:eastAsia="Times New Roman" w:hAnsi="Arial"/>
      <w:szCs w:val="20"/>
    </w:rPr>
  </w:style>
  <w:style w:type="paragraph" w:styleId="FootnoteText">
    <w:name w:val="footnote text"/>
    <w:link w:val="FootnoteTextChar"/>
    <w:qFormat/>
    <w:rsid w:val="00ED423B"/>
    <w:pPr>
      <w:spacing w:after="0" w:line="240" w:lineRule="auto"/>
    </w:pPr>
    <w:rPr>
      <w:rFonts w:ascii="Arial" w:eastAsia="Times" w:hAnsi="Arial"/>
      <w:sz w:val="18"/>
      <w:szCs w:val="20"/>
      <w:lang w:val="en-GB"/>
    </w:rPr>
  </w:style>
  <w:style w:type="character" w:customStyle="1" w:styleId="FootnoteTextChar">
    <w:name w:val="Footnote Text Char"/>
    <w:basedOn w:val="DefaultParagraphFont"/>
    <w:link w:val="FootnoteText"/>
    <w:rsid w:val="00ED423B"/>
    <w:rPr>
      <w:rFonts w:ascii="Arial" w:eastAsia="Times" w:hAnsi="Arial"/>
      <w:sz w:val="18"/>
      <w:szCs w:val="20"/>
      <w:lang w:val="en-GB"/>
    </w:rPr>
  </w:style>
  <w:style w:type="character" w:styleId="FootnoteReference">
    <w:name w:val="footnote reference"/>
    <w:basedOn w:val="DefaultParagraphFont"/>
    <w:semiHidden/>
    <w:rsid w:val="00ED423B"/>
    <w:rPr>
      <w:vertAlign w:val="superscript"/>
    </w:rPr>
  </w:style>
  <w:style w:type="paragraph" w:styleId="Header">
    <w:name w:val="header"/>
    <w:basedOn w:val="Normal"/>
    <w:link w:val="HeaderChar"/>
    <w:rsid w:val="00ED423B"/>
    <w:pPr>
      <w:tabs>
        <w:tab w:val="center" w:pos="4153"/>
        <w:tab w:val="right" w:pos="8306"/>
      </w:tabs>
    </w:pPr>
    <w:rPr>
      <w:sz w:val="20"/>
    </w:rPr>
  </w:style>
  <w:style w:type="character" w:customStyle="1" w:styleId="HeaderChar">
    <w:name w:val="Header Char"/>
    <w:basedOn w:val="DefaultParagraphFont"/>
    <w:link w:val="Header"/>
    <w:uiPriority w:val="99"/>
    <w:rsid w:val="00ED423B"/>
    <w:rPr>
      <w:rFonts w:ascii="Arial" w:eastAsia="Times New Roman" w:hAnsi="Arial"/>
      <w:sz w:val="20"/>
      <w:szCs w:val="20"/>
    </w:rPr>
  </w:style>
  <w:style w:type="character" w:styleId="EndnoteReference">
    <w:name w:val="endnote reference"/>
    <w:basedOn w:val="DefaultParagraphFont"/>
    <w:uiPriority w:val="99"/>
    <w:semiHidden/>
    <w:rsid w:val="00ED423B"/>
    <w:rPr>
      <w:vertAlign w:val="superscript"/>
    </w:rPr>
  </w:style>
  <w:style w:type="paragraph" w:styleId="EndnoteText">
    <w:name w:val="endnote text"/>
    <w:basedOn w:val="Normal"/>
    <w:link w:val="EndnoteTextChar"/>
    <w:uiPriority w:val="99"/>
    <w:semiHidden/>
    <w:rsid w:val="00ED423B"/>
    <w:rPr>
      <w:sz w:val="20"/>
    </w:rPr>
  </w:style>
  <w:style w:type="character" w:customStyle="1" w:styleId="EndnoteTextChar">
    <w:name w:val="Endnote Text Char"/>
    <w:basedOn w:val="DefaultParagraphFont"/>
    <w:link w:val="EndnoteText"/>
    <w:uiPriority w:val="99"/>
    <w:semiHidden/>
    <w:rsid w:val="00ED423B"/>
    <w:rPr>
      <w:rFonts w:ascii="Arial" w:eastAsia="Times New Roman" w:hAnsi="Arial"/>
      <w:sz w:val="20"/>
      <w:szCs w:val="20"/>
    </w:rPr>
  </w:style>
  <w:style w:type="paragraph" w:styleId="TOC1">
    <w:name w:val="toc 1"/>
    <w:aliases w:val="TOC Tim"/>
    <w:basedOn w:val="Normal"/>
    <w:autoRedefine/>
    <w:uiPriority w:val="39"/>
    <w:rsid w:val="00ED423B"/>
    <w:pPr>
      <w:tabs>
        <w:tab w:val="right" w:pos="8789"/>
      </w:tabs>
      <w:spacing w:before="240"/>
      <w:ind w:right="566"/>
    </w:pPr>
    <w:rPr>
      <w:rFonts w:cs="Verdana"/>
      <w:b/>
      <w:bCs/>
      <w:noProof/>
    </w:rPr>
  </w:style>
  <w:style w:type="character" w:styleId="Hyperlink">
    <w:name w:val="Hyperlink"/>
    <w:basedOn w:val="DefaultParagraphFont"/>
    <w:uiPriority w:val="99"/>
    <w:rsid w:val="00ED423B"/>
    <w:rPr>
      <w:color w:val="0000FF"/>
      <w:u w:val="single"/>
    </w:rPr>
  </w:style>
  <w:style w:type="paragraph" w:styleId="Title">
    <w:name w:val="Title"/>
    <w:basedOn w:val="Normal"/>
    <w:link w:val="TitleChar"/>
    <w:uiPriority w:val="99"/>
    <w:qFormat/>
    <w:rsid w:val="00ED423B"/>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rsid w:val="00ED423B"/>
    <w:rPr>
      <w:rFonts w:ascii="Arial" w:eastAsia="Times New Roman" w:hAnsi="Arial" w:cs="Arial"/>
      <w:b/>
      <w:bCs/>
      <w:kern w:val="28"/>
      <w:sz w:val="32"/>
      <w:szCs w:val="32"/>
    </w:rPr>
  </w:style>
  <w:style w:type="paragraph" w:styleId="TOC2">
    <w:name w:val="toc 2"/>
    <w:basedOn w:val="TOC1"/>
    <w:next w:val="Normal"/>
    <w:autoRedefine/>
    <w:uiPriority w:val="39"/>
    <w:rsid w:val="00ED423B"/>
    <w:pPr>
      <w:spacing w:before="120"/>
      <w:ind w:left="1134" w:right="282" w:hanging="567"/>
    </w:pPr>
    <w:rPr>
      <w:b w:val="0"/>
      <w:bCs w:val="0"/>
    </w:rPr>
  </w:style>
  <w:style w:type="paragraph" w:styleId="TOC3">
    <w:name w:val="toc 3"/>
    <w:basedOn w:val="Normal"/>
    <w:next w:val="Normal"/>
    <w:autoRedefine/>
    <w:uiPriority w:val="39"/>
    <w:rsid w:val="00ED423B"/>
    <w:pPr>
      <w:tabs>
        <w:tab w:val="right" w:pos="8789"/>
      </w:tabs>
      <w:ind w:left="1134" w:right="282"/>
    </w:pPr>
    <w:rPr>
      <w:noProof/>
    </w:rPr>
  </w:style>
  <w:style w:type="paragraph" w:styleId="TOC4">
    <w:name w:val="toc 4"/>
    <w:basedOn w:val="TOC1"/>
    <w:next w:val="TOC2"/>
    <w:autoRedefine/>
    <w:uiPriority w:val="99"/>
    <w:semiHidden/>
    <w:rsid w:val="00ED423B"/>
    <w:pPr>
      <w:tabs>
        <w:tab w:val="left" w:pos="1418"/>
      </w:tabs>
      <w:ind w:left="2835" w:hanging="1701"/>
    </w:pPr>
  </w:style>
  <w:style w:type="paragraph" w:styleId="TOC5">
    <w:name w:val="toc 5"/>
    <w:basedOn w:val="Normal"/>
    <w:next w:val="Normal"/>
    <w:autoRedefine/>
    <w:uiPriority w:val="99"/>
    <w:semiHidden/>
    <w:rsid w:val="00ED423B"/>
    <w:pPr>
      <w:ind w:left="960"/>
    </w:pPr>
  </w:style>
  <w:style w:type="character" w:styleId="FollowedHyperlink">
    <w:name w:val="FollowedHyperlink"/>
    <w:basedOn w:val="DefaultParagraphFont"/>
    <w:uiPriority w:val="99"/>
    <w:rsid w:val="00ED423B"/>
    <w:rPr>
      <w:color w:val="800080"/>
      <w:u w:val="single"/>
    </w:rPr>
  </w:style>
  <w:style w:type="paragraph" w:styleId="TOC6">
    <w:name w:val="toc 6"/>
    <w:basedOn w:val="TOC1"/>
    <w:next w:val="TOC7"/>
    <w:autoRedefine/>
    <w:uiPriority w:val="39"/>
    <w:rsid w:val="00ED423B"/>
    <w:pPr>
      <w:tabs>
        <w:tab w:val="clear" w:pos="8789"/>
        <w:tab w:val="left" w:pos="425"/>
        <w:tab w:val="right" w:pos="8505"/>
      </w:tabs>
      <w:ind w:right="851"/>
    </w:pPr>
    <w:rPr>
      <w:smallCaps/>
    </w:rPr>
  </w:style>
  <w:style w:type="paragraph" w:styleId="TOC7">
    <w:name w:val="toc 7"/>
    <w:basedOn w:val="Normal"/>
    <w:next w:val="TOC8"/>
    <w:autoRedefine/>
    <w:uiPriority w:val="39"/>
    <w:rsid w:val="00ED423B"/>
    <w:pPr>
      <w:tabs>
        <w:tab w:val="right" w:pos="8505"/>
      </w:tabs>
      <w:spacing w:before="120"/>
      <w:ind w:left="851" w:right="1701" w:hanging="284"/>
    </w:pPr>
    <w:rPr>
      <w:rFonts w:ascii="Verdana" w:hAnsi="Verdana" w:cs="Verdana"/>
      <w:b/>
      <w:bCs/>
      <w:noProof/>
      <w:sz w:val="20"/>
    </w:rPr>
  </w:style>
  <w:style w:type="paragraph" w:styleId="TOC8">
    <w:name w:val="toc 8"/>
    <w:basedOn w:val="TOC3"/>
    <w:next w:val="Normal"/>
    <w:autoRedefine/>
    <w:uiPriority w:val="39"/>
    <w:rsid w:val="00ED423B"/>
    <w:pPr>
      <w:ind w:left="1135" w:right="1134"/>
    </w:pPr>
    <w:rPr>
      <w:rFonts w:ascii="Verdana" w:hAnsi="Verdana" w:cs="Verdana"/>
      <w:sz w:val="20"/>
    </w:rPr>
  </w:style>
  <w:style w:type="paragraph" w:styleId="TOC9">
    <w:name w:val="toc 9"/>
    <w:basedOn w:val="Normal"/>
    <w:next w:val="Normal"/>
    <w:autoRedefine/>
    <w:uiPriority w:val="99"/>
    <w:semiHidden/>
    <w:rsid w:val="00ED423B"/>
    <w:pPr>
      <w:ind w:left="1600"/>
    </w:pPr>
    <w:rPr>
      <w:sz w:val="20"/>
    </w:rPr>
  </w:style>
  <w:style w:type="paragraph" w:styleId="Subtitle">
    <w:name w:val="Subtitle"/>
    <w:basedOn w:val="Normal"/>
    <w:link w:val="SubtitleChar"/>
    <w:uiPriority w:val="11"/>
    <w:unhideWhenUsed/>
    <w:qFormat/>
    <w:rsid w:val="00ED42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423B"/>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rsid w:val="00ED423B"/>
    <w:pPr>
      <w:shd w:val="clear" w:color="auto" w:fill="000080"/>
      <w:autoSpaceDE w:val="0"/>
      <w:autoSpaceDN w:val="0"/>
    </w:pPr>
    <w:rPr>
      <w:rFonts w:ascii="Tahoma" w:hAnsi="Tahoma" w:cs="Tahoma"/>
      <w:sz w:val="20"/>
    </w:rPr>
  </w:style>
  <w:style w:type="character" w:customStyle="1" w:styleId="DocumentMapChar">
    <w:name w:val="Document Map Char"/>
    <w:basedOn w:val="DefaultParagraphFont"/>
    <w:link w:val="DocumentMap"/>
    <w:uiPriority w:val="99"/>
    <w:semiHidden/>
    <w:rsid w:val="00ED423B"/>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ED423B"/>
    <w:rPr>
      <w:i/>
      <w:iCs/>
    </w:rPr>
  </w:style>
  <w:style w:type="paragraph" w:styleId="PlainText">
    <w:name w:val="Plain Text"/>
    <w:basedOn w:val="Normal"/>
    <w:link w:val="PlainTextChar"/>
    <w:uiPriority w:val="99"/>
    <w:rsid w:val="00ED423B"/>
    <w:rPr>
      <w:rFonts w:ascii="Courier New" w:hAnsi="Courier New" w:cs="Courier New"/>
      <w:sz w:val="20"/>
    </w:rPr>
  </w:style>
  <w:style w:type="character" w:customStyle="1" w:styleId="PlainTextChar">
    <w:name w:val="Plain Text Char"/>
    <w:basedOn w:val="DefaultParagraphFont"/>
    <w:link w:val="PlainText"/>
    <w:uiPriority w:val="99"/>
    <w:rsid w:val="00ED423B"/>
    <w:rPr>
      <w:rFonts w:ascii="Courier New" w:eastAsia="Times New Roman" w:hAnsi="Courier New" w:cs="Courier New"/>
      <w:sz w:val="20"/>
      <w:szCs w:val="20"/>
    </w:rPr>
  </w:style>
  <w:style w:type="paragraph" w:styleId="TableofFigures">
    <w:name w:val="table of figures"/>
    <w:basedOn w:val="TOC1"/>
    <w:next w:val="Normal"/>
    <w:uiPriority w:val="99"/>
    <w:rsid w:val="00ED423B"/>
    <w:pPr>
      <w:tabs>
        <w:tab w:val="clear" w:pos="8789"/>
        <w:tab w:val="left" w:pos="1134"/>
        <w:tab w:val="right" w:pos="8505"/>
      </w:tabs>
    </w:pPr>
    <w:rPr>
      <w:b w:val="0"/>
      <w:bCs w:val="0"/>
    </w:rPr>
  </w:style>
  <w:style w:type="paragraph" w:styleId="NormalWeb">
    <w:name w:val="Normal (Web)"/>
    <w:basedOn w:val="Normal"/>
    <w:uiPriority w:val="99"/>
    <w:rsid w:val="00ED423B"/>
    <w:pPr>
      <w:spacing w:before="100" w:beforeAutospacing="1" w:after="100" w:afterAutospacing="1"/>
    </w:pPr>
    <w:rPr>
      <w:rFonts w:ascii="Verdana" w:eastAsia="Arial Unicode MS" w:hAnsi="Verdana" w:cs="Verdana"/>
    </w:rPr>
  </w:style>
  <w:style w:type="paragraph" w:styleId="BalloonText">
    <w:name w:val="Balloon Text"/>
    <w:basedOn w:val="Normal"/>
    <w:link w:val="BalloonTextChar"/>
    <w:uiPriority w:val="99"/>
    <w:semiHidden/>
    <w:rsid w:val="00ED423B"/>
    <w:rPr>
      <w:rFonts w:ascii="Tahoma" w:hAnsi="Tahoma" w:cs="Tahoma"/>
      <w:sz w:val="16"/>
      <w:szCs w:val="16"/>
    </w:rPr>
  </w:style>
  <w:style w:type="character" w:customStyle="1" w:styleId="BalloonTextChar">
    <w:name w:val="Balloon Text Char"/>
    <w:basedOn w:val="DefaultParagraphFont"/>
    <w:link w:val="BalloonText"/>
    <w:uiPriority w:val="99"/>
    <w:semiHidden/>
    <w:rsid w:val="00ED423B"/>
    <w:rPr>
      <w:rFonts w:ascii="Tahoma" w:eastAsia="Times New Roman" w:hAnsi="Tahoma" w:cs="Tahoma"/>
      <w:sz w:val="16"/>
      <w:szCs w:val="16"/>
    </w:rPr>
  </w:style>
  <w:style w:type="character" w:styleId="CommentReference">
    <w:name w:val="annotation reference"/>
    <w:basedOn w:val="DefaultParagraphFont"/>
    <w:semiHidden/>
    <w:rsid w:val="00ED423B"/>
    <w:rPr>
      <w:sz w:val="18"/>
      <w:szCs w:val="18"/>
    </w:rPr>
  </w:style>
  <w:style w:type="paragraph" w:styleId="CommentText">
    <w:name w:val="annotation text"/>
    <w:basedOn w:val="Normal"/>
    <w:link w:val="CommentTextChar"/>
    <w:semiHidden/>
    <w:rsid w:val="00ED423B"/>
  </w:style>
  <w:style w:type="character" w:customStyle="1" w:styleId="CommentTextChar">
    <w:name w:val="Comment Text Char"/>
    <w:basedOn w:val="DefaultParagraphFont"/>
    <w:link w:val="CommentText"/>
    <w:semiHidden/>
    <w:rsid w:val="00ED423B"/>
    <w:rPr>
      <w:rFonts w:ascii="Arial" w:eastAsia="Times New Roman" w:hAnsi="Arial"/>
      <w:szCs w:val="20"/>
    </w:rPr>
  </w:style>
  <w:style w:type="paragraph" w:customStyle="1" w:styleId="TableFigText">
    <w:name w:val="Table/Fig: Text"/>
    <w:qFormat/>
    <w:rsid w:val="00ED423B"/>
    <w:pPr>
      <w:keepLines/>
      <w:tabs>
        <w:tab w:val="left" w:pos="425"/>
        <w:tab w:val="left" w:pos="851"/>
      </w:tabs>
      <w:spacing w:before="60" w:after="60" w:line="200" w:lineRule="atLeast"/>
    </w:pPr>
    <w:rPr>
      <w:rFonts w:ascii="Arial" w:eastAsia="Times New Roman" w:hAnsi="Arial" w:cs="Arial"/>
      <w:sz w:val="20"/>
      <w:szCs w:val="20"/>
      <w:lang w:val="en-US"/>
    </w:rPr>
  </w:style>
  <w:style w:type="paragraph" w:customStyle="1" w:styleId="TableFigHeadingtotal">
    <w:name w:val="Table/Fig: Heading &amp; total"/>
    <w:basedOn w:val="TableFigText"/>
    <w:uiPriority w:val="99"/>
    <w:rsid w:val="00ED423B"/>
    <w:rPr>
      <w:b/>
      <w:bCs/>
    </w:rPr>
  </w:style>
  <w:style w:type="paragraph" w:customStyle="1" w:styleId="TableCaption">
    <w:name w:val="Table: Caption"/>
    <w:basedOn w:val="Normal"/>
    <w:next w:val="Normal"/>
    <w:qFormat/>
    <w:rsid w:val="00ED423B"/>
    <w:pPr>
      <w:keepNext/>
      <w:keepLines/>
      <w:spacing w:before="240" w:after="120" w:line="240" w:lineRule="auto"/>
    </w:pPr>
    <w:rPr>
      <w:b/>
      <w:sz w:val="20"/>
    </w:rPr>
  </w:style>
  <w:style w:type="table" w:styleId="TableClassic1">
    <w:name w:val="Table Classic 1"/>
    <w:basedOn w:val="TableNormal"/>
    <w:uiPriority w:val="99"/>
    <w:rsid w:val="00ED423B"/>
    <w:pPr>
      <w:spacing w:before="40" w:after="40" w:line="260" w:lineRule="atLeast"/>
    </w:pPr>
    <w:rPr>
      <w:rFonts w:ascii="New York" w:eastAsia="Times New Roman" w:hAnsi="New York" w:cs="New York"/>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ED423B"/>
    <w:pPr>
      <w:spacing w:before="40" w:after="40" w:line="260" w:lineRule="atLeast"/>
    </w:pPr>
    <w:rPr>
      <w:rFonts w:ascii="New York" w:eastAsia="Times New Roman" w:hAnsi="New York" w:cs="New York"/>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uiPriority w:val="99"/>
    <w:rsid w:val="00ED423B"/>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ED423B"/>
    <w:rPr>
      <w:b/>
      <w:bCs/>
      <w:sz w:val="20"/>
    </w:rPr>
  </w:style>
  <w:style w:type="character" w:customStyle="1" w:styleId="CommentSubjectChar">
    <w:name w:val="Comment Subject Char"/>
    <w:basedOn w:val="CommentTextChar"/>
    <w:link w:val="CommentSubject"/>
    <w:uiPriority w:val="99"/>
    <w:semiHidden/>
    <w:rsid w:val="00ED423B"/>
    <w:rPr>
      <w:rFonts w:ascii="Arial" w:eastAsia="Times New Roman" w:hAnsi="Arial"/>
      <w:b/>
      <w:bCs/>
      <w:sz w:val="20"/>
      <w:szCs w:val="20"/>
    </w:rPr>
  </w:style>
  <w:style w:type="paragraph" w:customStyle="1" w:styleId="Heading2-NoTOC">
    <w:name w:val="Heading 2 - No TOC"/>
    <w:basedOn w:val="Heading2"/>
    <w:next w:val="Normal"/>
    <w:qFormat/>
    <w:rsid w:val="00ED423B"/>
    <w:rPr>
      <w:bCs/>
    </w:rPr>
  </w:style>
  <w:style w:type="paragraph" w:customStyle="1" w:styleId="Heading1-NoTOC">
    <w:name w:val="Heading 1 - No TOC"/>
    <w:basedOn w:val="Heading1"/>
    <w:rsid w:val="00ED423B"/>
    <w:rPr>
      <w:bCs/>
    </w:rPr>
  </w:style>
  <w:style w:type="paragraph" w:styleId="ListParagraph">
    <w:name w:val="List Paragraph"/>
    <w:basedOn w:val="Normal"/>
    <w:uiPriority w:val="34"/>
    <w:unhideWhenUsed/>
    <w:qFormat/>
    <w:rsid w:val="00ED423B"/>
    <w:pPr>
      <w:ind w:left="720"/>
      <w:contextualSpacing/>
    </w:pPr>
  </w:style>
  <w:style w:type="paragraph" w:styleId="Revision">
    <w:name w:val="Revision"/>
    <w:hidden/>
    <w:uiPriority w:val="99"/>
    <w:semiHidden/>
    <w:rsid w:val="00ED423B"/>
    <w:rPr>
      <w:rFonts w:eastAsia="Times New Roman"/>
      <w:sz w:val="24"/>
      <w:szCs w:val="24"/>
      <w:lang w:val="en-US"/>
    </w:rPr>
  </w:style>
  <w:style w:type="paragraph" w:customStyle="1" w:styleId="BoxText">
    <w:name w:val="Box: Text"/>
    <w:basedOn w:val="Normal"/>
    <w:next w:val="Normal"/>
    <w:qFormat/>
    <w:rsid w:val="00ED423B"/>
    <w:pPr>
      <w:spacing w:line="240" w:lineRule="atLeast"/>
      <w:ind w:left="227" w:right="227"/>
    </w:pPr>
    <w:rPr>
      <w:i/>
      <w:sz w:val="20"/>
    </w:rPr>
  </w:style>
  <w:style w:type="paragraph" w:customStyle="1" w:styleId="BoxHeading">
    <w:name w:val="Box: Heading"/>
    <w:basedOn w:val="BoxText"/>
    <w:next w:val="BoxText"/>
    <w:qFormat/>
    <w:rsid w:val="00ED423B"/>
    <w:pPr>
      <w:spacing w:before="120" w:after="60"/>
    </w:pPr>
    <w:rPr>
      <w:b/>
      <w:i w:val="0"/>
      <w:sz w:val="22"/>
    </w:rPr>
  </w:style>
  <w:style w:type="paragraph" w:customStyle="1" w:styleId="FigureCaption">
    <w:name w:val="Figure: Caption"/>
    <w:basedOn w:val="Normal"/>
    <w:next w:val="Normal"/>
    <w:qFormat/>
    <w:rsid w:val="00ED423B"/>
    <w:pPr>
      <w:keepNext/>
      <w:keepLines/>
      <w:spacing w:before="120" w:after="120" w:line="240" w:lineRule="atLeast"/>
      <w:ind w:left="896" w:hanging="896"/>
    </w:pPr>
    <w:rPr>
      <w:b/>
      <w:sz w:val="20"/>
    </w:rPr>
  </w:style>
  <w:style w:type="paragraph" w:customStyle="1" w:styleId="TableFigHeadingText">
    <w:name w:val="Table/Fig: Heading Text"/>
    <w:basedOn w:val="TableFigText"/>
    <w:qFormat/>
    <w:rsid w:val="00ED423B"/>
    <w:rPr>
      <w:rFonts w:cs="Times New Roman"/>
      <w:b/>
    </w:rPr>
  </w:style>
  <w:style w:type="paragraph" w:customStyle="1" w:styleId="TableFigNoteOnly">
    <w:name w:val="Table/Fig: Note–Only"/>
    <w:basedOn w:val="Normal"/>
    <w:next w:val="Normal"/>
    <w:qFormat/>
    <w:rsid w:val="00ED423B"/>
    <w:pPr>
      <w:keepLines/>
      <w:tabs>
        <w:tab w:val="left" w:pos="425"/>
        <w:tab w:val="left" w:pos="851"/>
      </w:tabs>
      <w:spacing w:before="120" w:after="240" w:line="180" w:lineRule="atLeast"/>
    </w:pPr>
    <w:rPr>
      <w:rFonts w:cs="Times New Roman"/>
      <w:sz w:val="18"/>
    </w:rPr>
  </w:style>
  <w:style w:type="paragraph" w:customStyle="1" w:styleId="TableFigNoteFirst">
    <w:name w:val="Table/Fig: Note–First"/>
    <w:basedOn w:val="Normal"/>
    <w:next w:val="Normal"/>
    <w:qFormat/>
    <w:rsid w:val="00ED423B"/>
    <w:pPr>
      <w:keepLines/>
      <w:tabs>
        <w:tab w:val="left" w:pos="425"/>
        <w:tab w:val="left" w:pos="851"/>
      </w:tabs>
      <w:spacing w:before="120" w:after="40" w:line="180" w:lineRule="atLeast"/>
    </w:pPr>
    <w:rPr>
      <w:rFonts w:cs="Times New Roman"/>
      <w:sz w:val="18"/>
    </w:rPr>
  </w:style>
  <w:style w:type="paragraph" w:customStyle="1" w:styleId="TableFigNoteMiddle">
    <w:name w:val="Table/Fig: Note–Middle"/>
    <w:basedOn w:val="Normal"/>
    <w:next w:val="Normal"/>
    <w:qFormat/>
    <w:rsid w:val="00ED423B"/>
    <w:pPr>
      <w:keepLines/>
      <w:tabs>
        <w:tab w:val="left" w:pos="425"/>
        <w:tab w:val="left" w:pos="851"/>
      </w:tabs>
      <w:spacing w:before="40" w:after="40" w:line="180" w:lineRule="atLeast"/>
      <w:ind w:left="426" w:hanging="426"/>
    </w:pPr>
    <w:rPr>
      <w:rFonts w:cs="Times New Roman"/>
      <w:sz w:val="18"/>
    </w:rPr>
  </w:style>
  <w:style w:type="paragraph" w:customStyle="1" w:styleId="TableFigNoteLast">
    <w:name w:val="Table/Fig: Note–Last"/>
    <w:basedOn w:val="Normal"/>
    <w:next w:val="Normal"/>
    <w:qFormat/>
    <w:rsid w:val="00ED423B"/>
    <w:pPr>
      <w:keepLines/>
      <w:tabs>
        <w:tab w:val="left" w:pos="425"/>
        <w:tab w:val="left" w:pos="851"/>
      </w:tabs>
      <w:spacing w:before="40" w:after="240" w:line="180" w:lineRule="atLeast"/>
      <w:ind w:left="426" w:hanging="426"/>
    </w:pPr>
    <w:rPr>
      <w:rFonts w:cs="Times New Roman"/>
      <w:sz w:val="18"/>
    </w:rPr>
  </w:style>
  <w:style w:type="paragraph" w:customStyle="1" w:styleId="BulletStyle">
    <w:name w:val="Bullet Style"/>
    <w:next w:val="Normal"/>
    <w:link w:val="BulletStyleChar"/>
    <w:qFormat/>
    <w:rsid w:val="00ED423B"/>
    <w:pPr>
      <w:tabs>
        <w:tab w:val="left" w:pos="142"/>
      </w:tabs>
      <w:spacing w:after="120" w:line="240" w:lineRule="atLeast"/>
      <w:ind w:left="142" w:hanging="142"/>
    </w:pPr>
    <w:rPr>
      <w:rFonts w:ascii="Arial" w:eastAsia="Times New Roman" w:hAnsi="Arial"/>
      <w:szCs w:val="20"/>
      <w:lang w:val="en-US"/>
    </w:rPr>
  </w:style>
  <w:style w:type="character" w:customStyle="1" w:styleId="BulletStyleChar">
    <w:name w:val="Bullet Style Char"/>
    <w:basedOn w:val="DefaultParagraphFont"/>
    <w:link w:val="BulletStyle"/>
    <w:rsid w:val="00ED423B"/>
    <w:rPr>
      <w:rFonts w:ascii="Arial" w:eastAsia="Times New Roman" w:hAnsi="Arial"/>
      <w:szCs w:val="20"/>
      <w:lang w:val="en-US"/>
    </w:rPr>
  </w:style>
  <w:style w:type="paragraph" w:customStyle="1" w:styleId="Heading3-NoTOC">
    <w:name w:val="Heading 3 - No TOC"/>
    <w:basedOn w:val="Heading3"/>
    <w:next w:val="Normal"/>
    <w:qFormat/>
    <w:rsid w:val="00ED423B"/>
  </w:style>
  <w:style w:type="character" w:styleId="Strong">
    <w:name w:val="Strong"/>
    <w:basedOn w:val="DefaultParagraphFont"/>
    <w:qFormat/>
    <w:rsid w:val="00ED423B"/>
    <w:rPr>
      <w:b/>
      <w:bCs/>
    </w:rPr>
  </w:style>
  <w:style w:type="paragraph" w:styleId="ListBullet">
    <w:name w:val="List Bullet"/>
    <w:basedOn w:val="List"/>
    <w:autoRedefine/>
    <w:rsid w:val="00ED423B"/>
    <w:pPr>
      <w:numPr>
        <w:numId w:val="41"/>
      </w:numPr>
      <w:tabs>
        <w:tab w:val="num" w:pos="720"/>
        <w:tab w:val="left" w:pos="1701"/>
        <w:tab w:val="left" w:pos="4395"/>
      </w:tabs>
      <w:spacing w:after="240" w:line="240" w:lineRule="atLeast"/>
      <w:ind w:hanging="720"/>
      <w:contextualSpacing w:val="0"/>
    </w:pPr>
    <w:rPr>
      <w:spacing w:val="-5"/>
      <w:lang w:val="en-US"/>
    </w:rPr>
  </w:style>
  <w:style w:type="paragraph" w:styleId="List">
    <w:name w:val="List"/>
    <w:basedOn w:val="Normal"/>
    <w:uiPriority w:val="99"/>
    <w:semiHidden/>
    <w:rsid w:val="00ED423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footer" Target="footer4.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eader" Target="header7.xm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hart" Target="charts/chart4.xml"/><Relationship Id="rId29" Type="http://schemas.openxmlformats.org/officeDocument/2006/relationships/hyperlink" Target="http://www.hsis.safeworkaustralia.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3.0/au/deed.en" TargetMode="Externa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http://www.vassarstats.net/prop1.html" TargetMode="External"/><Relationship Id="rId36" Type="http://schemas.openxmlformats.org/officeDocument/2006/relationships/customXml" Target="../customXml/item1.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hyperlink" Target="http://ntp.niehs.nih.gov/go/1520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hyperlink" Target="http://www.carexcanada.ca/en/polycyclic_aromatic_hydrocarbons/occupational_estimate/%3e.%20" TargetMode="External"/><Relationship Id="rId30" Type="http://schemas.openxmlformats.org/officeDocument/2006/relationships/hyperlink" Target="http://monographs.iarc.fr/ENG/Classification/index.php" TargetMode="External"/><Relationship Id="rId35" Type="http://schemas.openxmlformats.org/officeDocument/2006/relationships/theme" Target="theme/theme1.xml"/><Relationship Id="rId8" Type="http://schemas.openxmlformats.org/officeDocument/2006/relationships/header" Target="header1.xm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'PAHs-occupation'!$C$1</c:f>
              <c:strCache>
                <c:ptCount val="1"/>
                <c:pt idx="0">
                  <c:v>Per cent</c:v>
                </c:pt>
              </c:strCache>
            </c:strRef>
          </c:tx>
          <c:spPr>
            <a:solidFill>
              <a:schemeClr val="accent3"/>
            </a:solidFill>
          </c:spPr>
          <c:invertIfNegative val="0"/>
          <c:cat>
            <c:strRef>
              <c:f>'PAHs-occupation'!$A$2:$A$8</c:f>
              <c:strCache>
                <c:ptCount val="7"/>
                <c:pt idx="0">
                  <c:v>Managers</c:v>
                </c:pt>
                <c:pt idx="1">
                  <c:v>Professionals</c:v>
                </c:pt>
                <c:pt idx="2">
                  <c:v>Technicians and trades workers</c:v>
                </c:pt>
                <c:pt idx="3">
                  <c:v>Community and personal service workers</c:v>
                </c:pt>
                <c:pt idx="4">
                  <c:v>Clerical and administrative workers*</c:v>
                </c:pt>
                <c:pt idx="5">
                  <c:v>Machinery operators and drivers</c:v>
                </c:pt>
                <c:pt idx="6">
                  <c:v>Labourers</c:v>
                </c:pt>
              </c:strCache>
            </c:strRef>
          </c:cat>
          <c:val>
            <c:numRef>
              <c:f>'PAHs-occupation'!$C$2:$C$8</c:f>
              <c:numCache>
                <c:formatCode>General</c:formatCode>
                <c:ptCount val="7"/>
                <c:pt idx="0">
                  <c:v>33.299999999999997</c:v>
                </c:pt>
                <c:pt idx="1">
                  <c:v>12.8</c:v>
                </c:pt>
                <c:pt idx="2">
                  <c:v>22.9</c:v>
                </c:pt>
                <c:pt idx="3">
                  <c:v>14.5</c:v>
                </c:pt>
                <c:pt idx="5">
                  <c:v>5.7</c:v>
                </c:pt>
                <c:pt idx="6">
                  <c:v>10.1</c:v>
                </c:pt>
              </c:numCache>
            </c:numRef>
          </c:val>
        </c:ser>
        <c:dLbls>
          <c:showLegendKey val="0"/>
          <c:showVal val="0"/>
          <c:showCatName val="0"/>
          <c:showSerName val="0"/>
          <c:showPercent val="0"/>
          <c:showBubbleSize val="0"/>
        </c:dLbls>
        <c:gapWidth val="150"/>
        <c:axId val="36430592"/>
        <c:axId val="36432512"/>
      </c:barChart>
      <c:catAx>
        <c:axId val="36430592"/>
        <c:scaling>
          <c:orientation val="minMax"/>
        </c:scaling>
        <c:delete val="0"/>
        <c:axPos val="l"/>
        <c:majorTickMark val="out"/>
        <c:minorTickMark val="none"/>
        <c:tickLblPos val="nextTo"/>
        <c:crossAx val="36432512"/>
        <c:crosses val="autoZero"/>
        <c:auto val="1"/>
        <c:lblAlgn val="ctr"/>
        <c:lblOffset val="100"/>
        <c:noMultiLvlLbl val="0"/>
      </c:catAx>
      <c:valAx>
        <c:axId val="36432512"/>
        <c:scaling>
          <c:orientation val="minMax"/>
        </c:scaling>
        <c:delete val="0"/>
        <c:axPos val="b"/>
        <c:majorGridlines/>
        <c:title>
          <c:tx>
            <c:rich>
              <a:bodyPr/>
              <a:lstStyle/>
              <a:p>
                <a:pPr>
                  <a:defRPr/>
                </a:pPr>
                <a:r>
                  <a:rPr lang="en-AU"/>
                  <a:t>Per cent</a:t>
                </a:r>
              </a:p>
            </c:rich>
          </c:tx>
          <c:overlay val="0"/>
        </c:title>
        <c:numFmt formatCode="General" sourceLinked="1"/>
        <c:majorTickMark val="none"/>
        <c:minorTickMark val="none"/>
        <c:tickLblPos val="nextTo"/>
        <c:crossAx val="364305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'PAHs-industry'!$C$1</c:f>
              <c:strCache>
                <c:ptCount val="1"/>
                <c:pt idx="0">
                  <c:v>Per cent</c:v>
                </c:pt>
              </c:strCache>
            </c:strRef>
          </c:tx>
          <c:spPr>
            <a:solidFill>
              <a:schemeClr val="accent1"/>
            </a:solidFill>
          </c:spPr>
          <c:invertIfNegative val="0"/>
          <c:cat>
            <c:strRef>
              <c:f>'PAHs-industry'!$A$2:$A$12</c:f>
              <c:strCache>
                <c:ptCount val="11"/>
                <c:pt idx="0">
                  <c:v>Agriculture, forestry and fishing</c:v>
                </c:pt>
                <c:pt idx="1">
                  <c:v>Mining</c:v>
                </c:pt>
                <c:pt idx="2">
                  <c:v>Manufacturing</c:v>
                </c:pt>
                <c:pt idx="3">
                  <c:v>Construction</c:v>
                </c:pt>
                <c:pt idx="4">
                  <c:v>Trade (wholesale and retail)*</c:v>
                </c:pt>
                <c:pt idx="5">
                  <c:v>Accommodation and food services</c:v>
                </c:pt>
                <c:pt idx="6">
                  <c:v>Transport, postal and warehousing</c:v>
                </c:pt>
                <c:pt idx="7">
                  <c:v>Professional, scientific and technical services</c:v>
                </c:pt>
                <c:pt idx="8">
                  <c:v>Public administration and safety</c:v>
                </c:pt>
                <c:pt idx="9">
                  <c:v>Education and training*</c:v>
                </c:pt>
                <c:pt idx="10">
                  <c:v>Health care and social assistance</c:v>
                </c:pt>
              </c:strCache>
            </c:strRef>
          </c:cat>
          <c:val>
            <c:numRef>
              <c:f>'PAHs-industry'!$C$2:$C$12</c:f>
              <c:numCache>
                <c:formatCode>General</c:formatCode>
                <c:ptCount val="11"/>
                <c:pt idx="0">
                  <c:v>40.4</c:v>
                </c:pt>
                <c:pt idx="1">
                  <c:v>4</c:v>
                </c:pt>
                <c:pt idx="2">
                  <c:v>3.7</c:v>
                </c:pt>
                <c:pt idx="3">
                  <c:v>13.5</c:v>
                </c:pt>
                <c:pt idx="5">
                  <c:v>8.4</c:v>
                </c:pt>
                <c:pt idx="6">
                  <c:v>1.3</c:v>
                </c:pt>
                <c:pt idx="7">
                  <c:v>4</c:v>
                </c:pt>
                <c:pt idx="8">
                  <c:v>9.4</c:v>
                </c:pt>
                <c:pt idx="10">
                  <c:v>12.8</c:v>
                </c:pt>
              </c:numCache>
            </c:numRef>
          </c:val>
        </c:ser>
        <c:dLbls>
          <c:showLegendKey val="0"/>
          <c:showVal val="0"/>
          <c:showCatName val="0"/>
          <c:showSerName val="0"/>
          <c:showPercent val="0"/>
          <c:showBubbleSize val="0"/>
        </c:dLbls>
        <c:gapWidth val="150"/>
        <c:axId val="46172416"/>
        <c:axId val="46186880"/>
      </c:barChart>
      <c:catAx>
        <c:axId val="46172416"/>
        <c:scaling>
          <c:orientation val="minMax"/>
        </c:scaling>
        <c:delete val="0"/>
        <c:axPos val="l"/>
        <c:majorTickMark val="out"/>
        <c:minorTickMark val="none"/>
        <c:tickLblPos val="nextTo"/>
        <c:crossAx val="46186880"/>
        <c:crosses val="autoZero"/>
        <c:auto val="1"/>
        <c:lblAlgn val="ctr"/>
        <c:lblOffset val="100"/>
        <c:noMultiLvlLbl val="0"/>
      </c:catAx>
      <c:valAx>
        <c:axId val="46186880"/>
        <c:scaling>
          <c:orientation val="minMax"/>
          <c:max val="42"/>
          <c:min val="0"/>
        </c:scaling>
        <c:delete val="0"/>
        <c:axPos val="b"/>
        <c:majorGridlines/>
        <c:title>
          <c:tx>
            <c:rich>
              <a:bodyPr/>
              <a:lstStyle/>
              <a:p>
                <a:pPr>
                  <a:defRPr/>
                </a:pPr>
                <a:r>
                  <a:rPr lang="en-AU"/>
                  <a:t>Per</a:t>
                </a:r>
                <a:r>
                  <a:rPr lang="en-AU" baseline="0"/>
                  <a:t> cent</a:t>
                </a:r>
                <a:endParaRPr lang="en-AU"/>
              </a:p>
            </c:rich>
          </c:tx>
          <c:overlay val="0"/>
        </c:title>
        <c:numFmt formatCode="General" sourceLinked="1"/>
        <c:majorTickMark val="none"/>
        <c:minorTickMark val="none"/>
        <c:tickLblPos val="nextTo"/>
        <c:crossAx val="46172416"/>
        <c:crosses val="autoZero"/>
        <c:crossBetween val="between"/>
        <c:majorUnit val="10"/>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'PAHs-proportions-occupation'!$D$1</c:f>
              <c:strCache>
                <c:ptCount val="1"/>
                <c:pt idx="0">
                  <c:v>Total</c:v>
                </c:pt>
              </c:strCache>
            </c:strRef>
          </c:tx>
          <c:invertIfNegative val="0"/>
          <c:cat>
            <c:strRef>
              <c:f>'PAHs-proportions-occupation'!$A$2:$A$10</c:f>
              <c:strCache>
                <c:ptCount val="9"/>
                <c:pt idx="0">
                  <c:v>Managers</c:v>
                </c:pt>
                <c:pt idx="1">
                  <c:v>Professionals</c:v>
                </c:pt>
                <c:pt idx="2">
                  <c:v>Technicians and trades workers</c:v>
                </c:pt>
                <c:pt idx="3">
                  <c:v>Community and personal service workers</c:v>
                </c:pt>
                <c:pt idx="4">
                  <c:v>Clerical and administrative workers*</c:v>
                </c:pt>
                <c:pt idx="5">
                  <c:v>Sales workers</c:v>
                </c:pt>
                <c:pt idx="6">
                  <c:v>Machinery operators and drivers</c:v>
                </c:pt>
                <c:pt idx="7">
                  <c:v>Labourers</c:v>
                </c:pt>
                <c:pt idx="8">
                  <c:v>Total</c:v>
                </c:pt>
              </c:strCache>
            </c:strRef>
          </c:cat>
          <c:val>
            <c:numRef>
              <c:f>'PAHs-proportions-occupation'!$D$2:$D$10</c:f>
              <c:numCache>
                <c:formatCode>General</c:formatCode>
                <c:ptCount val="9"/>
                <c:pt idx="0">
                  <c:v>15.4</c:v>
                </c:pt>
                <c:pt idx="1">
                  <c:v>7.4</c:v>
                </c:pt>
                <c:pt idx="2">
                  <c:v>8.1</c:v>
                </c:pt>
                <c:pt idx="3">
                  <c:v>1.9</c:v>
                </c:pt>
                <c:pt idx="6">
                  <c:v>6.4</c:v>
                </c:pt>
                <c:pt idx="7">
                  <c:v>9.1999999999999993</c:v>
                </c:pt>
                <c:pt idx="8">
                  <c:v>5.9</c:v>
                </c:pt>
              </c:numCache>
            </c:numRef>
          </c:val>
        </c:ser>
        <c:dLbls>
          <c:showLegendKey val="0"/>
          <c:showVal val="0"/>
          <c:showCatName val="0"/>
          <c:showSerName val="0"/>
          <c:showPercent val="0"/>
          <c:showBubbleSize val="0"/>
        </c:dLbls>
        <c:gapWidth val="150"/>
        <c:axId val="51548544"/>
        <c:axId val="51550464"/>
      </c:barChart>
      <c:catAx>
        <c:axId val="51548544"/>
        <c:scaling>
          <c:orientation val="minMax"/>
        </c:scaling>
        <c:delete val="0"/>
        <c:axPos val="l"/>
        <c:majorTickMark val="out"/>
        <c:minorTickMark val="none"/>
        <c:tickLblPos val="nextTo"/>
        <c:crossAx val="51550464"/>
        <c:crosses val="autoZero"/>
        <c:auto val="1"/>
        <c:lblAlgn val="ctr"/>
        <c:lblOffset val="100"/>
        <c:noMultiLvlLbl val="0"/>
      </c:catAx>
      <c:valAx>
        <c:axId val="51550464"/>
        <c:scaling>
          <c:orientation val="minMax"/>
          <c:max val="20"/>
          <c:min val="0"/>
        </c:scaling>
        <c:delete val="0"/>
        <c:axPos val="b"/>
        <c:majorGridlines/>
        <c:title>
          <c:tx>
            <c:rich>
              <a:bodyPr/>
              <a:lstStyle/>
              <a:p>
                <a:pPr>
                  <a:defRPr/>
                </a:pPr>
                <a:r>
                  <a:rPr lang="en-AU"/>
                  <a:t>Per cent</a:t>
                </a:r>
              </a:p>
            </c:rich>
          </c:tx>
          <c:overlay val="0"/>
        </c:title>
        <c:numFmt formatCode="General" sourceLinked="1"/>
        <c:majorTickMark val="none"/>
        <c:minorTickMark val="none"/>
        <c:tickLblPos val="nextTo"/>
        <c:crossAx val="51548544"/>
        <c:crosses val="autoZero"/>
        <c:crossBetween val="between"/>
        <c:majorUnit val="5"/>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'PAHs-proportions-occupation'!$B$1</c:f>
              <c:strCache>
                <c:ptCount val="1"/>
                <c:pt idx="0">
                  <c:v>Male</c:v>
                </c:pt>
              </c:strCache>
            </c:strRef>
          </c:tx>
          <c:spPr>
            <a:solidFill>
              <a:schemeClr val="accent3"/>
            </a:solidFill>
          </c:spPr>
          <c:invertIfNegative val="0"/>
          <c:cat>
            <c:strRef>
              <c:f>'PAHs-proportions-occupation'!$A$2:$A$10</c:f>
              <c:strCache>
                <c:ptCount val="9"/>
                <c:pt idx="0">
                  <c:v>Managers</c:v>
                </c:pt>
                <c:pt idx="1">
                  <c:v>Professionals</c:v>
                </c:pt>
                <c:pt idx="2">
                  <c:v>Technicians and trades workers</c:v>
                </c:pt>
                <c:pt idx="3">
                  <c:v>Community and personal service workers</c:v>
                </c:pt>
                <c:pt idx="4">
                  <c:v>Clerical and administrative workers*</c:v>
                </c:pt>
                <c:pt idx="5">
                  <c:v>Sales workers</c:v>
                </c:pt>
                <c:pt idx="6">
                  <c:v>Machinery operators and drivers</c:v>
                </c:pt>
                <c:pt idx="7">
                  <c:v>Labourers</c:v>
                </c:pt>
                <c:pt idx="8">
                  <c:v>Total</c:v>
                </c:pt>
              </c:strCache>
            </c:strRef>
          </c:cat>
          <c:val>
            <c:numRef>
              <c:f>'PAHs-proportions-occupation'!$B$2:$B$10</c:f>
              <c:numCache>
                <c:formatCode>General</c:formatCode>
                <c:ptCount val="9"/>
                <c:pt idx="0">
                  <c:v>26.1</c:v>
                </c:pt>
                <c:pt idx="1">
                  <c:v>9</c:v>
                </c:pt>
                <c:pt idx="2">
                  <c:v>9.5</c:v>
                </c:pt>
                <c:pt idx="3">
                  <c:v>3.2</c:v>
                </c:pt>
                <c:pt idx="6">
                  <c:v>7</c:v>
                </c:pt>
                <c:pt idx="7">
                  <c:v>10.7</c:v>
                </c:pt>
                <c:pt idx="8">
                  <c:v>8.6</c:v>
                </c:pt>
              </c:numCache>
            </c:numRef>
          </c:val>
        </c:ser>
        <c:dLbls>
          <c:showLegendKey val="0"/>
          <c:showVal val="0"/>
          <c:showCatName val="0"/>
          <c:showSerName val="0"/>
          <c:showPercent val="0"/>
          <c:showBubbleSize val="0"/>
        </c:dLbls>
        <c:gapWidth val="150"/>
        <c:axId val="53959680"/>
        <c:axId val="53970432"/>
      </c:barChart>
      <c:catAx>
        <c:axId val="53959680"/>
        <c:scaling>
          <c:orientation val="minMax"/>
        </c:scaling>
        <c:delete val="0"/>
        <c:axPos val="l"/>
        <c:majorTickMark val="none"/>
        <c:minorTickMark val="none"/>
        <c:tickLblPos val="nextTo"/>
        <c:crossAx val="53970432"/>
        <c:crosses val="autoZero"/>
        <c:auto val="1"/>
        <c:lblAlgn val="ctr"/>
        <c:lblOffset val="100"/>
        <c:noMultiLvlLbl val="0"/>
      </c:catAx>
      <c:valAx>
        <c:axId val="53970432"/>
        <c:scaling>
          <c:orientation val="minMax"/>
        </c:scaling>
        <c:delete val="0"/>
        <c:axPos val="b"/>
        <c:majorGridlines/>
        <c:title>
          <c:tx>
            <c:rich>
              <a:bodyPr/>
              <a:lstStyle/>
              <a:p>
                <a:pPr>
                  <a:defRPr/>
                </a:pPr>
                <a:r>
                  <a:rPr lang="en-AU"/>
                  <a:t>Per cent</a:t>
                </a:r>
              </a:p>
            </c:rich>
          </c:tx>
          <c:overlay val="0"/>
        </c:title>
        <c:numFmt formatCode="General" sourceLinked="1"/>
        <c:majorTickMark val="none"/>
        <c:minorTickMark val="none"/>
        <c:tickLblPos val="nextTo"/>
        <c:crossAx val="539596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'PAHs-proportions-industry'!$D$1</c:f>
              <c:strCache>
                <c:ptCount val="1"/>
                <c:pt idx="0">
                  <c:v>Total</c:v>
                </c:pt>
              </c:strCache>
            </c:strRef>
          </c:tx>
          <c:spPr>
            <a:solidFill>
              <a:schemeClr val="accent1"/>
            </a:solidFill>
          </c:spPr>
          <c:invertIfNegative val="0"/>
          <c:cat>
            <c:strRef>
              <c:f>'PAHs-proportions-industry'!$A$2:$A$13</c:f>
              <c:strCache>
                <c:ptCount val="12"/>
                <c:pt idx="0">
                  <c:v>Agriculture, forestry and fishing</c:v>
                </c:pt>
                <c:pt idx="1">
                  <c:v>Mining</c:v>
                </c:pt>
                <c:pt idx="2">
                  <c:v>Manufacturing</c:v>
                </c:pt>
                <c:pt idx="3">
                  <c:v>Construction</c:v>
                </c:pt>
                <c:pt idx="4">
                  <c:v>Trade (wholesale and retail)*</c:v>
                </c:pt>
                <c:pt idx="5">
                  <c:v>Accommodation and food services</c:v>
                </c:pt>
                <c:pt idx="6">
                  <c:v>Transport, postal and warehousing</c:v>
                </c:pt>
                <c:pt idx="7">
                  <c:v>Professional, scientific and technical services</c:v>
                </c:pt>
                <c:pt idx="8">
                  <c:v>Public administration and safety</c:v>
                </c:pt>
                <c:pt idx="9">
                  <c:v>Education and training*</c:v>
                </c:pt>
                <c:pt idx="10">
                  <c:v>Health care and social assistance</c:v>
                </c:pt>
                <c:pt idx="11">
                  <c:v>Total</c:v>
                </c:pt>
              </c:strCache>
            </c:strRef>
          </c:cat>
          <c:val>
            <c:numRef>
              <c:f>'PAHs-proportions-industry'!$D$2:$D$13</c:f>
              <c:numCache>
                <c:formatCode>General</c:formatCode>
                <c:ptCount val="12"/>
                <c:pt idx="0">
                  <c:v>51.9</c:v>
                </c:pt>
                <c:pt idx="1">
                  <c:v>10.6</c:v>
                </c:pt>
                <c:pt idx="2">
                  <c:v>7</c:v>
                </c:pt>
                <c:pt idx="3">
                  <c:v>7.2</c:v>
                </c:pt>
                <c:pt idx="5">
                  <c:v>15.7</c:v>
                </c:pt>
                <c:pt idx="6">
                  <c:v>1.5</c:v>
                </c:pt>
                <c:pt idx="7">
                  <c:v>6.1</c:v>
                </c:pt>
                <c:pt idx="8">
                  <c:v>40</c:v>
                </c:pt>
                <c:pt idx="10">
                  <c:v>9.4</c:v>
                </c:pt>
                <c:pt idx="11">
                  <c:v>5.9</c:v>
                </c:pt>
              </c:numCache>
            </c:numRef>
          </c:val>
        </c:ser>
        <c:dLbls>
          <c:showLegendKey val="0"/>
          <c:showVal val="0"/>
          <c:showCatName val="0"/>
          <c:showSerName val="0"/>
          <c:showPercent val="0"/>
          <c:showBubbleSize val="0"/>
        </c:dLbls>
        <c:gapWidth val="150"/>
        <c:axId val="95010176"/>
        <c:axId val="95026176"/>
      </c:barChart>
      <c:catAx>
        <c:axId val="95010176"/>
        <c:scaling>
          <c:orientation val="minMax"/>
        </c:scaling>
        <c:delete val="0"/>
        <c:axPos val="l"/>
        <c:majorTickMark val="out"/>
        <c:minorTickMark val="none"/>
        <c:tickLblPos val="nextTo"/>
        <c:crossAx val="95026176"/>
        <c:crosses val="autoZero"/>
        <c:auto val="1"/>
        <c:lblAlgn val="ctr"/>
        <c:lblOffset val="100"/>
        <c:noMultiLvlLbl val="0"/>
      </c:catAx>
      <c:valAx>
        <c:axId val="95026176"/>
        <c:scaling>
          <c:orientation val="minMax"/>
        </c:scaling>
        <c:delete val="0"/>
        <c:axPos val="b"/>
        <c:majorGridlines/>
        <c:title>
          <c:tx>
            <c:rich>
              <a:bodyPr/>
              <a:lstStyle/>
              <a:p>
                <a:pPr>
                  <a:defRPr/>
                </a:pPr>
                <a:r>
                  <a:rPr lang="en-AU"/>
                  <a:t>Per cent</a:t>
                </a:r>
              </a:p>
            </c:rich>
          </c:tx>
          <c:overlay val="0"/>
        </c:title>
        <c:numFmt formatCode="General" sourceLinked="1"/>
        <c:majorTickMark val="none"/>
        <c:minorTickMark val="none"/>
        <c:tickLblPos val="nextTo"/>
        <c:crossAx val="950101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'PAHs-proportions-industry'!$B$1</c:f>
              <c:strCache>
                <c:ptCount val="1"/>
                <c:pt idx="0">
                  <c:v>Male</c:v>
                </c:pt>
              </c:strCache>
            </c:strRef>
          </c:tx>
          <c:invertIfNegative val="0"/>
          <c:cat>
            <c:strRef>
              <c:f>'PAHs-proportions-industry'!$A$2:$A$13</c:f>
              <c:strCache>
                <c:ptCount val="12"/>
                <c:pt idx="0">
                  <c:v>Agriculture, forestry and fishing</c:v>
                </c:pt>
                <c:pt idx="1">
                  <c:v>Mining</c:v>
                </c:pt>
                <c:pt idx="2">
                  <c:v>Manufacturing</c:v>
                </c:pt>
                <c:pt idx="3">
                  <c:v>Construction</c:v>
                </c:pt>
                <c:pt idx="4">
                  <c:v>Trade (wholesale and retail)*</c:v>
                </c:pt>
                <c:pt idx="5">
                  <c:v>Accommodation and food services</c:v>
                </c:pt>
                <c:pt idx="6">
                  <c:v>Transport, postal and warehousing</c:v>
                </c:pt>
                <c:pt idx="7">
                  <c:v>Professional, scientific and technical services</c:v>
                </c:pt>
                <c:pt idx="8">
                  <c:v>Public administration and safety</c:v>
                </c:pt>
                <c:pt idx="9">
                  <c:v>Education and training*</c:v>
                </c:pt>
                <c:pt idx="10">
                  <c:v>Health care and social assistance</c:v>
                </c:pt>
                <c:pt idx="11">
                  <c:v>Total</c:v>
                </c:pt>
              </c:strCache>
            </c:strRef>
          </c:cat>
          <c:val>
            <c:numRef>
              <c:f>'PAHs-proportions-industry'!$B$2:$B$13</c:f>
              <c:numCache>
                <c:formatCode>General</c:formatCode>
                <c:ptCount val="12"/>
                <c:pt idx="0">
                  <c:v>56.8</c:v>
                </c:pt>
                <c:pt idx="1">
                  <c:v>10.7</c:v>
                </c:pt>
                <c:pt idx="2">
                  <c:v>7.8</c:v>
                </c:pt>
                <c:pt idx="3">
                  <c:v>7.5</c:v>
                </c:pt>
                <c:pt idx="5">
                  <c:v>17.600000000000001</c:v>
                </c:pt>
                <c:pt idx="6">
                  <c:v>1.7</c:v>
                </c:pt>
                <c:pt idx="7">
                  <c:v>7.8</c:v>
                </c:pt>
                <c:pt idx="8">
                  <c:v>49.1</c:v>
                </c:pt>
                <c:pt idx="10">
                  <c:v>18.7</c:v>
                </c:pt>
                <c:pt idx="11">
                  <c:v>8.6</c:v>
                </c:pt>
              </c:numCache>
            </c:numRef>
          </c:val>
        </c:ser>
        <c:dLbls>
          <c:showLegendKey val="0"/>
          <c:showVal val="0"/>
          <c:showCatName val="0"/>
          <c:showSerName val="0"/>
          <c:showPercent val="0"/>
          <c:showBubbleSize val="0"/>
        </c:dLbls>
        <c:gapWidth val="150"/>
        <c:axId val="113792128"/>
        <c:axId val="113794048"/>
      </c:barChart>
      <c:catAx>
        <c:axId val="113792128"/>
        <c:scaling>
          <c:orientation val="minMax"/>
        </c:scaling>
        <c:delete val="0"/>
        <c:axPos val="l"/>
        <c:majorTickMark val="none"/>
        <c:minorTickMark val="none"/>
        <c:tickLblPos val="nextTo"/>
        <c:crossAx val="113794048"/>
        <c:crosses val="autoZero"/>
        <c:auto val="1"/>
        <c:lblAlgn val="ctr"/>
        <c:lblOffset val="100"/>
        <c:noMultiLvlLbl val="0"/>
      </c:catAx>
      <c:valAx>
        <c:axId val="113794048"/>
        <c:scaling>
          <c:orientation val="minMax"/>
        </c:scaling>
        <c:delete val="0"/>
        <c:axPos val="b"/>
        <c:majorGridlines/>
        <c:title>
          <c:tx>
            <c:rich>
              <a:bodyPr/>
              <a:lstStyle/>
              <a:p>
                <a:pPr>
                  <a:defRPr/>
                </a:pPr>
                <a:r>
                  <a:rPr lang="en-AU"/>
                  <a:t>Per cent</a:t>
                </a:r>
              </a:p>
            </c:rich>
          </c:tx>
          <c:overlay val="0"/>
        </c:title>
        <c:numFmt formatCode="General" sourceLinked="1"/>
        <c:majorTickMark val="none"/>
        <c:minorTickMark val="none"/>
        <c:tickLblPos val="nextTo"/>
        <c:crossAx val="1137921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978-1-74361-900-1</PublicationIdentifier>
    <ParentFolderID xmlns="http://schemas.microsoft.com/sharepoint/v3/fields">892</ParentFolderID>
  </documentManagement>
</p:properties>
</file>

<file path=customXml/itemProps1.xml><?xml version="1.0" encoding="utf-8"?>
<ds:datastoreItem xmlns:ds="http://schemas.openxmlformats.org/officeDocument/2006/customXml" ds:itemID="{AD1D5C8F-51C1-4797-A944-7F97DB06C015}"/>
</file>

<file path=customXml/itemProps2.xml><?xml version="1.0" encoding="utf-8"?>
<ds:datastoreItem xmlns:ds="http://schemas.openxmlformats.org/officeDocument/2006/customXml" ds:itemID="{96BE4402-C29D-45C7-B60B-1241F86EE471}"/>
</file>

<file path=docProps/app.xml><?xml version="1.0" encoding="utf-8"?>
<Properties xmlns="http://schemas.openxmlformats.org/officeDocument/2006/extended-properties" xmlns:vt="http://schemas.openxmlformats.org/officeDocument/2006/docPropsVTypes">
  <Template>E73C4163.dotm</Template>
  <TotalTime>0</TotalTime>
  <Pages>40</Pages>
  <Words>12696</Words>
  <Characters>72370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The Australian Work Exposures Study (AWES): Polycyclic aromatic hydrocarbons</vt:lpstr>
    </vt:vector>
  </TitlesOfParts>
  <Company/>
  <LinksUpToDate>false</LinksUpToDate>
  <CharactersWithSpaces>84897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Work Exposures Study (AWES) - Polycyclic aromatic hydrocarbons (PAHs)</dc:title>
  <dc:creator/>
  <cp:keywords>Research Report, Polycyclic aromatic hydrocarbons, PAHs, Safe Work Australia, The Australian Work Exposures Study (AWES): Polycyclic aromatic hydrocarbons</cp:keywords>
  <cp:lastModifiedBy/>
  <cp:revision>1</cp:revision>
  <dcterms:created xsi:type="dcterms:W3CDTF">2014-11-11T03:26:00Z</dcterms:created>
  <dcterms:modified xsi:type="dcterms:W3CDTF">2014-11-21T00:05:00Z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