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AC" w:rsidRDefault="00975CAC" w:rsidP="00975CAC">
      <w:bookmarkStart w:id="0" w:name="_GoBack"/>
      <w:bookmarkEnd w:id="0"/>
    </w:p>
    <w:p w:rsidR="00975CAC" w:rsidRDefault="00975CAC" w:rsidP="00975CAC"/>
    <w:p w:rsidR="001D07ED" w:rsidRPr="00B97FF4" w:rsidRDefault="0013052C" w:rsidP="0013052C">
      <w:pPr>
        <w:rPr>
          <w:b/>
          <w:color w:val="004459"/>
          <w:sz w:val="36"/>
          <w:szCs w:val="36"/>
        </w:rPr>
      </w:pPr>
      <w:r w:rsidRPr="00B97FF4">
        <w:rPr>
          <w:b/>
          <w:color w:val="004459"/>
          <w:sz w:val="36"/>
          <w:szCs w:val="36"/>
        </w:rPr>
        <w:t>THE RELATIONSHIP BETWEEN WORK CHARACTERISTICS, WELLBEING, DEPRESSION AND WORKPLACE BULLYING</w:t>
      </w:r>
    </w:p>
    <w:p w:rsidR="00A91382" w:rsidRPr="00B97FF4" w:rsidRDefault="0013052C" w:rsidP="0013052C">
      <w:pPr>
        <w:rPr>
          <w:b/>
          <w:color w:val="004459"/>
          <w:sz w:val="36"/>
          <w:szCs w:val="36"/>
        </w:rPr>
      </w:pPr>
      <w:r w:rsidRPr="00B97FF4">
        <w:rPr>
          <w:b/>
          <w:color w:val="004459"/>
          <w:sz w:val="36"/>
          <w:szCs w:val="36"/>
        </w:rPr>
        <w:t>SUMMARY REPORT</w:t>
      </w:r>
    </w:p>
    <w:p w:rsidR="00A91382" w:rsidRDefault="0013052C" w:rsidP="0013052C">
      <w:pPr>
        <w:ind w:left="-1276"/>
        <w:jc w:val="center"/>
      </w:pPr>
      <w:r>
        <w:rPr>
          <w:noProof/>
          <w:lang w:eastAsia="en-AU"/>
        </w:rPr>
        <w:drawing>
          <wp:inline distT="0" distB="0" distL="0" distR="0">
            <wp:extent cx="7400925" cy="5423586"/>
            <wp:effectExtent l="0" t="0" r="0" b="5715"/>
            <wp:docPr id="7" name="Picture 7" title="Supporting an employee - Jun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report-cover.jpg"/>
                    <pic:cNvPicPr/>
                  </pic:nvPicPr>
                  <pic:blipFill rotWithShape="1">
                    <a:blip r:embed="rId8">
                      <a:extLst>
                        <a:ext uri="{28A0092B-C50C-407E-A947-70E740481C1C}">
                          <a14:useLocalDpi xmlns:a14="http://schemas.microsoft.com/office/drawing/2010/main" val="0"/>
                        </a:ext>
                      </a:extLst>
                    </a:blip>
                    <a:srcRect t="27615" b="20564"/>
                    <a:stretch/>
                  </pic:blipFill>
                  <pic:spPr bwMode="auto">
                    <a:xfrm>
                      <a:off x="0" y="0"/>
                      <a:ext cx="7400925" cy="5423586"/>
                    </a:xfrm>
                    <a:prstGeom prst="rect">
                      <a:avLst/>
                    </a:prstGeom>
                    <a:ln>
                      <a:noFill/>
                    </a:ln>
                    <a:extLst>
                      <a:ext uri="{53640926-AAD7-44D8-BBD7-CCE9431645EC}">
                        <a14:shadowObscured xmlns:a14="http://schemas.microsoft.com/office/drawing/2010/main"/>
                      </a:ext>
                    </a:extLst>
                  </pic:spPr>
                </pic:pic>
              </a:graphicData>
            </a:graphic>
          </wp:inline>
        </w:drawing>
      </w:r>
    </w:p>
    <w:p w:rsidR="00FF0459" w:rsidRDefault="00FF0459">
      <w:pPr>
        <w:spacing w:after="200" w:line="276" w:lineRule="auto"/>
      </w:pPr>
    </w:p>
    <w:p w:rsidR="00FF0459" w:rsidRDefault="00FF0459">
      <w:pPr>
        <w:spacing w:after="200" w:line="276" w:lineRule="auto"/>
      </w:pPr>
    </w:p>
    <w:p w:rsidR="0060446C" w:rsidRDefault="0060446C">
      <w:pPr>
        <w:spacing w:after="200" w:line="276" w:lineRule="auto"/>
      </w:pPr>
      <w:r>
        <w:br w:type="page"/>
      </w:r>
    </w:p>
    <w:p w:rsidR="00C14792" w:rsidRDefault="00C14792" w:rsidP="0060446C">
      <w:pPr>
        <w:rPr>
          <w:rFonts w:cs="Arial"/>
          <w:szCs w:val="22"/>
        </w:rPr>
      </w:pPr>
      <w:r>
        <w:rPr>
          <w:rFonts w:cs="Arial"/>
          <w:noProof/>
          <w:szCs w:val="22"/>
          <w:lang w:eastAsia="en-AU"/>
        </w:rPr>
        <w:lastRenderedPageBreak/>
        <w:drawing>
          <wp:inline distT="0" distB="0" distL="0" distR="0">
            <wp:extent cx="1761744" cy="356616"/>
            <wp:effectExtent l="0" t="0" r="0" b="5715"/>
            <wp:docPr id="6" name="Picture 6" title="Safe Work Australia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p w:rsidR="0060446C" w:rsidRPr="0069533F" w:rsidRDefault="00975CAC" w:rsidP="0060446C">
      <w:pPr>
        <w:rPr>
          <w:rFonts w:cs="Arial"/>
          <w:szCs w:val="22"/>
        </w:rPr>
      </w:pPr>
      <w:r w:rsidRPr="00975CAC">
        <w:rPr>
          <w:rFonts w:cs="Arial"/>
          <w:szCs w:val="22"/>
        </w:rPr>
        <w:t xml:space="preserve">This report was produced by Peter Butterworth, Liana S. Leach and Kim M. </w:t>
      </w:r>
      <w:proofErr w:type="spellStart"/>
      <w:r w:rsidRPr="00975CAC">
        <w:rPr>
          <w:rFonts w:cs="Arial"/>
          <w:szCs w:val="22"/>
        </w:rPr>
        <w:t>Kiely</w:t>
      </w:r>
      <w:proofErr w:type="spellEnd"/>
      <w:r w:rsidRPr="00975CAC">
        <w:rPr>
          <w:rFonts w:cs="Arial"/>
          <w:szCs w:val="22"/>
        </w:rPr>
        <w:t xml:space="preserve"> of the Centre for Research on Ageing, Health and Wellbeing, The Australian National University under commission from Safe Work Australia.</w:t>
      </w:r>
    </w:p>
    <w:p w:rsidR="0060446C" w:rsidRPr="0069533F" w:rsidRDefault="0060446C" w:rsidP="0060446C">
      <w:pPr>
        <w:rPr>
          <w:rStyle w:val="Strong"/>
          <w:rFonts w:cs="Arial"/>
          <w:szCs w:val="22"/>
        </w:rPr>
      </w:pPr>
      <w:r w:rsidRPr="0069533F">
        <w:rPr>
          <w:rStyle w:val="Strong"/>
          <w:rFonts w:cs="Arial"/>
          <w:szCs w:val="22"/>
        </w:rPr>
        <w:t>Disclaimer</w:t>
      </w:r>
    </w:p>
    <w:p w:rsidR="00F828B4" w:rsidRPr="00F828B4" w:rsidRDefault="00F828B4" w:rsidP="00F828B4">
      <w:r w:rsidRPr="00F828B4">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in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60446C" w:rsidRPr="0069533F" w:rsidRDefault="0060446C" w:rsidP="0060446C">
      <w:pPr>
        <w:rPr>
          <w:rStyle w:val="Strong"/>
          <w:rFonts w:cs="Arial"/>
          <w:szCs w:val="22"/>
        </w:rPr>
      </w:pPr>
      <w:r w:rsidRPr="0069533F">
        <w:rPr>
          <w:rStyle w:val="Strong"/>
          <w:rFonts w:cs="Arial"/>
          <w:szCs w:val="22"/>
        </w:rPr>
        <w:t>Creative Commons</w:t>
      </w:r>
    </w:p>
    <w:p w:rsidR="0060446C" w:rsidRPr="0069533F" w:rsidRDefault="0060446C" w:rsidP="0060446C">
      <w:pPr>
        <w:rPr>
          <w:rFonts w:cs="Arial"/>
          <w:szCs w:val="22"/>
        </w:rPr>
      </w:pPr>
      <w:r w:rsidRPr="0069533F">
        <w:rPr>
          <w:rFonts w:cs="Arial"/>
          <w:noProof/>
          <w:szCs w:val="22"/>
          <w:lang w:eastAsia="en-AU"/>
        </w:rPr>
        <w:drawing>
          <wp:inline distT="0" distB="0" distL="0" distR="0" wp14:anchorId="3FF0E729" wp14:editId="17E0ECBC">
            <wp:extent cx="1530985" cy="531495"/>
            <wp:effectExtent l="0" t="0" r="0" b="0"/>
            <wp:docPr id="159" name="Picture 0" descr="Creative commons 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ative commons CC B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985" cy="531495"/>
                    </a:xfrm>
                    <a:prstGeom prst="rect">
                      <a:avLst/>
                    </a:prstGeom>
                    <a:noFill/>
                    <a:ln>
                      <a:noFill/>
                    </a:ln>
                  </pic:spPr>
                </pic:pic>
              </a:graphicData>
            </a:graphic>
          </wp:inline>
        </w:drawing>
      </w:r>
    </w:p>
    <w:p w:rsidR="0060446C" w:rsidRPr="0069533F" w:rsidRDefault="0060446C" w:rsidP="0060446C">
      <w:pPr>
        <w:rPr>
          <w:rFonts w:cs="Arial"/>
          <w:szCs w:val="22"/>
        </w:rPr>
      </w:pPr>
      <w:r w:rsidRPr="0069533F">
        <w:rPr>
          <w:rFonts w:cs="Arial"/>
          <w:szCs w:val="22"/>
        </w:rPr>
        <w:t xml:space="preserve">With the exception of the Safe Work Australia logo, this report is licensed by Safe Work Australia under a Creative Commons 3.0 Australia Licence. To view a copy of this licence, visit http://creativecommons.org/licenses/by/3.0/au/deed.en </w:t>
      </w:r>
    </w:p>
    <w:p w:rsidR="0060446C" w:rsidRDefault="0060446C" w:rsidP="0060446C">
      <w:pPr>
        <w:rPr>
          <w:rFonts w:cs="Arial"/>
          <w:szCs w:val="22"/>
        </w:rPr>
      </w:pPr>
      <w:r w:rsidRPr="0069533F">
        <w:rPr>
          <w:rFonts w:cs="Arial"/>
          <w:szCs w:val="22"/>
        </w:rPr>
        <w:t xml:space="preserve">In essence, you are free to copy, communicate and adapt the work, as long as you attribute the work to Safe Work Australia and abide by the other licensing terms. </w:t>
      </w:r>
    </w:p>
    <w:p w:rsidR="001335D7" w:rsidRPr="0022582A" w:rsidRDefault="00736556" w:rsidP="0060446C">
      <w:pPr>
        <w:rPr>
          <w:rStyle w:val="Strong"/>
        </w:rPr>
      </w:pPr>
      <w:r>
        <w:rPr>
          <w:rStyle w:val="Strong"/>
        </w:rPr>
        <w:t>Suggested citation</w:t>
      </w:r>
    </w:p>
    <w:p w:rsidR="0060446C" w:rsidRDefault="001A277A" w:rsidP="0060446C">
      <w:pPr>
        <w:rPr>
          <w:rFonts w:cs="Arial"/>
          <w:szCs w:val="22"/>
        </w:rPr>
      </w:pPr>
      <w:r w:rsidRPr="00E12FC6">
        <w:rPr>
          <w:rFonts w:cs="Arial"/>
          <w:szCs w:val="22"/>
        </w:rPr>
        <w:t xml:space="preserve">Butterworth P, Leach </w:t>
      </w:r>
      <w:proofErr w:type="spellStart"/>
      <w:r w:rsidRPr="00E12FC6">
        <w:rPr>
          <w:rFonts w:cs="Arial"/>
          <w:szCs w:val="22"/>
        </w:rPr>
        <w:t>LS</w:t>
      </w:r>
      <w:proofErr w:type="spellEnd"/>
      <w:r w:rsidRPr="00E12FC6">
        <w:rPr>
          <w:rFonts w:cs="Arial"/>
          <w:szCs w:val="22"/>
        </w:rPr>
        <w:t xml:space="preserve"> &amp; </w:t>
      </w:r>
      <w:proofErr w:type="spellStart"/>
      <w:r w:rsidRPr="00E12FC6">
        <w:rPr>
          <w:rFonts w:cs="Arial"/>
          <w:szCs w:val="22"/>
        </w:rPr>
        <w:t>Kiely</w:t>
      </w:r>
      <w:proofErr w:type="spellEnd"/>
      <w:r w:rsidRPr="00E12FC6">
        <w:rPr>
          <w:rFonts w:cs="Arial"/>
          <w:szCs w:val="22"/>
        </w:rPr>
        <w:t xml:space="preserve"> KM</w:t>
      </w:r>
      <w:r>
        <w:rPr>
          <w:rFonts w:cs="Arial"/>
          <w:szCs w:val="22"/>
        </w:rPr>
        <w:t xml:space="preserve"> </w:t>
      </w:r>
      <w:r w:rsidR="001C4632">
        <w:rPr>
          <w:rFonts w:cs="Arial"/>
          <w:szCs w:val="22"/>
        </w:rPr>
        <w:t>(</w:t>
      </w:r>
      <w:r w:rsidR="001335D7">
        <w:rPr>
          <w:rFonts w:cs="Arial"/>
          <w:szCs w:val="22"/>
        </w:rPr>
        <w:t>2013</w:t>
      </w:r>
      <w:r w:rsidR="001C4632">
        <w:rPr>
          <w:rFonts w:cs="Arial"/>
          <w:szCs w:val="22"/>
        </w:rPr>
        <w:t>)</w:t>
      </w:r>
      <w:r w:rsidR="001335D7">
        <w:rPr>
          <w:rFonts w:cs="Arial"/>
          <w:szCs w:val="22"/>
        </w:rPr>
        <w:t xml:space="preserve">. </w:t>
      </w:r>
      <w:r w:rsidR="00A91382">
        <w:rPr>
          <w:rFonts w:cs="Arial"/>
          <w:szCs w:val="22"/>
        </w:rPr>
        <w:t>The relationship between w</w:t>
      </w:r>
      <w:r w:rsidR="001335D7" w:rsidRPr="0022582A">
        <w:rPr>
          <w:rFonts w:cs="Arial"/>
          <w:szCs w:val="22"/>
        </w:rPr>
        <w:t>ork characteristics</w:t>
      </w:r>
      <w:r w:rsidR="001B000C" w:rsidRPr="0022582A">
        <w:rPr>
          <w:rFonts w:cs="Arial"/>
          <w:szCs w:val="22"/>
        </w:rPr>
        <w:t>, wellbeing</w:t>
      </w:r>
      <w:r w:rsidR="00A91382">
        <w:rPr>
          <w:rFonts w:cs="Arial"/>
          <w:szCs w:val="22"/>
        </w:rPr>
        <w:t>,</w:t>
      </w:r>
      <w:r w:rsidR="001335D7" w:rsidRPr="0022582A">
        <w:rPr>
          <w:rFonts w:cs="Arial"/>
          <w:szCs w:val="22"/>
        </w:rPr>
        <w:t xml:space="preserve"> depression</w:t>
      </w:r>
      <w:r w:rsidR="00A91382">
        <w:rPr>
          <w:rFonts w:cs="Arial"/>
          <w:szCs w:val="22"/>
        </w:rPr>
        <w:t xml:space="preserve"> and workplace bullying</w:t>
      </w:r>
      <w:r w:rsidR="001335D7" w:rsidRPr="0022582A">
        <w:rPr>
          <w:rFonts w:cs="Arial"/>
          <w:szCs w:val="22"/>
        </w:rPr>
        <w:t xml:space="preserve">: </w:t>
      </w:r>
      <w:r w:rsidR="00A91382">
        <w:rPr>
          <w:rFonts w:cs="Arial"/>
          <w:szCs w:val="22"/>
        </w:rPr>
        <w:t xml:space="preserve">summary </w:t>
      </w:r>
      <w:r w:rsidR="00B91CCB">
        <w:rPr>
          <w:rFonts w:cs="Arial"/>
          <w:szCs w:val="22"/>
        </w:rPr>
        <w:t>report</w:t>
      </w:r>
      <w:r w:rsidR="001335D7" w:rsidRPr="0022582A">
        <w:rPr>
          <w:rFonts w:cs="Arial"/>
          <w:szCs w:val="22"/>
        </w:rPr>
        <w:t>.</w:t>
      </w:r>
      <w:r w:rsidR="00001875">
        <w:rPr>
          <w:rFonts w:cs="Arial"/>
          <w:szCs w:val="22"/>
        </w:rPr>
        <w:t xml:space="preserve"> </w:t>
      </w:r>
      <w:r w:rsidR="001335D7">
        <w:rPr>
          <w:rFonts w:cs="Arial"/>
          <w:szCs w:val="22"/>
        </w:rPr>
        <w:t>Canberra: Safe Work Australia.</w:t>
      </w:r>
    </w:p>
    <w:p w:rsidR="001335D7" w:rsidRPr="0069533F" w:rsidRDefault="001335D7" w:rsidP="0060446C">
      <w:pPr>
        <w:rPr>
          <w:rFonts w:cs="Arial"/>
          <w:szCs w:val="22"/>
        </w:rPr>
      </w:pPr>
    </w:p>
    <w:p w:rsidR="0060446C" w:rsidRPr="0069533F" w:rsidRDefault="0060446C" w:rsidP="0060446C">
      <w:pPr>
        <w:rPr>
          <w:rFonts w:cs="Arial"/>
          <w:szCs w:val="22"/>
        </w:rPr>
      </w:pPr>
      <w:r w:rsidRPr="0069533F">
        <w:rPr>
          <w:rFonts w:cs="Arial"/>
          <w:szCs w:val="22"/>
        </w:rPr>
        <w:t xml:space="preserve">Enquiries regarding the licence and any use of the report are welcome at: </w:t>
      </w:r>
    </w:p>
    <w:p w:rsidR="0060446C" w:rsidRPr="0069533F" w:rsidRDefault="0060446C" w:rsidP="0060446C">
      <w:pPr>
        <w:rPr>
          <w:rFonts w:cs="Arial"/>
          <w:szCs w:val="22"/>
        </w:rPr>
      </w:pPr>
      <w:r w:rsidRPr="0069533F">
        <w:rPr>
          <w:rFonts w:cs="Arial"/>
          <w:szCs w:val="22"/>
        </w:rPr>
        <w:t xml:space="preserve">Copyright Officer </w:t>
      </w:r>
    </w:p>
    <w:p w:rsidR="0060446C" w:rsidRPr="0069533F" w:rsidRDefault="0060446C" w:rsidP="0060446C">
      <w:pPr>
        <w:rPr>
          <w:rFonts w:cs="Arial"/>
          <w:szCs w:val="22"/>
        </w:rPr>
      </w:pPr>
      <w:r w:rsidRPr="0069533F">
        <w:rPr>
          <w:rFonts w:cs="Arial"/>
          <w:szCs w:val="22"/>
        </w:rPr>
        <w:t xml:space="preserve">Safe Work Australia </w:t>
      </w:r>
    </w:p>
    <w:p w:rsidR="0060446C" w:rsidRPr="0069533F" w:rsidRDefault="0060446C" w:rsidP="0060446C">
      <w:pPr>
        <w:rPr>
          <w:rFonts w:cs="Arial"/>
          <w:szCs w:val="22"/>
        </w:rPr>
      </w:pPr>
      <w:r w:rsidRPr="0069533F">
        <w:rPr>
          <w:rFonts w:cs="Arial"/>
          <w:szCs w:val="22"/>
        </w:rPr>
        <w:t xml:space="preserve">GPO Box 641 Canberra ACT 2601 </w:t>
      </w:r>
    </w:p>
    <w:p w:rsidR="0060446C" w:rsidRPr="0069533F" w:rsidRDefault="0060446C" w:rsidP="0060446C">
      <w:pPr>
        <w:rPr>
          <w:rFonts w:cs="Arial"/>
          <w:szCs w:val="22"/>
        </w:rPr>
      </w:pPr>
      <w:r w:rsidRPr="0069533F">
        <w:rPr>
          <w:rFonts w:cs="Arial"/>
          <w:szCs w:val="22"/>
        </w:rPr>
        <w:t xml:space="preserve">Email: </w:t>
      </w:r>
      <w:hyperlink r:id="rId11" w:history="1">
        <w:r w:rsidRPr="0069533F">
          <w:rPr>
            <w:rStyle w:val="Hyperlink"/>
            <w:rFonts w:cs="Arial"/>
            <w:szCs w:val="22"/>
          </w:rPr>
          <w:t>copyrightrequests@safeworkaustralia.gov.au</w:t>
        </w:r>
      </w:hyperlink>
    </w:p>
    <w:p w:rsidR="0060446C" w:rsidRPr="00BB795D" w:rsidRDefault="0060446C" w:rsidP="0060446C">
      <w:pPr>
        <w:rPr>
          <w:rFonts w:cs="Arial"/>
          <w:szCs w:val="22"/>
        </w:rPr>
      </w:pPr>
      <w:r w:rsidRPr="00BB795D">
        <w:rPr>
          <w:rFonts w:cs="Arial"/>
          <w:szCs w:val="22"/>
        </w:rPr>
        <w:t xml:space="preserve">ISBN </w:t>
      </w:r>
      <w:r w:rsidR="00BB795D">
        <w:rPr>
          <w:rFonts w:cs="Arial"/>
          <w:szCs w:val="22"/>
        </w:rPr>
        <w:t>978-1-74361-112-8</w:t>
      </w:r>
      <w:r w:rsidR="00BB795D" w:rsidRPr="00BB795D">
        <w:rPr>
          <w:rFonts w:cs="Arial"/>
          <w:szCs w:val="22"/>
        </w:rPr>
        <w:t xml:space="preserve"> </w:t>
      </w:r>
      <w:r w:rsidRPr="00BB795D">
        <w:rPr>
          <w:rFonts w:cs="Arial"/>
          <w:szCs w:val="22"/>
        </w:rPr>
        <w:t>[PDF]</w:t>
      </w:r>
    </w:p>
    <w:p w:rsidR="0060446C" w:rsidRPr="00BB795D" w:rsidRDefault="0060446C" w:rsidP="0060446C">
      <w:pPr>
        <w:rPr>
          <w:rFonts w:cs="Arial"/>
          <w:szCs w:val="22"/>
        </w:rPr>
      </w:pPr>
      <w:r w:rsidRPr="00BB795D">
        <w:rPr>
          <w:rFonts w:cs="Arial"/>
          <w:szCs w:val="22"/>
        </w:rPr>
        <w:t xml:space="preserve">ISBN </w:t>
      </w:r>
      <w:r w:rsidR="00BB795D" w:rsidRPr="00BB795D">
        <w:rPr>
          <w:rFonts w:cs="Arial"/>
          <w:szCs w:val="22"/>
        </w:rPr>
        <w:t>978-1-74361-113-5 </w:t>
      </w:r>
      <w:r w:rsidR="00BB795D">
        <w:rPr>
          <w:rFonts w:cs="Arial"/>
          <w:szCs w:val="22"/>
        </w:rPr>
        <w:t>[</w:t>
      </w:r>
      <w:proofErr w:type="spellStart"/>
      <w:r w:rsidR="00BB795D">
        <w:rPr>
          <w:rFonts w:cs="Arial"/>
          <w:szCs w:val="22"/>
        </w:rPr>
        <w:t>DOCX</w:t>
      </w:r>
      <w:proofErr w:type="spellEnd"/>
      <w:r w:rsidRPr="00BB795D">
        <w:rPr>
          <w:rFonts w:cs="Arial"/>
          <w:szCs w:val="22"/>
        </w:rPr>
        <w:t>]</w:t>
      </w:r>
    </w:p>
    <w:p w:rsidR="0060446C" w:rsidRDefault="0060446C"/>
    <w:p w:rsidR="0060446C" w:rsidRDefault="0060446C">
      <w:pPr>
        <w:spacing w:after="200" w:line="276" w:lineRule="auto"/>
      </w:pPr>
      <w:r>
        <w:br w:type="page"/>
      </w:r>
    </w:p>
    <w:p w:rsidR="000C6C31" w:rsidRDefault="000C6C31" w:rsidP="004A7EBE">
      <w:pPr>
        <w:sectPr w:rsidR="000C6C31" w:rsidSect="00E65CC8">
          <w:footerReference w:type="default" r:id="rId12"/>
          <w:pgSz w:w="11906" w:h="16838"/>
          <w:pgMar w:top="1440" w:right="1440" w:bottom="1440" w:left="1440" w:header="708" w:footer="708" w:gutter="0"/>
          <w:pgNumType w:fmt="lowerRoman" w:start="1"/>
          <w:cols w:space="708"/>
          <w:titlePg/>
          <w:docGrid w:linePitch="360"/>
        </w:sectPr>
      </w:pPr>
    </w:p>
    <w:p w:rsidR="00D36150" w:rsidRDefault="00BD7CF8" w:rsidP="00001311">
      <w:pPr>
        <w:pStyle w:val="Heading1"/>
      </w:pPr>
      <w:bookmarkStart w:id="1" w:name="_Toc352070754"/>
      <w:bookmarkStart w:id="2" w:name="_Toc345492380"/>
      <w:r>
        <w:lastRenderedPageBreak/>
        <w:t>INTRODUCTION</w:t>
      </w:r>
      <w:bookmarkEnd w:id="1"/>
    </w:p>
    <w:p w:rsidR="00D36150" w:rsidRDefault="00D36150" w:rsidP="00D36150">
      <w:r>
        <w:t xml:space="preserve">This </w:t>
      </w:r>
      <w:r w:rsidR="006A44F9">
        <w:t>s</w:t>
      </w:r>
      <w:r>
        <w:t xml:space="preserve">ummary </w:t>
      </w:r>
      <w:r w:rsidR="006A44F9">
        <w:t xml:space="preserve">report </w:t>
      </w:r>
      <w:r>
        <w:t xml:space="preserve">can be used with or without reference to the material in the </w:t>
      </w:r>
      <w:r w:rsidR="006A44F9">
        <w:t xml:space="preserve">corresponding </w:t>
      </w:r>
      <w:hyperlink r:id="rId13" w:history="1">
        <w:r w:rsidR="006A44F9" w:rsidRPr="00273946">
          <w:rPr>
            <w:rStyle w:val="Hyperlink"/>
            <w:u w:val="single"/>
          </w:rPr>
          <w:t>technical</w:t>
        </w:r>
        <w:r w:rsidRPr="00273946">
          <w:rPr>
            <w:rStyle w:val="Hyperlink"/>
            <w:u w:val="single"/>
          </w:rPr>
          <w:t xml:space="preserve"> report</w:t>
        </w:r>
      </w:hyperlink>
      <w:r>
        <w:t xml:space="preserve">. In this summary square brackets </w:t>
      </w:r>
      <w:r w:rsidR="00F43A69">
        <w:t>enclose</w:t>
      </w:r>
      <w:r>
        <w:t xml:space="preserve"> references to sections of the </w:t>
      </w:r>
      <w:r w:rsidR="006A44F9">
        <w:t xml:space="preserve">technical </w:t>
      </w:r>
      <w:r>
        <w:t xml:space="preserve">report </w:t>
      </w:r>
      <w:r w:rsidR="00391A0B">
        <w:t xml:space="preserve">that contain </w:t>
      </w:r>
      <w:r w:rsidR="00AF1BD9">
        <w:t xml:space="preserve">the </w:t>
      </w:r>
      <w:r w:rsidR="00391A0B">
        <w:t>relevant</w:t>
      </w:r>
      <w:r w:rsidR="007F12BC">
        <w:t xml:space="preserve"> </w:t>
      </w:r>
      <w:r>
        <w:t xml:space="preserve">literature citations and detailed </w:t>
      </w:r>
      <w:r w:rsidR="007F12BC">
        <w:t xml:space="preserve">descriptions of </w:t>
      </w:r>
      <w:r>
        <w:t>analys</w:t>
      </w:r>
      <w:r w:rsidR="007F12BC">
        <w:t>e</w:t>
      </w:r>
      <w:r>
        <w:t>s</w:t>
      </w:r>
      <w:r w:rsidR="00391A0B">
        <w:t xml:space="preserve"> and findings</w:t>
      </w:r>
      <w:r>
        <w:t xml:space="preserve">. Tables and figures are numbered according to the </w:t>
      </w:r>
      <w:r w:rsidR="006A44F9">
        <w:t>technical</w:t>
      </w:r>
      <w:r>
        <w:t xml:space="preserve"> </w:t>
      </w:r>
      <w:r w:rsidR="003C25DB">
        <w:t>report</w:t>
      </w:r>
      <w:r>
        <w:t>.</w:t>
      </w:r>
    </w:p>
    <w:p w:rsidR="00D36150" w:rsidRDefault="00D36150" w:rsidP="00BE28D4">
      <w:pPr>
        <w:pStyle w:val="Heading2"/>
      </w:pPr>
      <w:r>
        <w:t>Background</w:t>
      </w:r>
    </w:p>
    <w:p w:rsidR="00D36150" w:rsidRPr="007F3C53" w:rsidRDefault="00D36150" w:rsidP="00D36150">
      <w:r>
        <w:t>W</w:t>
      </w:r>
      <w:r w:rsidRPr="00B615DE">
        <w:t xml:space="preserve">ith the </w:t>
      </w:r>
      <w:r>
        <w:t>movement</w:t>
      </w:r>
      <w:r w:rsidRPr="00B615DE">
        <w:t xml:space="preserve"> from a manual to a knowledge-</w:t>
      </w:r>
      <w:r w:rsidR="00391A0B">
        <w:t>based</w:t>
      </w:r>
      <w:r w:rsidRPr="00B615DE">
        <w:t xml:space="preserve"> and service-based economy, the psychosocial </w:t>
      </w:r>
      <w:r>
        <w:t>characteristics</w:t>
      </w:r>
      <w:r w:rsidRPr="00B615DE">
        <w:t xml:space="preserve"> of work will become an increasing focus of efforts to promote health and avoid injury and lost productivity in the workplace. Consideration of psychosocial </w:t>
      </w:r>
      <w:r w:rsidR="009F70CF">
        <w:t>work</w:t>
      </w:r>
      <w:r w:rsidRPr="00B615DE">
        <w:t xml:space="preserve"> characteristics reflects theoretical and empirical evidence of the association between the social environment at work, psychological processes and workers’ </w:t>
      </w:r>
      <w:r>
        <w:t xml:space="preserve">physical and mental </w:t>
      </w:r>
      <w:r w:rsidRPr="00B615DE">
        <w:t xml:space="preserve">health. </w:t>
      </w:r>
      <w:r>
        <w:t xml:space="preserve">Job strain and effort-reward imbalance are among the most studied psychological work </w:t>
      </w:r>
      <w:r w:rsidR="009F70CF">
        <w:t>characteristics</w:t>
      </w:r>
      <w:r>
        <w:t xml:space="preserve"> </w:t>
      </w:r>
      <w:r w:rsidR="00F43A69">
        <w:t>as they have been associated with</w:t>
      </w:r>
      <w:r>
        <w:t xml:space="preserve"> </w:t>
      </w:r>
      <w:r w:rsidR="009F70CF">
        <w:t xml:space="preserve">significant </w:t>
      </w:r>
      <w:r>
        <w:t>health problems such as depression.</w:t>
      </w:r>
    </w:p>
    <w:p w:rsidR="00D36150" w:rsidRDefault="00D36150" w:rsidP="00D36150">
      <w:r w:rsidRPr="00593840">
        <w:rPr>
          <w:color w:val="000000" w:themeColor="text1"/>
        </w:rPr>
        <w:t xml:space="preserve">Depression is one of the leading causes of disability and </w:t>
      </w:r>
      <w:r>
        <w:rPr>
          <w:color w:val="000000" w:themeColor="text1"/>
        </w:rPr>
        <w:t xml:space="preserve">disease </w:t>
      </w:r>
      <w:r w:rsidRPr="00593840">
        <w:rPr>
          <w:color w:val="000000" w:themeColor="text1"/>
        </w:rPr>
        <w:t xml:space="preserve">burden </w:t>
      </w:r>
      <w:r>
        <w:rPr>
          <w:color w:val="000000" w:themeColor="text1"/>
        </w:rPr>
        <w:t>in Australia</w:t>
      </w:r>
      <w:r w:rsidRPr="00593840">
        <w:rPr>
          <w:color w:val="000000" w:themeColor="text1"/>
        </w:rPr>
        <w:t>. It is associated with decreased productivity and high levels of sickness absence. Reports from the World Health Organization’s World Mental Health surveys have rated depression and bipolar disorder as the two most severely disabling mental disorders in developed countries [2.2.4]. Analysis of multi-nation data from the WHO World Mental Health surveys has shown that in higher income countries depression is associated with an average of 3</w:t>
      </w:r>
      <w:r w:rsidR="00F43A69">
        <w:rPr>
          <w:color w:val="000000" w:themeColor="text1"/>
        </w:rPr>
        <w:t>5</w:t>
      </w:r>
      <w:r w:rsidRPr="00593840">
        <w:rPr>
          <w:color w:val="000000" w:themeColor="text1"/>
        </w:rPr>
        <w:t xml:space="preserve"> days out of role per year [2.2.4]. In Australia depression and anxiety disorders have been estimated to be the leading causes of non-fatal burden of disease among men and women [2.2.4]. Analyses of the National Survey of Mental Health and Wellbeing indicated that over 40% of Australians are likely to have experienced a mental disorder in their lifetime [2.2.4]</w:t>
      </w:r>
      <w:r w:rsidR="004805BC">
        <w:rPr>
          <w:color w:val="000000" w:themeColor="text1"/>
        </w:rPr>
        <w:t>.</w:t>
      </w:r>
      <w:r w:rsidRPr="00593840">
        <w:rPr>
          <w:color w:val="000000" w:themeColor="text1"/>
        </w:rPr>
        <w:t xml:space="preserve"> Depression is also a risk factor for other disabling chronic conditions and often co</w:t>
      </w:r>
      <w:r w:rsidR="00F43A69">
        <w:rPr>
          <w:color w:val="000000" w:themeColor="text1"/>
        </w:rPr>
        <w:t>exist</w:t>
      </w:r>
      <w:r w:rsidR="009F70CF">
        <w:rPr>
          <w:color w:val="000000" w:themeColor="text1"/>
        </w:rPr>
        <w:t>s</w:t>
      </w:r>
      <w:r w:rsidRPr="00593840">
        <w:rPr>
          <w:color w:val="000000" w:themeColor="text1"/>
        </w:rPr>
        <w:t xml:space="preserve"> with conditions like cardiovascular disease and major neurological impairment.</w:t>
      </w:r>
    </w:p>
    <w:p w:rsidR="00D36150" w:rsidRDefault="00D36150" w:rsidP="00D36150">
      <w:r>
        <w:t>T</w:t>
      </w:r>
      <w:r w:rsidRPr="00B615DE">
        <w:t>he measurement and evaluation of the impact of psychosocial work</w:t>
      </w:r>
      <w:r>
        <w:t xml:space="preserve"> characteristics is a </w:t>
      </w:r>
      <w:r w:rsidRPr="00B615DE">
        <w:t xml:space="preserve">major focus of </w:t>
      </w:r>
      <w:r w:rsidR="00634AAB" w:rsidRPr="00B615DE">
        <w:t xml:space="preserve">The </w:t>
      </w:r>
      <w:r>
        <w:t xml:space="preserve">Australian National University’s </w:t>
      </w:r>
      <w:r w:rsidRPr="0036473B">
        <w:t>Personality and Total Health (PATH) Through Life Project</w:t>
      </w:r>
      <w:r>
        <w:t xml:space="preserve">. </w:t>
      </w:r>
      <w:r w:rsidRPr="0036473B">
        <w:t>The PATH</w:t>
      </w:r>
      <w:r>
        <w:t xml:space="preserve"> study</w:t>
      </w:r>
      <w:r w:rsidRPr="0036473B">
        <w:t xml:space="preserve"> began in 1999</w:t>
      </w:r>
      <w:r>
        <w:t xml:space="preserve"> as</w:t>
      </w:r>
      <w:r w:rsidRPr="0036473B">
        <w:t xml:space="preserve"> an ongoing community survey of residents of Canberra </w:t>
      </w:r>
      <w:r w:rsidR="008D4C8C">
        <w:t>and</w:t>
      </w:r>
      <w:r>
        <w:t xml:space="preserve"> Queanbeyan. It </w:t>
      </w:r>
      <w:r w:rsidR="00A21751">
        <w:t>includes three groups of participants</w:t>
      </w:r>
      <w:r w:rsidRPr="0036473B">
        <w:t xml:space="preserve"> aged in their early </w:t>
      </w:r>
      <w:proofErr w:type="spellStart"/>
      <w:r w:rsidRPr="0036473B">
        <w:t>20s</w:t>
      </w:r>
      <w:proofErr w:type="spellEnd"/>
      <w:r w:rsidRPr="0036473B">
        <w:t xml:space="preserve">, </w:t>
      </w:r>
      <w:proofErr w:type="spellStart"/>
      <w:r w:rsidRPr="0036473B">
        <w:t>40s</w:t>
      </w:r>
      <w:proofErr w:type="spellEnd"/>
      <w:r w:rsidRPr="0036473B">
        <w:t xml:space="preserve"> and </w:t>
      </w:r>
      <w:proofErr w:type="spellStart"/>
      <w:r w:rsidRPr="0036473B">
        <w:t>60s</w:t>
      </w:r>
      <w:proofErr w:type="spellEnd"/>
      <w:r w:rsidR="00503DD3">
        <w:t xml:space="preserve"> </w:t>
      </w:r>
      <w:r w:rsidR="00503DD3" w:rsidRPr="0036473B">
        <w:t xml:space="preserve">at </w:t>
      </w:r>
      <w:r w:rsidR="00F43A69">
        <w:t>the beginning of the survey.</w:t>
      </w:r>
    </w:p>
    <w:p w:rsidR="00D36150" w:rsidRDefault="00D36150" w:rsidP="00D36150">
      <w:r w:rsidRPr="0036473B">
        <w:t>Since it</w:t>
      </w:r>
      <w:r w:rsidR="009F70CF">
        <w:t xml:space="preserve"> began</w:t>
      </w:r>
      <w:r w:rsidRPr="0036473B">
        <w:t xml:space="preserve"> the PATH study has included a focus on the intersection between work and health. </w:t>
      </w:r>
      <w:r>
        <w:t>This focus acknowledges the fact that t</w:t>
      </w:r>
      <w:r w:rsidRPr="0036473B">
        <w:t xml:space="preserve">he workplace represents an important context in which to promote health and wellbeing as well as being a potential source of health risks and adversities. </w:t>
      </w:r>
      <w:r w:rsidR="00F43A69">
        <w:t xml:space="preserve">Health is a </w:t>
      </w:r>
      <w:r w:rsidRPr="0036473B">
        <w:t>key factor that need</w:t>
      </w:r>
      <w:r w:rsidR="00F43A69">
        <w:t>s</w:t>
      </w:r>
      <w:r w:rsidRPr="0036473B">
        <w:t xml:space="preserve"> to be </w:t>
      </w:r>
      <w:r w:rsidR="00F43A69">
        <w:t>considered</w:t>
      </w:r>
      <w:r w:rsidRPr="0036473B">
        <w:t xml:space="preserve"> in efforts to achieve policy goals related to productivity and workforce participation. Conversely, the social and economic consequences of disability and ill-health are manifest through low levels and disrupted patterns of workforce participation. The PATH </w:t>
      </w:r>
      <w:r>
        <w:t>study</w:t>
      </w:r>
      <w:r w:rsidRPr="0036473B">
        <w:t xml:space="preserve"> provides a </w:t>
      </w:r>
      <w:r>
        <w:t xml:space="preserve">unique longitudinal </w:t>
      </w:r>
      <w:r w:rsidRPr="0036473B">
        <w:t xml:space="preserve">resource to inform policy in these and related areas. </w:t>
      </w:r>
      <w:r>
        <w:t xml:space="preserve">In 2011–2012 Safe Work Australia and </w:t>
      </w:r>
      <w:r w:rsidRPr="0036473B">
        <w:t xml:space="preserve">the Centre for Research on Ageing, Health and Wellbeing at The Australian National University </w:t>
      </w:r>
      <w:r>
        <w:t>formed a partnership to</w:t>
      </w:r>
      <w:r w:rsidRPr="0036473B">
        <w:t xml:space="preserve"> undertake wave 4 data collection from </w:t>
      </w:r>
      <w:r w:rsidR="00524C26">
        <w:t>a group</w:t>
      </w:r>
      <w:r w:rsidRPr="0036473B">
        <w:t xml:space="preserve"> participating in the PATH</w:t>
      </w:r>
      <w:r>
        <w:t xml:space="preserve"> study</w:t>
      </w:r>
      <w:r w:rsidRPr="0036473B">
        <w:t>.</w:t>
      </w:r>
      <w:r>
        <w:t xml:space="preserve"> This undertaking was called the Work Well</w:t>
      </w:r>
      <w:r w:rsidR="002765CA">
        <w:t>b</w:t>
      </w:r>
      <w:r>
        <w:t>eing Project.</w:t>
      </w:r>
    </w:p>
    <w:p w:rsidR="004805BC" w:rsidRDefault="004805BC">
      <w:pPr>
        <w:spacing w:after="200" w:line="276" w:lineRule="auto"/>
      </w:pPr>
      <w:r>
        <w:br w:type="page"/>
      </w:r>
    </w:p>
    <w:p w:rsidR="004805BC" w:rsidRDefault="004805BC" w:rsidP="004805BC">
      <w:pPr>
        <w:pStyle w:val="BoxHeading"/>
        <w:pBdr>
          <w:top w:val="single" w:sz="4" w:space="1" w:color="auto"/>
          <w:left w:val="single" w:sz="4" w:space="1" w:color="auto"/>
          <w:bottom w:val="single" w:sz="4" w:space="1" w:color="auto"/>
          <w:right w:val="single" w:sz="4" w:space="1" w:color="auto"/>
        </w:pBdr>
        <w:shd w:val="clear" w:color="auto" w:fill="D9D9D9" w:themeFill="background1" w:themeFillShade="D9"/>
      </w:pPr>
      <w:bookmarkStart w:id="3" w:name="_Toc352168497"/>
      <w:r>
        <w:lastRenderedPageBreak/>
        <w:t>Main messages from the Work Wellbeing Project</w:t>
      </w:r>
      <w:bookmarkEnd w:id="3"/>
    </w:p>
    <w:p w:rsidR="004805BC" w:rsidRPr="005274FB"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rPr>
          <w:b/>
        </w:rPr>
      </w:pPr>
      <w:r>
        <w:rPr>
          <w:b/>
        </w:rPr>
        <w:t>Key</w:t>
      </w:r>
      <w:r w:rsidRPr="005274FB">
        <w:rPr>
          <w:b/>
        </w:rPr>
        <w:t xml:space="preserve"> findings</w:t>
      </w:r>
    </w:p>
    <w:p w:rsidR="004805BC"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pPr>
      <w:r>
        <w:t xml:space="preserve">• Respondents with significant depression symptoms had double the risk of taking time off work than those without depression symptoms. Depression was more strongly associated with unpaid sick leave than with paid sick leave. </w:t>
      </w:r>
    </w:p>
    <w:p w:rsidR="004805BC"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pPr>
      <w:r>
        <w:t xml:space="preserve">• Respondents who reported low levels of support from their colleagues and managers reported more than twice the rate of significant depression symptoms than those who reported higher levels of support. </w:t>
      </w:r>
    </w:p>
    <w:p w:rsidR="004805BC"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pPr>
      <w:r>
        <w:t xml:space="preserve">• For respondents who strongly advocated working to meet material needs, the perception of insecure employment was associated with greater risk of depression compared to those in more secure employment. </w:t>
      </w:r>
    </w:p>
    <w:p w:rsidR="004805BC"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pPr>
      <w:r>
        <w:t xml:space="preserve">• Workplace bullying was strongly associated with increased risk of significant depression symptoms. </w:t>
      </w:r>
    </w:p>
    <w:p w:rsidR="004805BC"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pPr>
      <w:r>
        <w:t xml:space="preserve">• Workplace bullying was associated with double the risk of having suicidal thoughts. </w:t>
      </w:r>
    </w:p>
    <w:p w:rsidR="004805BC"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pPr>
      <w:r>
        <w:t>• Respondents with significant depression symptoms measured 4 years earlier had almost double the risk of reporting experiencing workplace bullying 12 years later.</w:t>
      </w:r>
    </w:p>
    <w:p w:rsidR="004805BC"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pPr>
      <w:r>
        <w:t>• Experiences of violent or intimidating workplace bullying were related to lack of support from colleagues and poor organisational culture.</w:t>
      </w:r>
    </w:p>
    <w:p w:rsidR="004805BC" w:rsidRPr="00DF03B2"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rPr>
          <w:b/>
        </w:rPr>
      </w:pPr>
      <w:r w:rsidRPr="00DF03B2">
        <w:rPr>
          <w:b/>
        </w:rPr>
        <w:t>Practical implication</w:t>
      </w:r>
    </w:p>
    <w:p w:rsidR="004805BC" w:rsidRDefault="004805BC" w:rsidP="004805BC">
      <w:pPr>
        <w:pStyle w:val="BoxText"/>
        <w:pBdr>
          <w:top w:val="single" w:sz="4" w:space="1" w:color="auto"/>
          <w:left w:val="single" w:sz="4" w:space="1" w:color="auto"/>
          <w:bottom w:val="single" w:sz="4" w:space="1" w:color="auto"/>
          <w:right w:val="single" w:sz="4" w:space="1" w:color="auto"/>
        </w:pBdr>
        <w:shd w:val="clear" w:color="auto" w:fill="D9D9D9" w:themeFill="background1" w:themeFillShade="D9"/>
        <w:spacing w:after="80"/>
      </w:pPr>
      <w:r>
        <w:t>• Adequate</w:t>
      </w:r>
      <w:r w:rsidRPr="00DF03B2">
        <w:t xml:space="preserve"> support from colleagues and managers </w:t>
      </w:r>
      <w:r>
        <w:t>and f</w:t>
      </w:r>
      <w:r w:rsidRPr="00DF03B2">
        <w:t xml:space="preserve">air reward for effort may </w:t>
      </w:r>
      <w:r>
        <w:t xml:space="preserve">help to </w:t>
      </w:r>
      <w:r w:rsidRPr="00DF03B2">
        <w:t>prevent the occurrence or minimise the consequences of depression and workplace bullying</w:t>
      </w:r>
      <w:r>
        <w:t xml:space="preserve">. </w:t>
      </w:r>
    </w:p>
    <w:p w:rsidR="004805BC" w:rsidRDefault="004805BC" w:rsidP="004805BC"/>
    <w:p w:rsidR="00D36150" w:rsidRDefault="00D36150" w:rsidP="00BE28D4">
      <w:pPr>
        <w:pStyle w:val="Heading2"/>
      </w:pPr>
      <w:r>
        <w:t>Aims of the report</w:t>
      </w:r>
    </w:p>
    <w:p w:rsidR="00D36150" w:rsidRPr="00B615DE" w:rsidRDefault="00D36150" w:rsidP="00D36150">
      <w:r>
        <w:t>This report provides</w:t>
      </w:r>
      <w:r w:rsidRPr="0036473B">
        <w:t xml:space="preserve"> an overview of the Work Well</w:t>
      </w:r>
      <w:r w:rsidR="002765CA">
        <w:t>b</w:t>
      </w:r>
      <w:r w:rsidRPr="0036473B">
        <w:t>eing Project and highlight</w:t>
      </w:r>
      <w:r>
        <w:t>s</w:t>
      </w:r>
      <w:r w:rsidRPr="0036473B">
        <w:t xml:space="preserve"> the main</w:t>
      </w:r>
      <w:r>
        <w:t xml:space="preserve"> </w:t>
      </w:r>
      <w:r w:rsidRPr="0036473B">
        <w:t>findings</w:t>
      </w:r>
      <w:r>
        <w:t xml:space="preserve"> from the </w:t>
      </w:r>
      <w:r w:rsidRPr="0036473B">
        <w:t xml:space="preserve">first analysis of data. </w:t>
      </w:r>
      <w:r w:rsidRPr="00B615DE">
        <w:t xml:space="preserve">The </w:t>
      </w:r>
      <w:r>
        <w:t>findings</w:t>
      </w:r>
      <w:r w:rsidRPr="00B615DE">
        <w:t xml:space="preserve"> provide a number of insights into the inter-relationship between the psychosocial aspects of work, health and productivity, and describe important policy-relevant issues. </w:t>
      </w:r>
      <w:r w:rsidR="00634AAB">
        <w:t>T</w:t>
      </w:r>
      <w:r w:rsidRPr="00B615DE">
        <w:t xml:space="preserve">he current findings </w:t>
      </w:r>
      <w:r w:rsidR="00C36FF4">
        <w:t xml:space="preserve">also </w:t>
      </w:r>
      <w:r w:rsidRPr="00B615DE">
        <w:t xml:space="preserve">provide a </w:t>
      </w:r>
      <w:r w:rsidR="00C36FF4">
        <w:t>guide</w:t>
      </w:r>
      <w:r w:rsidRPr="00B615DE">
        <w:t xml:space="preserve"> to future research.</w:t>
      </w:r>
    </w:p>
    <w:p w:rsidR="00D36150" w:rsidRDefault="00D36150" w:rsidP="00BE28D4">
      <w:pPr>
        <w:pStyle w:val="Heading2"/>
      </w:pPr>
      <w:r>
        <w:t>Data collection methods and limitations</w:t>
      </w:r>
    </w:p>
    <w:p w:rsidR="00D36150" w:rsidRPr="0036473B" w:rsidRDefault="00D36150" w:rsidP="00D36150">
      <w:r w:rsidRPr="0036473B">
        <w:t xml:space="preserve">Participants </w:t>
      </w:r>
      <w:r>
        <w:t xml:space="preserve">in the PATH study </w:t>
      </w:r>
      <w:r w:rsidRPr="0036473B">
        <w:t xml:space="preserve">are reinterviewed every four years. The </w:t>
      </w:r>
      <w:r>
        <w:t>purpose</w:t>
      </w:r>
      <w:r w:rsidRPr="0036473B">
        <w:t xml:space="preserve"> of the Work Well</w:t>
      </w:r>
      <w:r w:rsidR="002765CA">
        <w:t>b</w:t>
      </w:r>
      <w:r w:rsidRPr="0036473B">
        <w:t xml:space="preserve">eing Project was to conduct the wave </w:t>
      </w:r>
      <w:r>
        <w:t>4</w:t>
      </w:r>
      <w:r w:rsidRPr="0036473B">
        <w:t xml:space="preserve"> interviews with respondents in the youngest </w:t>
      </w:r>
      <w:r>
        <w:t xml:space="preserve">PATH study </w:t>
      </w:r>
      <w:r w:rsidR="00560E72">
        <w:t>sample</w:t>
      </w:r>
      <w:r w:rsidR="00880395">
        <w:t xml:space="preserve"> (the </w:t>
      </w:r>
      <w:r w:rsidR="00880395" w:rsidRPr="00C44315">
        <w:t xml:space="preserve">PATH </w:t>
      </w:r>
      <w:r w:rsidR="00880395">
        <w:t>‘</w:t>
      </w:r>
      <w:r w:rsidR="00880395" w:rsidRPr="00C44315">
        <w:t>20+</w:t>
      </w:r>
      <w:r w:rsidR="00880395">
        <w:t>’</w:t>
      </w:r>
      <w:r w:rsidR="00880395" w:rsidRPr="00C44315">
        <w:t xml:space="preserve"> </w:t>
      </w:r>
      <w:r w:rsidR="00880395">
        <w:t>sample)</w:t>
      </w:r>
      <w:r w:rsidRPr="0036473B">
        <w:t>, aged 32</w:t>
      </w:r>
      <w:r w:rsidR="00524C26">
        <w:t>–</w:t>
      </w:r>
      <w:r w:rsidRPr="0036473B">
        <w:t>36 years</w:t>
      </w:r>
      <w:r>
        <w:t xml:space="preserve"> in 2011–</w:t>
      </w:r>
      <w:r w:rsidR="0085245F">
        <w:t>20</w:t>
      </w:r>
      <w:r>
        <w:t>12</w:t>
      </w:r>
      <w:r w:rsidRPr="0036473B">
        <w:t>. The project involved data collection through an online survey and face-to-face interviews and the inclusion of new items focus</w:t>
      </w:r>
      <w:r>
        <w:t>sing</w:t>
      </w:r>
      <w:r w:rsidRPr="0036473B">
        <w:t xml:space="preserve"> on salient work characteristics and experiences. The broad parameters for data collection were: </w:t>
      </w:r>
    </w:p>
    <w:p w:rsidR="00D36150" w:rsidRPr="0036473B" w:rsidRDefault="00D36150" w:rsidP="00D36150">
      <w:r w:rsidRPr="0036473B">
        <w:t xml:space="preserve">• face-to-face interviews with at least 500 PATH </w:t>
      </w:r>
      <w:r>
        <w:t xml:space="preserve">study </w:t>
      </w:r>
      <w:r w:rsidRPr="0036473B">
        <w:t>respondents which would include a psychiatric clinical interview, tests of physical health, cognitive assessment, and survey items related to workplace bullying and attitudes to work</w:t>
      </w:r>
      <w:r>
        <w:t>,</w:t>
      </w:r>
      <w:r w:rsidRPr="0036473B">
        <w:t xml:space="preserve"> and</w:t>
      </w:r>
    </w:p>
    <w:p w:rsidR="00D36150" w:rsidRDefault="00D36150" w:rsidP="00D36150">
      <w:r w:rsidRPr="0036473B">
        <w:t xml:space="preserve">• repeating the core PATH survey questionnaire in an online </w:t>
      </w:r>
      <w:r w:rsidR="00E51E0A">
        <w:t>format</w:t>
      </w:r>
      <w:r w:rsidRPr="0036473B">
        <w:t xml:space="preserve"> with the addition of items related to work-related injury, career interruption and planned return to work, sick leave/days out of role</w:t>
      </w:r>
      <w:r>
        <w:t>, and</w:t>
      </w:r>
      <w:r w:rsidRPr="0036473B">
        <w:t xml:space="preserve"> aspects of the psychosocial work environment</w:t>
      </w:r>
      <w:r>
        <w:t xml:space="preserve"> </w:t>
      </w:r>
      <w:r w:rsidRPr="007F3C53">
        <w:t xml:space="preserve">not included in </w:t>
      </w:r>
      <w:r>
        <w:t xml:space="preserve">previous </w:t>
      </w:r>
      <w:r w:rsidRPr="007F3C53">
        <w:t xml:space="preserve">PATH </w:t>
      </w:r>
      <w:r>
        <w:t>surveys.</w:t>
      </w:r>
    </w:p>
    <w:p w:rsidR="00D36150" w:rsidRDefault="00D36150" w:rsidP="00D36150">
      <w:r w:rsidRPr="00B8744C">
        <w:t>Overall, 2050 respondents were in-scope for the wave 4 survey. This comprised the 1978 people who participated in the wave 3 survey and a further 72 people who participated in the wave 2 survey but were temporarily unavailable at the time of the wave 3 survey.</w:t>
      </w:r>
    </w:p>
    <w:p w:rsidR="00D36150" w:rsidRDefault="00D36150" w:rsidP="00D36150">
      <w:r w:rsidRPr="00374194">
        <w:lastRenderedPageBreak/>
        <w:t>To enable the face-to-face component of the data collection process a subsample of 580 respondents was randomly selected and invited to complete the online survey and then participate in a personal interview. The aim was for the online assessment to occur no more than two weeks before the face-to-face interview.</w:t>
      </w:r>
      <w:r>
        <w:t xml:space="preserve"> </w:t>
      </w:r>
      <w:r w:rsidRPr="00374194">
        <w:t xml:space="preserve">The interviewers contacted all other potential respondents by </w:t>
      </w:r>
      <w:r w:rsidR="00DF00B7">
        <w:t>tele</w:t>
      </w:r>
      <w:r w:rsidRPr="00374194">
        <w:t xml:space="preserve">phone and invited them to participate in the online survey. </w:t>
      </w:r>
      <w:r>
        <w:t>In the end there were 1286 online respondents and 546 face-to-face respondents.</w:t>
      </w:r>
    </w:p>
    <w:p w:rsidR="00D36150" w:rsidRDefault="00D36150" w:rsidP="00D36150">
      <w:r w:rsidRPr="00EC7F86">
        <w:t xml:space="preserve">Reflecting the </w:t>
      </w:r>
      <w:r>
        <w:t>Canberra</w:t>
      </w:r>
      <w:r w:rsidR="00000562">
        <w:t>/Queanbeyan</w:t>
      </w:r>
      <w:r>
        <w:t xml:space="preserve"> </w:t>
      </w:r>
      <w:r w:rsidRPr="00EC7F86">
        <w:t xml:space="preserve">region, just over half of the working respondents were employed </w:t>
      </w:r>
      <w:r>
        <w:t>by either</w:t>
      </w:r>
      <w:r w:rsidRPr="00EC7F86">
        <w:t xml:space="preserve"> </w:t>
      </w:r>
      <w:r>
        <w:t xml:space="preserve">the </w:t>
      </w:r>
      <w:r w:rsidRPr="00EC7F86">
        <w:t xml:space="preserve">Commonwealth or </w:t>
      </w:r>
      <w:r w:rsidR="00697B04">
        <w:t>a s</w:t>
      </w:r>
      <w:r w:rsidRPr="00EC7F86">
        <w:t>tate</w:t>
      </w:r>
      <w:r w:rsidR="000F266B">
        <w:t>/</w:t>
      </w:r>
      <w:r w:rsidR="00697B04">
        <w:t>t</w:t>
      </w:r>
      <w:r w:rsidRPr="00EC7F86">
        <w:t xml:space="preserve">erritory government and most were employed in professional or semi-professional occupations. While this may raise concerns about the generalisability of the research findings, it is important to recognise that occupational </w:t>
      </w:r>
      <w:r w:rsidR="00560E72">
        <w:t>samples</w:t>
      </w:r>
      <w:r w:rsidRPr="00EC7F86">
        <w:t xml:space="preserve"> are also subject to limitations to generalisability. Further, some of the most profound insights in epidemiological research have come from well-studied and documented </w:t>
      </w:r>
      <w:r w:rsidR="00560E72">
        <w:t>longitudinal</w:t>
      </w:r>
      <w:r w:rsidRPr="00EC7F86">
        <w:t xml:space="preserve"> studies which themselves had limitations around generali</w:t>
      </w:r>
      <w:r w:rsidR="00DF00B7">
        <w:t>s</w:t>
      </w:r>
      <w:r w:rsidRPr="00EC7F86">
        <w:t>ability; for example, the Whitehall study, the Framingham study and the British Doctors study. A necessary feature</w:t>
      </w:r>
      <w:r w:rsidR="00FC11F8">
        <w:t xml:space="preserve"> of such research</w:t>
      </w:r>
      <w:r w:rsidRPr="00EC7F86">
        <w:t xml:space="preserve"> is the presence of variability in exposure levels that can be linked to outcomes and a justifiable assumption that while the sample may not be representative of the broader population on all characteristics, the relationship observed between exposures and outcomes is similar in the population examine</w:t>
      </w:r>
      <w:r>
        <w:t>d as in other populations.</w:t>
      </w:r>
    </w:p>
    <w:p w:rsidR="00D36150" w:rsidRPr="00EC7F86" w:rsidRDefault="00D36150" w:rsidP="00D36150">
      <w:r w:rsidRPr="00EC7F86">
        <w:t xml:space="preserve">Although the </w:t>
      </w:r>
      <w:r>
        <w:t xml:space="preserve">combined </w:t>
      </w:r>
      <w:r w:rsidRPr="00EC7F86">
        <w:t xml:space="preserve">population of </w:t>
      </w:r>
      <w:r>
        <w:t>Canberra and</w:t>
      </w:r>
      <w:r w:rsidRPr="00EC7F86">
        <w:t xml:space="preserve"> Queanbeyan may differ in some ways from the broader Australian population, there is representation in the sample across important socio-demographic dimensions such as social disadvantage and employment circumstances. At an average population level the Canberra community is relatively advantaged</w:t>
      </w:r>
      <w:r w:rsidR="00697B04">
        <w:t>. However,</w:t>
      </w:r>
      <w:r w:rsidRPr="00EC7F86">
        <w:t xml:space="preserve"> this prosperity is not shared evenly amongst all residents and </w:t>
      </w:r>
      <w:r w:rsidR="00697B04">
        <w:t>about</w:t>
      </w:r>
      <w:r w:rsidRPr="00EC7F86">
        <w:t xml:space="preserve"> 13% of Canberra households are in the bottom </w:t>
      </w:r>
      <w:r w:rsidR="00697B04">
        <w:t xml:space="preserve">20% of the </w:t>
      </w:r>
      <w:r w:rsidRPr="00EC7F86">
        <w:t>nation</w:t>
      </w:r>
      <w:r w:rsidR="00697B04">
        <w:t>’s</w:t>
      </w:r>
      <w:r w:rsidRPr="00EC7F86">
        <w:t xml:space="preserve"> income</w:t>
      </w:r>
      <w:r w:rsidR="00697B04">
        <w:t>s</w:t>
      </w:r>
      <w:r w:rsidRPr="00EC7F86">
        <w:t xml:space="preserve">. Further, the town of Queanbeyan does not share Canberra’s socio-economic advantage and is closer to the national average on a variety of economic measures </w:t>
      </w:r>
      <w:r>
        <w:t>[4.2]</w:t>
      </w:r>
      <w:r w:rsidRPr="00EC7F86">
        <w:t xml:space="preserve">. </w:t>
      </w:r>
      <w:r w:rsidR="00FC11F8">
        <w:t>Hence t</w:t>
      </w:r>
      <w:r w:rsidR="00FC11F8" w:rsidRPr="00EC7F86">
        <w:t>here is no reason to anticipate</w:t>
      </w:r>
      <w:r w:rsidR="00E814D1">
        <w:t xml:space="preserve"> </w:t>
      </w:r>
      <w:r w:rsidR="00FC11F8">
        <w:t>that any</w:t>
      </w:r>
      <w:r w:rsidR="00FC11F8" w:rsidRPr="00EC7F86">
        <w:t xml:space="preserve"> association between</w:t>
      </w:r>
      <w:r w:rsidR="00E814D1">
        <w:t xml:space="preserve">, for instance, </w:t>
      </w:r>
      <w:r w:rsidR="00FC11F8" w:rsidRPr="00EC7F86">
        <w:t>insecure employment and depression or between workplace bullying and suicid</w:t>
      </w:r>
      <w:r w:rsidR="00FC11F8">
        <w:t>al thoughts</w:t>
      </w:r>
      <w:r w:rsidR="00FC11F8" w:rsidRPr="00EC7F86">
        <w:t xml:space="preserve"> would be different in the PATH </w:t>
      </w:r>
      <w:r w:rsidR="00FC11F8">
        <w:t>sample</w:t>
      </w:r>
      <w:r w:rsidR="00FC11F8" w:rsidRPr="00EC7F86">
        <w:t xml:space="preserve"> to what one would observe in a sample drawn from another Australian town or city</w:t>
      </w:r>
      <w:r w:rsidR="00FC11F8">
        <w:t xml:space="preserve">. </w:t>
      </w:r>
      <w:r w:rsidRPr="00EC7F86">
        <w:t xml:space="preserve">Other features of the sample include the fact that half of the respondents were employed in managerial or supervisory </w:t>
      </w:r>
      <w:proofErr w:type="gramStart"/>
      <w:r w:rsidRPr="00EC7F86">
        <w:t>roles,</w:t>
      </w:r>
      <w:proofErr w:type="gramEnd"/>
      <w:r w:rsidRPr="00EC7F86">
        <w:t xml:space="preserve"> the majority had permanent employment</w:t>
      </w:r>
      <w:r w:rsidR="00E51E0A">
        <w:t>,</w:t>
      </w:r>
      <w:r w:rsidRPr="00EC7F86">
        <w:t xml:space="preserve"> and </w:t>
      </w:r>
      <w:r w:rsidR="009F70CF" w:rsidRPr="00EC7F86">
        <w:t xml:space="preserve">on average </w:t>
      </w:r>
      <w:r w:rsidRPr="00EC7F86">
        <w:t>respondent</w:t>
      </w:r>
      <w:r w:rsidR="00FC11F8">
        <w:t>s worked 40 hours per week</w:t>
      </w:r>
      <w:r>
        <w:t>.</w:t>
      </w:r>
    </w:p>
    <w:p w:rsidR="005933BC" w:rsidRDefault="005933BC" w:rsidP="005933BC">
      <w:bookmarkStart w:id="4" w:name="_Toc352070755"/>
    </w:p>
    <w:p w:rsidR="00DF03B2" w:rsidRDefault="00DF03B2">
      <w:pPr>
        <w:spacing w:after="200" w:line="276" w:lineRule="auto"/>
        <w:rPr>
          <w:rFonts w:eastAsiaTheme="majorEastAsia" w:cstheme="majorBidi"/>
          <w:b/>
          <w:sz w:val="32"/>
        </w:rPr>
      </w:pPr>
      <w:r>
        <w:br w:type="page"/>
      </w:r>
    </w:p>
    <w:p w:rsidR="00D36150" w:rsidRDefault="00BD7CF8" w:rsidP="001F1637">
      <w:pPr>
        <w:pStyle w:val="Heading1"/>
      </w:pPr>
      <w:r>
        <w:lastRenderedPageBreak/>
        <w:t>MAIN FINDINGS</w:t>
      </w:r>
      <w:bookmarkEnd w:id="4"/>
    </w:p>
    <w:p w:rsidR="00D36150" w:rsidRDefault="00D36150" w:rsidP="00BE28D4">
      <w:pPr>
        <w:pStyle w:val="Heading2"/>
      </w:pPr>
      <w:r>
        <w:t>Work wellbeing issues</w:t>
      </w:r>
    </w:p>
    <w:p w:rsidR="00D36150" w:rsidRDefault="00D36150" w:rsidP="00BE28D4">
      <w:pPr>
        <w:pStyle w:val="Heading3"/>
      </w:pPr>
      <w:r>
        <w:t>Work-related injury</w:t>
      </w:r>
    </w:p>
    <w:p w:rsidR="00D36150" w:rsidRDefault="00D36150" w:rsidP="00D36150">
      <w:r w:rsidRPr="00C44315">
        <w:t>The items assessing the experience of work-related injuries and illnesses were introduced in the online questionnaire at wave 4</w:t>
      </w:r>
      <w:r>
        <w:t xml:space="preserve"> [2.2.2]</w:t>
      </w:r>
      <w:r w:rsidRPr="00C44315">
        <w:t>. Overall 7% of respondents</w:t>
      </w:r>
      <w:r>
        <w:t xml:space="preserve"> </w:t>
      </w:r>
      <w:r w:rsidRPr="00C44315">
        <w:t xml:space="preserve">reported that they had experienced a work-related injury or illness in the past 12 months. There were no significant gender differences in the reported experience of work-related injuries </w:t>
      </w:r>
      <w:r>
        <w:t>[5.2]</w:t>
      </w:r>
      <w:r w:rsidRPr="00C44315">
        <w:t>. Table 5.1 lists the types of injuries/illnesses reported by the survey respondents.</w:t>
      </w:r>
    </w:p>
    <w:p w:rsidR="00DF03B2" w:rsidRDefault="00DF03B2" w:rsidP="00DF03B2">
      <w:r w:rsidRPr="00C44315">
        <w:t xml:space="preserve">By comparison, the most recent published data on workplace injury and illness from the </w:t>
      </w:r>
      <w:r w:rsidR="00154DAC">
        <w:t>Australian Bureau of Statistics (</w:t>
      </w:r>
      <w:r w:rsidRPr="00C44315">
        <w:t>ABS</w:t>
      </w:r>
      <w:r w:rsidR="00154DAC">
        <w:t>)</w:t>
      </w:r>
      <w:r w:rsidRPr="00C44315">
        <w:t xml:space="preserve"> </w:t>
      </w:r>
      <w:r>
        <w:t xml:space="preserve">[5.2] </w:t>
      </w:r>
      <w:r w:rsidRPr="00C44315">
        <w:t xml:space="preserve">reported a somewhat lower overall injury rate across all ages (5.3%) and a rate that was lower again for the age-range comparable to the PATH 20+ </w:t>
      </w:r>
      <w:r>
        <w:t>sample</w:t>
      </w:r>
      <w:r w:rsidRPr="00C44315">
        <w:t xml:space="preserve"> (4.0%). The profile of injuries also differed between the ABS and PATH samples. Compared to the PATH results, the ABS data reported for all ages combined showed a higher proportion of injuries within the categories of fractures (7.5%), sprains/strain (30%), cut/open wound (15.7%), crushing injury/internal organ damage (7%) and burns (5%). In contrast, the PATH data show a higher proportion of injuries in the categories of chronic joint or muscle condition (</w:t>
      </w:r>
      <w:proofErr w:type="spellStart"/>
      <w:r w:rsidRPr="00C44315">
        <w:t>vs</w:t>
      </w:r>
      <w:proofErr w:type="spellEnd"/>
      <w:r w:rsidRPr="00C44315">
        <w:t xml:space="preserve"> 17.7% in the ABS data), superficial injury (</w:t>
      </w:r>
      <w:proofErr w:type="spellStart"/>
      <w:r w:rsidRPr="00C44315">
        <w:t>vs</w:t>
      </w:r>
      <w:proofErr w:type="spellEnd"/>
      <w:r w:rsidRPr="00C44315">
        <w:t xml:space="preserve"> 3.8%) and stress or other mental conditions (</w:t>
      </w:r>
      <w:proofErr w:type="spellStart"/>
      <w:r w:rsidRPr="00C44315">
        <w:t>vs</w:t>
      </w:r>
      <w:proofErr w:type="spellEnd"/>
      <w:r w:rsidRPr="00C44315">
        <w:t xml:space="preserve"> 4.9%). These differences most likely reflect differences in the occupational profile of the PATH sample compared to the broader Australian population</w:t>
      </w:r>
      <w:r>
        <w:t>.</w:t>
      </w:r>
    </w:p>
    <w:p w:rsidR="00D36150" w:rsidRPr="00E23BC5" w:rsidRDefault="00D36150" w:rsidP="00D36150">
      <w:pPr>
        <w:rPr>
          <w:b/>
          <w:sz w:val="20"/>
        </w:rPr>
      </w:pPr>
      <w:r w:rsidRPr="00E23BC5">
        <w:rPr>
          <w:b/>
          <w:sz w:val="20"/>
        </w:rPr>
        <w:t xml:space="preserve">Table 5.1: </w:t>
      </w:r>
      <w:r w:rsidR="00046C11" w:rsidRPr="00046C11">
        <w:rPr>
          <w:b/>
          <w:sz w:val="20"/>
        </w:rPr>
        <w:t>Reported experience of work-related injury in the past 12 months</w:t>
      </w:r>
    </w:p>
    <w:tbl>
      <w:tblPr>
        <w:tblStyle w:val="TableGrid"/>
        <w:tblW w:w="0" w:type="auto"/>
        <w:tblBorders>
          <w:top w:val="none" w:sz="0" w:space="0" w:color="auto"/>
          <w:bottom w:val="none" w:sz="0" w:space="0" w:color="auto"/>
        </w:tblBorders>
        <w:tblLook w:val="04A0" w:firstRow="1" w:lastRow="0" w:firstColumn="1" w:lastColumn="0" w:noHBand="0" w:noVBand="1"/>
        <w:tblCaption w:val="Table 5.1: Reported experience of work-related injury in the past 12 months"/>
        <w:tblDescription w:val="Table 5.1 contains a list of the most commonly reported work-related injuries and illnesses."/>
      </w:tblPr>
      <w:tblGrid>
        <w:gridCol w:w="4755"/>
        <w:gridCol w:w="2441"/>
      </w:tblGrid>
      <w:tr w:rsidR="00046C11" w:rsidRPr="00635E1E" w:rsidTr="00D206A9">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HeadingNumber"/>
              <w:jc w:val="left"/>
            </w:pPr>
            <w:r w:rsidRPr="00635E1E">
              <w:t>Type of injury/illness</w:t>
            </w:r>
          </w:p>
        </w:tc>
        <w:tc>
          <w:tcPr>
            <w:tcW w:w="2441" w:type="dxa"/>
          </w:tcPr>
          <w:p w:rsidR="00046C11" w:rsidRPr="00635E1E" w:rsidRDefault="00046C11" w:rsidP="00D206A9">
            <w:pPr>
              <w:pStyle w:val="TableFigHeadingNumber"/>
              <w:cnfStyle w:val="100000000000" w:firstRow="1" w:lastRow="0" w:firstColumn="0" w:lastColumn="0" w:oddVBand="0" w:evenVBand="0" w:oddHBand="0" w:evenHBand="0" w:firstRowFirstColumn="0" w:firstRowLastColumn="0" w:lastRowFirstColumn="0" w:lastRowLastColumn="0"/>
            </w:pPr>
            <w:r>
              <w:t>Percent of injuries/illnesses</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Text"/>
            </w:pPr>
            <w:r w:rsidRPr="00635E1E">
              <w:t>Chronic joint or muscle condition</w:t>
            </w:r>
          </w:p>
        </w:tc>
        <w:tc>
          <w:tcPr>
            <w:tcW w:w="2441" w:type="dxa"/>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rsidRPr="00635E1E">
              <w:t>24.7</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Text"/>
            </w:pPr>
            <w:r w:rsidRPr="00635E1E">
              <w:t>Sprain/strain</w:t>
            </w:r>
          </w:p>
        </w:tc>
        <w:tc>
          <w:tcPr>
            <w:tcW w:w="2441" w:type="dxa"/>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rsidRPr="00635E1E">
              <w:t>21.9</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Text"/>
            </w:pPr>
            <w:r w:rsidRPr="00635E1E">
              <w:t>Stress or other mental condition</w:t>
            </w:r>
          </w:p>
        </w:tc>
        <w:tc>
          <w:tcPr>
            <w:tcW w:w="2441" w:type="dxa"/>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rsidRPr="00635E1E">
              <w:t>15.1</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Text"/>
            </w:pPr>
            <w:r w:rsidRPr="00635E1E">
              <w:t>Superficial injury</w:t>
            </w:r>
          </w:p>
        </w:tc>
        <w:tc>
          <w:tcPr>
            <w:tcW w:w="2441" w:type="dxa"/>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t xml:space="preserve"> </w:t>
            </w:r>
            <w:r w:rsidRPr="00635E1E">
              <w:t>8.2</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Text"/>
            </w:pPr>
            <w:r w:rsidRPr="00635E1E">
              <w:t>Cut/open wound</w:t>
            </w:r>
          </w:p>
        </w:tc>
        <w:tc>
          <w:tcPr>
            <w:tcW w:w="2441" w:type="dxa"/>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t xml:space="preserve"> </w:t>
            </w:r>
            <w:r w:rsidRPr="00635E1E">
              <w:t>6.9</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Text"/>
            </w:pPr>
            <w:r w:rsidRPr="00635E1E">
              <w:t>Fracture</w:t>
            </w:r>
          </w:p>
        </w:tc>
        <w:tc>
          <w:tcPr>
            <w:tcW w:w="2441" w:type="dxa"/>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t xml:space="preserve"> </w:t>
            </w:r>
            <w:r w:rsidRPr="00635E1E">
              <w:t>5.5</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Text"/>
            </w:pPr>
            <w:r w:rsidRPr="00635E1E">
              <w:t>Crushing injury/internal organ damage</w:t>
            </w:r>
          </w:p>
        </w:tc>
        <w:tc>
          <w:tcPr>
            <w:tcW w:w="2441" w:type="dxa"/>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t xml:space="preserve"> </w:t>
            </w:r>
            <w:r w:rsidRPr="00635E1E">
              <w:t>1.4</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Pr>
          <w:p w:rsidR="00046C11" w:rsidRPr="00635E1E" w:rsidRDefault="00046C11" w:rsidP="00D206A9">
            <w:pPr>
              <w:pStyle w:val="TableFigText"/>
            </w:pPr>
            <w:r w:rsidRPr="00635E1E">
              <w:t>Burns</w:t>
            </w:r>
          </w:p>
        </w:tc>
        <w:tc>
          <w:tcPr>
            <w:tcW w:w="2441" w:type="dxa"/>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t xml:space="preserve"> </w:t>
            </w:r>
            <w:r w:rsidRPr="00635E1E">
              <w:t>1.4</w:t>
            </w:r>
          </w:p>
        </w:tc>
      </w:tr>
      <w:tr w:rsidR="00046C11" w:rsidRPr="00635E1E" w:rsidTr="00D206A9">
        <w:tc>
          <w:tcPr>
            <w:cnfStyle w:val="001000000000" w:firstRow="0" w:lastRow="0" w:firstColumn="1" w:lastColumn="0" w:oddVBand="0" w:evenVBand="0" w:oddHBand="0" w:evenHBand="0" w:firstRowFirstColumn="0" w:firstRowLastColumn="0" w:lastRowFirstColumn="0" w:lastRowLastColumn="0"/>
            <w:tcW w:w="4755" w:type="dxa"/>
            <w:tcBorders>
              <w:bottom w:val="single" w:sz="4" w:space="0" w:color="auto"/>
            </w:tcBorders>
          </w:tcPr>
          <w:p w:rsidR="00046C11" w:rsidRPr="00635E1E" w:rsidRDefault="00046C11" w:rsidP="00D206A9">
            <w:pPr>
              <w:pStyle w:val="TableFigText"/>
            </w:pPr>
            <w:r w:rsidRPr="00635E1E">
              <w:t>Other</w:t>
            </w:r>
          </w:p>
        </w:tc>
        <w:tc>
          <w:tcPr>
            <w:tcW w:w="2441" w:type="dxa"/>
            <w:tcBorders>
              <w:bottom w:val="single" w:sz="4" w:space="0" w:color="auto"/>
            </w:tcBorders>
          </w:tcPr>
          <w:p w:rsidR="00046C11" w:rsidRPr="00635E1E" w:rsidRDefault="00046C11" w:rsidP="00D206A9">
            <w:pPr>
              <w:pStyle w:val="TableFigText"/>
              <w:jc w:val="right"/>
              <w:cnfStyle w:val="000000000000" w:firstRow="0" w:lastRow="0" w:firstColumn="0" w:lastColumn="0" w:oddVBand="0" w:evenVBand="0" w:oddHBand="0" w:evenHBand="0" w:firstRowFirstColumn="0" w:firstRowLastColumn="0" w:lastRowFirstColumn="0" w:lastRowLastColumn="0"/>
            </w:pPr>
            <w:r w:rsidRPr="00635E1E">
              <w:t>15.1</w:t>
            </w:r>
          </w:p>
        </w:tc>
      </w:tr>
    </w:tbl>
    <w:p w:rsidR="00046C11" w:rsidRDefault="00046C11" w:rsidP="00D36150"/>
    <w:p w:rsidR="00D36150" w:rsidRDefault="00D36150" w:rsidP="00D36150">
      <w:r>
        <w:t>We</w:t>
      </w:r>
      <w:r w:rsidRPr="00E0191D">
        <w:t xml:space="preserve"> examine</w:t>
      </w:r>
      <w:r>
        <w:t>d</w:t>
      </w:r>
      <w:r w:rsidRPr="00E0191D">
        <w:t xml:space="preserve"> whether the risk of work-related injury is associated with key socio-demographic, occupational, health, lifestyle</w:t>
      </w:r>
      <w:r>
        <w:t>,</w:t>
      </w:r>
      <w:r w:rsidRPr="00E0191D">
        <w:t xml:space="preserve"> and personality characteristics. Where relevant, measures used in this analysis were drawn from the previous wave of data collection conducted four years earlier so that the analysis is investigating predispositions and risks for later injury rather than the consequences of injury. The exception to this was the r</w:t>
      </w:r>
      <w:r w:rsidR="00BC3D1E">
        <w:t>espondents’ current occupation.</w:t>
      </w:r>
    </w:p>
    <w:p w:rsidR="009B1054" w:rsidRDefault="009B1054" w:rsidP="009B1054">
      <w:r>
        <w:t>Respondents who were not in a marriage-like relationship had an elevated risk of a work-related injury</w:t>
      </w:r>
      <w:r w:rsidR="00E26071">
        <w:t xml:space="preserve"> [5.2]</w:t>
      </w:r>
      <w:r>
        <w:t>. Consistent with much published data, those working in the trades or manual occupations had an elevated risk of injury, particularly sprain</w:t>
      </w:r>
      <w:r w:rsidR="0053327F">
        <w:t>s and strains [5.2]</w:t>
      </w:r>
      <w:r>
        <w:t xml:space="preserve">, compared with those in professional occupations. The analysis also shows that respondents employed by non-government organisations had an elevated risk of injury relative to those </w:t>
      </w:r>
      <w:r>
        <w:lastRenderedPageBreak/>
        <w:t>working in the public sector. The personality trait of impulsivity measured four years before the assessment of work-related injury is strongly associated with risk of subsequent work-related injury and identified an important individual characteristic at play in the workplace. Similarly, prior symptoms of depression also increased the risk of work-related injury as did the personality trait of ruminative style when the injury was classified as stress or other mental condition</w:t>
      </w:r>
      <w:r w:rsidR="007B0D82">
        <w:t xml:space="preserve"> [5.2]</w:t>
      </w:r>
      <w:r>
        <w:t>. It was somewhat of a surprise that prior harmful levels of alcohol consumption were not related to experience of work-related injury. Overall t</w:t>
      </w:r>
      <w:r w:rsidRPr="000148B6">
        <w:t>hese results highlight the relevance of factors such as personality, health and employment sector to an individual’s risk of reporting a work-related injury.</w:t>
      </w:r>
    </w:p>
    <w:p w:rsidR="00DF03B2" w:rsidRDefault="00DF03B2" w:rsidP="00BE28D4">
      <w:pPr>
        <w:pStyle w:val="Heading3"/>
      </w:pPr>
      <w:r>
        <w:t>Sick leave</w:t>
      </w:r>
    </w:p>
    <w:p w:rsidR="00DF03B2" w:rsidRDefault="00DF03B2" w:rsidP="00DF03B2">
      <w:r w:rsidRPr="001E6FA4">
        <w:t xml:space="preserve">The data collected through the online survey showed that 27% of respondents reported that they had stayed away from work for more than half a day in the last </w:t>
      </w:r>
      <w:r>
        <w:t>four</w:t>
      </w:r>
      <w:r w:rsidRPr="001E6FA4">
        <w:t xml:space="preserve"> weeks because of an illness or injury</w:t>
      </w:r>
      <w:r>
        <w:t xml:space="preserve"> [2.2.4]</w:t>
      </w:r>
      <w:r w:rsidRPr="001E6FA4">
        <w:t xml:space="preserve">. Figure 5.1 presents the characteristics of those who reported taking sick leave. The results demonstrate that women were more likely to report taking sick leave than men and that those employed in the private or </w:t>
      </w:r>
      <w:r w:rsidR="00B221A7">
        <w:t>non-government organisation (</w:t>
      </w:r>
      <w:r w:rsidRPr="001E6FA4">
        <w:t>NGO</w:t>
      </w:r>
      <w:r w:rsidR="00B221A7">
        <w:t>)</w:t>
      </w:r>
      <w:r w:rsidRPr="001E6FA4">
        <w:t xml:space="preserve"> sector were least likely to take sick leave compared with Commonwealth Government employees. There was no significant difference in the use of sick leave across the broad occupation classification, by managerial status, or between those employed full-time or part-time</w:t>
      </w:r>
      <w:r>
        <w:t xml:space="preserve"> [5.4].</w:t>
      </w:r>
    </w:p>
    <w:p w:rsidR="00DF03B2" w:rsidRDefault="00DF03B2" w:rsidP="00DF03B2">
      <w:r>
        <w:t>Figure 5.2 shows that women were more likely than men to report using unpaid sick leave, although this difference was not statistically significant [5.4]. Respondents</w:t>
      </w:r>
      <w:r w:rsidRPr="001E6FA4">
        <w:t xml:space="preserve"> clearly </w:t>
      </w:r>
      <w:r>
        <w:t xml:space="preserve">more likely to </w:t>
      </w:r>
      <w:r w:rsidRPr="001E6FA4">
        <w:t>us</w:t>
      </w:r>
      <w:r>
        <w:t>e</w:t>
      </w:r>
      <w:r w:rsidRPr="001E6FA4">
        <w:t xml:space="preserve"> unpaid sick leave were those working in the private sector versus Commonwealth Government employment </w:t>
      </w:r>
      <w:r>
        <w:t xml:space="preserve">and </w:t>
      </w:r>
      <w:r w:rsidRPr="001E6FA4">
        <w:t xml:space="preserve">those </w:t>
      </w:r>
      <w:r>
        <w:t xml:space="preserve">in </w:t>
      </w:r>
      <w:r w:rsidRPr="001E6FA4">
        <w:t>no</w:t>
      </w:r>
      <w:r>
        <w:t>n-</w:t>
      </w:r>
      <w:r w:rsidRPr="001E6FA4">
        <w:t>manage</w:t>
      </w:r>
      <w:r>
        <w:t>rial</w:t>
      </w:r>
      <w:r w:rsidRPr="001E6FA4">
        <w:t xml:space="preserve"> positions versus managers. A similarly strong difference was evident for those working </w:t>
      </w:r>
      <w:r w:rsidR="00BC3D1E">
        <w:t>part</w:t>
      </w:r>
      <w:r w:rsidRPr="001E6FA4">
        <w:t>-time</w:t>
      </w:r>
      <w:r>
        <w:t xml:space="preserve"> </w:t>
      </w:r>
      <w:r w:rsidRPr="001E6FA4">
        <w:t xml:space="preserve">compared to those working </w:t>
      </w:r>
      <w:r w:rsidR="00BC3D1E">
        <w:t>full</w:t>
      </w:r>
      <w:r w:rsidRPr="001E6FA4">
        <w:t>-time</w:t>
      </w:r>
      <w:r>
        <w:t xml:space="preserve"> [5.4].</w:t>
      </w:r>
    </w:p>
    <w:p w:rsidR="005E6C74" w:rsidRDefault="005E6C74" w:rsidP="00DF03B2">
      <w:r w:rsidRPr="001E6FA4">
        <w:t>Figure 5.3 presents data on the number of days of sick leave taken by PATH survey respondents in the past four weeks. Overall the average number of days of sick leave for the total sample of respondents was 0.8, however amongst those who had taken sick leave the average was three days with a range of 1–28 days [5.4]</w:t>
      </w:r>
      <w:r>
        <w:t>.</w:t>
      </w:r>
    </w:p>
    <w:p w:rsidR="005E6C74" w:rsidRPr="00DF49BA" w:rsidRDefault="005E6C74" w:rsidP="005E6C74">
      <w:r>
        <w:t xml:space="preserve">Respondents with symptoms of </w:t>
      </w:r>
      <w:r w:rsidRPr="00DF49BA">
        <w:t>depression ha</w:t>
      </w:r>
      <w:r>
        <w:t>d</w:t>
      </w:r>
      <w:r w:rsidRPr="00DF49BA">
        <w:t xml:space="preserve"> a doubling of th</w:t>
      </w:r>
      <w:r>
        <w:t>e</w:t>
      </w:r>
      <w:r w:rsidRPr="00DF49BA">
        <w:t xml:space="preserve"> risk of days off work</w:t>
      </w:r>
      <w:r w:rsidR="000E7882">
        <w:t xml:space="preserve"> [5.4]</w:t>
      </w:r>
      <w:r w:rsidRPr="00DF49BA">
        <w:t>.</w:t>
      </w:r>
      <w:r>
        <w:t xml:space="preserve"> </w:t>
      </w:r>
      <w:r w:rsidRPr="00DF49BA">
        <w:t xml:space="preserve">This </w:t>
      </w:r>
      <w:r>
        <w:t xml:space="preserve">was above and beyond the </w:t>
      </w:r>
      <w:r w:rsidRPr="00DF49BA">
        <w:t>influence</w:t>
      </w:r>
      <w:r>
        <w:t xml:space="preserve"> of other factors such as</w:t>
      </w:r>
      <w:r w:rsidRPr="00DF49BA">
        <w:t xml:space="preserve"> part-time work and gender. On the basis of th</w:t>
      </w:r>
      <w:r>
        <w:t>ese findings</w:t>
      </w:r>
      <w:r w:rsidRPr="00DF49BA">
        <w:t xml:space="preserve"> it is </w:t>
      </w:r>
      <w:r>
        <w:t>estimated</w:t>
      </w:r>
      <w:r w:rsidRPr="00DF49BA">
        <w:t xml:space="preserve"> that respondents without significant depression symptoms had</w:t>
      </w:r>
      <w:r>
        <w:t xml:space="preserve"> an average of </w:t>
      </w:r>
      <w:r w:rsidRPr="00DF49BA">
        <w:t>0.6 days of sick leave in the past four weeks compared to 1.6 days for those with significant depression symptoms [5.4]</w:t>
      </w:r>
      <w:r>
        <w:t>.</w:t>
      </w:r>
    </w:p>
    <w:p w:rsidR="005E6C74" w:rsidRDefault="005E6C74" w:rsidP="005E6C74">
      <w:r w:rsidRPr="00DF49BA">
        <w:t xml:space="preserve">Depression </w:t>
      </w:r>
      <w:r>
        <w:t>was</w:t>
      </w:r>
      <w:r w:rsidRPr="00DF49BA">
        <w:t xml:space="preserve"> also strongly associated with the use of unpaid sick leave. </w:t>
      </w:r>
      <w:r>
        <w:t>R</w:t>
      </w:r>
      <w:r w:rsidRPr="00DF49BA">
        <w:t>espondents with significant depression symptoms were over 11 times more likely to take days of unpaid sick leave than were those without depressi</w:t>
      </w:r>
      <w:r>
        <w:t>on</w:t>
      </w:r>
      <w:r w:rsidRPr="00DF49BA">
        <w:t xml:space="preserve"> symptoms </w:t>
      </w:r>
      <w:r>
        <w:t>[5.4]</w:t>
      </w:r>
      <w:r w:rsidRPr="00DF49BA">
        <w:t>, with predictions of those with depression taking</w:t>
      </w:r>
      <w:r>
        <w:t xml:space="preserve"> on average</w:t>
      </w:r>
      <w:r w:rsidRPr="00DF49BA">
        <w:t xml:space="preserve"> 0.5 days of unpaid sick leave versus 0.05 </w:t>
      </w:r>
      <w:r w:rsidR="000E7882">
        <w:t xml:space="preserve">days </w:t>
      </w:r>
      <w:r w:rsidRPr="00DF49BA">
        <w:t>for those without depression [5.4]</w:t>
      </w:r>
      <w:r>
        <w:t>.</w:t>
      </w:r>
    </w:p>
    <w:p w:rsidR="00132F87" w:rsidRDefault="00132F87" w:rsidP="00132F87"/>
    <w:p w:rsidR="00132F87" w:rsidRDefault="00132F87" w:rsidP="00132F87">
      <w:pPr>
        <w:pStyle w:val="FigureCaption"/>
        <w:pBdr>
          <w:top w:val="single" w:sz="4" w:space="1" w:color="auto"/>
          <w:left w:val="single" w:sz="4" w:space="4" w:color="auto"/>
          <w:bottom w:val="single" w:sz="4" w:space="1" w:color="auto"/>
          <w:right w:val="single" w:sz="4" w:space="4" w:color="auto"/>
        </w:pBdr>
      </w:pPr>
      <w:bookmarkStart w:id="5" w:name="_Toc345491169"/>
      <w:bookmarkStart w:id="6" w:name="_Toc355961988"/>
      <w:r w:rsidRPr="00133318">
        <w:lastRenderedPageBreak/>
        <w:t xml:space="preserve">Figure 5.1: </w:t>
      </w:r>
      <w:r>
        <w:t>Proportion of respondents reporting a</w:t>
      </w:r>
      <w:r w:rsidRPr="00133318">
        <w:t xml:space="preserve">ny sick leave </w:t>
      </w:r>
      <w:r>
        <w:t xml:space="preserve">in the </w:t>
      </w:r>
      <w:r w:rsidRPr="00133318">
        <w:t>past 30 days by respondent characteristics</w:t>
      </w:r>
      <w:bookmarkEnd w:id="5"/>
      <w:bookmarkEnd w:id="6"/>
    </w:p>
    <w:p w:rsidR="00132F87" w:rsidRDefault="002C0118" w:rsidP="00132F87">
      <w:pPr>
        <w:pBdr>
          <w:top w:val="single" w:sz="4" w:space="1" w:color="auto"/>
          <w:left w:val="single" w:sz="4" w:space="4" w:color="auto"/>
          <w:bottom w:val="single" w:sz="4" w:space="1" w:color="auto"/>
          <w:right w:val="single" w:sz="4" w:space="4" w:color="auto"/>
        </w:pBdr>
        <w:jc w:val="center"/>
      </w:pPr>
      <w:r w:rsidRPr="0074454C">
        <w:rPr>
          <w:noProof/>
          <w:lang w:eastAsia="en-AU"/>
        </w:rPr>
        <w:drawing>
          <wp:inline distT="0" distB="0" distL="0" distR="0" wp14:anchorId="79F891C9" wp14:editId="4FFDB5C8">
            <wp:extent cx="5486400" cy="3228975"/>
            <wp:effectExtent l="0" t="0" r="0" b="0"/>
            <wp:docPr id="3" name="Picture 3" descr="Bar chart with five groups of characteristics. Any sick leave in the past 30 days is reported by about 30% of females compared with 24% of males and about 28% of respondents in full-time employment compared with about 25% in part-time employment. Professional occupations with about 29%, the Commonwealth public service with about 34% and managerial positions with about 30% have the highest proportion among occupations, employment sectors and employment levels respectively." title="Figure 5.1: Proportion of respondents reporting any sick leave in the past 30 days by respond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3228975"/>
                    </a:xfrm>
                    <a:prstGeom prst="rect">
                      <a:avLst/>
                    </a:prstGeom>
                    <a:noFill/>
                    <a:ln>
                      <a:noFill/>
                    </a:ln>
                  </pic:spPr>
                </pic:pic>
              </a:graphicData>
            </a:graphic>
          </wp:inline>
        </w:drawing>
      </w:r>
    </w:p>
    <w:p w:rsidR="00132F87" w:rsidRDefault="00132F87" w:rsidP="00132F87"/>
    <w:p w:rsidR="00132F87" w:rsidRDefault="00132F87" w:rsidP="00132F87">
      <w:pPr>
        <w:pStyle w:val="FigureCaption"/>
        <w:pBdr>
          <w:top w:val="single" w:sz="4" w:space="1" w:color="auto"/>
          <w:left w:val="single" w:sz="4" w:space="4" w:color="auto"/>
          <w:bottom w:val="single" w:sz="4" w:space="1" w:color="auto"/>
          <w:right w:val="single" w:sz="4" w:space="4" w:color="auto"/>
        </w:pBdr>
      </w:pPr>
      <w:bookmarkStart w:id="7" w:name="_Toc345491170"/>
      <w:bookmarkStart w:id="8" w:name="_Toc355961989"/>
      <w:r w:rsidRPr="00133318">
        <w:t xml:space="preserve">Figure 5.2: </w:t>
      </w:r>
      <w:r>
        <w:t>Proportion of respondents reporting a</w:t>
      </w:r>
      <w:r w:rsidRPr="00133318">
        <w:t xml:space="preserve">ny unpaid sick leave </w:t>
      </w:r>
      <w:r>
        <w:t xml:space="preserve">in the </w:t>
      </w:r>
      <w:r w:rsidRPr="00133318">
        <w:t>past 30 days by respondent characteristics</w:t>
      </w:r>
      <w:bookmarkEnd w:id="7"/>
      <w:bookmarkEnd w:id="8"/>
    </w:p>
    <w:p w:rsidR="00132F87" w:rsidRDefault="002C0118" w:rsidP="00132F87">
      <w:pPr>
        <w:pBdr>
          <w:top w:val="single" w:sz="4" w:space="1" w:color="auto"/>
          <w:left w:val="single" w:sz="4" w:space="4" w:color="auto"/>
          <w:bottom w:val="single" w:sz="4" w:space="1" w:color="auto"/>
          <w:right w:val="single" w:sz="4" w:space="4" w:color="auto"/>
        </w:pBdr>
        <w:jc w:val="center"/>
      </w:pPr>
      <w:r w:rsidRPr="00C07DED">
        <w:rPr>
          <w:noProof/>
          <w:lang w:eastAsia="en-AU"/>
        </w:rPr>
        <w:drawing>
          <wp:inline distT="0" distB="0" distL="0" distR="0" wp14:anchorId="480520EE" wp14:editId="07CD2966">
            <wp:extent cx="5486400" cy="3209925"/>
            <wp:effectExtent l="0" t="0" r="0" b="0"/>
            <wp:docPr id="4" name="Picture 4" descr="Bar chart with four groups of characteristics. Any unpaid sick leave in the past 30 days is reported by about 5% of females compared with 3% of males and about 8% of respondents in part-time employment compared with about 3% in full-time employment. The private sector with about 5% and non-managerial positions with about 5% have the highest proportion among employment sectors and employment levels respectively." title="Figure 5.2: Proportion of respondents reporting any unpaid sick leave in the past 30 days by respond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209925"/>
                    </a:xfrm>
                    <a:prstGeom prst="rect">
                      <a:avLst/>
                    </a:prstGeom>
                    <a:noFill/>
                    <a:ln>
                      <a:noFill/>
                    </a:ln>
                  </pic:spPr>
                </pic:pic>
              </a:graphicData>
            </a:graphic>
          </wp:inline>
        </w:drawing>
      </w:r>
    </w:p>
    <w:p w:rsidR="00D36150" w:rsidRDefault="00D36150" w:rsidP="00D36150"/>
    <w:p w:rsidR="00132F87" w:rsidRDefault="00132F87" w:rsidP="00132F87">
      <w:pPr>
        <w:pStyle w:val="FigureCaption"/>
        <w:pBdr>
          <w:top w:val="single" w:sz="4" w:space="1" w:color="auto"/>
          <w:left w:val="single" w:sz="4" w:space="4" w:color="auto"/>
          <w:bottom w:val="single" w:sz="4" w:space="1" w:color="auto"/>
          <w:right w:val="single" w:sz="4" w:space="4" w:color="auto"/>
        </w:pBdr>
      </w:pPr>
      <w:bookmarkStart w:id="9" w:name="_Toc345491171"/>
      <w:bookmarkStart w:id="10" w:name="_Toc355961990"/>
      <w:r w:rsidRPr="00133318">
        <w:lastRenderedPageBreak/>
        <w:t xml:space="preserve">Figure 5.3: </w:t>
      </w:r>
      <w:r>
        <w:t>Number of days of s</w:t>
      </w:r>
      <w:r w:rsidRPr="00133318">
        <w:t>ick leave in past 30 days</w:t>
      </w:r>
      <w:bookmarkEnd w:id="9"/>
      <w:bookmarkEnd w:id="10"/>
    </w:p>
    <w:p w:rsidR="00132F87" w:rsidRDefault="002C0118" w:rsidP="00132F87">
      <w:pPr>
        <w:pBdr>
          <w:top w:val="single" w:sz="4" w:space="1" w:color="auto"/>
          <w:left w:val="single" w:sz="4" w:space="4" w:color="auto"/>
          <w:bottom w:val="single" w:sz="4" w:space="1" w:color="auto"/>
          <w:right w:val="single" w:sz="4" w:space="4" w:color="auto"/>
        </w:pBdr>
        <w:jc w:val="center"/>
      </w:pPr>
      <w:r w:rsidRPr="00EF1C4E">
        <w:rPr>
          <w:noProof/>
          <w:lang w:eastAsia="en-AU"/>
        </w:rPr>
        <w:drawing>
          <wp:inline distT="0" distB="0" distL="0" distR="0" wp14:anchorId="294766E5" wp14:editId="334321A7">
            <wp:extent cx="5467350" cy="3314700"/>
            <wp:effectExtent l="0" t="0" r="0" b="0"/>
            <wp:docPr id="5" name="Picture 5" descr="Bar chart. The proportion of respondents reporting sick leave in the past 30 days falls from about 73% reporting no sick leave to about 11% reporting one sick leave day. Less than 1% of respondents report 14 or more sick leave days in the past 30 days." title="Figure 5.3: Number of days of sick leave in past 30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7350" cy="3314700"/>
                    </a:xfrm>
                    <a:prstGeom prst="rect">
                      <a:avLst/>
                    </a:prstGeom>
                    <a:noFill/>
                    <a:ln>
                      <a:noFill/>
                    </a:ln>
                  </pic:spPr>
                </pic:pic>
              </a:graphicData>
            </a:graphic>
          </wp:inline>
        </w:drawing>
      </w:r>
    </w:p>
    <w:p w:rsidR="00D36150" w:rsidRDefault="00D36150" w:rsidP="00D36150"/>
    <w:p w:rsidR="00D36150" w:rsidRDefault="00D36150" w:rsidP="00BE28D4">
      <w:pPr>
        <w:pStyle w:val="Heading2"/>
      </w:pPr>
      <w:r>
        <w:t>Work factors associated with depression</w:t>
      </w:r>
    </w:p>
    <w:p w:rsidR="00D36150" w:rsidRDefault="00D36150" w:rsidP="00D36150">
      <w:r w:rsidRPr="00472D3B">
        <w:t>Respondents identified with major, minor or sub-</w:t>
      </w:r>
      <w:r w:rsidR="004E490E">
        <w:t>clinical</w:t>
      </w:r>
      <w:r w:rsidRPr="00472D3B">
        <w:t xml:space="preserve"> depression according to the scoring protocols of the Patient Health Questionnaire (</w:t>
      </w:r>
      <w:proofErr w:type="spellStart"/>
      <w:r w:rsidRPr="00472D3B">
        <w:t>PHQ</w:t>
      </w:r>
      <w:proofErr w:type="spellEnd"/>
      <w:r w:rsidRPr="00472D3B">
        <w:t>) depression scale were classified with significant depression symptoms for the analyses presented in this report</w:t>
      </w:r>
      <w:r>
        <w:t xml:space="preserve"> [2.2.7]</w:t>
      </w:r>
      <w:r w:rsidRPr="00472D3B">
        <w:t>.</w:t>
      </w:r>
      <w:r>
        <w:t xml:space="preserve"> </w:t>
      </w:r>
      <w:r w:rsidRPr="00FC7962">
        <w:t xml:space="preserve">Based on answers to the </w:t>
      </w:r>
      <w:proofErr w:type="spellStart"/>
      <w:r w:rsidRPr="00FC7962">
        <w:t>PHQ</w:t>
      </w:r>
      <w:proofErr w:type="spellEnd"/>
      <w:r w:rsidRPr="00FC7962">
        <w:t xml:space="preserve"> it is estimated that 21% of </w:t>
      </w:r>
      <w:r>
        <w:t xml:space="preserve">32–36 year old </w:t>
      </w:r>
      <w:r w:rsidRPr="00FC7962">
        <w:t>respondents to the PATH wave 4 survey experienced some level of depression symptoms</w:t>
      </w:r>
      <w:r>
        <w:t>:</w:t>
      </w:r>
      <w:r w:rsidRPr="00FC7962">
        <w:t xml:space="preserve"> 11.7% at the sub-</w:t>
      </w:r>
      <w:r w:rsidR="004E490E">
        <w:t>clinical</w:t>
      </w:r>
      <w:r w:rsidRPr="00FC7962">
        <w:t xml:space="preserve"> level, 4.5% with minor depression, and 4.7% with major depression</w:t>
      </w:r>
      <w:r>
        <w:t xml:space="preserve">. </w:t>
      </w:r>
    </w:p>
    <w:p w:rsidR="00D36150" w:rsidRDefault="00D36150" w:rsidP="00D36150">
      <w:r w:rsidRPr="00064FC3">
        <w:t xml:space="preserve">Figure 5.5 presents the prevalence of depression symptoms for the different psychosocial </w:t>
      </w:r>
      <w:r>
        <w:t>characteristics</w:t>
      </w:r>
      <w:r w:rsidRPr="00064FC3">
        <w:t xml:space="preserve"> examined. This figure shows that the perception of unfair pay is associated with incr</w:t>
      </w:r>
      <w:r>
        <w:t>eased risk of depression [5.5].</w:t>
      </w:r>
    </w:p>
    <w:p w:rsidR="00D36150" w:rsidRDefault="00D36150" w:rsidP="00D36150">
      <w:r w:rsidRPr="00064FC3">
        <w:t>Two items were included in the wave 4 survey assessing reported support from work colleagues and from managers</w:t>
      </w:r>
      <w:r>
        <w:t xml:space="preserve"> [2.2.3]</w:t>
      </w:r>
      <w:r w:rsidRPr="00064FC3">
        <w:t xml:space="preserve">. Overall 86.7% of working respondents reported receiving help and support from their colleagues and 79.5% reported receiving help and support from their manager. </w:t>
      </w:r>
      <w:r>
        <w:t>T</w:t>
      </w:r>
      <w:r w:rsidRPr="00064FC3">
        <w:t>here was evidence that those respondents in semi-professional and trade/manual occupations reported lower levels of support from colleagues compared to those in professional occupations</w:t>
      </w:r>
      <w:r>
        <w:t xml:space="preserve"> [5.5]</w:t>
      </w:r>
      <w:r w:rsidRPr="00064FC3">
        <w:t>.</w:t>
      </w:r>
      <w:r>
        <w:t xml:space="preserve"> </w:t>
      </w:r>
      <w:r w:rsidRPr="00064FC3">
        <w:t xml:space="preserve">There was little difference across the respondent characteristics in the reported level of support from managers. Those employed in the Commonwealth public sector reported lower levels of support from managers compared to those employed in the </w:t>
      </w:r>
      <w:r w:rsidR="000F266B">
        <w:t>s</w:t>
      </w:r>
      <w:r w:rsidRPr="00064FC3">
        <w:t>tate/</w:t>
      </w:r>
      <w:r w:rsidR="000F266B">
        <w:t>t</w:t>
      </w:r>
      <w:r w:rsidRPr="00064FC3">
        <w:t>erritory public service and in comparison to those employed in NGOs</w:t>
      </w:r>
      <w:r>
        <w:t xml:space="preserve"> [5.5]</w:t>
      </w:r>
      <w:r w:rsidRPr="00064FC3">
        <w:t>.</w:t>
      </w:r>
    </w:p>
    <w:p w:rsidR="003A4477" w:rsidRPr="00064FC3" w:rsidRDefault="003A4477" w:rsidP="003A4477">
      <w:r>
        <w:t>Figure 5.5 shows that respondents</w:t>
      </w:r>
      <w:r w:rsidRPr="00064FC3">
        <w:t xml:space="preserve"> who reported low levels of support from colleagues ha</w:t>
      </w:r>
      <w:r>
        <w:t>d</w:t>
      </w:r>
      <w:r w:rsidRPr="00064FC3">
        <w:t xml:space="preserve"> twice the </w:t>
      </w:r>
      <w:r>
        <w:t>likelihood</w:t>
      </w:r>
      <w:r w:rsidRPr="00064FC3">
        <w:t xml:space="preserve"> of </w:t>
      </w:r>
      <w:r>
        <w:t xml:space="preserve">having </w:t>
      </w:r>
      <w:r w:rsidRPr="00064FC3">
        <w:t xml:space="preserve">significant depression symptoms </w:t>
      </w:r>
      <w:r>
        <w:t xml:space="preserve">compared </w:t>
      </w:r>
      <w:r w:rsidRPr="00064FC3">
        <w:t xml:space="preserve">to those who report having support. Consistent with the association between support from colleagues and depression, low levels of support from one’s manager was </w:t>
      </w:r>
      <w:r>
        <w:t xml:space="preserve">also </w:t>
      </w:r>
      <w:r w:rsidRPr="00064FC3">
        <w:t xml:space="preserve">associated with significantly </w:t>
      </w:r>
      <w:r>
        <w:t>higher</w:t>
      </w:r>
      <w:r w:rsidRPr="00064FC3">
        <w:t xml:space="preserve"> risk of depression symptoms</w:t>
      </w:r>
      <w:r>
        <w:t xml:space="preserve"> </w:t>
      </w:r>
      <w:r w:rsidRPr="00064FC3">
        <w:t>[5.5]</w:t>
      </w:r>
      <w:r>
        <w:t>.</w:t>
      </w:r>
    </w:p>
    <w:p w:rsidR="003A4477" w:rsidRPr="00975CAC" w:rsidRDefault="003A4477" w:rsidP="003A4477">
      <w:pPr>
        <w:rPr>
          <w:color w:val="000000" w:themeColor="text1"/>
        </w:rPr>
      </w:pPr>
      <w:r w:rsidRPr="00CB6728">
        <w:lastRenderedPageBreak/>
        <w:t xml:space="preserve">The wave 4 survey included five items assessing aspects of organisational culture, namely </w:t>
      </w:r>
      <w:r>
        <w:t>‘</w:t>
      </w:r>
      <w:r w:rsidRPr="00CB6728">
        <w:t>relational justice</w:t>
      </w:r>
      <w:r>
        <w:t>’</w:t>
      </w:r>
      <w:r w:rsidRPr="00CB6728">
        <w:t xml:space="preserve">: </w:t>
      </w:r>
      <w:r w:rsidRPr="002C6519">
        <w:t>superiors providing consistent and sufficient information, being willing to listen to problems, providing criticism or praise</w:t>
      </w:r>
      <w:r>
        <w:t xml:space="preserve"> [2.2.3]</w:t>
      </w:r>
      <w:r w:rsidRPr="002C6519">
        <w:t>.</w:t>
      </w:r>
      <w:r w:rsidRPr="00064FC3">
        <w:rPr>
          <w:color w:val="E36C0A" w:themeColor="accent6" w:themeShade="BF"/>
        </w:rPr>
        <w:t xml:space="preserve"> </w:t>
      </w:r>
      <w:r w:rsidRPr="00CB6728">
        <w:t xml:space="preserve">There was some evidence that those working in NGOs rated the organisational culture of their employer more favourably than employees from other sectors [5.5]. </w:t>
      </w:r>
      <w:r>
        <w:t>Figure 5.5</w:t>
      </w:r>
      <w:r w:rsidRPr="00CB6728">
        <w:t xml:space="preserve"> show</w:t>
      </w:r>
      <w:r>
        <w:t>s</w:t>
      </w:r>
      <w:r w:rsidRPr="00CB6728">
        <w:t xml:space="preserve"> a pattern of increasing risk of depression with declining levels of relational justice, with those reporting the poorest organisational culture showing significantly greater risk of depression compared to those </w:t>
      </w:r>
      <w:r w:rsidRPr="00975CAC">
        <w:rPr>
          <w:color w:val="000000" w:themeColor="text1"/>
        </w:rPr>
        <w:t xml:space="preserve">reporting the best </w:t>
      </w:r>
      <w:r>
        <w:rPr>
          <w:color w:val="000000" w:themeColor="text1"/>
        </w:rPr>
        <w:t xml:space="preserve">organisational culture </w:t>
      </w:r>
      <w:r w:rsidRPr="00975CAC">
        <w:rPr>
          <w:color w:val="000000" w:themeColor="text1"/>
        </w:rPr>
        <w:t>[5.5].</w:t>
      </w:r>
    </w:p>
    <w:p w:rsidR="003A231E" w:rsidRDefault="003A231E" w:rsidP="003A231E"/>
    <w:p w:rsidR="003A231E" w:rsidRDefault="003A231E" w:rsidP="003A231E">
      <w:pPr>
        <w:pStyle w:val="FigureCaption"/>
        <w:pBdr>
          <w:top w:val="single" w:sz="4" w:space="1" w:color="auto"/>
          <w:left w:val="single" w:sz="4" w:space="4" w:color="auto"/>
          <w:bottom w:val="single" w:sz="4" w:space="1" w:color="auto"/>
          <w:right w:val="single" w:sz="4" w:space="4" w:color="auto"/>
        </w:pBdr>
      </w:pPr>
      <w:bookmarkStart w:id="11" w:name="_Toc345491176"/>
      <w:bookmarkStart w:id="12" w:name="_Toc355961992"/>
      <w:r w:rsidRPr="004F4C22">
        <w:t>Figure 5.</w:t>
      </w:r>
      <w:r>
        <w:t>5</w:t>
      </w:r>
      <w:r w:rsidRPr="004F4C22">
        <w:t xml:space="preserve">: </w:t>
      </w:r>
      <w:r w:rsidR="002C0118" w:rsidRPr="002C0118">
        <w:t>Proportion of respondents reporting significant depression symptoms by psychosocial characteristics</w:t>
      </w:r>
      <w:bookmarkEnd w:id="11"/>
      <w:bookmarkEnd w:id="12"/>
    </w:p>
    <w:p w:rsidR="003A231E" w:rsidRDefault="002C0118" w:rsidP="002C0118">
      <w:pPr>
        <w:pBdr>
          <w:top w:val="single" w:sz="4" w:space="1" w:color="auto"/>
          <w:left w:val="single" w:sz="4" w:space="4" w:color="auto"/>
          <w:bottom w:val="single" w:sz="4" w:space="1" w:color="auto"/>
          <w:right w:val="single" w:sz="4" w:space="4" w:color="auto"/>
        </w:pBdr>
        <w:jc w:val="center"/>
      </w:pPr>
      <w:r w:rsidRPr="0013716C">
        <w:rPr>
          <w:noProof/>
          <w:lang w:eastAsia="en-AU"/>
        </w:rPr>
        <w:drawing>
          <wp:inline distT="0" distB="0" distL="0" distR="0" wp14:anchorId="4F122A19" wp14:editId="06E5F30E">
            <wp:extent cx="5467350" cy="3905250"/>
            <wp:effectExtent l="0" t="0" r="0" b="0"/>
            <wp:docPr id="8" name="Picture 8" descr="Bar chart with four groups of characteristics. Significant depression symptoms is reported by about 35% of respondents reporting no support from colleagues compared with about 17% reporting support from colleagues, about 34% of respondents reporting no support from management compared with about 17% reporting support from management and about 26% of respondents reporting unfair pay for effort compared with about 18% reporting fair pay. As relational justice moves from high to low the proportion of respondents reporting significant depression symptoms rises from about 9% to about 31%." title="Figure 5.5: Proportion of respondents reporting significant depression symptoms by psychosocial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7350" cy="3905250"/>
                    </a:xfrm>
                    <a:prstGeom prst="rect">
                      <a:avLst/>
                    </a:prstGeom>
                    <a:noFill/>
                    <a:ln>
                      <a:noFill/>
                    </a:ln>
                  </pic:spPr>
                </pic:pic>
              </a:graphicData>
            </a:graphic>
          </wp:inline>
        </w:drawing>
      </w:r>
    </w:p>
    <w:p w:rsidR="003A231E" w:rsidRDefault="003A231E" w:rsidP="003A231E">
      <w:pPr>
        <w:pStyle w:val="TableFigNoteOnly"/>
        <w:pBdr>
          <w:top w:val="single" w:sz="4" w:space="1" w:color="auto"/>
          <w:left w:val="single" w:sz="4" w:space="4" w:color="auto"/>
          <w:bottom w:val="single" w:sz="4" w:space="1" w:color="auto"/>
          <w:right w:val="single" w:sz="4" w:space="4" w:color="auto"/>
        </w:pBdr>
      </w:pPr>
      <w:r w:rsidRPr="00FB4ACA">
        <w:rPr>
          <w:i/>
        </w:rPr>
        <w:t>Notes:</w:t>
      </w:r>
      <w:r>
        <w:t xml:space="preserve"> ‘</w:t>
      </w:r>
      <w:r w:rsidRPr="00FB4ACA">
        <w:t>Relational justice</w:t>
      </w:r>
      <w:r>
        <w:t>’</w:t>
      </w:r>
      <w:r w:rsidRPr="00FB4ACA">
        <w:t xml:space="preserve"> is an aspect of organisational culture</w:t>
      </w:r>
      <w:r>
        <w:t>;</w:t>
      </w:r>
      <w:r w:rsidRPr="00FB4ACA">
        <w:t xml:space="preserve"> </w:t>
      </w:r>
      <w:r>
        <w:t>Quartile 1 = high relational justice, Quartile 4 = low relational justice.</w:t>
      </w:r>
    </w:p>
    <w:p w:rsidR="003A231E" w:rsidRDefault="003A231E" w:rsidP="00D36150"/>
    <w:p w:rsidR="00D36150" w:rsidRDefault="00D36150" w:rsidP="00D36150">
      <w:r>
        <w:t xml:space="preserve">Compared </w:t>
      </w:r>
      <w:r w:rsidRPr="00064FC3">
        <w:t>with those in more secure employment</w:t>
      </w:r>
      <w:r>
        <w:t>, respondents identified as</w:t>
      </w:r>
      <w:r w:rsidRPr="00064FC3">
        <w:t xml:space="preserve"> having insecure jobs</w:t>
      </w:r>
      <w:r>
        <w:t xml:space="preserve"> were more likely to experience</w:t>
      </w:r>
      <w:r w:rsidRPr="00064FC3">
        <w:t xml:space="preserve"> significant depression symptoms</w:t>
      </w:r>
      <w:r>
        <w:t xml:space="preserve"> [5.6]</w:t>
      </w:r>
      <w:r w:rsidRPr="00064FC3">
        <w:t>.</w:t>
      </w:r>
      <w:r>
        <w:t xml:space="preserve"> </w:t>
      </w:r>
      <w:r w:rsidRPr="00064FC3">
        <w:t>This effect is largely restricted to those who report that the reason to work is to provide for their material needs</w:t>
      </w:r>
      <w:r>
        <w:t xml:space="preserve"> (</w:t>
      </w:r>
      <w:r w:rsidRPr="00064FC3">
        <w:t>Figure 5.10</w:t>
      </w:r>
      <w:r>
        <w:t>)</w:t>
      </w:r>
      <w:r w:rsidRPr="00064FC3">
        <w:t xml:space="preserve">. </w:t>
      </w:r>
      <w:r>
        <w:t>That is, j</w:t>
      </w:r>
      <w:r w:rsidRPr="00064FC3">
        <w:t>ob insecurity has no association with depression for those respondents who disagree with statements indicating that they are working to meet their material needs</w:t>
      </w:r>
      <w:r>
        <w:t xml:space="preserve"> [5.6].</w:t>
      </w:r>
    </w:p>
    <w:p w:rsidR="003A231E" w:rsidRDefault="003A231E" w:rsidP="003A231E"/>
    <w:p w:rsidR="003A231E" w:rsidRDefault="003A231E" w:rsidP="003A231E">
      <w:pPr>
        <w:pStyle w:val="FigureCaption"/>
        <w:pBdr>
          <w:top w:val="single" w:sz="4" w:space="1" w:color="auto"/>
          <w:left w:val="single" w:sz="4" w:space="4" w:color="auto"/>
          <w:bottom w:val="single" w:sz="4" w:space="1" w:color="auto"/>
          <w:right w:val="single" w:sz="4" w:space="4" w:color="auto"/>
        </w:pBdr>
      </w:pPr>
      <w:bookmarkStart w:id="13" w:name="_Toc345491178"/>
      <w:bookmarkStart w:id="14" w:name="_Toc355961997"/>
      <w:r w:rsidRPr="00BF5C6B">
        <w:lastRenderedPageBreak/>
        <w:t xml:space="preserve">Figure 5.10: </w:t>
      </w:r>
      <w:bookmarkEnd w:id="13"/>
      <w:r w:rsidR="00CA2C0C" w:rsidRPr="00CA2C0C">
        <w:t>Proportion of respondents reporting significant depression symptoms by reported importance of work to meet material needs and job insecurity</w:t>
      </w:r>
      <w:bookmarkEnd w:id="14"/>
    </w:p>
    <w:p w:rsidR="003A231E" w:rsidRDefault="00CA2C0C" w:rsidP="003A231E">
      <w:pPr>
        <w:pBdr>
          <w:top w:val="single" w:sz="4" w:space="1" w:color="auto"/>
          <w:left w:val="single" w:sz="4" w:space="4" w:color="auto"/>
          <w:bottom w:val="single" w:sz="4" w:space="1" w:color="auto"/>
          <w:right w:val="single" w:sz="4" w:space="4" w:color="auto"/>
        </w:pBdr>
        <w:jc w:val="center"/>
      </w:pPr>
      <w:r w:rsidRPr="005A367B">
        <w:rPr>
          <w:noProof/>
          <w:lang w:eastAsia="en-AU"/>
        </w:rPr>
        <w:drawing>
          <wp:inline distT="0" distB="0" distL="0" distR="0" wp14:anchorId="5B615D84" wp14:editId="414D84DE">
            <wp:extent cx="5467350" cy="3248025"/>
            <wp:effectExtent l="0" t="0" r="0" b="9525"/>
            <wp:docPr id="19" name="Picture 19" descr="Bar chart. In insecure jobs the proportion of respondents reporting significant depression symptoms ranges from about 22% when medium importance is given to work to meet material needs to 36% when high importance is given to material needs. In secure jobs the proportion ranges from about 12% when medium importance is given to material needs to about 21% when low importance is given to material needs." title="Figure 5.10: Proportion of respondents reporting significant depression symptoms by reported importance of work to meet material needs and job in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7350" cy="3248025"/>
                    </a:xfrm>
                    <a:prstGeom prst="rect">
                      <a:avLst/>
                    </a:prstGeom>
                    <a:noFill/>
                    <a:ln>
                      <a:noFill/>
                    </a:ln>
                  </pic:spPr>
                </pic:pic>
              </a:graphicData>
            </a:graphic>
          </wp:inline>
        </w:drawing>
      </w:r>
    </w:p>
    <w:p w:rsidR="003A231E" w:rsidRDefault="003A231E" w:rsidP="003A231E"/>
    <w:p w:rsidR="00D36150" w:rsidRDefault="00D36150" w:rsidP="00D36150">
      <w:r w:rsidRPr="00411970">
        <w:t xml:space="preserve">The face-to-face interview </w:t>
      </w:r>
      <w:r w:rsidR="00634638">
        <w:t xml:space="preserve">component </w:t>
      </w:r>
      <w:r w:rsidRPr="00411970">
        <w:t xml:space="preserve">of the PATH 20+ </w:t>
      </w:r>
      <w:r w:rsidR="00560E72">
        <w:t>sample</w:t>
      </w:r>
      <w:r w:rsidRPr="00411970">
        <w:t xml:space="preserve"> wave 4 </w:t>
      </w:r>
      <w:proofErr w:type="gramStart"/>
      <w:r w:rsidRPr="00411970">
        <w:t>survey</w:t>
      </w:r>
      <w:proofErr w:type="gramEnd"/>
      <w:r w:rsidRPr="00411970">
        <w:t xml:space="preserve"> included a battery of 21 questions assessing different bullying behaviours [2.2.5].</w:t>
      </w:r>
      <w:r>
        <w:t xml:space="preserve"> Consistent with the literature, we identified three</w:t>
      </w:r>
      <w:r w:rsidRPr="00C12C43">
        <w:t xml:space="preserve"> types of workplace bullying</w:t>
      </w:r>
      <w:r>
        <w:t xml:space="preserve"> from the face-to-face data</w:t>
      </w:r>
      <w:r w:rsidRPr="00C12C43">
        <w:t>: person-related bullying (spreading gossip and rumours, persistent attempts to humiliate), work-related bullying (unreasonable pressure to produce work, withholding necessary information, setting impossible deadlines), and violence and intimidation (verbal threats, threats of physical violence)</w:t>
      </w:r>
      <w:r>
        <w:t xml:space="preserve"> [2.2.5, 6.2]</w:t>
      </w:r>
      <w:r w:rsidRPr="00C12C43">
        <w:t>.</w:t>
      </w:r>
    </w:p>
    <w:p w:rsidR="00D36150" w:rsidRPr="00654CE6" w:rsidRDefault="00D36150" w:rsidP="00D36150">
      <w:r>
        <w:t>R</w:t>
      </w:r>
      <w:r w:rsidRPr="00654CE6">
        <w:t xml:space="preserve">espondents who reported that they were subject to current workplace bullying </w:t>
      </w:r>
      <w:r>
        <w:t>were more likely to have</w:t>
      </w:r>
      <w:r w:rsidRPr="00654CE6">
        <w:t xml:space="preserve"> significant depression symptoms </w:t>
      </w:r>
      <w:r>
        <w:t>compared with those</w:t>
      </w:r>
      <w:r w:rsidRPr="00654CE6">
        <w:t xml:space="preserve"> with no history of workplace bullying [6.2.3]. All other respondents with a history but not current bullying experience also reported elevated </w:t>
      </w:r>
      <w:r>
        <w:t>likelihood</w:t>
      </w:r>
      <w:r w:rsidRPr="00654CE6">
        <w:t xml:space="preserve"> of depression relative to those who had never been bullied, though the effects were much weaker than for those currently bullied. Importantly, the relationship between current bullying experiences and depression was attenuated but remained significant after </w:t>
      </w:r>
      <w:r>
        <w:t>considering the influence of the following factors:</w:t>
      </w:r>
      <w:r w:rsidRPr="00654CE6">
        <w:t xml:space="preserve"> sex, partner status, children, occupational skill level, part-time status, ruminative style, neuroticism, negative affect, mastery, resilience, social network size, </w:t>
      </w:r>
      <w:r>
        <w:t xml:space="preserve">and </w:t>
      </w:r>
      <w:r w:rsidRPr="00654CE6">
        <w:t>experience of adverse live events [6.2.3]</w:t>
      </w:r>
      <w:r>
        <w:t>.</w:t>
      </w:r>
    </w:p>
    <w:p w:rsidR="00D36150" w:rsidRDefault="00D36150" w:rsidP="00D36150">
      <w:r>
        <w:t>O</w:t>
      </w:r>
      <w:r w:rsidRPr="00654CE6">
        <w:t>ver 40% of respondents who identify that they were currently experiencing workplace bullying were identified with significant depression symptoms compared with around 14% of those who report they have never been bullied in the workplace</w:t>
      </w:r>
      <w:r>
        <w:t xml:space="preserve"> </w:t>
      </w:r>
      <w:r w:rsidRPr="00654CE6">
        <w:t>(Figure 6.10)</w:t>
      </w:r>
      <w:r>
        <w:t>.</w:t>
      </w:r>
    </w:p>
    <w:p w:rsidR="005E6C74" w:rsidRDefault="005E6C74" w:rsidP="00D36150">
      <w:r w:rsidRPr="00654CE6">
        <w:t xml:space="preserve">It is not just the experience of depression symptoms that is seen to be elevated among those who experience workplace bullying. Figure 6.11 presents data on respondents’ report of suicidal </w:t>
      </w:r>
      <w:r>
        <w:t>thoughts</w:t>
      </w:r>
      <w:r w:rsidRPr="00654CE6">
        <w:t xml:space="preserve"> in the past 12 months by current bullying status.</w:t>
      </w:r>
    </w:p>
    <w:p w:rsidR="00D36150" w:rsidRDefault="00D36150" w:rsidP="00D36150"/>
    <w:p w:rsidR="00190150" w:rsidRDefault="00190150" w:rsidP="00190150">
      <w:pPr>
        <w:pStyle w:val="FigureCaption"/>
        <w:pBdr>
          <w:top w:val="single" w:sz="4" w:space="1" w:color="auto"/>
          <w:left w:val="single" w:sz="4" w:space="4" w:color="auto"/>
          <w:bottom w:val="single" w:sz="4" w:space="1" w:color="auto"/>
          <w:right w:val="single" w:sz="4" w:space="4" w:color="auto"/>
        </w:pBdr>
      </w:pPr>
      <w:bookmarkStart w:id="15" w:name="_Toc345491188"/>
      <w:bookmarkStart w:id="16" w:name="_Toc355962007"/>
      <w:r w:rsidRPr="000F2913">
        <w:lastRenderedPageBreak/>
        <w:t xml:space="preserve">Figure 6.10: </w:t>
      </w:r>
      <w:r>
        <w:t>Proportion of respondents reporting s</w:t>
      </w:r>
      <w:r w:rsidRPr="000F2913">
        <w:t>ignificant depression symptoms by whether experienced workplace bullying</w:t>
      </w:r>
      <w:bookmarkEnd w:id="15"/>
      <w:r w:rsidRPr="001E1664">
        <w:t xml:space="preserve"> </w:t>
      </w:r>
      <w:r>
        <w:t>never or currently</w:t>
      </w:r>
      <w:bookmarkEnd w:id="16"/>
    </w:p>
    <w:p w:rsidR="00190150" w:rsidRDefault="00CA2C0C" w:rsidP="00190150">
      <w:pPr>
        <w:pBdr>
          <w:top w:val="single" w:sz="4" w:space="1" w:color="auto"/>
          <w:left w:val="single" w:sz="4" w:space="4" w:color="auto"/>
          <w:bottom w:val="single" w:sz="4" w:space="1" w:color="auto"/>
          <w:right w:val="single" w:sz="4" w:space="4" w:color="auto"/>
        </w:pBdr>
        <w:jc w:val="center"/>
      </w:pPr>
      <w:r w:rsidRPr="00EF4250">
        <w:rPr>
          <w:noProof/>
          <w:lang w:eastAsia="en-AU"/>
        </w:rPr>
        <w:drawing>
          <wp:inline distT="0" distB="0" distL="0" distR="0" wp14:anchorId="1D2CF021" wp14:editId="6004EFD6">
            <wp:extent cx="4267200" cy="2314575"/>
            <wp:effectExtent l="0" t="0" r="0" b="9525"/>
            <wp:docPr id="23" name="Picture 23" descr="Bar chart. About 43% of respondents reporting current workplace bullying and 14% of respondents never bullied report significant depression symptoms." title="Figure 6.10: Proportion of respondents reporting significant depression symptoms by whether experienced workplace bullying never or cur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67200" cy="2314575"/>
                    </a:xfrm>
                    <a:prstGeom prst="rect">
                      <a:avLst/>
                    </a:prstGeom>
                    <a:noFill/>
                    <a:ln>
                      <a:noFill/>
                    </a:ln>
                  </pic:spPr>
                </pic:pic>
              </a:graphicData>
            </a:graphic>
          </wp:inline>
        </w:drawing>
      </w:r>
    </w:p>
    <w:p w:rsidR="00190150" w:rsidRDefault="00190150" w:rsidP="00190150"/>
    <w:p w:rsidR="00190150" w:rsidRDefault="00190150" w:rsidP="00190150">
      <w:pPr>
        <w:pStyle w:val="FigureCaption"/>
        <w:pBdr>
          <w:top w:val="single" w:sz="4" w:space="1" w:color="auto"/>
          <w:left w:val="single" w:sz="4" w:space="4" w:color="auto"/>
          <w:bottom w:val="single" w:sz="4" w:space="1" w:color="auto"/>
          <w:right w:val="single" w:sz="4" w:space="4" w:color="auto"/>
        </w:pBdr>
      </w:pPr>
      <w:bookmarkStart w:id="17" w:name="_Toc345491189"/>
      <w:bookmarkStart w:id="18" w:name="_Toc355962008"/>
      <w:r w:rsidRPr="000F2913">
        <w:t xml:space="preserve">Figure 6.11: </w:t>
      </w:r>
      <w:r>
        <w:t>Proportion of respondents reporting s</w:t>
      </w:r>
      <w:r w:rsidRPr="000F2913">
        <w:t xml:space="preserve">uicidal </w:t>
      </w:r>
      <w:r w:rsidR="00CA2C0C">
        <w:t>thoughts</w:t>
      </w:r>
      <w:r w:rsidRPr="000F2913">
        <w:t xml:space="preserve"> by </w:t>
      </w:r>
      <w:r>
        <w:t xml:space="preserve">type of suicidal thought and </w:t>
      </w:r>
      <w:r w:rsidRPr="000F2913">
        <w:t>whether experienced workplace bullying</w:t>
      </w:r>
      <w:bookmarkEnd w:id="17"/>
      <w:r w:rsidRPr="001E1664">
        <w:t xml:space="preserve"> </w:t>
      </w:r>
      <w:r>
        <w:t>never or currently</w:t>
      </w:r>
      <w:bookmarkEnd w:id="18"/>
    </w:p>
    <w:p w:rsidR="00190150" w:rsidRDefault="00CA2C0C" w:rsidP="00190150">
      <w:pPr>
        <w:pBdr>
          <w:top w:val="single" w:sz="4" w:space="1" w:color="auto"/>
          <w:left w:val="single" w:sz="4" w:space="4" w:color="auto"/>
          <w:bottom w:val="single" w:sz="4" w:space="1" w:color="auto"/>
          <w:right w:val="single" w:sz="4" w:space="4" w:color="auto"/>
        </w:pBdr>
        <w:jc w:val="center"/>
      </w:pPr>
      <w:r w:rsidRPr="008978A1">
        <w:rPr>
          <w:noProof/>
          <w:lang w:eastAsia="en-AU"/>
        </w:rPr>
        <w:drawing>
          <wp:inline distT="0" distB="0" distL="0" distR="0" wp14:anchorId="0B0DA64D" wp14:editId="25B197BE">
            <wp:extent cx="5448300" cy="3819525"/>
            <wp:effectExtent l="0" t="0" r="0" b="0"/>
            <wp:docPr id="21" name="Picture 21" descr="Bar chart. Among respondents reporting current workplace bullying, the proportion of respondents reporting suicidal thoughts in the past 12 months ranges from about 13% when the thought was of taking one’s own life to about 20% when the thought was that life was hardly worth living. Among those never bullied, the proportion ranges from about 6% when thinking of taking own life to about 10% when thinking life was hardly worth living." title="Figure 6.11: Proportion of respondents reporting suicidal thoughts in past 12 months by type of suicidal thought and whether experienced workplace bullying never or cur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8300" cy="3819525"/>
                    </a:xfrm>
                    <a:prstGeom prst="rect">
                      <a:avLst/>
                    </a:prstGeom>
                    <a:noFill/>
                    <a:ln>
                      <a:noFill/>
                    </a:ln>
                  </pic:spPr>
                </pic:pic>
              </a:graphicData>
            </a:graphic>
          </wp:inline>
        </w:drawing>
      </w:r>
    </w:p>
    <w:p w:rsidR="00190150" w:rsidRDefault="00190150" w:rsidP="00190150"/>
    <w:p w:rsidR="00190150" w:rsidRDefault="006030EC" w:rsidP="00D36150">
      <w:r>
        <w:t>Figure 6.11</w:t>
      </w:r>
      <w:r w:rsidR="00190150" w:rsidRPr="00654CE6">
        <w:t xml:space="preserve"> </w:t>
      </w:r>
      <w:r w:rsidR="007C5F20">
        <w:t>show</w:t>
      </w:r>
      <w:r>
        <w:t>s</w:t>
      </w:r>
      <w:r w:rsidR="00190150" w:rsidRPr="00654CE6">
        <w:t xml:space="preserve"> that those who are currently bullied at work are </w:t>
      </w:r>
      <w:r>
        <w:t xml:space="preserve">about </w:t>
      </w:r>
      <w:r w:rsidR="00190150" w:rsidRPr="00654CE6">
        <w:t>twice as likely</w:t>
      </w:r>
      <w:r w:rsidR="003001E0">
        <w:t xml:space="preserve"> as those never bullied </w:t>
      </w:r>
      <w:r w:rsidR="00190150" w:rsidRPr="00654CE6">
        <w:t xml:space="preserve">to report feeling that their life is hardly worth living, </w:t>
      </w:r>
      <w:r w:rsidR="003001E0">
        <w:t xml:space="preserve">report </w:t>
      </w:r>
      <w:r w:rsidR="00190150" w:rsidRPr="00654CE6">
        <w:t>feeling that they would be better off dead</w:t>
      </w:r>
      <w:r w:rsidR="00153347">
        <w:t>,</w:t>
      </w:r>
      <w:r w:rsidR="00190150" w:rsidRPr="00654CE6">
        <w:t xml:space="preserve"> and report that they had thought of taking their own life. These </w:t>
      </w:r>
      <w:r w:rsidR="003001E0">
        <w:t>findings</w:t>
      </w:r>
      <w:r w:rsidR="00190150" w:rsidRPr="00654CE6">
        <w:t xml:space="preserve"> </w:t>
      </w:r>
      <w:r w:rsidR="00190150">
        <w:t>clearly</w:t>
      </w:r>
      <w:r w:rsidR="00190150" w:rsidRPr="00654CE6">
        <w:t xml:space="preserve"> demonstrate the potential personal costs and consequences of workplace bullying.</w:t>
      </w:r>
    </w:p>
    <w:p w:rsidR="00D36150" w:rsidRDefault="00D36150" w:rsidP="00BE28D4">
      <w:pPr>
        <w:pStyle w:val="Heading2"/>
      </w:pPr>
      <w:r>
        <w:lastRenderedPageBreak/>
        <w:t>Work factors associated with workplace bullying</w:t>
      </w:r>
    </w:p>
    <w:p w:rsidR="00D36150" w:rsidRPr="00C63C77" w:rsidRDefault="00D36150" w:rsidP="00D36150">
      <w:pPr>
        <w:rPr>
          <w:color w:val="000000" w:themeColor="text1"/>
        </w:rPr>
      </w:pPr>
      <w:r w:rsidRPr="00C63C77">
        <w:rPr>
          <w:color w:val="000000" w:themeColor="text1"/>
        </w:rPr>
        <w:t xml:space="preserve">Several </w:t>
      </w:r>
      <w:r>
        <w:rPr>
          <w:color w:val="000000" w:themeColor="text1"/>
        </w:rPr>
        <w:t xml:space="preserve">negative </w:t>
      </w:r>
      <w:r w:rsidRPr="00C63C77">
        <w:rPr>
          <w:color w:val="000000" w:themeColor="text1"/>
        </w:rPr>
        <w:t>work characteristics – high job demands, low job control, unf</w:t>
      </w:r>
      <w:r w:rsidRPr="00C63C77">
        <w:rPr>
          <w:rFonts w:eastAsiaTheme="minorEastAsia"/>
          <w:color w:val="000000" w:themeColor="text1"/>
        </w:rPr>
        <w:t>air pay for effort, job insecurity, lack of support from manager, lack of support from colleagues, poor organisational culture</w:t>
      </w:r>
      <w:r w:rsidRPr="00C63C77">
        <w:rPr>
          <w:color w:val="000000" w:themeColor="text1"/>
        </w:rPr>
        <w:t xml:space="preserve">  – were associated with increased experience of person-related and work-related bullying [6.2.1]. However, there was little evidence that these psychosocial aspects of work, apart from lack of support from colleagues and poor organisational culture, were associated with reported experience of violent or intimidating bullying [6.2.1].</w:t>
      </w:r>
    </w:p>
    <w:p w:rsidR="00D36150" w:rsidRPr="00B70FE5" w:rsidRDefault="00D36150" w:rsidP="00D36150">
      <w:pPr>
        <w:rPr>
          <w:color w:val="000000" w:themeColor="text1"/>
        </w:rPr>
      </w:pPr>
      <w:r w:rsidRPr="008A449C">
        <w:rPr>
          <w:color w:val="000000" w:themeColor="text1"/>
        </w:rPr>
        <w:t xml:space="preserve">The online questionnaire of the PATH 20+ </w:t>
      </w:r>
      <w:r w:rsidR="00560E72">
        <w:rPr>
          <w:color w:val="000000" w:themeColor="text1"/>
        </w:rPr>
        <w:t>sample</w:t>
      </w:r>
      <w:r w:rsidRPr="008A449C">
        <w:rPr>
          <w:color w:val="000000" w:themeColor="text1"/>
        </w:rPr>
        <w:t xml:space="preserve"> wave 4 survey present</w:t>
      </w:r>
      <w:r w:rsidR="00DC45A8">
        <w:rPr>
          <w:color w:val="000000" w:themeColor="text1"/>
        </w:rPr>
        <w:t>ed</w:t>
      </w:r>
      <w:r w:rsidRPr="008A449C">
        <w:rPr>
          <w:color w:val="000000" w:themeColor="text1"/>
        </w:rPr>
        <w:t xml:space="preserve"> a definition of bullying and ask</w:t>
      </w:r>
      <w:r w:rsidR="00DC45A8">
        <w:rPr>
          <w:color w:val="000000" w:themeColor="text1"/>
        </w:rPr>
        <w:t>ed</w:t>
      </w:r>
      <w:r w:rsidRPr="008A449C">
        <w:rPr>
          <w:color w:val="000000" w:themeColor="text1"/>
        </w:rPr>
        <w:t xml:space="preserve"> respondents to </w:t>
      </w:r>
      <w:r w:rsidR="00BF0392">
        <w:rPr>
          <w:color w:val="000000" w:themeColor="text1"/>
        </w:rPr>
        <w:t>rep</w:t>
      </w:r>
      <w:r w:rsidR="00455BDB">
        <w:rPr>
          <w:color w:val="000000" w:themeColor="text1"/>
        </w:rPr>
        <w:t>o</w:t>
      </w:r>
      <w:r w:rsidR="00BF0392">
        <w:rPr>
          <w:color w:val="000000" w:themeColor="text1"/>
        </w:rPr>
        <w:t>rt</w:t>
      </w:r>
      <w:r w:rsidRPr="008A449C">
        <w:rPr>
          <w:color w:val="000000" w:themeColor="text1"/>
        </w:rPr>
        <w:t xml:space="preserve"> if they had been subject to such behaviours in the workplace over a specific time frame or ever [2.2.5] This type of self-labelling item can produce a general estimate of prevalence which can be compared across studies, countries and workplaces.</w:t>
      </w:r>
      <w:r>
        <w:rPr>
          <w:color w:val="000000" w:themeColor="text1"/>
        </w:rPr>
        <w:t xml:space="preserve"> </w:t>
      </w:r>
      <w:r w:rsidRPr="00B70FE5">
        <w:rPr>
          <w:color w:val="000000" w:themeColor="text1"/>
        </w:rPr>
        <w:t>A series of analyses were</w:t>
      </w:r>
      <w:r>
        <w:rPr>
          <w:color w:val="000000" w:themeColor="text1"/>
        </w:rPr>
        <w:t xml:space="preserve"> </w:t>
      </w:r>
      <w:r w:rsidR="00DC45A8">
        <w:rPr>
          <w:color w:val="000000" w:themeColor="text1"/>
        </w:rPr>
        <w:t xml:space="preserve">conducted </w:t>
      </w:r>
      <w:r w:rsidRPr="00B70FE5">
        <w:rPr>
          <w:color w:val="000000" w:themeColor="text1"/>
        </w:rPr>
        <w:t xml:space="preserve">to consider the relationship between </w:t>
      </w:r>
      <w:r w:rsidR="00DC45A8">
        <w:rPr>
          <w:color w:val="000000" w:themeColor="text1"/>
        </w:rPr>
        <w:t xml:space="preserve">several </w:t>
      </w:r>
      <w:r w:rsidR="00DC45A8" w:rsidRPr="00B70FE5">
        <w:rPr>
          <w:color w:val="000000" w:themeColor="text1"/>
        </w:rPr>
        <w:t xml:space="preserve">workplace characteristics </w:t>
      </w:r>
      <w:r w:rsidR="00DC45A8">
        <w:rPr>
          <w:color w:val="000000" w:themeColor="text1"/>
        </w:rPr>
        <w:t xml:space="preserve">and </w:t>
      </w:r>
      <w:r w:rsidRPr="00B70FE5">
        <w:rPr>
          <w:color w:val="000000" w:themeColor="text1"/>
        </w:rPr>
        <w:t>the self-labelling measure of bullying in the current workplace. There was no difference in the prevalence of bullying reported by respondents in professional, semi-professional, trades or manual occupations and other occupations [6.2.1]. Similarly, managers and supervisors reported a similar level of bullying to those respondents in non-managerial positions. Interestingly, respondents in fixed-term and casual contracts were less likely to report bullying than respondents in permanent positions [6.2.1]. There was also no difference in the level of bullying reported by respondents employed in the Commonwealth</w:t>
      </w:r>
      <w:r w:rsidR="00A54F62">
        <w:rPr>
          <w:color w:val="000000" w:themeColor="text1"/>
        </w:rPr>
        <w:t xml:space="preserve"> public service</w:t>
      </w:r>
      <w:r w:rsidRPr="00B70FE5">
        <w:rPr>
          <w:color w:val="000000" w:themeColor="text1"/>
        </w:rPr>
        <w:t xml:space="preserve">, </w:t>
      </w:r>
      <w:r w:rsidR="000F266B">
        <w:rPr>
          <w:color w:val="000000" w:themeColor="text1"/>
        </w:rPr>
        <w:t>s</w:t>
      </w:r>
      <w:r w:rsidRPr="00B70FE5">
        <w:rPr>
          <w:color w:val="000000" w:themeColor="text1"/>
        </w:rPr>
        <w:t>tate/</w:t>
      </w:r>
      <w:r w:rsidR="000F266B">
        <w:rPr>
          <w:color w:val="000000" w:themeColor="text1"/>
        </w:rPr>
        <w:t>t</w:t>
      </w:r>
      <w:r w:rsidRPr="00B70FE5">
        <w:rPr>
          <w:color w:val="000000" w:themeColor="text1"/>
        </w:rPr>
        <w:t>erritory</w:t>
      </w:r>
      <w:r w:rsidR="00A54F62">
        <w:rPr>
          <w:color w:val="000000" w:themeColor="text1"/>
        </w:rPr>
        <w:t xml:space="preserve"> public service</w:t>
      </w:r>
      <w:r w:rsidRPr="00B70FE5">
        <w:rPr>
          <w:color w:val="000000" w:themeColor="text1"/>
        </w:rPr>
        <w:t>, NGO and private sectors. In addition, hours worked and reported household income were not associated with current bullying [6.2.1].</w:t>
      </w:r>
    </w:p>
    <w:p w:rsidR="00D36150" w:rsidRDefault="00D36150" w:rsidP="00D36150">
      <w:pPr>
        <w:rPr>
          <w:color w:val="000000" w:themeColor="text1"/>
        </w:rPr>
      </w:pPr>
      <w:r w:rsidRPr="00B70FE5">
        <w:rPr>
          <w:color w:val="000000" w:themeColor="text1"/>
        </w:rPr>
        <w:t xml:space="preserve">A series of analyses were conducted to consider the association between personality characteristics, personal characteristics and current </w:t>
      </w:r>
      <w:r w:rsidR="00DC45A8">
        <w:rPr>
          <w:color w:val="000000" w:themeColor="text1"/>
        </w:rPr>
        <w:t xml:space="preserve">workplace </w:t>
      </w:r>
      <w:r w:rsidRPr="00B70FE5">
        <w:rPr>
          <w:color w:val="000000" w:themeColor="text1"/>
        </w:rPr>
        <w:t xml:space="preserve">bullying experiences (Figures 6.4 to 6.9). Compared to those respondents who reported no experience of bullying, those who reported that they were currently being bullied demonstrated higher scores on </w:t>
      </w:r>
      <w:r w:rsidR="00291D44">
        <w:rPr>
          <w:color w:val="000000" w:themeColor="text1"/>
        </w:rPr>
        <w:t xml:space="preserve">measures of personality factors including </w:t>
      </w:r>
      <w:r w:rsidRPr="00B70FE5">
        <w:rPr>
          <w:color w:val="000000" w:themeColor="text1"/>
        </w:rPr>
        <w:t>neuroticism</w:t>
      </w:r>
      <w:r w:rsidR="000758FB">
        <w:rPr>
          <w:color w:val="000000" w:themeColor="text1"/>
        </w:rPr>
        <w:t xml:space="preserve"> (e.g. worrying)</w:t>
      </w:r>
      <w:r w:rsidRPr="00B70FE5">
        <w:rPr>
          <w:color w:val="000000" w:themeColor="text1"/>
        </w:rPr>
        <w:t>, negative</w:t>
      </w:r>
      <w:r w:rsidR="000758FB">
        <w:rPr>
          <w:color w:val="000000" w:themeColor="text1"/>
        </w:rPr>
        <w:t xml:space="preserve"> affect (</w:t>
      </w:r>
      <w:r w:rsidR="00291D44">
        <w:rPr>
          <w:color w:val="000000" w:themeColor="text1"/>
        </w:rPr>
        <w:t>feelings</w:t>
      </w:r>
      <w:r w:rsidR="000758FB">
        <w:rPr>
          <w:color w:val="000000" w:themeColor="text1"/>
        </w:rPr>
        <w:t>)</w:t>
      </w:r>
      <w:r w:rsidRPr="00B70FE5">
        <w:rPr>
          <w:color w:val="000000" w:themeColor="text1"/>
        </w:rPr>
        <w:t xml:space="preserve"> and ruminative style, and lower scores on </w:t>
      </w:r>
      <w:r w:rsidR="00291D44">
        <w:rPr>
          <w:color w:val="000000" w:themeColor="text1"/>
        </w:rPr>
        <w:t>measures</w:t>
      </w:r>
      <w:r w:rsidRPr="00B70FE5">
        <w:rPr>
          <w:color w:val="000000" w:themeColor="text1"/>
        </w:rPr>
        <w:t xml:space="preserve"> of </w:t>
      </w:r>
      <w:r w:rsidR="000758FB">
        <w:rPr>
          <w:color w:val="000000" w:themeColor="text1"/>
        </w:rPr>
        <w:t xml:space="preserve">mastery (personal </w:t>
      </w:r>
      <w:r w:rsidRPr="00B70FE5">
        <w:rPr>
          <w:color w:val="000000" w:themeColor="text1"/>
        </w:rPr>
        <w:t>control</w:t>
      </w:r>
      <w:r w:rsidR="00291D44">
        <w:rPr>
          <w:color w:val="000000" w:themeColor="text1"/>
        </w:rPr>
        <w:t>)</w:t>
      </w:r>
      <w:r w:rsidRPr="00B70FE5">
        <w:rPr>
          <w:color w:val="000000" w:themeColor="text1"/>
        </w:rPr>
        <w:t xml:space="preserve"> [6.2.2]. In terms of personal resources, those reporting current bullying also reported a smaller network of family and friends and a greater number of adverse life events in </w:t>
      </w:r>
      <w:r w:rsidRPr="00E1488A">
        <w:rPr>
          <w:color w:val="000000" w:themeColor="text1"/>
        </w:rPr>
        <w:t>the past six months [6.2.2].</w:t>
      </w:r>
    </w:p>
    <w:p w:rsidR="00FB42C7" w:rsidRDefault="00FB42C7" w:rsidP="00D36150">
      <w:pPr>
        <w:rPr>
          <w:color w:val="000000" w:themeColor="text1"/>
        </w:rPr>
      </w:pPr>
      <w:r w:rsidRPr="00654CE6">
        <w:t xml:space="preserve">It is important to recognise the potential role of mental health problems in increasing individual vulnerability and risk of workplace bullying, with some research demonstrating that those who experience depression or psychological distress are at increased risk of subsequent experience of workplace bullying [6.2.3]. With the four waves of PATH data, we were able to test this hypothesis by investigating whether high levels of depression symptoms at wave 1 </w:t>
      </w:r>
      <w:r w:rsidR="00DC45A8">
        <w:t xml:space="preserve">of the study </w:t>
      </w:r>
      <w:r w:rsidRPr="00654CE6">
        <w:t>were associated with reported experiences of workplace bullying 12 years later</w:t>
      </w:r>
      <w:r>
        <w:t xml:space="preserve"> (</w:t>
      </w:r>
      <w:r w:rsidRPr="00654CE6">
        <w:t>Figure 6.12</w:t>
      </w:r>
      <w:r>
        <w:t>).</w:t>
      </w:r>
    </w:p>
    <w:p w:rsidR="00FB42C7" w:rsidRDefault="00FB42C7" w:rsidP="00D36150">
      <w:pPr>
        <w:rPr>
          <w:color w:val="000000" w:themeColor="text1"/>
        </w:rPr>
      </w:pPr>
    </w:p>
    <w:p w:rsidR="002F7F42" w:rsidRDefault="002F7F42" w:rsidP="002F7F42">
      <w:pPr>
        <w:pStyle w:val="FigureCaption"/>
        <w:pBdr>
          <w:top w:val="single" w:sz="4" w:space="1" w:color="auto"/>
          <w:left w:val="single" w:sz="4" w:space="4" w:color="auto"/>
          <w:bottom w:val="single" w:sz="4" w:space="1" w:color="auto"/>
          <w:right w:val="single" w:sz="4" w:space="4" w:color="auto"/>
        </w:pBdr>
      </w:pPr>
      <w:bookmarkStart w:id="19" w:name="_Toc345491182"/>
      <w:bookmarkStart w:id="20" w:name="_Toc355962001"/>
      <w:r w:rsidRPr="00F31A05">
        <w:lastRenderedPageBreak/>
        <w:t>Figure 6.4: Mean score on neuroticism scale by whether experienced workplace bullying</w:t>
      </w:r>
      <w:bookmarkEnd w:id="19"/>
      <w:r>
        <w:t xml:space="preserve"> never or currently</w:t>
      </w:r>
      <w:bookmarkEnd w:id="20"/>
    </w:p>
    <w:p w:rsidR="002F7F42" w:rsidRDefault="002F6447" w:rsidP="002F7F42">
      <w:pPr>
        <w:pBdr>
          <w:top w:val="single" w:sz="4" w:space="1" w:color="auto"/>
          <w:left w:val="single" w:sz="4" w:space="4" w:color="auto"/>
          <w:bottom w:val="single" w:sz="4" w:space="1" w:color="auto"/>
          <w:right w:val="single" w:sz="4" w:space="4" w:color="auto"/>
        </w:pBdr>
        <w:jc w:val="center"/>
      </w:pPr>
      <w:r w:rsidRPr="00435842">
        <w:rPr>
          <w:noProof/>
          <w:lang w:eastAsia="en-AU"/>
        </w:rPr>
        <w:drawing>
          <wp:inline distT="0" distB="0" distL="0" distR="0" wp14:anchorId="50F82413" wp14:editId="5A8CC012">
            <wp:extent cx="4257675" cy="2286000"/>
            <wp:effectExtent l="0" t="0" r="0" b="0"/>
            <wp:docPr id="1" name="Picture 1" descr="Bar chart. Respondents reporting current workplace bullying have a higher mean score on the neuroticism scale than those never bullied." title="Figure 6.4: Mean score on neuroticism scale by whether experienced workplace bullying never or cur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57675" cy="2286000"/>
                    </a:xfrm>
                    <a:prstGeom prst="rect">
                      <a:avLst/>
                    </a:prstGeom>
                    <a:noFill/>
                    <a:ln>
                      <a:noFill/>
                    </a:ln>
                  </pic:spPr>
                </pic:pic>
              </a:graphicData>
            </a:graphic>
          </wp:inline>
        </w:drawing>
      </w:r>
    </w:p>
    <w:p w:rsidR="002F7F42" w:rsidRDefault="002F7F42" w:rsidP="002F7F42"/>
    <w:p w:rsidR="002F7F42" w:rsidRDefault="002F7F42" w:rsidP="002F7F42">
      <w:pPr>
        <w:pStyle w:val="FigureCaption"/>
        <w:pBdr>
          <w:top w:val="single" w:sz="4" w:space="1" w:color="auto"/>
          <w:left w:val="single" w:sz="4" w:space="4" w:color="auto"/>
          <w:bottom w:val="single" w:sz="4" w:space="1" w:color="auto"/>
          <w:right w:val="single" w:sz="4" w:space="4" w:color="auto"/>
        </w:pBdr>
      </w:pPr>
      <w:bookmarkStart w:id="21" w:name="_Toc345491183"/>
      <w:bookmarkStart w:id="22" w:name="_Toc355962002"/>
      <w:r>
        <w:t>Figure 6.5: Mean score</w:t>
      </w:r>
      <w:r w:rsidRPr="00F31A05">
        <w:t xml:space="preserve"> on negative affect scale by whether experienced workplace bullying</w:t>
      </w:r>
      <w:bookmarkEnd w:id="21"/>
      <w:r w:rsidRPr="00D31927">
        <w:t xml:space="preserve"> </w:t>
      </w:r>
      <w:r>
        <w:t>never or currently</w:t>
      </w:r>
      <w:bookmarkEnd w:id="22"/>
    </w:p>
    <w:p w:rsidR="002F7F42" w:rsidRDefault="002F6447" w:rsidP="002F7F42">
      <w:pPr>
        <w:pBdr>
          <w:top w:val="single" w:sz="4" w:space="1" w:color="auto"/>
          <w:left w:val="single" w:sz="4" w:space="4" w:color="auto"/>
          <w:bottom w:val="single" w:sz="4" w:space="1" w:color="auto"/>
          <w:right w:val="single" w:sz="4" w:space="4" w:color="auto"/>
        </w:pBdr>
        <w:jc w:val="center"/>
      </w:pPr>
      <w:r w:rsidRPr="00435842">
        <w:rPr>
          <w:noProof/>
          <w:lang w:eastAsia="en-AU"/>
        </w:rPr>
        <w:drawing>
          <wp:inline distT="0" distB="0" distL="0" distR="0" wp14:anchorId="2743AB44" wp14:editId="6A0E21F9">
            <wp:extent cx="4257675" cy="2266950"/>
            <wp:effectExtent l="0" t="0" r="0" b="0"/>
            <wp:docPr id="2" name="Picture 2" descr="Bar chart. Respondents reporting current workplace bullying have a higher mean score on the negative affect scale than those never bullied." title="Figure 6.5: Mean score on negative affect scale by whether experienced workplace bullying never or cur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7675" cy="2266950"/>
                    </a:xfrm>
                    <a:prstGeom prst="rect">
                      <a:avLst/>
                    </a:prstGeom>
                    <a:noFill/>
                    <a:ln>
                      <a:noFill/>
                    </a:ln>
                  </pic:spPr>
                </pic:pic>
              </a:graphicData>
            </a:graphic>
          </wp:inline>
        </w:drawing>
      </w:r>
    </w:p>
    <w:p w:rsidR="002F7F42" w:rsidRDefault="002F7F42" w:rsidP="002F7F42"/>
    <w:p w:rsidR="002F7F42" w:rsidRDefault="002F7F42" w:rsidP="002F6447">
      <w:pPr>
        <w:pStyle w:val="FigureCaption"/>
        <w:pBdr>
          <w:top w:val="single" w:sz="4" w:space="1" w:color="auto"/>
          <w:left w:val="single" w:sz="4" w:space="4" w:color="auto"/>
          <w:bottom w:val="single" w:sz="4" w:space="1" w:color="auto"/>
          <w:right w:val="single" w:sz="4" w:space="4" w:color="auto"/>
        </w:pBdr>
      </w:pPr>
      <w:bookmarkStart w:id="23" w:name="_Toc345491184"/>
      <w:bookmarkStart w:id="24" w:name="_Toc355962003"/>
      <w:r>
        <w:t>Figure 6.6: Mean score</w:t>
      </w:r>
      <w:r w:rsidRPr="00810F87">
        <w:t xml:space="preserve"> on mastery scale by whether experienced workplace bullying</w:t>
      </w:r>
      <w:bookmarkEnd w:id="23"/>
      <w:r w:rsidRPr="00D31927">
        <w:t xml:space="preserve"> </w:t>
      </w:r>
      <w:r>
        <w:t>never or currently</w:t>
      </w:r>
      <w:bookmarkEnd w:id="24"/>
    </w:p>
    <w:p w:rsidR="002F7F42" w:rsidRDefault="002F6447" w:rsidP="002F6447">
      <w:pPr>
        <w:pBdr>
          <w:top w:val="single" w:sz="4" w:space="1" w:color="auto"/>
          <w:left w:val="single" w:sz="4" w:space="4" w:color="auto"/>
          <w:bottom w:val="single" w:sz="4" w:space="1" w:color="auto"/>
          <w:right w:val="single" w:sz="4" w:space="4" w:color="auto"/>
        </w:pBdr>
        <w:jc w:val="center"/>
      </w:pPr>
      <w:r w:rsidRPr="00435842">
        <w:rPr>
          <w:noProof/>
          <w:lang w:eastAsia="en-AU"/>
        </w:rPr>
        <w:drawing>
          <wp:inline distT="0" distB="0" distL="0" distR="0" wp14:anchorId="53CAAF09" wp14:editId="21A9DF23">
            <wp:extent cx="4229100" cy="2276475"/>
            <wp:effectExtent l="0" t="0" r="0" b="0"/>
            <wp:docPr id="13" name="Picture 13" descr="Bar chart. Respondents reporting that they never experienced workplace bullying have a higher mean score on the mastery scale than those reporting current bullying." title="Figure 6.6: Mean score on mastery scale by whether experienced workplace bullying never or cur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29100" cy="2276475"/>
                    </a:xfrm>
                    <a:prstGeom prst="rect">
                      <a:avLst/>
                    </a:prstGeom>
                    <a:noFill/>
                    <a:ln>
                      <a:noFill/>
                    </a:ln>
                  </pic:spPr>
                </pic:pic>
              </a:graphicData>
            </a:graphic>
          </wp:inline>
        </w:drawing>
      </w:r>
    </w:p>
    <w:p w:rsidR="002F7F42" w:rsidRDefault="002F7F42" w:rsidP="002F6447">
      <w:pPr>
        <w:pStyle w:val="FigureCaption"/>
        <w:pBdr>
          <w:top w:val="single" w:sz="4" w:space="1" w:color="auto"/>
          <w:left w:val="single" w:sz="4" w:space="4" w:color="auto"/>
          <w:bottom w:val="single" w:sz="4" w:space="1" w:color="auto"/>
          <w:right w:val="single" w:sz="4" w:space="4" w:color="auto"/>
        </w:pBdr>
      </w:pPr>
      <w:bookmarkStart w:id="25" w:name="_Toc345491185"/>
      <w:bookmarkStart w:id="26" w:name="_Toc355962004"/>
      <w:r>
        <w:lastRenderedPageBreak/>
        <w:t>Figure 6.7: Mean score</w:t>
      </w:r>
      <w:r w:rsidRPr="00810F87">
        <w:t xml:space="preserve"> on ruminative style scale by whether experienced workplace bullying</w:t>
      </w:r>
      <w:bookmarkEnd w:id="25"/>
      <w:r w:rsidRPr="00D31927">
        <w:t xml:space="preserve"> </w:t>
      </w:r>
      <w:r>
        <w:t>never or currently</w:t>
      </w:r>
      <w:bookmarkEnd w:id="26"/>
    </w:p>
    <w:p w:rsidR="002F7F42" w:rsidRDefault="002F6447" w:rsidP="002F6447">
      <w:pPr>
        <w:pBdr>
          <w:top w:val="single" w:sz="4" w:space="1" w:color="auto"/>
          <w:left w:val="single" w:sz="4" w:space="4" w:color="auto"/>
          <w:bottom w:val="single" w:sz="4" w:space="1" w:color="auto"/>
          <w:right w:val="single" w:sz="4" w:space="4" w:color="auto"/>
        </w:pBdr>
        <w:jc w:val="center"/>
      </w:pPr>
      <w:r w:rsidRPr="00EF4250">
        <w:rPr>
          <w:noProof/>
          <w:lang w:eastAsia="en-AU"/>
        </w:rPr>
        <w:drawing>
          <wp:inline distT="0" distB="0" distL="0" distR="0" wp14:anchorId="61DE4359" wp14:editId="26CA9F86">
            <wp:extent cx="4286250" cy="2257425"/>
            <wp:effectExtent l="0" t="0" r="0" b="0"/>
            <wp:docPr id="14" name="Picture 14" descr="Bar chart. Respondents reporting current workplace bullying have a higher mean score on the ruminative style scale than those never bullied." title="Figure 6.7: Mean score on ruminative style scale by whether experienced workplace bullying never or cur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0" cy="2257425"/>
                    </a:xfrm>
                    <a:prstGeom prst="rect">
                      <a:avLst/>
                    </a:prstGeom>
                    <a:noFill/>
                    <a:ln>
                      <a:noFill/>
                    </a:ln>
                  </pic:spPr>
                </pic:pic>
              </a:graphicData>
            </a:graphic>
          </wp:inline>
        </w:drawing>
      </w:r>
    </w:p>
    <w:p w:rsidR="002F7F42" w:rsidRDefault="002F7F42" w:rsidP="002F7F42"/>
    <w:p w:rsidR="002F7F42" w:rsidRDefault="002F7F42" w:rsidP="002F6447">
      <w:pPr>
        <w:pStyle w:val="FigureCaption"/>
        <w:pBdr>
          <w:top w:val="single" w:sz="4" w:space="1" w:color="auto"/>
          <w:left w:val="single" w:sz="4" w:space="4" w:color="auto"/>
          <w:bottom w:val="single" w:sz="4" w:space="1" w:color="auto"/>
          <w:right w:val="single" w:sz="4" w:space="4" w:color="auto"/>
        </w:pBdr>
      </w:pPr>
      <w:bookmarkStart w:id="27" w:name="_Toc345491186"/>
      <w:bookmarkStart w:id="28" w:name="_Toc355962005"/>
      <w:r w:rsidRPr="00D402B4">
        <w:t>Figure 6.8: Mean social network size by whether experienced workplace bullying</w:t>
      </w:r>
      <w:bookmarkEnd w:id="27"/>
      <w:r w:rsidRPr="00D31927">
        <w:t xml:space="preserve"> </w:t>
      </w:r>
      <w:r>
        <w:t>never or currently</w:t>
      </w:r>
      <w:bookmarkEnd w:id="28"/>
    </w:p>
    <w:p w:rsidR="002F7F42" w:rsidRDefault="002F6447" w:rsidP="002F6447">
      <w:pPr>
        <w:pBdr>
          <w:top w:val="single" w:sz="4" w:space="1" w:color="auto"/>
          <w:left w:val="single" w:sz="4" w:space="4" w:color="auto"/>
          <w:bottom w:val="single" w:sz="4" w:space="1" w:color="auto"/>
          <w:right w:val="single" w:sz="4" w:space="4" w:color="auto"/>
        </w:pBdr>
        <w:jc w:val="center"/>
      </w:pPr>
      <w:r w:rsidRPr="00EF4250">
        <w:rPr>
          <w:noProof/>
          <w:lang w:eastAsia="en-AU"/>
        </w:rPr>
        <w:drawing>
          <wp:inline distT="0" distB="0" distL="0" distR="0" wp14:anchorId="61330BAB" wp14:editId="7E537EF3">
            <wp:extent cx="4257675" cy="2286000"/>
            <wp:effectExtent l="0" t="0" r="0" b="0"/>
            <wp:docPr id="15" name="Picture 15" descr="Bar chart. Respondents reporting that they never experienced workplace bullying have a higher mean social network size than those reporting current bullying." title="Figure 6.8: Mean social network size by whether experienced workplace bullying never or cur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57675" cy="2286000"/>
                    </a:xfrm>
                    <a:prstGeom prst="rect">
                      <a:avLst/>
                    </a:prstGeom>
                    <a:noFill/>
                    <a:ln>
                      <a:noFill/>
                    </a:ln>
                  </pic:spPr>
                </pic:pic>
              </a:graphicData>
            </a:graphic>
          </wp:inline>
        </w:drawing>
      </w:r>
    </w:p>
    <w:p w:rsidR="002F7F42" w:rsidRDefault="002F7F42" w:rsidP="002F7F42"/>
    <w:p w:rsidR="002F7F42" w:rsidRDefault="002F7F42" w:rsidP="002F6447">
      <w:pPr>
        <w:pStyle w:val="FigureCaption"/>
        <w:pBdr>
          <w:top w:val="single" w:sz="4" w:space="1" w:color="auto"/>
          <w:left w:val="single" w:sz="4" w:space="4" w:color="auto"/>
          <w:bottom w:val="single" w:sz="4" w:space="1" w:color="auto"/>
          <w:right w:val="single" w:sz="4" w:space="4" w:color="auto"/>
        </w:pBdr>
      </w:pPr>
      <w:bookmarkStart w:id="29" w:name="_Toc345491187"/>
      <w:bookmarkStart w:id="30" w:name="_Toc355962006"/>
      <w:r w:rsidRPr="00D402B4">
        <w:t>Figure 6.9: Mean number of significant life events in past 6 months by whether experienced workplace bullying</w:t>
      </w:r>
      <w:bookmarkEnd w:id="29"/>
      <w:r w:rsidRPr="00D31927">
        <w:t xml:space="preserve"> </w:t>
      </w:r>
      <w:r>
        <w:t>never or currently</w:t>
      </w:r>
      <w:bookmarkEnd w:id="30"/>
    </w:p>
    <w:p w:rsidR="002F7F42" w:rsidRDefault="002F6447" w:rsidP="002F6447">
      <w:pPr>
        <w:pBdr>
          <w:top w:val="single" w:sz="4" w:space="1" w:color="auto"/>
          <w:left w:val="single" w:sz="4" w:space="4" w:color="auto"/>
          <w:bottom w:val="single" w:sz="4" w:space="1" w:color="auto"/>
          <w:right w:val="single" w:sz="4" w:space="4" w:color="auto"/>
        </w:pBdr>
        <w:jc w:val="center"/>
      </w:pPr>
      <w:r w:rsidRPr="00EF4250">
        <w:rPr>
          <w:noProof/>
          <w:lang w:eastAsia="en-AU"/>
        </w:rPr>
        <w:drawing>
          <wp:inline distT="0" distB="0" distL="0" distR="0" wp14:anchorId="52745AD3" wp14:editId="54CD3A3A">
            <wp:extent cx="4276725" cy="2266950"/>
            <wp:effectExtent l="0" t="0" r="0" b="0"/>
            <wp:docPr id="22" name="Picture 22" descr="Bar chart. Respondents reporting current workplace bullying have a higher mean number of significant life events in the past six months than those never bullied." title="Figure 6.9: Mean number of significant life events in past 6 months by whether experienced workplace bullying never or cur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76725" cy="2266950"/>
                    </a:xfrm>
                    <a:prstGeom prst="rect">
                      <a:avLst/>
                    </a:prstGeom>
                    <a:noFill/>
                    <a:ln>
                      <a:noFill/>
                    </a:ln>
                  </pic:spPr>
                </pic:pic>
              </a:graphicData>
            </a:graphic>
          </wp:inline>
        </w:drawing>
      </w:r>
    </w:p>
    <w:p w:rsidR="00FB42C7" w:rsidRDefault="00FB42C7" w:rsidP="002F6447">
      <w:pPr>
        <w:pStyle w:val="FigureCaption"/>
        <w:pBdr>
          <w:top w:val="single" w:sz="4" w:space="1" w:color="auto"/>
          <w:left w:val="single" w:sz="4" w:space="4" w:color="auto"/>
          <w:bottom w:val="single" w:sz="4" w:space="1" w:color="auto"/>
          <w:right w:val="single" w:sz="4" w:space="4" w:color="auto"/>
        </w:pBdr>
      </w:pPr>
      <w:bookmarkStart w:id="31" w:name="_Toc345491190"/>
      <w:bookmarkStart w:id="32" w:name="_Toc355962009"/>
      <w:r w:rsidRPr="000F2913">
        <w:lastRenderedPageBreak/>
        <w:t xml:space="preserve">Figure 6.12: </w:t>
      </w:r>
      <w:r>
        <w:t>Proportion of respondents reporting c</w:t>
      </w:r>
      <w:r w:rsidRPr="000F2913">
        <w:t>urrent workplace bullying by depression status at wave 1 (1999)</w:t>
      </w:r>
      <w:bookmarkEnd w:id="31"/>
      <w:bookmarkEnd w:id="32"/>
    </w:p>
    <w:p w:rsidR="00FB42C7" w:rsidRDefault="002F6447" w:rsidP="002F6447">
      <w:pPr>
        <w:pBdr>
          <w:top w:val="single" w:sz="4" w:space="1" w:color="auto"/>
          <w:left w:val="single" w:sz="4" w:space="4" w:color="auto"/>
          <w:bottom w:val="single" w:sz="4" w:space="1" w:color="auto"/>
          <w:right w:val="single" w:sz="4" w:space="4" w:color="auto"/>
        </w:pBdr>
        <w:jc w:val="center"/>
      </w:pPr>
      <w:r w:rsidRPr="00EF4250">
        <w:rPr>
          <w:noProof/>
          <w:lang w:eastAsia="en-AU"/>
        </w:rPr>
        <w:drawing>
          <wp:inline distT="0" distB="0" distL="0" distR="0" wp14:anchorId="04A0E652" wp14:editId="2BB09216">
            <wp:extent cx="4276725" cy="2447925"/>
            <wp:effectExtent l="0" t="0" r="0" b="0"/>
            <wp:docPr id="24" name="Picture 24" descr="About 9% of respondents reporting significant depression symptoms at wave 1 and 4.6% of respondents reporting no significant depression symptoms at wave 1 report current workplace bullying." title="Figure 6.12: Proportion of respondents reporting current workplace bullying by depression status at wave 1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76725" cy="2447925"/>
                    </a:xfrm>
                    <a:prstGeom prst="rect">
                      <a:avLst/>
                    </a:prstGeom>
                    <a:noFill/>
                    <a:ln>
                      <a:noFill/>
                    </a:ln>
                  </pic:spPr>
                </pic:pic>
              </a:graphicData>
            </a:graphic>
          </wp:inline>
        </w:drawing>
      </w:r>
    </w:p>
    <w:p w:rsidR="00FB42C7" w:rsidRDefault="00FB42C7" w:rsidP="00D36150"/>
    <w:p w:rsidR="00D36150" w:rsidRDefault="00D36150" w:rsidP="00D36150">
      <w:r w:rsidRPr="00654CE6">
        <w:t>Somewhat surprisingly, whereas the rate of reported current workplace bullying among those who reported no depression at wave 1 was just under 5% (a little below the overall level in the sample), those respondents who were identified with high levels of depression 12 years earlier ha</w:t>
      </w:r>
      <w:r w:rsidR="00C052D8">
        <w:t>ve</w:t>
      </w:r>
      <w:r w:rsidRPr="00654CE6">
        <w:t xml:space="preserve"> almost double the </w:t>
      </w:r>
      <w:r>
        <w:t>likelihood</w:t>
      </w:r>
      <w:r w:rsidRPr="00654CE6">
        <w:t xml:space="preserve"> of currently experiencing workplace bullying. While these results could reflect a sustained response bias, with enduring personality characteristics influencing the responses to survey items, the results could also point to </w:t>
      </w:r>
      <w:r>
        <w:t>a</w:t>
      </w:r>
      <w:r w:rsidRPr="00654CE6">
        <w:t xml:space="preserve"> cycle of vulnerability with the experience of depression increasing an individual’s vulnerability to workplace bullying which in turn reinforces the despair and hopelessness experienced by the individuals.</w:t>
      </w:r>
    </w:p>
    <w:p w:rsidR="005933BC" w:rsidRDefault="005933BC" w:rsidP="00D36150"/>
    <w:p w:rsidR="001C4632" w:rsidRDefault="001C4632">
      <w:pPr>
        <w:spacing w:after="200" w:line="276" w:lineRule="auto"/>
        <w:rPr>
          <w:rFonts w:eastAsiaTheme="majorEastAsia" w:cstheme="majorBidi"/>
          <w:b/>
          <w:sz w:val="32"/>
        </w:rPr>
      </w:pPr>
      <w:bookmarkStart w:id="33" w:name="_Toc352070756"/>
      <w:r>
        <w:br w:type="page"/>
      </w:r>
    </w:p>
    <w:p w:rsidR="00D36150" w:rsidRDefault="00BD7CF8" w:rsidP="00001311">
      <w:pPr>
        <w:pStyle w:val="Heading1"/>
      </w:pPr>
      <w:r>
        <w:lastRenderedPageBreak/>
        <w:t>WORK HEALTH AND SAFETY POLICY IMPLICATIONS</w:t>
      </w:r>
      <w:bookmarkEnd w:id="33"/>
    </w:p>
    <w:p w:rsidR="00D36150" w:rsidRPr="003711E4" w:rsidRDefault="00D36150" w:rsidP="00D36150">
      <w:r w:rsidRPr="003711E4">
        <w:t xml:space="preserve">The scope of </w:t>
      </w:r>
      <w:r>
        <w:t>the Work Well</w:t>
      </w:r>
      <w:r w:rsidR="002765CA">
        <w:t>b</w:t>
      </w:r>
      <w:r>
        <w:t>eing Project</w:t>
      </w:r>
      <w:r w:rsidRPr="003711E4">
        <w:t xml:space="preserve"> was broad</w:t>
      </w:r>
      <w:r>
        <w:t xml:space="preserve">. The findings </w:t>
      </w:r>
      <w:r w:rsidR="00B138F1">
        <w:t xml:space="preserve">presented briefly </w:t>
      </w:r>
      <w:r>
        <w:t xml:space="preserve">in this summary and described in more detail in the </w:t>
      </w:r>
      <w:r w:rsidR="00B6356B">
        <w:t>technical</w:t>
      </w:r>
      <w:r>
        <w:t xml:space="preserve"> report were focussed on</w:t>
      </w:r>
      <w:r w:rsidRPr="003711E4">
        <w:t xml:space="preserve"> enhancing the evidence base for the interrelationship between work cha</w:t>
      </w:r>
      <w:r>
        <w:t xml:space="preserve">racteristics and depression. We also give examples of </w:t>
      </w:r>
      <w:r w:rsidRPr="003711E4">
        <w:t>how the focus in the PATH study on personal characteristics and longitudinal data provides an opportunity to identify risk and protective factors and characteristics that may increase an individuals’ vulnerability to later workplace adversity</w:t>
      </w:r>
      <w:r>
        <w:t xml:space="preserve">. </w:t>
      </w:r>
      <w:r w:rsidR="00B138F1">
        <w:t>Although preliminary, th</w:t>
      </w:r>
      <w:r>
        <w:t>ese findings have implications for work health and safety policy in the form of ongoing concerns and options for the way ahead.</w:t>
      </w:r>
    </w:p>
    <w:p w:rsidR="00D36150" w:rsidRDefault="00D36150" w:rsidP="00BE28D4">
      <w:pPr>
        <w:pStyle w:val="Heading2"/>
      </w:pPr>
      <w:r>
        <w:t>Concerns</w:t>
      </w:r>
    </w:p>
    <w:p w:rsidR="007B651D" w:rsidRDefault="00450520" w:rsidP="00D36150">
      <w:r>
        <w:rPr>
          <w:color w:val="000000" w:themeColor="text1"/>
        </w:rPr>
        <w:t>T</w:t>
      </w:r>
      <w:r w:rsidRPr="00905175">
        <w:rPr>
          <w:color w:val="000000" w:themeColor="text1"/>
        </w:rPr>
        <w:t xml:space="preserve">he </w:t>
      </w:r>
      <w:r>
        <w:rPr>
          <w:color w:val="000000" w:themeColor="text1"/>
        </w:rPr>
        <w:t xml:space="preserve">early </w:t>
      </w:r>
      <w:r w:rsidRPr="00905175">
        <w:rPr>
          <w:color w:val="000000" w:themeColor="text1"/>
        </w:rPr>
        <w:t xml:space="preserve">findings </w:t>
      </w:r>
      <w:r>
        <w:rPr>
          <w:color w:val="000000" w:themeColor="text1"/>
        </w:rPr>
        <w:t>from this study</w:t>
      </w:r>
      <w:r w:rsidRPr="00905175">
        <w:rPr>
          <w:color w:val="000000" w:themeColor="text1"/>
        </w:rPr>
        <w:t xml:space="preserve"> further demonstra</w:t>
      </w:r>
      <w:r>
        <w:rPr>
          <w:color w:val="000000" w:themeColor="text1"/>
        </w:rPr>
        <w:t>te the</w:t>
      </w:r>
      <w:r w:rsidRPr="00905175">
        <w:rPr>
          <w:color w:val="000000" w:themeColor="text1"/>
        </w:rPr>
        <w:t xml:space="preserve"> relationship between personal characteristics, work characteristics, wo</w:t>
      </w:r>
      <w:r>
        <w:rPr>
          <w:color w:val="000000" w:themeColor="text1"/>
        </w:rPr>
        <w:t xml:space="preserve">rkplace bullying, depression and other adverse outcomes. </w:t>
      </w:r>
      <w:r w:rsidR="007B651D">
        <w:t>For example, t</w:t>
      </w:r>
      <w:r w:rsidR="007B651D" w:rsidRPr="00590838">
        <w:t>he longitudinal data</w:t>
      </w:r>
      <w:r w:rsidR="007B651D">
        <w:t xml:space="preserve"> from the PATH study</w:t>
      </w:r>
      <w:r w:rsidR="007B651D" w:rsidRPr="00590838">
        <w:t xml:space="preserve"> show</w:t>
      </w:r>
      <w:r w:rsidR="007B651D">
        <w:t>ed</w:t>
      </w:r>
      <w:r w:rsidR="007B651D" w:rsidRPr="00590838">
        <w:t xml:space="preserve"> how factors such as depression and impulsivity were associated with later risk of work-related injury</w:t>
      </w:r>
      <w:r w:rsidR="007B651D">
        <w:t xml:space="preserve">. This </w:t>
      </w:r>
      <w:r w:rsidR="007B651D" w:rsidRPr="00590838">
        <w:t xml:space="preserve">finding </w:t>
      </w:r>
      <w:r w:rsidR="007B651D">
        <w:t>is likely to</w:t>
      </w:r>
      <w:r w:rsidR="007B651D" w:rsidRPr="00590838">
        <w:t xml:space="preserve"> generalise across populations</w:t>
      </w:r>
      <w:r w:rsidR="007B651D">
        <w:t xml:space="preserve"> [5.2].</w:t>
      </w:r>
    </w:p>
    <w:p w:rsidR="00D36150" w:rsidRDefault="00D36150" w:rsidP="00450520">
      <w:r>
        <w:t>The</w:t>
      </w:r>
      <w:r w:rsidRPr="00C41577">
        <w:t xml:space="preserve"> preliminary analysis of </w:t>
      </w:r>
      <w:r w:rsidR="007613DA">
        <w:t xml:space="preserve">the </w:t>
      </w:r>
      <w:r>
        <w:t xml:space="preserve">PATH </w:t>
      </w:r>
      <w:r w:rsidR="007613DA">
        <w:t xml:space="preserve">study’s </w:t>
      </w:r>
      <w:r>
        <w:t xml:space="preserve">20+ </w:t>
      </w:r>
      <w:r w:rsidR="00560E72">
        <w:t>sample</w:t>
      </w:r>
      <w:r>
        <w:t xml:space="preserve"> wave 4</w:t>
      </w:r>
      <w:r w:rsidRPr="00C41577">
        <w:t xml:space="preserve"> data </w:t>
      </w:r>
      <w:r w:rsidR="007613DA">
        <w:t xml:space="preserve">also </w:t>
      </w:r>
      <w:r w:rsidR="00B138F1">
        <w:t>shows</w:t>
      </w:r>
      <w:r w:rsidRPr="00C41577">
        <w:t xml:space="preserve"> how workplace bullying may be an important determinant of mental health </w:t>
      </w:r>
      <w:r w:rsidR="000338A5">
        <w:t xml:space="preserve">problems </w:t>
      </w:r>
      <w:r w:rsidRPr="00C41577">
        <w:t xml:space="preserve">and highlights the significant personal consequences of bullying experiences. Although the analyses identified the strong correlation between workplace bullying and other psychosocial </w:t>
      </w:r>
      <w:r w:rsidR="00CA63D1">
        <w:t xml:space="preserve">work </w:t>
      </w:r>
      <w:r w:rsidRPr="00C41577">
        <w:t xml:space="preserve">hazards the results suggest that workplace bullying </w:t>
      </w:r>
      <w:r w:rsidR="007613DA">
        <w:t>is</w:t>
      </w:r>
      <w:r w:rsidRPr="00C41577">
        <w:t xml:space="preserve"> an independent predictor of depression over and above the contribution of </w:t>
      </w:r>
      <w:r w:rsidR="007613DA">
        <w:t xml:space="preserve">these </w:t>
      </w:r>
      <w:r w:rsidRPr="00C41577">
        <w:t>other factors [6.2.3]</w:t>
      </w:r>
      <w:r>
        <w:t>.</w:t>
      </w:r>
      <w:r w:rsidR="00450520">
        <w:t xml:space="preserve"> Further, </w:t>
      </w:r>
      <w:r w:rsidR="007B651D">
        <w:t>w</w:t>
      </w:r>
      <w:r w:rsidR="007B651D" w:rsidRPr="00590838">
        <w:t>hile organisations such as the Productivity Commission have documented the costs to employers of workplace bullying, the adverse personal consequences for the bull</w:t>
      </w:r>
      <w:r w:rsidR="007B651D">
        <w:t>ied person</w:t>
      </w:r>
      <w:r w:rsidR="007B651D" w:rsidRPr="00590838">
        <w:t xml:space="preserve"> was demonstrated in </w:t>
      </w:r>
      <w:r w:rsidR="007B651D">
        <w:t xml:space="preserve">the present study by the </w:t>
      </w:r>
      <w:r w:rsidR="007B651D" w:rsidRPr="00590838">
        <w:t xml:space="preserve">more than doubling of the risk of depression and </w:t>
      </w:r>
      <w:r w:rsidR="007B651D">
        <w:t xml:space="preserve">thoughts of </w:t>
      </w:r>
      <w:r w:rsidR="007B651D" w:rsidRPr="00590838">
        <w:t>suicid</w:t>
      </w:r>
      <w:r w:rsidR="007B651D">
        <w:t>e</w:t>
      </w:r>
      <w:r w:rsidR="007B651D" w:rsidRPr="00590838">
        <w:t>.</w:t>
      </w:r>
      <w:r w:rsidR="007B651D">
        <w:t xml:space="preserve"> </w:t>
      </w:r>
      <w:r w:rsidR="007B651D" w:rsidRPr="00590838">
        <w:t>However, the inter-relationship between depression and bullying</w:t>
      </w:r>
      <w:r w:rsidR="007B651D">
        <w:t xml:space="preserve"> </w:t>
      </w:r>
      <w:r w:rsidR="007B651D" w:rsidRPr="00590838">
        <w:t>is complex, with evidence showing that those with depression from 12 years earlier reported almost double the r</w:t>
      </w:r>
      <w:r w:rsidR="007B651D">
        <w:t>isk</w:t>
      </w:r>
      <w:r w:rsidR="007B651D" w:rsidRPr="00590838">
        <w:t xml:space="preserve"> of </w:t>
      </w:r>
      <w:r w:rsidR="007B651D">
        <w:t xml:space="preserve">experiencing </w:t>
      </w:r>
      <w:r w:rsidR="007B651D" w:rsidRPr="00590838">
        <w:t xml:space="preserve">workplace bullying as those who did not report prior depression </w:t>
      </w:r>
      <w:r w:rsidR="007B651D">
        <w:t>[6.2.3].</w:t>
      </w:r>
    </w:p>
    <w:p w:rsidR="00D36150" w:rsidRDefault="00D36150" w:rsidP="00BE28D4">
      <w:pPr>
        <w:pStyle w:val="Heading2"/>
      </w:pPr>
      <w:r>
        <w:t xml:space="preserve">Options for </w:t>
      </w:r>
      <w:r w:rsidR="007613DA">
        <w:t xml:space="preserve">the </w:t>
      </w:r>
      <w:r>
        <w:t>way ahead</w:t>
      </w:r>
    </w:p>
    <w:p w:rsidR="007F0A38" w:rsidRDefault="00145B70" w:rsidP="00D029CB">
      <w:r>
        <w:t>I</w:t>
      </w:r>
      <w:r w:rsidR="00D36150" w:rsidRPr="00BD008C">
        <w:t xml:space="preserve">ndividual differences in personality and personal resources </w:t>
      </w:r>
      <w:r w:rsidR="00D029CB">
        <w:t>may</w:t>
      </w:r>
      <w:r w:rsidR="00D36150" w:rsidRPr="00BD008C">
        <w:t xml:space="preserve"> </w:t>
      </w:r>
      <w:r w:rsidR="00177A16">
        <w:t xml:space="preserve">contribute to the </w:t>
      </w:r>
      <w:r w:rsidR="00F21118">
        <w:t xml:space="preserve">observed </w:t>
      </w:r>
      <w:r w:rsidR="00D36150" w:rsidRPr="00BD008C">
        <w:t xml:space="preserve">differences in the prevalence of bullying </w:t>
      </w:r>
      <w:r w:rsidR="00F71047">
        <w:t>and</w:t>
      </w:r>
      <w:r w:rsidR="00D36150" w:rsidRPr="00BD008C">
        <w:t xml:space="preserve"> may explain differences in </w:t>
      </w:r>
      <w:r w:rsidR="002A2F9A">
        <w:t xml:space="preserve">the </w:t>
      </w:r>
      <w:r w:rsidR="00D36150" w:rsidRPr="00BD008C">
        <w:t xml:space="preserve">health and wellbeing </w:t>
      </w:r>
      <w:r w:rsidR="002A2F9A">
        <w:t>of</w:t>
      </w:r>
      <w:r w:rsidR="00D36150" w:rsidRPr="00BD008C">
        <w:t xml:space="preserve"> those who report having experienced bullying. </w:t>
      </w:r>
      <w:r w:rsidR="00D029CB">
        <w:t>For example, deep-rooted vulnerabilities may exacerbate the effects of acute incidents and complicate intervention efforts. Alternatively, resilient</w:t>
      </w:r>
      <w:r w:rsidR="00D36150" w:rsidRPr="00BD008C">
        <w:t xml:space="preserve"> personality factors</w:t>
      </w:r>
      <w:r>
        <w:t xml:space="preserve"> and resources such as</w:t>
      </w:r>
      <w:r w:rsidR="00D36150" w:rsidRPr="00BD008C">
        <w:t xml:space="preserve"> support from </w:t>
      </w:r>
      <w:r w:rsidR="00D029CB">
        <w:t>social and workplace networks and fair reward for effort</w:t>
      </w:r>
      <w:r w:rsidR="00D36150" w:rsidRPr="00BD008C">
        <w:t xml:space="preserve"> may reduce the impact that exposure to workplace bullying has on </w:t>
      </w:r>
      <w:r w:rsidR="006C0593">
        <w:t>one</w:t>
      </w:r>
      <w:r w:rsidR="00D36150" w:rsidRPr="00BD008C">
        <w:t>’s mental health, productivity</w:t>
      </w:r>
      <w:r w:rsidR="006C0593">
        <w:t>,</w:t>
      </w:r>
      <w:r w:rsidR="00D36150" w:rsidRPr="00BD008C">
        <w:t xml:space="preserve"> time away from work</w:t>
      </w:r>
      <w:r w:rsidR="006C0593">
        <w:t xml:space="preserve"> and</w:t>
      </w:r>
      <w:r w:rsidR="00D36150" w:rsidRPr="00BD008C">
        <w:t xml:space="preserve"> likelihood of changing jobs or leaving the workforce</w:t>
      </w:r>
      <w:r w:rsidR="00D36150">
        <w:t xml:space="preserve"> [6.2.2]</w:t>
      </w:r>
      <w:r w:rsidR="00D36150" w:rsidRPr="00BD008C">
        <w:t xml:space="preserve">. </w:t>
      </w:r>
      <w:r w:rsidR="007F0A38">
        <w:rPr>
          <w:color w:val="000000" w:themeColor="text1"/>
        </w:rPr>
        <w:t>Therefore</w:t>
      </w:r>
      <w:r w:rsidR="003D7DF1">
        <w:rPr>
          <w:color w:val="000000" w:themeColor="text1"/>
        </w:rPr>
        <w:t>,</w:t>
      </w:r>
      <w:r w:rsidR="007F0A38">
        <w:rPr>
          <w:color w:val="000000" w:themeColor="text1"/>
        </w:rPr>
        <w:t xml:space="preserve"> </w:t>
      </w:r>
      <w:r w:rsidR="00D029CB">
        <w:rPr>
          <w:color w:val="000000" w:themeColor="text1"/>
        </w:rPr>
        <w:t xml:space="preserve">a </w:t>
      </w:r>
      <w:r w:rsidR="003D7DF1">
        <w:rPr>
          <w:color w:val="000000" w:themeColor="text1"/>
        </w:rPr>
        <w:t xml:space="preserve">potential </w:t>
      </w:r>
      <w:r w:rsidR="007F0A38">
        <w:rPr>
          <w:color w:val="000000" w:themeColor="text1"/>
        </w:rPr>
        <w:t>practical implication</w:t>
      </w:r>
      <w:r w:rsidR="00D029CB">
        <w:rPr>
          <w:color w:val="000000" w:themeColor="text1"/>
        </w:rPr>
        <w:t xml:space="preserve"> of these findings is that </w:t>
      </w:r>
      <w:r w:rsidR="00DE6E6D">
        <w:rPr>
          <w:color w:val="000000" w:themeColor="text1"/>
        </w:rPr>
        <w:t xml:space="preserve">awareness of </w:t>
      </w:r>
      <w:r w:rsidR="006C0593">
        <w:rPr>
          <w:color w:val="000000" w:themeColor="text1"/>
        </w:rPr>
        <w:t>the consequences of adverse work characteristics</w:t>
      </w:r>
      <w:r w:rsidR="00DE6E6D">
        <w:rPr>
          <w:color w:val="000000" w:themeColor="text1"/>
        </w:rPr>
        <w:t xml:space="preserve"> and promotion of </w:t>
      </w:r>
      <w:r>
        <w:rPr>
          <w:color w:val="000000" w:themeColor="text1"/>
        </w:rPr>
        <w:t>personal</w:t>
      </w:r>
      <w:r w:rsidR="00DE6E6D">
        <w:rPr>
          <w:color w:val="000000" w:themeColor="text1"/>
        </w:rPr>
        <w:t xml:space="preserve"> resources </w:t>
      </w:r>
      <w:r w:rsidR="007F0A38">
        <w:rPr>
          <w:color w:val="000000" w:themeColor="text1"/>
        </w:rPr>
        <w:t xml:space="preserve">may </w:t>
      </w:r>
      <w:r w:rsidR="002F0DE0">
        <w:rPr>
          <w:color w:val="000000" w:themeColor="text1"/>
        </w:rPr>
        <w:t xml:space="preserve">help to </w:t>
      </w:r>
      <w:r w:rsidR="007F0A38">
        <w:rPr>
          <w:color w:val="000000" w:themeColor="text1"/>
        </w:rPr>
        <w:t xml:space="preserve">prevent </w:t>
      </w:r>
      <w:r w:rsidR="003D7DF1">
        <w:rPr>
          <w:color w:val="000000" w:themeColor="text1"/>
        </w:rPr>
        <w:t xml:space="preserve">the </w:t>
      </w:r>
      <w:r w:rsidR="002060B0">
        <w:rPr>
          <w:color w:val="000000" w:themeColor="text1"/>
        </w:rPr>
        <w:t>occurrence</w:t>
      </w:r>
      <w:r w:rsidR="007F0A38">
        <w:rPr>
          <w:color w:val="000000" w:themeColor="text1"/>
        </w:rPr>
        <w:t xml:space="preserve"> </w:t>
      </w:r>
      <w:r w:rsidR="003D7DF1">
        <w:rPr>
          <w:color w:val="000000" w:themeColor="text1"/>
        </w:rPr>
        <w:t>or minimise the</w:t>
      </w:r>
      <w:r w:rsidR="007F0A38">
        <w:rPr>
          <w:color w:val="000000" w:themeColor="text1"/>
        </w:rPr>
        <w:t xml:space="preserve"> consequences of </w:t>
      </w:r>
      <w:r w:rsidR="00DA58EF">
        <w:rPr>
          <w:color w:val="000000" w:themeColor="text1"/>
        </w:rPr>
        <w:t xml:space="preserve">workplace bullying and </w:t>
      </w:r>
      <w:r w:rsidR="007F0A38">
        <w:rPr>
          <w:color w:val="000000" w:themeColor="text1"/>
        </w:rPr>
        <w:t>depression.</w:t>
      </w:r>
    </w:p>
    <w:p w:rsidR="00D36150" w:rsidRDefault="00D36150" w:rsidP="00D36150">
      <w:r w:rsidRPr="00590838">
        <w:t xml:space="preserve">Further analysis of </w:t>
      </w:r>
      <w:r w:rsidR="00882EC0">
        <w:t xml:space="preserve">new Work Wellbeing data and existing </w:t>
      </w:r>
      <w:r w:rsidRPr="00590838">
        <w:t xml:space="preserve">PATH </w:t>
      </w:r>
      <w:r w:rsidR="000C532B">
        <w:t xml:space="preserve">study </w:t>
      </w:r>
      <w:r w:rsidRPr="00590838">
        <w:t>data</w:t>
      </w:r>
      <w:r>
        <w:t>, particularly incorporating data from previous survey waves,</w:t>
      </w:r>
      <w:r w:rsidRPr="00590838">
        <w:t xml:space="preserve"> can aid in better understanding th</w:t>
      </w:r>
      <w:r>
        <w:t>ese</w:t>
      </w:r>
      <w:r w:rsidRPr="00590838">
        <w:t xml:space="preserve"> </w:t>
      </w:r>
      <w:r w:rsidR="007F0A38">
        <w:t xml:space="preserve">complex </w:t>
      </w:r>
      <w:r w:rsidRPr="00590838">
        <w:t>association</w:t>
      </w:r>
      <w:r>
        <w:t>s</w:t>
      </w:r>
      <w:r w:rsidRPr="00590838">
        <w:t xml:space="preserve"> and </w:t>
      </w:r>
      <w:r w:rsidR="007F0A38">
        <w:t xml:space="preserve">improve the </w:t>
      </w:r>
      <w:r w:rsidRPr="00590838">
        <w:t>evidence base for future policy development</w:t>
      </w:r>
      <w:r>
        <w:t>.</w:t>
      </w:r>
    </w:p>
    <w:p w:rsidR="000C6C31" w:rsidRDefault="000C6C31" w:rsidP="000C6C31"/>
    <w:bookmarkEnd w:id="2"/>
    <w:sectPr w:rsidR="000C6C31" w:rsidSect="001F163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ED" w:rsidRDefault="00DD6DED" w:rsidP="008403E0">
      <w:pPr>
        <w:spacing w:after="0" w:line="240" w:lineRule="auto"/>
      </w:pPr>
      <w:r>
        <w:separator/>
      </w:r>
    </w:p>
  </w:endnote>
  <w:endnote w:type="continuationSeparator" w:id="0">
    <w:p w:rsidR="00DD6DED" w:rsidRDefault="00DD6DED" w:rsidP="0084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055187"/>
      <w:docPartObj>
        <w:docPartGallery w:val="Page Numbers (Bottom of Page)"/>
        <w:docPartUnique/>
      </w:docPartObj>
    </w:sdtPr>
    <w:sdtEndPr>
      <w:rPr>
        <w:noProof/>
      </w:rPr>
    </w:sdtEndPr>
    <w:sdtContent>
      <w:p w:rsidR="00DD6DED" w:rsidRDefault="00DD6DED">
        <w:pPr>
          <w:pStyle w:val="Footer"/>
          <w:jc w:val="right"/>
        </w:pPr>
        <w:r>
          <w:fldChar w:fldCharType="begin"/>
        </w:r>
        <w:r>
          <w:instrText xml:space="preserve"> PAGE   \* MERGEFORMAT </w:instrText>
        </w:r>
        <w:r>
          <w:fldChar w:fldCharType="separate"/>
        </w:r>
        <w:r w:rsidR="003C0D3A">
          <w:rPr>
            <w:noProof/>
          </w:rPr>
          <w:t>15</w:t>
        </w:r>
        <w:r>
          <w:rPr>
            <w:noProof/>
          </w:rPr>
          <w:fldChar w:fldCharType="end"/>
        </w:r>
      </w:p>
    </w:sdtContent>
  </w:sdt>
  <w:p w:rsidR="00DD6DED" w:rsidRDefault="00DD6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ED" w:rsidRDefault="00DD6DED" w:rsidP="008403E0">
      <w:pPr>
        <w:spacing w:after="0" w:line="240" w:lineRule="auto"/>
      </w:pPr>
      <w:r>
        <w:separator/>
      </w:r>
    </w:p>
  </w:footnote>
  <w:footnote w:type="continuationSeparator" w:id="0">
    <w:p w:rsidR="00DD6DED" w:rsidRDefault="00DD6DED" w:rsidP="00840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Other" style="width:9.75pt;height:9.75pt;visibility:visible;mso-wrap-style:square" o:bullet="t">
        <v:imagedata r:id="rId1" o:title="Other"/>
      </v:shape>
    </w:pict>
  </w:numPicBullet>
  <w:abstractNum w:abstractNumId="0">
    <w:nsid w:val="19133171"/>
    <w:multiLevelType w:val="multilevel"/>
    <w:tmpl w:val="052EF2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06BCA"/>
    <w:multiLevelType w:val="multilevel"/>
    <w:tmpl w:val="C908EBEE"/>
    <w:lvl w:ilvl="0">
      <w:start w:val="1"/>
      <w:numFmt w:val="upperLetter"/>
      <w:pStyle w:val="List-letter"/>
      <w:lvlText w:val="%1)"/>
      <w:lvlJc w:val="left"/>
      <w:pPr>
        <w:tabs>
          <w:tab w:val="num" w:pos="720"/>
        </w:tabs>
        <w:ind w:left="720" w:hanging="360"/>
      </w:pPr>
      <w:rPr>
        <w:rFonts w:hint="default"/>
        <w:sz w:val="22"/>
      </w:rPr>
    </w:lvl>
    <w:lvl w:ilvl="1">
      <w:start w:val="1"/>
      <w:numFmt w:val="lowerLetter"/>
      <w:pStyle w:val="List-lettersub"/>
      <w:lvlText w:val="%2)"/>
      <w:lvlJc w:val="left"/>
      <w:pPr>
        <w:tabs>
          <w:tab w:val="num" w:pos="1080"/>
        </w:tabs>
        <w:ind w:left="1080" w:hanging="360"/>
      </w:pPr>
      <w:rPr>
        <w:rFonts w:hint="default"/>
      </w:rPr>
    </w:lvl>
    <w:lvl w:ilvl="2">
      <w:start w:val="1"/>
      <w:numFmt w:val="bullet"/>
      <w:pStyle w:val="List-lettersubsub"/>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nsid w:val="32D544BD"/>
    <w:multiLevelType w:val="hybridMultilevel"/>
    <w:tmpl w:val="CD6AF6C0"/>
    <w:lvl w:ilvl="0" w:tplc="90D6EF54">
      <w:start w:val="1"/>
      <w:numFmt w:val="bullet"/>
      <w:pStyle w:val="List-bullet"/>
      <w:lvlText w:val=""/>
      <w:lvlJc w:val="left"/>
      <w:pPr>
        <w:tabs>
          <w:tab w:val="num" w:pos="431"/>
        </w:tabs>
        <w:ind w:left="431" w:hanging="360"/>
      </w:pPr>
      <w:rPr>
        <w:rFonts w:ascii="Symbol" w:hAnsi="Symbol" w:hint="default"/>
      </w:rPr>
    </w:lvl>
    <w:lvl w:ilvl="1" w:tplc="D1F43570">
      <w:start w:val="1"/>
      <w:numFmt w:val="bullet"/>
      <w:pStyle w:val="List-bulletsub"/>
      <w:lvlText w:val="o"/>
      <w:lvlJc w:val="left"/>
      <w:pPr>
        <w:tabs>
          <w:tab w:val="num" w:pos="1151"/>
        </w:tabs>
        <w:ind w:left="1151" w:hanging="360"/>
      </w:pPr>
      <w:rPr>
        <w:rFonts w:ascii="Courier New" w:hAnsi="Courier New" w:cs="Courier New" w:hint="default"/>
      </w:rPr>
    </w:lvl>
    <w:lvl w:ilvl="2" w:tplc="AE00D7D4">
      <w:start w:val="1"/>
      <w:numFmt w:val="bullet"/>
      <w:pStyle w:val="List-bulletsubsub"/>
      <w:lvlText w:val=""/>
      <w:lvlJc w:val="left"/>
      <w:pPr>
        <w:tabs>
          <w:tab w:val="num" w:pos="1871"/>
        </w:tabs>
        <w:ind w:left="1871" w:hanging="360"/>
      </w:pPr>
      <w:rPr>
        <w:rFonts w:ascii="Wingdings" w:hAnsi="Wingdings" w:hint="default"/>
      </w:rPr>
    </w:lvl>
    <w:lvl w:ilvl="3" w:tplc="0C090001">
      <w:start w:val="1"/>
      <w:numFmt w:val="bullet"/>
      <w:lvlText w:val=""/>
      <w:lvlJc w:val="left"/>
      <w:pPr>
        <w:tabs>
          <w:tab w:val="num" w:pos="2591"/>
        </w:tabs>
        <w:ind w:left="2591" w:hanging="360"/>
      </w:pPr>
      <w:rPr>
        <w:rFonts w:ascii="Symbol" w:hAnsi="Symbol" w:hint="default"/>
      </w:rPr>
    </w:lvl>
    <w:lvl w:ilvl="4" w:tplc="0C090003">
      <w:start w:val="1"/>
      <w:numFmt w:val="bullet"/>
      <w:lvlText w:val="o"/>
      <w:lvlJc w:val="left"/>
      <w:pPr>
        <w:tabs>
          <w:tab w:val="num" w:pos="3311"/>
        </w:tabs>
        <w:ind w:left="3311" w:hanging="360"/>
      </w:pPr>
      <w:rPr>
        <w:rFonts w:ascii="Courier New" w:hAnsi="Courier New" w:cs="Courier New" w:hint="default"/>
      </w:rPr>
    </w:lvl>
    <w:lvl w:ilvl="5" w:tplc="0C090005">
      <w:start w:val="1"/>
      <w:numFmt w:val="bullet"/>
      <w:lvlText w:val=""/>
      <w:lvlJc w:val="left"/>
      <w:pPr>
        <w:tabs>
          <w:tab w:val="num" w:pos="4031"/>
        </w:tabs>
        <w:ind w:left="4031" w:hanging="360"/>
      </w:pPr>
      <w:rPr>
        <w:rFonts w:ascii="Wingdings" w:hAnsi="Wingdings" w:hint="default"/>
      </w:rPr>
    </w:lvl>
    <w:lvl w:ilvl="6" w:tplc="0C090001">
      <w:start w:val="1"/>
      <w:numFmt w:val="bullet"/>
      <w:lvlText w:val=""/>
      <w:lvlJc w:val="left"/>
      <w:pPr>
        <w:tabs>
          <w:tab w:val="num" w:pos="4751"/>
        </w:tabs>
        <w:ind w:left="4751" w:hanging="360"/>
      </w:pPr>
      <w:rPr>
        <w:rFonts w:ascii="Symbol" w:hAnsi="Symbol" w:hint="default"/>
      </w:rPr>
    </w:lvl>
    <w:lvl w:ilvl="7" w:tplc="0C090003">
      <w:start w:val="1"/>
      <w:numFmt w:val="bullet"/>
      <w:lvlText w:val="o"/>
      <w:lvlJc w:val="left"/>
      <w:pPr>
        <w:tabs>
          <w:tab w:val="num" w:pos="5471"/>
        </w:tabs>
        <w:ind w:left="5471" w:hanging="360"/>
      </w:pPr>
      <w:rPr>
        <w:rFonts w:ascii="Courier New" w:hAnsi="Courier New" w:cs="Courier New" w:hint="default"/>
      </w:rPr>
    </w:lvl>
    <w:lvl w:ilvl="8" w:tplc="0C090005">
      <w:start w:val="1"/>
      <w:numFmt w:val="bullet"/>
      <w:lvlText w:val=""/>
      <w:lvlJc w:val="left"/>
      <w:pPr>
        <w:tabs>
          <w:tab w:val="num" w:pos="6191"/>
        </w:tabs>
        <w:ind w:left="6191" w:hanging="360"/>
      </w:pPr>
      <w:rPr>
        <w:rFonts w:ascii="Wingdings" w:hAnsi="Wingdings" w:hint="default"/>
      </w:rPr>
    </w:lvl>
  </w:abstractNum>
  <w:abstractNum w:abstractNumId="3">
    <w:nsid w:val="35EB3F20"/>
    <w:multiLevelType w:val="multilevel"/>
    <w:tmpl w:val="68B45882"/>
    <w:lvl w:ilvl="0">
      <w:start w:val="1"/>
      <w:numFmt w:val="decimal"/>
      <w:pStyle w:val="TableBulletnumb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nsid w:val="426E468D"/>
    <w:multiLevelType w:val="multilevel"/>
    <w:tmpl w:val="FB661EEC"/>
    <w:lvl w:ilvl="0">
      <w:start w:val="1"/>
      <w:numFmt w:val="decimal"/>
      <w:pStyle w:val="List-number"/>
      <w:lvlText w:val="%1."/>
      <w:lvlJc w:val="left"/>
      <w:pPr>
        <w:tabs>
          <w:tab w:val="num" w:pos="720"/>
        </w:tabs>
        <w:ind w:left="720" w:hanging="360"/>
      </w:pPr>
      <w:rPr>
        <w:rFonts w:hint="default"/>
      </w:rPr>
    </w:lvl>
    <w:lvl w:ilvl="1">
      <w:start w:val="1"/>
      <w:numFmt w:val="decimal"/>
      <w:pStyle w:val="List-numbersub"/>
      <w:lvlText w:val="%1.%2."/>
      <w:lvlJc w:val="left"/>
      <w:pPr>
        <w:tabs>
          <w:tab w:val="num" w:pos="1152"/>
        </w:tabs>
        <w:ind w:left="1152" w:hanging="432"/>
      </w:pPr>
      <w:rPr>
        <w:rFonts w:hint="default"/>
      </w:rPr>
    </w:lvl>
    <w:lvl w:ilvl="2">
      <w:start w:val="1"/>
      <w:numFmt w:val="decimal"/>
      <w:pStyle w:val="List-numbersubsub"/>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nsid w:val="44A66145"/>
    <w:multiLevelType w:val="multilevel"/>
    <w:tmpl w:val="D296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5731F7"/>
    <w:multiLevelType w:val="hybridMultilevel"/>
    <w:tmpl w:val="238297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57C1F20"/>
    <w:multiLevelType w:val="hybridMultilevel"/>
    <w:tmpl w:val="A2BEFF6A"/>
    <w:lvl w:ilvl="0" w:tplc="ABF20330">
      <w:start w:val="1"/>
      <w:numFmt w:val="bullet"/>
      <w:pStyle w:val="Tablebulletpoin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
  </w:num>
  <w:num w:numId="5">
    <w:abstractNumId w:val="1"/>
  </w:num>
  <w:num w:numId="6">
    <w:abstractNumId w:val="1"/>
  </w:num>
  <w:num w:numId="7">
    <w:abstractNumId w:val="4"/>
  </w:num>
  <w:num w:numId="8">
    <w:abstractNumId w:val="4"/>
  </w:num>
  <w:num w:numId="9">
    <w:abstractNumId w:val="4"/>
  </w:num>
  <w:num w:numId="10">
    <w:abstractNumId w:val="7"/>
  </w:num>
  <w:num w:numId="11">
    <w:abstractNumId w:val="3"/>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6C"/>
    <w:rsid w:val="00000562"/>
    <w:rsid w:val="00001311"/>
    <w:rsid w:val="00001875"/>
    <w:rsid w:val="00007714"/>
    <w:rsid w:val="000148B6"/>
    <w:rsid w:val="0002031F"/>
    <w:rsid w:val="0002498C"/>
    <w:rsid w:val="000338A5"/>
    <w:rsid w:val="00034E24"/>
    <w:rsid w:val="00040565"/>
    <w:rsid w:val="00046C11"/>
    <w:rsid w:val="0005050B"/>
    <w:rsid w:val="00052B4C"/>
    <w:rsid w:val="000561CC"/>
    <w:rsid w:val="0006127A"/>
    <w:rsid w:val="00061CB8"/>
    <w:rsid w:val="000718EC"/>
    <w:rsid w:val="00071999"/>
    <w:rsid w:val="000758FB"/>
    <w:rsid w:val="00085124"/>
    <w:rsid w:val="00092068"/>
    <w:rsid w:val="000953F7"/>
    <w:rsid w:val="00095804"/>
    <w:rsid w:val="0009737A"/>
    <w:rsid w:val="000A7148"/>
    <w:rsid w:val="000B13EC"/>
    <w:rsid w:val="000B4870"/>
    <w:rsid w:val="000B4E61"/>
    <w:rsid w:val="000C532B"/>
    <w:rsid w:val="000C6C31"/>
    <w:rsid w:val="000D3632"/>
    <w:rsid w:val="000E15C2"/>
    <w:rsid w:val="000E7882"/>
    <w:rsid w:val="000F266B"/>
    <w:rsid w:val="000F2913"/>
    <w:rsid w:val="000F4AE4"/>
    <w:rsid w:val="001122E6"/>
    <w:rsid w:val="00114E86"/>
    <w:rsid w:val="00116964"/>
    <w:rsid w:val="00117ED0"/>
    <w:rsid w:val="001222F1"/>
    <w:rsid w:val="0013052C"/>
    <w:rsid w:val="0013077D"/>
    <w:rsid w:val="00132F87"/>
    <w:rsid w:val="00133318"/>
    <w:rsid w:val="001335D7"/>
    <w:rsid w:val="00140643"/>
    <w:rsid w:val="00145B70"/>
    <w:rsid w:val="00146932"/>
    <w:rsid w:val="00151FB6"/>
    <w:rsid w:val="00153347"/>
    <w:rsid w:val="00154DAC"/>
    <w:rsid w:val="00160D36"/>
    <w:rsid w:val="001676F0"/>
    <w:rsid w:val="00167ADC"/>
    <w:rsid w:val="00177A16"/>
    <w:rsid w:val="00177EFD"/>
    <w:rsid w:val="001872AE"/>
    <w:rsid w:val="00190150"/>
    <w:rsid w:val="00194A2D"/>
    <w:rsid w:val="00196F13"/>
    <w:rsid w:val="001975E8"/>
    <w:rsid w:val="001A277A"/>
    <w:rsid w:val="001A33C3"/>
    <w:rsid w:val="001A744C"/>
    <w:rsid w:val="001B000C"/>
    <w:rsid w:val="001C33DD"/>
    <w:rsid w:val="001C4632"/>
    <w:rsid w:val="001D0268"/>
    <w:rsid w:val="001D07ED"/>
    <w:rsid w:val="001D2B0A"/>
    <w:rsid w:val="001E1D96"/>
    <w:rsid w:val="001E47BE"/>
    <w:rsid w:val="001F1637"/>
    <w:rsid w:val="001F2A99"/>
    <w:rsid w:val="001F798F"/>
    <w:rsid w:val="00204116"/>
    <w:rsid w:val="00205CBC"/>
    <w:rsid w:val="002060B0"/>
    <w:rsid w:val="00206944"/>
    <w:rsid w:val="00207234"/>
    <w:rsid w:val="00216F3B"/>
    <w:rsid w:val="0022582A"/>
    <w:rsid w:val="00226640"/>
    <w:rsid w:val="0023091C"/>
    <w:rsid w:val="002327B0"/>
    <w:rsid w:val="002349E7"/>
    <w:rsid w:val="00237219"/>
    <w:rsid w:val="00251682"/>
    <w:rsid w:val="00257336"/>
    <w:rsid w:val="0026314B"/>
    <w:rsid w:val="002702C1"/>
    <w:rsid w:val="00271F88"/>
    <w:rsid w:val="00273946"/>
    <w:rsid w:val="002765CA"/>
    <w:rsid w:val="002811B5"/>
    <w:rsid w:val="00281699"/>
    <w:rsid w:val="002867C5"/>
    <w:rsid w:val="00287B6D"/>
    <w:rsid w:val="00291D44"/>
    <w:rsid w:val="002978BC"/>
    <w:rsid w:val="002A1D8E"/>
    <w:rsid w:val="002A2F9A"/>
    <w:rsid w:val="002A3AE9"/>
    <w:rsid w:val="002B09FC"/>
    <w:rsid w:val="002C0118"/>
    <w:rsid w:val="002D5E7E"/>
    <w:rsid w:val="002E7BFB"/>
    <w:rsid w:val="002F0DE0"/>
    <w:rsid w:val="002F191C"/>
    <w:rsid w:val="002F36A4"/>
    <w:rsid w:val="002F6447"/>
    <w:rsid w:val="002F7F42"/>
    <w:rsid w:val="003001E0"/>
    <w:rsid w:val="00305A80"/>
    <w:rsid w:val="00315F9D"/>
    <w:rsid w:val="003211A7"/>
    <w:rsid w:val="0032269E"/>
    <w:rsid w:val="00331FD3"/>
    <w:rsid w:val="003364E2"/>
    <w:rsid w:val="0034037F"/>
    <w:rsid w:val="00352260"/>
    <w:rsid w:val="0035760F"/>
    <w:rsid w:val="003632BC"/>
    <w:rsid w:val="003670A2"/>
    <w:rsid w:val="00370D3C"/>
    <w:rsid w:val="003766C2"/>
    <w:rsid w:val="003772DE"/>
    <w:rsid w:val="00391A0B"/>
    <w:rsid w:val="00392C14"/>
    <w:rsid w:val="00395332"/>
    <w:rsid w:val="003A231E"/>
    <w:rsid w:val="003A4477"/>
    <w:rsid w:val="003B4F09"/>
    <w:rsid w:val="003C0D3A"/>
    <w:rsid w:val="003C25DB"/>
    <w:rsid w:val="003C68EE"/>
    <w:rsid w:val="003D2493"/>
    <w:rsid w:val="003D3F16"/>
    <w:rsid w:val="003D5BA3"/>
    <w:rsid w:val="003D7DF1"/>
    <w:rsid w:val="003E0B2B"/>
    <w:rsid w:val="003E2C55"/>
    <w:rsid w:val="003E4028"/>
    <w:rsid w:val="003F106D"/>
    <w:rsid w:val="00445814"/>
    <w:rsid w:val="00450520"/>
    <w:rsid w:val="00455BDB"/>
    <w:rsid w:val="00461A31"/>
    <w:rsid w:val="00471A02"/>
    <w:rsid w:val="00472A18"/>
    <w:rsid w:val="00473B20"/>
    <w:rsid w:val="004805BC"/>
    <w:rsid w:val="00485AD7"/>
    <w:rsid w:val="00491C55"/>
    <w:rsid w:val="004A7EBE"/>
    <w:rsid w:val="004B54C8"/>
    <w:rsid w:val="004C02FE"/>
    <w:rsid w:val="004E0E6D"/>
    <w:rsid w:val="004E0F28"/>
    <w:rsid w:val="004E490E"/>
    <w:rsid w:val="004E63B9"/>
    <w:rsid w:val="004E6E0D"/>
    <w:rsid w:val="004F4C22"/>
    <w:rsid w:val="00503DD3"/>
    <w:rsid w:val="00514206"/>
    <w:rsid w:val="00514380"/>
    <w:rsid w:val="00524C26"/>
    <w:rsid w:val="00526B5F"/>
    <w:rsid w:val="005274FB"/>
    <w:rsid w:val="00530D24"/>
    <w:rsid w:val="0053327F"/>
    <w:rsid w:val="00537519"/>
    <w:rsid w:val="005407A5"/>
    <w:rsid w:val="00544997"/>
    <w:rsid w:val="00560E72"/>
    <w:rsid w:val="0056545F"/>
    <w:rsid w:val="00566475"/>
    <w:rsid w:val="00581642"/>
    <w:rsid w:val="00587DC0"/>
    <w:rsid w:val="00592A2B"/>
    <w:rsid w:val="00592DBF"/>
    <w:rsid w:val="005933BC"/>
    <w:rsid w:val="005A15CA"/>
    <w:rsid w:val="005A2ADF"/>
    <w:rsid w:val="005A4E69"/>
    <w:rsid w:val="005A6342"/>
    <w:rsid w:val="005B6F46"/>
    <w:rsid w:val="005C32BF"/>
    <w:rsid w:val="005C5F22"/>
    <w:rsid w:val="005D3C05"/>
    <w:rsid w:val="005D4CAE"/>
    <w:rsid w:val="005D5118"/>
    <w:rsid w:val="005D6F5C"/>
    <w:rsid w:val="005E6C74"/>
    <w:rsid w:val="005F4701"/>
    <w:rsid w:val="006030EC"/>
    <w:rsid w:val="0060446C"/>
    <w:rsid w:val="00611987"/>
    <w:rsid w:val="00634638"/>
    <w:rsid w:val="00634AAB"/>
    <w:rsid w:val="0063704C"/>
    <w:rsid w:val="00641B98"/>
    <w:rsid w:val="0064289B"/>
    <w:rsid w:val="0064503D"/>
    <w:rsid w:val="00651E75"/>
    <w:rsid w:val="00656D39"/>
    <w:rsid w:val="0065709D"/>
    <w:rsid w:val="00660EF3"/>
    <w:rsid w:val="00665111"/>
    <w:rsid w:val="00665BBA"/>
    <w:rsid w:val="00673008"/>
    <w:rsid w:val="00691B7D"/>
    <w:rsid w:val="00697B04"/>
    <w:rsid w:val="006A44F9"/>
    <w:rsid w:val="006C0593"/>
    <w:rsid w:val="006C7474"/>
    <w:rsid w:val="006D23D1"/>
    <w:rsid w:val="006D3230"/>
    <w:rsid w:val="006F2FE3"/>
    <w:rsid w:val="006F4C81"/>
    <w:rsid w:val="00705460"/>
    <w:rsid w:val="007062E3"/>
    <w:rsid w:val="00716C6C"/>
    <w:rsid w:val="00721600"/>
    <w:rsid w:val="007234B0"/>
    <w:rsid w:val="00723C1B"/>
    <w:rsid w:val="00724C08"/>
    <w:rsid w:val="00733E02"/>
    <w:rsid w:val="007360A5"/>
    <w:rsid w:val="00736556"/>
    <w:rsid w:val="00744109"/>
    <w:rsid w:val="007540B7"/>
    <w:rsid w:val="00757DF2"/>
    <w:rsid w:val="00760A92"/>
    <w:rsid w:val="007613DA"/>
    <w:rsid w:val="0076302D"/>
    <w:rsid w:val="00766F6B"/>
    <w:rsid w:val="007733B0"/>
    <w:rsid w:val="00773B8C"/>
    <w:rsid w:val="007742DA"/>
    <w:rsid w:val="00797258"/>
    <w:rsid w:val="007A40DB"/>
    <w:rsid w:val="007B0D82"/>
    <w:rsid w:val="007B2DD3"/>
    <w:rsid w:val="007B52B8"/>
    <w:rsid w:val="007B651D"/>
    <w:rsid w:val="007B7B0C"/>
    <w:rsid w:val="007C4E7F"/>
    <w:rsid w:val="007C5F20"/>
    <w:rsid w:val="007D0122"/>
    <w:rsid w:val="007D1533"/>
    <w:rsid w:val="007D3293"/>
    <w:rsid w:val="007E149C"/>
    <w:rsid w:val="007F0A38"/>
    <w:rsid w:val="007F12BC"/>
    <w:rsid w:val="0080328E"/>
    <w:rsid w:val="00810F87"/>
    <w:rsid w:val="008136D3"/>
    <w:rsid w:val="00813F4C"/>
    <w:rsid w:val="00814C9B"/>
    <w:rsid w:val="0081761C"/>
    <w:rsid w:val="0083185B"/>
    <w:rsid w:val="00831FD2"/>
    <w:rsid w:val="008401E5"/>
    <w:rsid w:val="008403E0"/>
    <w:rsid w:val="0085245F"/>
    <w:rsid w:val="0086138A"/>
    <w:rsid w:val="008676FC"/>
    <w:rsid w:val="00873A21"/>
    <w:rsid w:val="00874491"/>
    <w:rsid w:val="00877DA1"/>
    <w:rsid w:val="00880395"/>
    <w:rsid w:val="00882EC0"/>
    <w:rsid w:val="008843D0"/>
    <w:rsid w:val="008A2594"/>
    <w:rsid w:val="008B1D4A"/>
    <w:rsid w:val="008C367C"/>
    <w:rsid w:val="008C3785"/>
    <w:rsid w:val="008D2C5D"/>
    <w:rsid w:val="008D4C8C"/>
    <w:rsid w:val="008E09E1"/>
    <w:rsid w:val="008E445A"/>
    <w:rsid w:val="008E4F4F"/>
    <w:rsid w:val="008F26B5"/>
    <w:rsid w:val="008F4B34"/>
    <w:rsid w:val="008F5A35"/>
    <w:rsid w:val="008F6C26"/>
    <w:rsid w:val="008F7938"/>
    <w:rsid w:val="00900906"/>
    <w:rsid w:val="009009D9"/>
    <w:rsid w:val="0090432F"/>
    <w:rsid w:val="00905A3A"/>
    <w:rsid w:val="00911108"/>
    <w:rsid w:val="0091333E"/>
    <w:rsid w:val="0091461A"/>
    <w:rsid w:val="00914885"/>
    <w:rsid w:val="0091558D"/>
    <w:rsid w:val="0093448D"/>
    <w:rsid w:val="00934FEB"/>
    <w:rsid w:val="00942ABC"/>
    <w:rsid w:val="00953536"/>
    <w:rsid w:val="00962197"/>
    <w:rsid w:val="00964892"/>
    <w:rsid w:val="0096572D"/>
    <w:rsid w:val="00975CAC"/>
    <w:rsid w:val="00981E36"/>
    <w:rsid w:val="009821C9"/>
    <w:rsid w:val="00982D95"/>
    <w:rsid w:val="00993F81"/>
    <w:rsid w:val="009A6A46"/>
    <w:rsid w:val="009B04DA"/>
    <w:rsid w:val="009B096C"/>
    <w:rsid w:val="009B1054"/>
    <w:rsid w:val="009C3BAD"/>
    <w:rsid w:val="009C76CF"/>
    <w:rsid w:val="009D3531"/>
    <w:rsid w:val="009D76BB"/>
    <w:rsid w:val="009E6E6E"/>
    <w:rsid w:val="009F24A7"/>
    <w:rsid w:val="009F70CF"/>
    <w:rsid w:val="00A1460A"/>
    <w:rsid w:val="00A21751"/>
    <w:rsid w:val="00A238D0"/>
    <w:rsid w:val="00A26154"/>
    <w:rsid w:val="00A26B3C"/>
    <w:rsid w:val="00A40943"/>
    <w:rsid w:val="00A4434F"/>
    <w:rsid w:val="00A53C5D"/>
    <w:rsid w:val="00A54F62"/>
    <w:rsid w:val="00A62631"/>
    <w:rsid w:val="00A8380E"/>
    <w:rsid w:val="00A8387F"/>
    <w:rsid w:val="00A91382"/>
    <w:rsid w:val="00A93F68"/>
    <w:rsid w:val="00AA4132"/>
    <w:rsid w:val="00AD2CAF"/>
    <w:rsid w:val="00AD62FD"/>
    <w:rsid w:val="00AD7329"/>
    <w:rsid w:val="00AF114D"/>
    <w:rsid w:val="00AF1BD9"/>
    <w:rsid w:val="00AF21AC"/>
    <w:rsid w:val="00AF4956"/>
    <w:rsid w:val="00AF782B"/>
    <w:rsid w:val="00B028B9"/>
    <w:rsid w:val="00B02996"/>
    <w:rsid w:val="00B06821"/>
    <w:rsid w:val="00B119F3"/>
    <w:rsid w:val="00B138F1"/>
    <w:rsid w:val="00B15C78"/>
    <w:rsid w:val="00B17757"/>
    <w:rsid w:val="00B17A77"/>
    <w:rsid w:val="00B20392"/>
    <w:rsid w:val="00B221A7"/>
    <w:rsid w:val="00B25752"/>
    <w:rsid w:val="00B32BE7"/>
    <w:rsid w:val="00B3301C"/>
    <w:rsid w:val="00B421C1"/>
    <w:rsid w:val="00B42AE2"/>
    <w:rsid w:val="00B436EE"/>
    <w:rsid w:val="00B556E6"/>
    <w:rsid w:val="00B57165"/>
    <w:rsid w:val="00B62406"/>
    <w:rsid w:val="00B6356B"/>
    <w:rsid w:val="00B72A47"/>
    <w:rsid w:val="00B7624C"/>
    <w:rsid w:val="00B91409"/>
    <w:rsid w:val="00B91CCB"/>
    <w:rsid w:val="00B97FF4"/>
    <w:rsid w:val="00BA0AA3"/>
    <w:rsid w:val="00BA17DD"/>
    <w:rsid w:val="00BA1C4A"/>
    <w:rsid w:val="00BA3BC2"/>
    <w:rsid w:val="00BB3630"/>
    <w:rsid w:val="00BB795D"/>
    <w:rsid w:val="00BC3D1E"/>
    <w:rsid w:val="00BC6FB8"/>
    <w:rsid w:val="00BD328E"/>
    <w:rsid w:val="00BD39F7"/>
    <w:rsid w:val="00BD5009"/>
    <w:rsid w:val="00BD7CF8"/>
    <w:rsid w:val="00BE0E96"/>
    <w:rsid w:val="00BE1328"/>
    <w:rsid w:val="00BE28D4"/>
    <w:rsid w:val="00BF0392"/>
    <w:rsid w:val="00BF1161"/>
    <w:rsid w:val="00BF2A73"/>
    <w:rsid w:val="00BF43DE"/>
    <w:rsid w:val="00BF4F17"/>
    <w:rsid w:val="00BF5C6B"/>
    <w:rsid w:val="00C04519"/>
    <w:rsid w:val="00C052D8"/>
    <w:rsid w:val="00C10294"/>
    <w:rsid w:val="00C14792"/>
    <w:rsid w:val="00C168B6"/>
    <w:rsid w:val="00C20482"/>
    <w:rsid w:val="00C223A8"/>
    <w:rsid w:val="00C25977"/>
    <w:rsid w:val="00C32205"/>
    <w:rsid w:val="00C36FF4"/>
    <w:rsid w:val="00C461F4"/>
    <w:rsid w:val="00C73993"/>
    <w:rsid w:val="00C810C7"/>
    <w:rsid w:val="00C917CA"/>
    <w:rsid w:val="00C950F8"/>
    <w:rsid w:val="00CA0482"/>
    <w:rsid w:val="00CA2754"/>
    <w:rsid w:val="00CA2C0C"/>
    <w:rsid w:val="00CA63D1"/>
    <w:rsid w:val="00CD0417"/>
    <w:rsid w:val="00CE1A97"/>
    <w:rsid w:val="00CF206D"/>
    <w:rsid w:val="00D00B79"/>
    <w:rsid w:val="00D029CB"/>
    <w:rsid w:val="00D12749"/>
    <w:rsid w:val="00D21D8F"/>
    <w:rsid w:val="00D32E2F"/>
    <w:rsid w:val="00D36150"/>
    <w:rsid w:val="00D36524"/>
    <w:rsid w:val="00D402B4"/>
    <w:rsid w:val="00D5500B"/>
    <w:rsid w:val="00D60DCC"/>
    <w:rsid w:val="00D61132"/>
    <w:rsid w:val="00D63B89"/>
    <w:rsid w:val="00D63DEB"/>
    <w:rsid w:val="00D67115"/>
    <w:rsid w:val="00D675C9"/>
    <w:rsid w:val="00D67867"/>
    <w:rsid w:val="00D77C6F"/>
    <w:rsid w:val="00D8556B"/>
    <w:rsid w:val="00D870E6"/>
    <w:rsid w:val="00D918A2"/>
    <w:rsid w:val="00D9624E"/>
    <w:rsid w:val="00DA1B7D"/>
    <w:rsid w:val="00DA4F29"/>
    <w:rsid w:val="00DA58EF"/>
    <w:rsid w:val="00DA6443"/>
    <w:rsid w:val="00DA68C1"/>
    <w:rsid w:val="00DB7370"/>
    <w:rsid w:val="00DC4463"/>
    <w:rsid w:val="00DC45A8"/>
    <w:rsid w:val="00DD6DED"/>
    <w:rsid w:val="00DD7C1D"/>
    <w:rsid w:val="00DE3CC6"/>
    <w:rsid w:val="00DE6E6D"/>
    <w:rsid w:val="00DF00B7"/>
    <w:rsid w:val="00DF03B2"/>
    <w:rsid w:val="00DF62DB"/>
    <w:rsid w:val="00E05AEF"/>
    <w:rsid w:val="00E06D35"/>
    <w:rsid w:val="00E12FC6"/>
    <w:rsid w:val="00E16947"/>
    <w:rsid w:val="00E26071"/>
    <w:rsid w:val="00E43C20"/>
    <w:rsid w:val="00E470AF"/>
    <w:rsid w:val="00E471C7"/>
    <w:rsid w:val="00E51E0A"/>
    <w:rsid w:val="00E61DB3"/>
    <w:rsid w:val="00E650C7"/>
    <w:rsid w:val="00E65A24"/>
    <w:rsid w:val="00E65CC8"/>
    <w:rsid w:val="00E814D1"/>
    <w:rsid w:val="00E9755B"/>
    <w:rsid w:val="00E97DEE"/>
    <w:rsid w:val="00EA08CF"/>
    <w:rsid w:val="00EA1886"/>
    <w:rsid w:val="00EB57F8"/>
    <w:rsid w:val="00EB6C16"/>
    <w:rsid w:val="00EC354B"/>
    <w:rsid w:val="00ED2659"/>
    <w:rsid w:val="00EE1EB8"/>
    <w:rsid w:val="00EE3860"/>
    <w:rsid w:val="00EF40A2"/>
    <w:rsid w:val="00F01ADE"/>
    <w:rsid w:val="00F1130C"/>
    <w:rsid w:val="00F21118"/>
    <w:rsid w:val="00F31A05"/>
    <w:rsid w:val="00F34CE4"/>
    <w:rsid w:val="00F35E9F"/>
    <w:rsid w:val="00F403AA"/>
    <w:rsid w:val="00F43A69"/>
    <w:rsid w:val="00F521A0"/>
    <w:rsid w:val="00F62C49"/>
    <w:rsid w:val="00F71047"/>
    <w:rsid w:val="00F73681"/>
    <w:rsid w:val="00F73B46"/>
    <w:rsid w:val="00F81B5D"/>
    <w:rsid w:val="00F828B4"/>
    <w:rsid w:val="00F85C1D"/>
    <w:rsid w:val="00F90455"/>
    <w:rsid w:val="00F93E04"/>
    <w:rsid w:val="00F960B0"/>
    <w:rsid w:val="00FB42C7"/>
    <w:rsid w:val="00FB691F"/>
    <w:rsid w:val="00FC11F8"/>
    <w:rsid w:val="00FC283B"/>
    <w:rsid w:val="00FC7ECF"/>
    <w:rsid w:val="00FD1B65"/>
    <w:rsid w:val="00FF0459"/>
    <w:rsid w:val="00FF2966"/>
    <w:rsid w:val="00FF66B2"/>
    <w:rsid w:val="00FF7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0"/>
    <w:lsdException w:name="Subtitle" w:uiPriority="11" w:qFormat="1"/>
    <w:lsdException w:name="Strong" w:semiHidden="0" w:uiPriority="0" w:unhideWhenUsed="0"/>
    <w:lsdException w:name="Emphasis" w:semiHidden="0" w:uiPriority="0" w:unhideWhenUsed="0"/>
    <w:lsdException w:name="Plain Text" w:uiPriority="0"/>
    <w:lsdException w:name="No Lis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44109"/>
    <w:pPr>
      <w:spacing w:after="160" w:line="260" w:lineRule="atLeast"/>
    </w:pPr>
    <w:rPr>
      <w:rFonts w:ascii="Arial" w:hAnsi="Arial"/>
      <w:szCs w:val="20"/>
    </w:rPr>
  </w:style>
  <w:style w:type="paragraph" w:styleId="Heading1">
    <w:name w:val="heading 1"/>
    <w:next w:val="Normal"/>
    <w:link w:val="Heading1Char"/>
    <w:qFormat/>
    <w:rsid w:val="005933BC"/>
    <w:pPr>
      <w:keepNext/>
      <w:keepLines/>
      <w:spacing w:before="160" w:after="240" w:line="240" w:lineRule="auto"/>
      <w:outlineLvl w:val="0"/>
    </w:pPr>
    <w:rPr>
      <w:rFonts w:ascii="Arial" w:eastAsiaTheme="majorEastAsia" w:hAnsi="Arial" w:cstheme="majorBidi"/>
      <w:b/>
      <w:sz w:val="32"/>
      <w:szCs w:val="20"/>
    </w:rPr>
  </w:style>
  <w:style w:type="paragraph" w:styleId="Heading2">
    <w:name w:val="heading 2"/>
    <w:next w:val="Normal"/>
    <w:link w:val="Heading2Char"/>
    <w:qFormat/>
    <w:rsid w:val="00744109"/>
    <w:pPr>
      <w:keepNext/>
      <w:keepLines/>
      <w:spacing w:after="80" w:line="240" w:lineRule="auto"/>
      <w:outlineLvl w:val="1"/>
    </w:pPr>
    <w:rPr>
      <w:rFonts w:ascii="Arial" w:eastAsiaTheme="majorEastAsia" w:hAnsi="Arial" w:cstheme="majorBidi"/>
      <w:b/>
      <w:sz w:val="28"/>
      <w:szCs w:val="20"/>
    </w:rPr>
  </w:style>
  <w:style w:type="paragraph" w:styleId="Heading3">
    <w:name w:val="heading 3"/>
    <w:next w:val="Normal"/>
    <w:link w:val="Heading3Char"/>
    <w:qFormat/>
    <w:rsid w:val="00744109"/>
    <w:pPr>
      <w:keepNext/>
      <w:keepLines/>
      <w:spacing w:after="80" w:line="340" w:lineRule="atLeast"/>
      <w:outlineLvl w:val="2"/>
    </w:pPr>
    <w:rPr>
      <w:rFonts w:ascii="Arial" w:eastAsiaTheme="majorEastAsia" w:hAnsi="Arial" w:cstheme="majorBidi"/>
      <w:b/>
      <w:sz w:val="24"/>
      <w:szCs w:val="20"/>
    </w:rPr>
  </w:style>
  <w:style w:type="paragraph" w:styleId="Heading4">
    <w:name w:val="heading 4"/>
    <w:basedOn w:val="Normal"/>
    <w:next w:val="Normal"/>
    <w:link w:val="Heading4Char"/>
    <w:qFormat/>
    <w:rsid w:val="00744109"/>
    <w:pPr>
      <w:keepNext/>
      <w:spacing w:after="80"/>
      <w:outlineLvl w:val="3"/>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x">
    <w:name w:val="Box"/>
    <w:basedOn w:val="TableNormal"/>
    <w:rsid w:val="00C20482"/>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vAlign w:val="center"/>
    </w:tcPr>
  </w:style>
  <w:style w:type="table" w:customStyle="1" w:styleId="BoxCentred">
    <w:name w:val="Box: Centred"/>
    <w:basedOn w:val="Box"/>
    <w:rsid w:val="00C20482"/>
    <w:tblPr>
      <w:jc w:val="cente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rPr>
      <w:jc w:val="center"/>
    </w:trPr>
    <w:tcPr>
      <w:vAlign w:val="center"/>
    </w:tcPr>
  </w:style>
  <w:style w:type="table" w:customStyle="1" w:styleId="BoxGrey">
    <w:name w:val="Box: Grey"/>
    <w:basedOn w:val="Box"/>
    <w:rsid w:val="00C20482"/>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E0E0E0"/>
      <w:vAlign w:val="center"/>
    </w:tcPr>
  </w:style>
  <w:style w:type="table" w:customStyle="1" w:styleId="BoxGreycentred">
    <w:name w:val="Box: Grey centred"/>
    <w:basedOn w:val="BoxGrey"/>
    <w:rsid w:val="00C20482"/>
    <w:tblPr>
      <w:jc w:val="cente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rPr>
      <w:jc w:val="center"/>
    </w:trPr>
    <w:tcPr>
      <w:shd w:val="clear" w:color="auto" w:fill="E0E0E0"/>
      <w:vAlign w:val="center"/>
    </w:tcPr>
  </w:style>
  <w:style w:type="paragraph" w:customStyle="1" w:styleId="BoxText">
    <w:name w:val="Box: Text"/>
    <w:basedOn w:val="Normal"/>
    <w:next w:val="Normal"/>
    <w:qFormat/>
    <w:rsid w:val="00744109"/>
    <w:pPr>
      <w:spacing w:line="240" w:lineRule="atLeast"/>
      <w:ind w:left="227" w:right="227"/>
    </w:pPr>
    <w:rPr>
      <w:i/>
      <w:sz w:val="20"/>
    </w:rPr>
  </w:style>
  <w:style w:type="paragraph" w:customStyle="1" w:styleId="BoxHeading">
    <w:name w:val="Box: Heading"/>
    <w:basedOn w:val="BoxText"/>
    <w:next w:val="BoxText"/>
    <w:qFormat/>
    <w:rsid w:val="00744109"/>
    <w:pPr>
      <w:spacing w:before="120" w:after="60"/>
    </w:pPr>
    <w:rPr>
      <w:b/>
      <w:i w:val="0"/>
      <w:sz w:val="22"/>
    </w:rPr>
  </w:style>
  <w:style w:type="paragraph" w:customStyle="1" w:styleId="BoxTextcentred">
    <w:name w:val="Box: Text centred"/>
    <w:basedOn w:val="BoxText"/>
    <w:rsid w:val="00C20482"/>
    <w:pPr>
      <w:jc w:val="center"/>
    </w:pPr>
  </w:style>
  <w:style w:type="character" w:styleId="Emphasis">
    <w:name w:val="Emphasis"/>
    <w:basedOn w:val="DefaultParagraphFont"/>
    <w:rsid w:val="00C20482"/>
    <w:rPr>
      <w:i/>
      <w:iCs/>
    </w:rPr>
  </w:style>
  <w:style w:type="paragraph" w:customStyle="1" w:styleId="FigureCaption">
    <w:name w:val="Figure: Caption"/>
    <w:basedOn w:val="Normal"/>
    <w:next w:val="Normal"/>
    <w:qFormat/>
    <w:rsid w:val="00744109"/>
    <w:pPr>
      <w:keepNext/>
      <w:keepLines/>
      <w:spacing w:before="120" w:after="120" w:line="240" w:lineRule="atLeast"/>
    </w:pPr>
    <w:rPr>
      <w:b/>
      <w:sz w:val="20"/>
    </w:rPr>
  </w:style>
  <w:style w:type="character" w:styleId="FootnoteReference">
    <w:name w:val="footnote reference"/>
    <w:basedOn w:val="DefaultParagraphFont"/>
    <w:rsid w:val="00C20482"/>
    <w:rPr>
      <w:vertAlign w:val="superscript"/>
    </w:rPr>
  </w:style>
  <w:style w:type="paragraph" w:styleId="FootnoteText">
    <w:name w:val="footnote text"/>
    <w:link w:val="FootnoteTextChar"/>
    <w:qFormat/>
    <w:rsid w:val="00744109"/>
    <w:pPr>
      <w:spacing w:after="0" w:line="240" w:lineRule="auto"/>
    </w:pPr>
    <w:rPr>
      <w:rFonts w:ascii="Arial" w:eastAsia="Times" w:hAnsi="Arial" w:cs="Times New Roman"/>
      <w:sz w:val="18"/>
      <w:szCs w:val="20"/>
      <w:lang w:val="en-GB"/>
    </w:rPr>
  </w:style>
  <w:style w:type="character" w:customStyle="1" w:styleId="FootnoteTextChar">
    <w:name w:val="Footnote Text Char"/>
    <w:basedOn w:val="DefaultParagraphFont"/>
    <w:link w:val="FootnoteText"/>
    <w:rsid w:val="00744109"/>
    <w:rPr>
      <w:rFonts w:ascii="Arial" w:eastAsia="Times" w:hAnsi="Arial" w:cs="Times New Roman"/>
      <w:sz w:val="18"/>
      <w:szCs w:val="20"/>
      <w:lang w:val="en-GB"/>
    </w:rPr>
  </w:style>
  <w:style w:type="character" w:customStyle="1" w:styleId="Heading1Char">
    <w:name w:val="Heading 1 Char"/>
    <w:basedOn w:val="DefaultParagraphFont"/>
    <w:link w:val="Heading1"/>
    <w:rsid w:val="005933BC"/>
    <w:rPr>
      <w:rFonts w:ascii="Arial" w:eastAsiaTheme="majorEastAsia" w:hAnsi="Arial" w:cstheme="majorBidi"/>
      <w:b/>
      <w:sz w:val="32"/>
      <w:szCs w:val="20"/>
    </w:rPr>
  </w:style>
  <w:style w:type="character" w:customStyle="1" w:styleId="Heading2Char">
    <w:name w:val="Heading 2 Char"/>
    <w:basedOn w:val="DefaultParagraphFont"/>
    <w:link w:val="Heading2"/>
    <w:rsid w:val="00744109"/>
    <w:rPr>
      <w:rFonts w:ascii="Arial" w:eastAsiaTheme="majorEastAsia" w:hAnsi="Arial" w:cstheme="majorBidi"/>
      <w:b/>
      <w:sz w:val="28"/>
      <w:szCs w:val="20"/>
    </w:rPr>
  </w:style>
  <w:style w:type="character" w:customStyle="1" w:styleId="Heading3Char">
    <w:name w:val="Heading 3 Char"/>
    <w:basedOn w:val="DefaultParagraphFont"/>
    <w:link w:val="Heading3"/>
    <w:rsid w:val="00744109"/>
    <w:rPr>
      <w:rFonts w:ascii="Arial" w:eastAsiaTheme="majorEastAsia" w:hAnsi="Arial" w:cstheme="majorBidi"/>
      <w:b/>
      <w:sz w:val="24"/>
      <w:szCs w:val="20"/>
    </w:rPr>
  </w:style>
  <w:style w:type="character" w:customStyle="1" w:styleId="Heading4Char">
    <w:name w:val="Heading 4 Char"/>
    <w:basedOn w:val="DefaultParagraphFont"/>
    <w:link w:val="Heading4"/>
    <w:rsid w:val="00744109"/>
    <w:rPr>
      <w:rFonts w:ascii="Arial" w:eastAsiaTheme="majorEastAsia" w:hAnsi="Arial" w:cstheme="majorBidi"/>
      <w:b/>
      <w:i/>
      <w:szCs w:val="20"/>
    </w:rPr>
  </w:style>
  <w:style w:type="character" w:styleId="Hyperlink">
    <w:name w:val="Hyperlink"/>
    <w:basedOn w:val="DefaultParagraphFont"/>
    <w:uiPriority w:val="99"/>
    <w:rsid w:val="00C20482"/>
    <w:rPr>
      <w:color w:val="0000FF"/>
      <w:u w:val="none"/>
    </w:rPr>
  </w:style>
  <w:style w:type="paragraph" w:customStyle="1" w:styleId="List-bullet">
    <w:name w:val="List - bullet"/>
    <w:basedOn w:val="Normal"/>
    <w:rsid w:val="00C20482"/>
    <w:pPr>
      <w:numPr>
        <w:numId w:val="3"/>
      </w:numPr>
      <w:spacing w:after="120"/>
    </w:pPr>
  </w:style>
  <w:style w:type="paragraph" w:customStyle="1" w:styleId="List-bulletsub">
    <w:name w:val="List - bullet sub"/>
    <w:basedOn w:val="List-bullet"/>
    <w:rsid w:val="00C20482"/>
    <w:pPr>
      <w:numPr>
        <w:ilvl w:val="1"/>
      </w:numPr>
    </w:pPr>
  </w:style>
  <w:style w:type="paragraph" w:customStyle="1" w:styleId="List-bulletsubsub">
    <w:name w:val="List - bullet subsub"/>
    <w:basedOn w:val="List-bullet"/>
    <w:rsid w:val="00C20482"/>
    <w:pPr>
      <w:numPr>
        <w:ilvl w:val="2"/>
      </w:numPr>
      <w:tabs>
        <w:tab w:val="left" w:pos="425"/>
      </w:tabs>
    </w:pPr>
  </w:style>
  <w:style w:type="paragraph" w:customStyle="1" w:styleId="List-letter">
    <w:name w:val="List - letter"/>
    <w:basedOn w:val="List-bullet"/>
    <w:rsid w:val="00C20482"/>
    <w:pPr>
      <w:numPr>
        <w:numId w:val="6"/>
      </w:numPr>
    </w:pPr>
  </w:style>
  <w:style w:type="paragraph" w:customStyle="1" w:styleId="List-lettersub">
    <w:name w:val="List - letter sub"/>
    <w:basedOn w:val="List-letter"/>
    <w:rsid w:val="00C20482"/>
    <w:pPr>
      <w:numPr>
        <w:ilvl w:val="1"/>
      </w:numPr>
    </w:pPr>
  </w:style>
  <w:style w:type="paragraph" w:customStyle="1" w:styleId="List-lettersubsub">
    <w:name w:val="List - letter subsub"/>
    <w:basedOn w:val="List-letter"/>
    <w:rsid w:val="00C20482"/>
    <w:pPr>
      <w:numPr>
        <w:ilvl w:val="2"/>
      </w:numPr>
    </w:pPr>
  </w:style>
  <w:style w:type="paragraph" w:customStyle="1" w:styleId="List-number">
    <w:name w:val="List - number"/>
    <w:basedOn w:val="List-bullet"/>
    <w:rsid w:val="00C20482"/>
    <w:pPr>
      <w:numPr>
        <w:numId w:val="9"/>
      </w:numPr>
    </w:pPr>
  </w:style>
  <w:style w:type="paragraph" w:customStyle="1" w:styleId="List-numbersub">
    <w:name w:val="List - number sub"/>
    <w:basedOn w:val="List-number"/>
    <w:rsid w:val="00C20482"/>
    <w:pPr>
      <w:numPr>
        <w:ilvl w:val="1"/>
      </w:numPr>
    </w:pPr>
  </w:style>
  <w:style w:type="paragraph" w:customStyle="1" w:styleId="List-numbersubsub">
    <w:name w:val="List - number subsub"/>
    <w:basedOn w:val="List-numbersub"/>
    <w:rsid w:val="00C20482"/>
    <w:pPr>
      <w:numPr>
        <w:ilvl w:val="2"/>
      </w:numPr>
    </w:pPr>
  </w:style>
  <w:style w:type="paragraph" w:customStyle="1" w:styleId="ListofTablesFigures">
    <w:name w:val="List of Tables/Figures"/>
    <w:basedOn w:val="Normal"/>
    <w:next w:val="Normal"/>
    <w:rsid w:val="00C20482"/>
  </w:style>
  <w:style w:type="character" w:styleId="PageNumber">
    <w:name w:val="page number"/>
    <w:basedOn w:val="DefaultParagraphFont"/>
    <w:rsid w:val="00C20482"/>
    <w:rPr>
      <w:rFonts w:ascii="Arial" w:hAnsi="Arial"/>
      <w:sz w:val="20"/>
    </w:rPr>
  </w:style>
  <w:style w:type="character" w:customStyle="1" w:styleId="Plain">
    <w:name w:val="Plain"/>
    <w:basedOn w:val="DefaultParagraphFont"/>
    <w:rsid w:val="00C20482"/>
  </w:style>
  <w:style w:type="character" w:styleId="Strong">
    <w:name w:val="Strong"/>
    <w:basedOn w:val="DefaultParagraphFont"/>
    <w:rsid w:val="00C20482"/>
    <w:rPr>
      <w:b/>
      <w:bCs/>
    </w:rPr>
  </w:style>
  <w:style w:type="table" w:styleId="TableGrid">
    <w:name w:val="Table Grid"/>
    <w:basedOn w:val="TableNormal"/>
    <w:rsid w:val="00C20482"/>
    <w:pPr>
      <w:spacing w:before="40" w:after="40" w:line="260" w:lineRule="atLeast"/>
    </w:pPr>
    <w:rPr>
      <w:rFonts w:ascii="Times New Roman" w:hAnsi="Times New Roman" w:cs="Times New Roman"/>
      <w:sz w:val="20"/>
      <w:szCs w:val="20"/>
      <w:lang w:eastAsia="en-AU"/>
    </w:rPr>
    <w:tblPr>
      <w:tblStyleRowBandSize w:val="1"/>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rPr>
        <w:cantSplit/>
        <w:tblHeader/>
      </w:trPr>
      <w:tcPr>
        <w:tcBorders>
          <w:top w:val="single" w:sz="4" w:space="0" w:color="auto"/>
          <w:left w:val="nil"/>
          <w:bottom w:val="single" w:sz="4" w:space="0" w:color="auto"/>
          <w:right w:val="nil"/>
          <w:insideH w:val="nil"/>
          <w:insideV w:val="nil"/>
          <w:tl2br w:val="nil"/>
          <w:tr2bl w:val="nil"/>
        </w:tcBorders>
        <w:vAlign w:val="bottom"/>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TableofContents">
    <w:name w:val="Table of Contents"/>
    <w:basedOn w:val="TOC1"/>
    <w:next w:val="Normal"/>
    <w:rsid w:val="00C20482"/>
    <w:pPr>
      <w:tabs>
        <w:tab w:val="left" w:pos="425"/>
        <w:tab w:val="right" w:leader="dot" w:pos="9072"/>
      </w:tabs>
      <w:spacing w:before="120" w:after="60"/>
      <w:ind w:left="425" w:hanging="425"/>
    </w:pPr>
    <w:rPr>
      <w:b/>
      <w:noProof/>
    </w:rPr>
  </w:style>
  <w:style w:type="paragraph" w:styleId="TOC1">
    <w:name w:val="toc 1"/>
    <w:basedOn w:val="Normal"/>
    <w:next w:val="Normal"/>
    <w:autoRedefine/>
    <w:uiPriority w:val="39"/>
    <w:unhideWhenUsed/>
    <w:rsid w:val="00C20482"/>
    <w:pPr>
      <w:spacing w:after="100"/>
    </w:pPr>
  </w:style>
  <w:style w:type="paragraph" w:styleId="TableofFigures">
    <w:name w:val="table of figures"/>
    <w:basedOn w:val="Normal"/>
    <w:next w:val="Normal"/>
    <w:uiPriority w:val="99"/>
    <w:rsid w:val="001D0268"/>
    <w:pPr>
      <w:tabs>
        <w:tab w:val="left" w:pos="1134"/>
        <w:tab w:val="right" w:leader="dot" w:pos="9072"/>
      </w:tabs>
      <w:spacing w:before="60" w:after="60"/>
      <w:ind w:left="1134" w:hanging="1134"/>
    </w:pPr>
    <w:rPr>
      <w:sz w:val="20"/>
    </w:rPr>
  </w:style>
  <w:style w:type="paragraph" w:customStyle="1" w:styleId="TableFigText">
    <w:name w:val="Table/Fig: Text"/>
    <w:qFormat/>
    <w:rsid w:val="00744109"/>
    <w:pPr>
      <w:keepLines/>
      <w:tabs>
        <w:tab w:val="left" w:pos="425"/>
        <w:tab w:val="left" w:pos="851"/>
      </w:tabs>
      <w:spacing w:before="60" w:after="60" w:line="200" w:lineRule="atLeast"/>
    </w:pPr>
    <w:rPr>
      <w:rFonts w:ascii="Arial" w:hAnsi="Arial" w:cs="Times New Roman"/>
      <w:sz w:val="20"/>
      <w:szCs w:val="20"/>
    </w:rPr>
  </w:style>
  <w:style w:type="paragraph" w:customStyle="1" w:styleId="TableFigHeadingText">
    <w:name w:val="Table/Fig: Heading Text"/>
    <w:basedOn w:val="TableFigText"/>
    <w:qFormat/>
    <w:rsid w:val="00744109"/>
    <w:rPr>
      <w:b/>
    </w:rPr>
  </w:style>
  <w:style w:type="paragraph" w:customStyle="1" w:styleId="TableFigHeadingNumber">
    <w:name w:val="Table/Fig: Heading Number"/>
    <w:basedOn w:val="TableFigHeadingText"/>
    <w:rsid w:val="00C20482"/>
    <w:pPr>
      <w:jc w:val="right"/>
    </w:pPr>
  </w:style>
  <w:style w:type="paragraph" w:customStyle="1" w:styleId="TableFigSourcesfootnotes">
    <w:name w:val="Table/Fig: Sources &amp; footnotes"/>
    <w:rsid w:val="00C20482"/>
    <w:pPr>
      <w:keepLines/>
      <w:tabs>
        <w:tab w:val="left" w:pos="425"/>
        <w:tab w:val="left" w:pos="851"/>
      </w:tabs>
      <w:spacing w:before="120" w:after="240" w:line="180" w:lineRule="atLeast"/>
    </w:pPr>
    <w:rPr>
      <w:rFonts w:ascii="Arial" w:hAnsi="Arial" w:cs="Times New Roman"/>
      <w:sz w:val="18"/>
      <w:szCs w:val="20"/>
    </w:rPr>
  </w:style>
  <w:style w:type="paragraph" w:customStyle="1" w:styleId="TableFigNotes">
    <w:name w:val="Table/Fig: Notes"/>
    <w:basedOn w:val="TableFigSourcesfootnotes"/>
    <w:rsid w:val="00C20482"/>
    <w:pPr>
      <w:spacing w:before="40" w:after="40"/>
    </w:pPr>
  </w:style>
  <w:style w:type="paragraph" w:customStyle="1" w:styleId="TableFigNumber">
    <w:name w:val="Table/Fig: Number"/>
    <w:basedOn w:val="TableFigText"/>
    <w:rsid w:val="00C20482"/>
    <w:pPr>
      <w:jc w:val="right"/>
    </w:pPr>
  </w:style>
  <w:style w:type="paragraph" w:customStyle="1" w:styleId="TableFigSubtotaltext">
    <w:name w:val="Table/Fig: Subtotal text"/>
    <w:basedOn w:val="TableFigText"/>
    <w:rsid w:val="00C20482"/>
    <w:rPr>
      <w:i/>
    </w:rPr>
  </w:style>
  <w:style w:type="paragraph" w:customStyle="1" w:styleId="TableFigSubtotalnumber">
    <w:name w:val="Table/Fig: Subtotal number"/>
    <w:basedOn w:val="TableFigSubtotaltext"/>
    <w:rsid w:val="00C20482"/>
    <w:pPr>
      <w:jc w:val="right"/>
    </w:pPr>
  </w:style>
  <w:style w:type="paragraph" w:customStyle="1" w:styleId="TableFigTotaltext">
    <w:name w:val="Table/Fig: Total text"/>
    <w:basedOn w:val="TableFigHeadingText"/>
    <w:rsid w:val="00C20482"/>
  </w:style>
  <w:style w:type="paragraph" w:customStyle="1" w:styleId="TableFigTotalnumber">
    <w:name w:val="Table/Fig: Total number"/>
    <w:basedOn w:val="TableFigTotaltext"/>
    <w:rsid w:val="00C20482"/>
    <w:pPr>
      <w:jc w:val="right"/>
    </w:pPr>
  </w:style>
  <w:style w:type="paragraph" w:customStyle="1" w:styleId="Tablebulletpoint">
    <w:name w:val="Table: bullet point"/>
    <w:basedOn w:val="TableFigText"/>
    <w:rsid w:val="00C20482"/>
    <w:pPr>
      <w:numPr>
        <w:numId w:val="10"/>
      </w:numPr>
      <w:tabs>
        <w:tab w:val="clear" w:pos="851"/>
        <w:tab w:val="left" w:pos="284"/>
      </w:tabs>
    </w:pPr>
  </w:style>
  <w:style w:type="paragraph" w:customStyle="1" w:styleId="TableBulletnumber">
    <w:name w:val="Table: Bullet number"/>
    <w:basedOn w:val="Tablebulletpoint"/>
    <w:rsid w:val="00C20482"/>
    <w:pPr>
      <w:numPr>
        <w:numId w:val="11"/>
      </w:numPr>
    </w:pPr>
  </w:style>
  <w:style w:type="paragraph" w:customStyle="1" w:styleId="TableCaption">
    <w:name w:val="Table: Caption"/>
    <w:basedOn w:val="Normal"/>
    <w:next w:val="Normal"/>
    <w:qFormat/>
    <w:rsid w:val="00744109"/>
    <w:pPr>
      <w:keepNext/>
      <w:keepLines/>
      <w:spacing w:before="240" w:after="120" w:line="240" w:lineRule="auto"/>
    </w:pPr>
    <w:rPr>
      <w:b/>
      <w:sz w:val="20"/>
    </w:rPr>
  </w:style>
  <w:style w:type="character" w:customStyle="1" w:styleId="Underline">
    <w:name w:val="Underline"/>
    <w:basedOn w:val="DefaultParagraphFont"/>
    <w:rsid w:val="00C20482"/>
    <w:rPr>
      <w:u w:val="single"/>
    </w:rPr>
  </w:style>
  <w:style w:type="paragraph" w:styleId="BalloonText">
    <w:name w:val="Balloon Text"/>
    <w:basedOn w:val="Normal"/>
    <w:link w:val="BalloonTextChar"/>
    <w:uiPriority w:val="99"/>
    <w:semiHidden/>
    <w:unhideWhenUsed/>
    <w:rsid w:val="00604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6C"/>
    <w:rPr>
      <w:rFonts w:ascii="Tahoma" w:hAnsi="Tahoma" w:cs="Tahoma"/>
      <w:sz w:val="16"/>
      <w:szCs w:val="16"/>
    </w:rPr>
  </w:style>
  <w:style w:type="paragraph" w:styleId="ListParagraph">
    <w:name w:val="List Paragraph"/>
    <w:basedOn w:val="Normal"/>
    <w:uiPriority w:val="34"/>
    <w:semiHidden/>
    <w:unhideWhenUsed/>
    <w:qFormat/>
    <w:rsid w:val="004A7EBE"/>
    <w:pPr>
      <w:ind w:left="720"/>
      <w:contextualSpacing/>
    </w:pPr>
  </w:style>
  <w:style w:type="paragraph" w:styleId="Header">
    <w:name w:val="header"/>
    <w:basedOn w:val="Normal"/>
    <w:link w:val="HeaderChar"/>
    <w:uiPriority w:val="99"/>
    <w:unhideWhenUsed/>
    <w:rsid w:val="00840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3E0"/>
    <w:rPr>
      <w:rFonts w:ascii="Arial" w:hAnsi="Arial" w:cs="Times New Roman"/>
      <w:szCs w:val="20"/>
    </w:rPr>
  </w:style>
  <w:style w:type="paragraph" w:styleId="Footer">
    <w:name w:val="footer"/>
    <w:basedOn w:val="Normal"/>
    <w:link w:val="FooterChar"/>
    <w:uiPriority w:val="99"/>
    <w:unhideWhenUsed/>
    <w:rsid w:val="00840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3E0"/>
    <w:rPr>
      <w:rFonts w:ascii="Arial" w:hAnsi="Arial" w:cs="Times New Roman"/>
      <w:szCs w:val="20"/>
    </w:rPr>
  </w:style>
  <w:style w:type="character" w:customStyle="1" w:styleId="mandatory">
    <w:name w:val="mandatory"/>
    <w:basedOn w:val="DefaultParagraphFont"/>
    <w:rsid w:val="0064289B"/>
  </w:style>
  <w:style w:type="paragraph" w:styleId="PlainText">
    <w:name w:val="Plain Text"/>
    <w:basedOn w:val="Normal"/>
    <w:link w:val="PlainTextChar"/>
    <w:rsid w:val="00FC283B"/>
    <w:pPr>
      <w:spacing w:after="0" w:line="240" w:lineRule="auto"/>
    </w:pPr>
    <w:rPr>
      <w:rFonts w:ascii="Courier New" w:hAnsi="Courier New"/>
      <w:sz w:val="20"/>
    </w:rPr>
  </w:style>
  <w:style w:type="character" w:customStyle="1" w:styleId="PlainTextChar">
    <w:name w:val="Plain Text Char"/>
    <w:basedOn w:val="DefaultParagraphFont"/>
    <w:link w:val="PlainText"/>
    <w:rsid w:val="00FC283B"/>
    <w:rPr>
      <w:rFonts w:ascii="Courier New" w:hAnsi="Courier New" w:cs="Times New Roman"/>
      <w:sz w:val="20"/>
      <w:szCs w:val="20"/>
    </w:rPr>
  </w:style>
  <w:style w:type="paragraph" w:styleId="TOC2">
    <w:name w:val="toc 2"/>
    <w:basedOn w:val="Normal"/>
    <w:next w:val="Normal"/>
    <w:autoRedefine/>
    <w:uiPriority w:val="39"/>
    <w:unhideWhenUsed/>
    <w:rsid w:val="008D2C5D"/>
    <w:pPr>
      <w:spacing w:after="100"/>
      <w:ind w:left="220"/>
    </w:pPr>
  </w:style>
  <w:style w:type="paragraph" w:styleId="TOC3">
    <w:name w:val="toc 3"/>
    <w:basedOn w:val="Normal"/>
    <w:next w:val="Normal"/>
    <w:autoRedefine/>
    <w:uiPriority w:val="39"/>
    <w:unhideWhenUsed/>
    <w:rsid w:val="008D2C5D"/>
    <w:pPr>
      <w:spacing w:after="100"/>
      <w:ind w:left="440"/>
    </w:pPr>
  </w:style>
  <w:style w:type="character" w:styleId="CommentReference">
    <w:name w:val="annotation reference"/>
    <w:basedOn w:val="DefaultParagraphFont"/>
    <w:uiPriority w:val="99"/>
    <w:semiHidden/>
    <w:unhideWhenUsed/>
    <w:rsid w:val="00FB691F"/>
    <w:rPr>
      <w:sz w:val="16"/>
      <w:szCs w:val="16"/>
    </w:rPr>
  </w:style>
  <w:style w:type="paragraph" w:styleId="CommentText">
    <w:name w:val="annotation text"/>
    <w:basedOn w:val="Normal"/>
    <w:link w:val="CommentTextChar"/>
    <w:uiPriority w:val="99"/>
    <w:semiHidden/>
    <w:unhideWhenUsed/>
    <w:rsid w:val="00FB691F"/>
    <w:pPr>
      <w:spacing w:line="240" w:lineRule="auto"/>
    </w:pPr>
    <w:rPr>
      <w:sz w:val="20"/>
    </w:rPr>
  </w:style>
  <w:style w:type="character" w:customStyle="1" w:styleId="CommentTextChar">
    <w:name w:val="Comment Text Char"/>
    <w:basedOn w:val="DefaultParagraphFont"/>
    <w:link w:val="CommentText"/>
    <w:uiPriority w:val="99"/>
    <w:semiHidden/>
    <w:rsid w:val="00FB691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B691F"/>
    <w:rPr>
      <w:b/>
      <w:bCs/>
    </w:rPr>
  </w:style>
  <w:style w:type="character" w:customStyle="1" w:styleId="CommentSubjectChar">
    <w:name w:val="Comment Subject Char"/>
    <w:basedOn w:val="CommentTextChar"/>
    <w:link w:val="CommentSubject"/>
    <w:uiPriority w:val="99"/>
    <w:semiHidden/>
    <w:rsid w:val="00FB691F"/>
    <w:rPr>
      <w:rFonts w:ascii="Arial" w:hAnsi="Arial" w:cs="Times New Roman"/>
      <w:b/>
      <w:bCs/>
      <w:sz w:val="20"/>
      <w:szCs w:val="20"/>
    </w:rPr>
  </w:style>
  <w:style w:type="paragraph" w:customStyle="1" w:styleId="TableFigNoteOnly">
    <w:name w:val="Table/Fig: Note–Only"/>
    <w:basedOn w:val="Normal"/>
    <w:next w:val="Normal"/>
    <w:qFormat/>
    <w:rsid w:val="00744109"/>
    <w:pPr>
      <w:keepLines/>
      <w:tabs>
        <w:tab w:val="left" w:pos="425"/>
        <w:tab w:val="left" w:pos="851"/>
      </w:tabs>
      <w:spacing w:before="120" w:after="240" w:line="180" w:lineRule="atLeast"/>
    </w:pPr>
    <w:rPr>
      <w:sz w:val="18"/>
    </w:rPr>
  </w:style>
  <w:style w:type="paragraph" w:customStyle="1" w:styleId="TableFigNoteFirst">
    <w:name w:val="Table/Fig: Note–First"/>
    <w:basedOn w:val="Normal"/>
    <w:next w:val="Normal"/>
    <w:qFormat/>
    <w:rsid w:val="00744109"/>
    <w:pPr>
      <w:keepLines/>
      <w:tabs>
        <w:tab w:val="left" w:pos="425"/>
        <w:tab w:val="left" w:pos="851"/>
      </w:tabs>
      <w:spacing w:before="120" w:after="40" w:line="180" w:lineRule="atLeast"/>
    </w:pPr>
    <w:rPr>
      <w:sz w:val="18"/>
    </w:rPr>
  </w:style>
  <w:style w:type="paragraph" w:customStyle="1" w:styleId="TableFigNoteMiddle">
    <w:name w:val="Table/Fig: Note–Middle"/>
    <w:basedOn w:val="Normal"/>
    <w:next w:val="Normal"/>
    <w:qFormat/>
    <w:rsid w:val="00744109"/>
    <w:pPr>
      <w:keepLines/>
      <w:tabs>
        <w:tab w:val="left" w:pos="425"/>
        <w:tab w:val="left" w:pos="851"/>
      </w:tabs>
      <w:spacing w:before="40" w:after="40" w:line="180" w:lineRule="atLeast"/>
    </w:pPr>
    <w:rPr>
      <w:sz w:val="18"/>
    </w:rPr>
  </w:style>
  <w:style w:type="paragraph" w:customStyle="1" w:styleId="TableFigNoteLast">
    <w:name w:val="Table/Fig: Note–Last"/>
    <w:basedOn w:val="Normal"/>
    <w:next w:val="Normal"/>
    <w:qFormat/>
    <w:rsid w:val="00744109"/>
    <w:pPr>
      <w:keepLines/>
      <w:tabs>
        <w:tab w:val="left" w:pos="425"/>
        <w:tab w:val="left" w:pos="851"/>
      </w:tabs>
      <w:spacing w:before="40" w:after="240" w:line="180" w:lineRule="atLeast"/>
    </w:pPr>
    <w:rPr>
      <w:sz w:val="18"/>
    </w:rPr>
  </w:style>
  <w:style w:type="paragraph" w:customStyle="1" w:styleId="BulletStyle">
    <w:name w:val="Bullet Style"/>
    <w:next w:val="Normal"/>
    <w:link w:val="BulletStyleChar"/>
    <w:qFormat/>
    <w:rsid w:val="00744109"/>
    <w:pPr>
      <w:tabs>
        <w:tab w:val="left" w:pos="142"/>
      </w:tabs>
      <w:spacing w:after="120" w:line="240" w:lineRule="atLeast"/>
      <w:ind w:left="142" w:hanging="142"/>
    </w:pPr>
    <w:rPr>
      <w:rFonts w:ascii="Arial" w:hAnsi="Arial"/>
      <w:szCs w:val="20"/>
    </w:rPr>
  </w:style>
  <w:style w:type="character" w:customStyle="1" w:styleId="BulletStyleChar">
    <w:name w:val="Bullet Style Char"/>
    <w:basedOn w:val="DefaultParagraphFont"/>
    <w:link w:val="BulletStyle"/>
    <w:rsid w:val="00744109"/>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0"/>
    <w:lsdException w:name="Subtitle" w:uiPriority="11" w:qFormat="1"/>
    <w:lsdException w:name="Strong" w:semiHidden="0" w:uiPriority="0" w:unhideWhenUsed="0"/>
    <w:lsdException w:name="Emphasis" w:semiHidden="0" w:uiPriority="0" w:unhideWhenUsed="0"/>
    <w:lsdException w:name="Plain Text" w:uiPriority="0"/>
    <w:lsdException w:name="No Lis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44109"/>
    <w:pPr>
      <w:spacing w:after="160" w:line="260" w:lineRule="atLeast"/>
    </w:pPr>
    <w:rPr>
      <w:rFonts w:ascii="Arial" w:hAnsi="Arial"/>
      <w:szCs w:val="20"/>
    </w:rPr>
  </w:style>
  <w:style w:type="paragraph" w:styleId="Heading1">
    <w:name w:val="heading 1"/>
    <w:next w:val="Normal"/>
    <w:link w:val="Heading1Char"/>
    <w:qFormat/>
    <w:rsid w:val="005933BC"/>
    <w:pPr>
      <w:keepNext/>
      <w:keepLines/>
      <w:spacing w:before="160" w:after="240" w:line="240" w:lineRule="auto"/>
      <w:outlineLvl w:val="0"/>
    </w:pPr>
    <w:rPr>
      <w:rFonts w:ascii="Arial" w:eastAsiaTheme="majorEastAsia" w:hAnsi="Arial" w:cstheme="majorBidi"/>
      <w:b/>
      <w:sz w:val="32"/>
      <w:szCs w:val="20"/>
    </w:rPr>
  </w:style>
  <w:style w:type="paragraph" w:styleId="Heading2">
    <w:name w:val="heading 2"/>
    <w:next w:val="Normal"/>
    <w:link w:val="Heading2Char"/>
    <w:qFormat/>
    <w:rsid w:val="00744109"/>
    <w:pPr>
      <w:keepNext/>
      <w:keepLines/>
      <w:spacing w:after="80" w:line="240" w:lineRule="auto"/>
      <w:outlineLvl w:val="1"/>
    </w:pPr>
    <w:rPr>
      <w:rFonts w:ascii="Arial" w:eastAsiaTheme="majorEastAsia" w:hAnsi="Arial" w:cstheme="majorBidi"/>
      <w:b/>
      <w:sz w:val="28"/>
      <w:szCs w:val="20"/>
    </w:rPr>
  </w:style>
  <w:style w:type="paragraph" w:styleId="Heading3">
    <w:name w:val="heading 3"/>
    <w:next w:val="Normal"/>
    <w:link w:val="Heading3Char"/>
    <w:qFormat/>
    <w:rsid w:val="00744109"/>
    <w:pPr>
      <w:keepNext/>
      <w:keepLines/>
      <w:spacing w:after="80" w:line="340" w:lineRule="atLeast"/>
      <w:outlineLvl w:val="2"/>
    </w:pPr>
    <w:rPr>
      <w:rFonts w:ascii="Arial" w:eastAsiaTheme="majorEastAsia" w:hAnsi="Arial" w:cstheme="majorBidi"/>
      <w:b/>
      <w:sz w:val="24"/>
      <w:szCs w:val="20"/>
    </w:rPr>
  </w:style>
  <w:style w:type="paragraph" w:styleId="Heading4">
    <w:name w:val="heading 4"/>
    <w:basedOn w:val="Normal"/>
    <w:next w:val="Normal"/>
    <w:link w:val="Heading4Char"/>
    <w:qFormat/>
    <w:rsid w:val="00744109"/>
    <w:pPr>
      <w:keepNext/>
      <w:spacing w:after="80"/>
      <w:outlineLvl w:val="3"/>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x">
    <w:name w:val="Box"/>
    <w:basedOn w:val="TableNormal"/>
    <w:rsid w:val="00C20482"/>
    <w:pPr>
      <w:spacing w:after="0" w:line="240" w:lineRule="auto"/>
    </w:pPr>
    <w:rPr>
      <w:rFonts w:ascii="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vAlign w:val="center"/>
    </w:tcPr>
  </w:style>
  <w:style w:type="table" w:customStyle="1" w:styleId="BoxCentred">
    <w:name w:val="Box: Centred"/>
    <w:basedOn w:val="Box"/>
    <w:rsid w:val="00C20482"/>
    <w:tblPr>
      <w:jc w:val="cente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rPr>
      <w:jc w:val="center"/>
    </w:trPr>
    <w:tcPr>
      <w:vAlign w:val="center"/>
    </w:tcPr>
  </w:style>
  <w:style w:type="table" w:customStyle="1" w:styleId="BoxGrey">
    <w:name w:val="Box: Grey"/>
    <w:basedOn w:val="Box"/>
    <w:rsid w:val="00C20482"/>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E0E0E0"/>
      <w:vAlign w:val="center"/>
    </w:tcPr>
  </w:style>
  <w:style w:type="table" w:customStyle="1" w:styleId="BoxGreycentred">
    <w:name w:val="Box: Grey centred"/>
    <w:basedOn w:val="BoxGrey"/>
    <w:rsid w:val="00C20482"/>
    <w:tblPr>
      <w:jc w:val="cente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rPr>
      <w:jc w:val="center"/>
    </w:trPr>
    <w:tcPr>
      <w:shd w:val="clear" w:color="auto" w:fill="E0E0E0"/>
      <w:vAlign w:val="center"/>
    </w:tcPr>
  </w:style>
  <w:style w:type="paragraph" w:customStyle="1" w:styleId="BoxText">
    <w:name w:val="Box: Text"/>
    <w:basedOn w:val="Normal"/>
    <w:next w:val="Normal"/>
    <w:qFormat/>
    <w:rsid w:val="00744109"/>
    <w:pPr>
      <w:spacing w:line="240" w:lineRule="atLeast"/>
      <w:ind w:left="227" w:right="227"/>
    </w:pPr>
    <w:rPr>
      <w:i/>
      <w:sz w:val="20"/>
    </w:rPr>
  </w:style>
  <w:style w:type="paragraph" w:customStyle="1" w:styleId="BoxHeading">
    <w:name w:val="Box: Heading"/>
    <w:basedOn w:val="BoxText"/>
    <w:next w:val="BoxText"/>
    <w:qFormat/>
    <w:rsid w:val="00744109"/>
    <w:pPr>
      <w:spacing w:before="120" w:after="60"/>
    </w:pPr>
    <w:rPr>
      <w:b/>
      <w:i w:val="0"/>
      <w:sz w:val="22"/>
    </w:rPr>
  </w:style>
  <w:style w:type="paragraph" w:customStyle="1" w:styleId="BoxTextcentred">
    <w:name w:val="Box: Text centred"/>
    <w:basedOn w:val="BoxText"/>
    <w:rsid w:val="00C20482"/>
    <w:pPr>
      <w:jc w:val="center"/>
    </w:pPr>
  </w:style>
  <w:style w:type="character" w:styleId="Emphasis">
    <w:name w:val="Emphasis"/>
    <w:basedOn w:val="DefaultParagraphFont"/>
    <w:rsid w:val="00C20482"/>
    <w:rPr>
      <w:i/>
      <w:iCs/>
    </w:rPr>
  </w:style>
  <w:style w:type="paragraph" w:customStyle="1" w:styleId="FigureCaption">
    <w:name w:val="Figure: Caption"/>
    <w:basedOn w:val="Normal"/>
    <w:next w:val="Normal"/>
    <w:qFormat/>
    <w:rsid w:val="00744109"/>
    <w:pPr>
      <w:keepNext/>
      <w:keepLines/>
      <w:spacing w:before="120" w:after="120" w:line="240" w:lineRule="atLeast"/>
    </w:pPr>
    <w:rPr>
      <w:b/>
      <w:sz w:val="20"/>
    </w:rPr>
  </w:style>
  <w:style w:type="character" w:styleId="FootnoteReference">
    <w:name w:val="footnote reference"/>
    <w:basedOn w:val="DefaultParagraphFont"/>
    <w:rsid w:val="00C20482"/>
    <w:rPr>
      <w:vertAlign w:val="superscript"/>
    </w:rPr>
  </w:style>
  <w:style w:type="paragraph" w:styleId="FootnoteText">
    <w:name w:val="footnote text"/>
    <w:link w:val="FootnoteTextChar"/>
    <w:qFormat/>
    <w:rsid w:val="00744109"/>
    <w:pPr>
      <w:spacing w:after="0" w:line="240" w:lineRule="auto"/>
    </w:pPr>
    <w:rPr>
      <w:rFonts w:ascii="Arial" w:eastAsia="Times" w:hAnsi="Arial" w:cs="Times New Roman"/>
      <w:sz w:val="18"/>
      <w:szCs w:val="20"/>
      <w:lang w:val="en-GB"/>
    </w:rPr>
  </w:style>
  <w:style w:type="character" w:customStyle="1" w:styleId="FootnoteTextChar">
    <w:name w:val="Footnote Text Char"/>
    <w:basedOn w:val="DefaultParagraphFont"/>
    <w:link w:val="FootnoteText"/>
    <w:rsid w:val="00744109"/>
    <w:rPr>
      <w:rFonts w:ascii="Arial" w:eastAsia="Times" w:hAnsi="Arial" w:cs="Times New Roman"/>
      <w:sz w:val="18"/>
      <w:szCs w:val="20"/>
      <w:lang w:val="en-GB"/>
    </w:rPr>
  </w:style>
  <w:style w:type="character" w:customStyle="1" w:styleId="Heading1Char">
    <w:name w:val="Heading 1 Char"/>
    <w:basedOn w:val="DefaultParagraphFont"/>
    <w:link w:val="Heading1"/>
    <w:rsid w:val="005933BC"/>
    <w:rPr>
      <w:rFonts w:ascii="Arial" w:eastAsiaTheme="majorEastAsia" w:hAnsi="Arial" w:cstheme="majorBidi"/>
      <w:b/>
      <w:sz w:val="32"/>
      <w:szCs w:val="20"/>
    </w:rPr>
  </w:style>
  <w:style w:type="character" w:customStyle="1" w:styleId="Heading2Char">
    <w:name w:val="Heading 2 Char"/>
    <w:basedOn w:val="DefaultParagraphFont"/>
    <w:link w:val="Heading2"/>
    <w:rsid w:val="00744109"/>
    <w:rPr>
      <w:rFonts w:ascii="Arial" w:eastAsiaTheme="majorEastAsia" w:hAnsi="Arial" w:cstheme="majorBidi"/>
      <w:b/>
      <w:sz w:val="28"/>
      <w:szCs w:val="20"/>
    </w:rPr>
  </w:style>
  <w:style w:type="character" w:customStyle="1" w:styleId="Heading3Char">
    <w:name w:val="Heading 3 Char"/>
    <w:basedOn w:val="DefaultParagraphFont"/>
    <w:link w:val="Heading3"/>
    <w:rsid w:val="00744109"/>
    <w:rPr>
      <w:rFonts w:ascii="Arial" w:eastAsiaTheme="majorEastAsia" w:hAnsi="Arial" w:cstheme="majorBidi"/>
      <w:b/>
      <w:sz w:val="24"/>
      <w:szCs w:val="20"/>
    </w:rPr>
  </w:style>
  <w:style w:type="character" w:customStyle="1" w:styleId="Heading4Char">
    <w:name w:val="Heading 4 Char"/>
    <w:basedOn w:val="DefaultParagraphFont"/>
    <w:link w:val="Heading4"/>
    <w:rsid w:val="00744109"/>
    <w:rPr>
      <w:rFonts w:ascii="Arial" w:eastAsiaTheme="majorEastAsia" w:hAnsi="Arial" w:cstheme="majorBidi"/>
      <w:b/>
      <w:i/>
      <w:szCs w:val="20"/>
    </w:rPr>
  </w:style>
  <w:style w:type="character" w:styleId="Hyperlink">
    <w:name w:val="Hyperlink"/>
    <w:basedOn w:val="DefaultParagraphFont"/>
    <w:uiPriority w:val="99"/>
    <w:rsid w:val="00C20482"/>
    <w:rPr>
      <w:color w:val="0000FF"/>
      <w:u w:val="none"/>
    </w:rPr>
  </w:style>
  <w:style w:type="paragraph" w:customStyle="1" w:styleId="List-bullet">
    <w:name w:val="List - bullet"/>
    <w:basedOn w:val="Normal"/>
    <w:rsid w:val="00C20482"/>
    <w:pPr>
      <w:numPr>
        <w:numId w:val="3"/>
      </w:numPr>
      <w:spacing w:after="120"/>
    </w:pPr>
  </w:style>
  <w:style w:type="paragraph" w:customStyle="1" w:styleId="List-bulletsub">
    <w:name w:val="List - bullet sub"/>
    <w:basedOn w:val="List-bullet"/>
    <w:rsid w:val="00C20482"/>
    <w:pPr>
      <w:numPr>
        <w:ilvl w:val="1"/>
      </w:numPr>
    </w:pPr>
  </w:style>
  <w:style w:type="paragraph" w:customStyle="1" w:styleId="List-bulletsubsub">
    <w:name w:val="List - bullet subsub"/>
    <w:basedOn w:val="List-bullet"/>
    <w:rsid w:val="00C20482"/>
    <w:pPr>
      <w:numPr>
        <w:ilvl w:val="2"/>
      </w:numPr>
      <w:tabs>
        <w:tab w:val="left" w:pos="425"/>
      </w:tabs>
    </w:pPr>
  </w:style>
  <w:style w:type="paragraph" w:customStyle="1" w:styleId="List-letter">
    <w:name w:val="List - letter"/>
    <w:basedOn w:val="List-bullet"/>
    <w:rsid w:val="00C20482"/>
    <w:pPr>
      <w:numPr>
        <w:numId w:val="6"/>
      </w:numPr>
    </w:pPr>
  </w:style>
  <w:style w:type="paragraph" w:customStyle="1" w:styleId="List-lettersub">
    <w:name w:val="List - letter sub"/>
    <w:basedOn w:val="List-letter"/>
    <w:rsid w:val="00C20482"/>
    <w:pPr>
      <w:numPr>
        <w:ilvl w:val="1"/>
      </w:numPr>
    </w:pPr>
  </w:style>
  <w:style w:type="paragraph" w:customStyle="1" w:styleId="List-lettersubsub">
    <w:name w:val="List - letter subsub"/>
    <w:basedOn w:val="List-letter"/>
    <w:rsid w:val="00C20482"/>
    <w:pPr>
      <w:numPr>
        <w:ilvl w:val="2"/>
      </w:numPr>
    </w:pPr>
  </w:style>
  <w:style w:type="paragraph" w:customStyle="1" w:styleId="List-number">
    <w:name w:val="List - number"/>
    <w:basedOn w:val="List-bullet"/>
    <w:rsid w:val="00C20482"/>
    <w:pPr>
      <w:numPr>
        <w:numId w:val="9"/>
      </w:numPr>
    </w:pPr>
  </w:style>
  <w:style w:type="paragraph" w:customStyle="1" w:styleId="List-numbersub">
    <w:name w:val="List - number sub"/>
    <w:basedOn w:val="List-number"/>
    <w:rsid w:val="00C20482"/>
    <w:pPr>
      <w:numPr>
        <w:ilvl w:val="1"/>
      </w:numPr>
    </w:pPr>
  </w:style>
  <w:style w:type="paragraph" w:customStyle="1" w:styleId="List-numbersubsub">
    <w:name w:val="List - number subsub"/>
    <w:basedOn w:val="List-numbersub"/>
    <w:rsid w:val="00C20482"/>
    <w:pPr>
      <w:numPr>
        <w:ilvl w:val="2"/>
      </w:numPr>
    </w:pPr>
  </w:style>
  <w:style w:type="paragraph" w:customStyle="1" w:styleId="ListofTablesFigures">
    <w:name w:val="List of Tables/Figures"/>
    <w:basedOn w:val="Normal"/>
    <w:next w:val="Normal"/>
    <w:rsid w:val="00C20482"/>
  </w:style>
  <w:style w:type="character" w:styleId="PageNumber">
    <w:name w:val="page number"/>
    <w:basedOn w:val="DefaultParagraphFont"/>
    <w:rsid w:val="00C20482"/>
    <w:rPr>
      <w:rFonts w:ascii="Arial" w:hAnsi="Arial"/>
      <w:sz w:val="20"/>
    </w:rPr>
  </w:style>
  <w:style w:type="character" w:customStyle="1" w:styleId="Plain">
    <w:name w:val="Plain"/>
    <w:basedOn w:val="DefaultParagraphFont"/>
    <w:rsid w:val="00C20482"/>
  </w:style>
  <w:style w:type="character" w:styleId="Strong">
    <w:name w:val="Strong"/>
    <w:basedOn w:val="DefaultParagraphFont"/>
    <w:rsid w:val="00C20482"/>
    <w:rPr>
      <w:b/>
      <w:bCs/>
    </w:rPr>
  </w:style>
  <w:style w:type="table" w:styleId="TableGrid">
    <w:name w:val="Table Grid"/>
    <w:basedOn w:val="TableNormal"/>
    <w:rsid w:val="00C20482"/>
    <w:pPr>
      <w:spacing w:before="40" w:after="40" w:line="260" w:lineRule="atLeast"/>
    </w:pPr>
    <w:rPr>
      <w:rFonts w:ascii="Times New Roman" w:hAnsi="Times New Roman" w:cs="Times New Roman"/>
      <w:sz w:val="20"/>
      <w:szCs w:val="20"/>
      <w:lang w:eastAsia="en-AU"/>
    </w:rPr>
    <w:tblPr>
      <w:tblStyleRowBandSize w:val="1"/>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rPr>
        <w:cantSplit/>
        <w:tblHeader/>
      </w:trPr>
      <w:tcPr>
        <w:tcBorders>
          <w:top w:val="single" w:sz="4" w:space="0" w:color="auto"/>
          <w:left w:val="nil"/>
          <w:bottom w:val="single" w:sz="4" w:space="0" w:color="auto"/>
          <w:right w:val="nil"/>
          <w:insideH w:val="nil"/>
          <w:insideV w:val="nil"/>
          <w:tl2br w:val="nil"/>
          <w:tr2bl w:val="nil"/>
        </w:tcBorders>
        <w:vAlign w:val="bottom"/>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TableofContents">
    <w:name w:val="Table of Contents"/>
    <w:basedOn w:val="TOC1"/>
    <w:next w:val="Normal"/>
    <w:rsid w:val="00C20482"/>
    <w:pPr>
      <w:tabs>
        <w:tab w:val="left" w:pos="425"/>
        <w:tab w:val="right" w:leader="dot" w:pos="9072"/>
      </w:tabs>
      <w:spacing w:before="120" w:after="60"/>
      <w:ind w:left="425" w:hanging="425"/>
    </w:pPr>
    <w:rPr>
      <w:b/>
      <w:noProof/>
    </w:rPr>
  </w:style>
  <w:style w:type="paragraph" w:styleId="TOC1">
    <w:name w:val="toc 1"/>
    <w:basedOn w:val="Normal"/>
    <w:next w:val="Normal"/>
    <w:autoRedefine/>
    <w:uiPriority w:val="39"/>
    <w:unhideWhenUsed/>
    <w:rsid w:val="00C20482"/>
    <w:pPr>
      <w:spacing w:after="100"/>
    </w:pPr>
  </w:style>
  <w:style w:type="paragraph" w:styleId="TableofFigures">
    <w:name w:val="table of figures"/>
    <w:basedOn w:val="Normal"/>
    <w:next w:val="Normal"/>
    <w:uiPriority w:val="99"/>
    <w:rsid w:val="001D0268"/>
    <w:pPr>
      <w:tabs>
        <w:tab w:val="left" w:pos="1134"/>
        <w:tab w:val="right" w:leader="dot" w:pos="9072"/>
      </w:tabs>
      <w:spacing w:before="60" w:after="60"/>
      <w:ind w:left="1134" w:hanging="1134"/>
    </w:pPr>
    <w:rPr>
      <w:sz w:val="20"/>
    </w:rPr>
  </w:style>
  <w:style w:type="paragraph" w:customStyle="1" w:styleId="TableFigText">
    <w:name w:val="Table/Fig: Text"/>
    <w:qFormat/>
    <w:rsid w:val="00744109"/>
    <w:pPr>
      <w:keepLines/>
      <w:tabs>
        <w:tab w:val="left" w:pos="425"/>
        <w:tab w:val="left" w:pos="851"/>
      </w:tabs>
      <w:spacing w:before="60" w:after="60" w:line="200" w:lineRule="atLeast"/>
    </w:pPr>
    <w:rPr>
      <w:rFonts w:ascii="Arial" w:hAnsi="Arial" w:cs="Times New Roman"/>
      <w:sz w:val="20"/>
      <w:szCs w:val="20"/>
    </w:rPr>
  </w:style>
  <w:style w:type="paragraph" w:customStyle="1" w:styleId="TableFigHeadingText">
    <w:name w:val="Table/Fig: Heading Text"/>
    <w:basedOn w:val="TableFigText"/>
    <w:qFormat/>
    <w:rsid w:val="00744109"/>
    <w:rPr>
      <w:b/>
    </w:rPr>
  </w:style>
  <w:style w:type="paragraph" w:customStyle="1" w:styleId="TableFigHeadingNumber">
    <w:name w:val="Table/Fig: Heading Number"/>
    <w:basedOn w:val="TableFigHeadingText"/>
    <w:rsid w:val="00C20482"/>
    <w:pPr>
      <w:jc w:val="right"/>
    </w:pPr>
  </w:style>
  <w:style w:type="paragraph" w:customStyle="1" w:styleId="TableFigSourcesfootnotes">
    <w:name w:val="Table/Fig: Sources &amp; footnotes"/>
    <w:rsid w:val="00C20482"/>
    <w:pPr>
      <w:keepLines/>
      <w:tabs>
        <w:tab w:val="left" w:pos="425"/>
        <w:tab w:val="left" w:pos="851"/>
      </w:tabs>
      <w:spacing w:before="120" w:after="240" w:line="180" w:lineRule="atLeast"/>
    </w:pPr>
    <w:rPr>
      <w:rFonts w:ascii="Arial" w:hAnsi="Arial" w:cs="Times New Roman"/>
      <w:sz w:val="18"/>
      <w:szCs w:val="20"/>
    </w:rPr>
  </w:style>
  <w:style w:type="paragraph" w:customStyle="1" w:styleId="TableFigNotes">
    <w:name w:val="Table/Fig: Notes"/>
    <w:basedOn w:val="TableFigSourcesfootnotes"/>
    <w:rsid w:val="00C20482"/>
    <w:pPr>
      <w:spacing w:before="40" w:after="40"/>
    </w:pPr>
  </w:style>
  <w:style w:type="paragraph" w:customStyle="1" w:styleId="TableFigNumber">
    <w:name w:val="Table/Fig: Number"/>
    <w:basedOn w:val="TableFigText"/>
    <w:rsid w:val="00C20482"/>
    <w:pPr>
      <w:jc w:val="right"/>
    </w:pPr>
  </w:style>
  <w:style w:type="paragraph" w:customStyle="1" w:styleId="TableFigSubtotaltext">
    <w:name w:val="Table/Fig: Subtotal text"/>
    <w:basedOn w:val="TableFigText"/>
    <w:rsid w:val="00C20482"/>
    <w:rPr>
      <w:i/>
    </w:rPr>
  </w:style>
  <w:style w:type="paragraph" w:customStyle="1" w:styleId="TableFigSubtotalnumber">
    <w:name w:val="Table/Fig: Subtotal number"/>
    <w:basedOn w:val="TableFigSubtotaltext"/>
    <w:rsid w:val="00C20482"/>
    <w:pPr>
      <w:jc w:val="right"/>
    </w:pPr>
  </w:style>
  <w:style w:type="paragraph" w:customStyle="1" w:styleId="TableFigTotaltext">
    <w:name w:val="Table/Fig: Total text"/>
    <w:basedOn w:val="TableFigHeadingText"/>
    <w:rsid w:val="00C20482"/>
  </w:style>
  <w:style w:type="paragraph" w:customStyle="1" w:styleId="TableFigTotalnumber">
    <w:name w:val="Table/Fig: Total number"/>
    <w:basedOn w:val="TableFigTotaltext"/>
    <w:rsid w:val="00C20482"/>
    <w:pPr>
      <w:jc w:val="right"/>
    </w:pPr>
  </w:style>
  <w:style w:type="paragraph" w:customStyle="1" w:styleId="Tablebulletpoint">
    <w:name w:val="Table: bullet point"/>
    <w:basedOn w:val="TableFigText"/>
    <w:rsid w:val="00C20482"/>
    <w:pPr>
      <w:numPr>
        <w:numId w:val="10"/>
      </w:numPr>
      <w:tabs>
        <w:tab w:val="clear" w:pos="851"/>
        <w:tab w:val="left" w:pos="284"/>
      </w:tabs>
    </w:pPr>
  </w:style>
  <w:style w:type="paragraph" w:customStyle="1" w:styleId="TableBulletnumber">
    <w:name w:val="Table: Bullet number"/>
    <w:basedOn w:val="Tablebulletpoint"/>
    <w:rsid w:val="00C20482"/>
    <w:pPr>
      <w:numPr>
        <w:numId w:val="11"/>
      </w:numPr>
    </w:pPr>
  </w:style>
  <w:style w:type="paragraph" w:customStyle="1" w:styleId="TableCaption">
    <w:name w:val="Table: Caption"/>
    <w:basedOn w:val="Normal"/>
    <w:next w:val="Normal"/>
    <w:qFormat/>
    <w:rsid w:val="00744109"/>
    <w:pPr>
      <w:keepNext/>
      <w:keepLines/>
      <w:spacing w:before="240" w:after="120" w:line="240" w:lineRule="auto"/>
    </w:pPr>
    <w:rPr>
      <w:b/>
      <w:sz w:val="20"/>
    </w:rPr>
  </w:style>
  <w:style w:type="character" w:customStyle="1" w:styleId="Underline">
    <w:name w:val="Underline"/>
    <w:basedOn w:val="DefaultParagraphFont"/>
    <w:rsid w:val="00C20482"/>
    <w:rPr>
      <w:u w:val="single"/>
    </w:rPr>
  </w:style>
  <w:style w:type="paragraph" w:styleId="BalloonText">
    <w:name w:val="Balloon Text"/>
    <w:basedOn w:val="Normal"/>
    <w:link w:val="BalloonTextChar"/>
    <w:uiPriority w:val="99"/>
    <w:semiHidden/>
    <w:unhideWhenUsed/>
    <w:rsid w:val="00604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6C"/>
    <w:rPr>
      <w:rFonts w:ascii="Tahoma" w:hAnsi="Tahoma" w:cs="Tahoma"/>
      <w:sz w:val="16"/>
      <w:szCs w:val="16"/>
    </w:rPr>
  </w:style>
  <w:style w:type="paragraph" w:styleId="ListParagraph">
    <w:name w:val="List Paragraph"/>
    <w:basedOn w:val="Normal"/>
    <w:uiPriority w:val="34"/>
    <w:semiHidden/>
    <w:unhideWhenUsed/>
    <w:qFormat/>
    <w:rsid w:val="004A7EBE"/>
    <w:pPr>
      <w:ind w:left="720"/>
      <w:contextualSpacing/>
    </w:pPr>
  </w:style>
  <w:style w:type="paragraph" w:styleId="Header">
    <w:name w:val="header"/>
    <w:basedOn w:val="Normal"/>
    <w:link w:val="HeaderChar"/>
    <w:uiPriority w:val="99"/>
    <w:unhideWhenUsed/>
    <w:rsid w:val="00840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3E0"/>
    <w:rPr>
      <w:rFonts w:ascii="Arial" w:hAnsi="Arial" w:cs="Times New Roman"/>
      <w:szCs w:val="20"/>
    </w:rPr>
  </w:style>
  <w:style w:type="paragraph" w:styleId="Footer">
    <w:name w:val="footer"/>
    <w:basedOn w:val="Normal"/>
    <w:link w:val="FooterChar"/>
    <w:uiPriority w:val="99"/>
    <w:unhideWhenUsed/>
    <w:rsid w:val="00840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3E0"/>
    <w:rPr>
      <w:rFonts w:ascii="Arial" w:hAnsi="Arial" w:cs="Times New Roman"/>
      <w:szCs w:val="20"/>
    </w:rPr>
  </w:style>
  <w:style w:type="character" w:customStyle="1" w:styleId="mandatory">
    <w:name w:val="mandatory"/>
    <w:basedOn w:val="DefaultParagraphFont"/>
    <w:rsid w:val="0064289B"/>
  </w:style>
  <w:style w:type="paragraph" w:styleId="PlainText">
    <w:name w:val="Plain Text"/>
    <w:basedOn w:val="Normal"/>
    <w:link w:val="PlainTextChar"/>
    <w:rsid w:val="00FC283B"/>
    <w:pPr>
      <w:spacing w:after="0" w:line="240" w:lineRule="auto"/>
    </w:pPr>
    <w:rPr>
      <w:rFonts w:ascii="Courier New" w:hAnsi="Courier New"/>
      <w:sz w:val="20"/>
    </w:rPr>
  </w:style>
  <w:style w:type="character" w:customStyle="1" w:styleId="PlainTextChar">
    <w:name w:val="Plain Text Char"/>
    <w:basedOn w:val="DefaultParagraphFont"/>
    <w:link w:val="PlainText"/>
    <w:rsid w:val="00FC283B"/>
    <w:rPr>
      <w:rFonts w:ascii="Courier New" w:hAnsi="Courier New" w:cs="Times New Roman"/>
      <w:sz w:val="20"/>
      <w:szCs w:val="20"/>
    </w:rPr>
  </w:style>
  <w:style w:type="paragraph" w:styleId="TOC2">
    <w:name w:val="toc 2"/>
    <w:basedOn w:val="Normal"/>
    <w:next w:val="Normal"/>
    <w:autoRedefine/>
    <w:uiPriority w:val="39"/>
    <w:unhideWhenUsed/>
    <w:rsid w:val="008D2C5D"/>
    <w:pPr>
      <w:spacing w:after="100"/>
      <w:ind w:left="220"/>
    </w:pPr>
  </w:style>
  <w:style w:type="paragraph" w:styleId="TOC3">
    <w:name w:val="toc 3"/>
    <w:basedOn w:val="Normal"/>
    <w:next w:val="Normal"/>
    <w:autoRedefine/>
    <w:uiPriority w:val="39"/>
    <w:unhideWhenUsed/>
    <w:rsid w:val="008D2C5D"/>
    <w:pPr>
      <w:spacing w:after="100"/>
      <w:ind w:left="440"/>
    </w:pPr>
  </w:style>
  <w:style w:type="character" w:styleId="CommentReference">
    <w:name w:val="annotation reference"/>
    <w:basedOn w:val="DefaultParagraphFont"/>
    <w:uiPriority w:val="99"/>
    <w:semiHidden/>
    <w:unhideWhenUsed/>
    <w:rsid w:val="00FB691F"/>
    <w:rPr>
      <w:sz w:val="16"/>
      <w:szCs w:val="16"/>
    </w:rPr>
  </w:style>
  <w:style w:type="paragraph" w:styleId="CommentText">
    <w:name w:val="annotation text"/>
    <w:basedOn w:val="Normal"/>
    <w:link w:val="CommentTextChar"/>
    <w:uiPriority w:val="99"/>
    <w:semiHidden/>
    <w:unhideWhenUsed/>
    <w:rsid w:val="00FB691F"/>
    <w:pPr>
      <w:spacing w:line="240" w:lineRule="auto"/>
    </w:pPr>
    <w:rPr>
      <w:sz w:val="20"/>
    </w:rPr>
  </w:style>
  <w:style w:type="character" w:customStyle="1" w:styleId="CommentTextChar">
    <w:name w:val="Comment Text Char"/>
    <w:basedOn w:val="DefaultParagraphFont"/>
    <w:link w:val="CommentText"/>
    <w:uiPriority w:val="99"/>
    <w:semiHidden/>
    <w:rsid w:val="00FB691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B691F"/>
    <w:rPr>
      <w:b/>
      <w:bCs/>
    </w:rPr>
  </w:style>
  <w:style w:type="character" w:customStyle="1" w:styleId="CommentSubjectChar">
    <w:name w:val="Comment Subject Char"/>
    <w:basedOn w:val="CommentTextChar"/>
    <w:link w:val="CommentSubject"/>
    <w:uiPriority w:val="99"/>
    <w:semiHidden/>
    <w:rsid w:val="00FB691F"/>
    <w:rPr>
      <w:rFonts w:ascii="Arial" w:hAnsi="Arial" w:cs="Times New Roman"/>
      <w:b/>
      <w:bCs/>
      <w:sz w:val="20"/>
      <w:szCs w:val="20"/>
    </w:rPr>
  </w:style>
  <w:style w:type="paragraph" w:customStyle="1" w:styleId="TableFigNoteOnly">
    <w:name w:val="Table/Fig: Note–Only"/>
    <w:basedOn w:val="Normal"/>
    <w:next w:val="Normal"/>
    <w:qFormat/>
    <w:rsid w:val="00744109"/>
    <w:pPr>
      <w:keepLines/>
      <w:tabs>
        <w:tab w:val="left" w:pos="425"/>
        <w:tab w:val="left" w:pos="851"/>
      </w:tabs>
      <w:spacing w:before="120" w:after="240" w:line="180" w:lineRule="atLeast"/>
    </w:pPr>
    <w:rPr>
      <w:sz w:val="18"/>
    </w:rPr>
  </w:style>
  <w:style w:type="paragraph" w:customStyle="1" w:styleId="TableFigNoteFirst">
    <w:name w:val="Table/Fig: Note–First"/>
    <w:basedOn w:val="Normal"/>
    <w:next w:val="Normal"/>
    <w:qFormat/>
    <w:rsid w:val="00744109"/>
    <w:pPr>
      <w:keepLines/>
      <w:tabs>
        <w:tab w:val="left" w:pos="425"/>
        <w:tab w:val="left" w:pos="851"/>
      </w:tabs>
      <w:spacing w:before="120" w:after="40" w:line="180" w:lineRule="atLeast"/>
    </w:pPr>
    <w:rPr>
      <w:sz w:val="18"/>
    </w:rPr>
  </w:style>
  <w:style w:type="paragraph" w:customStyle="1" w:styleId="TableFigNoteMiddle">
    <w:name w:val="Table/Fig: Note–Middle"/>
    <w:basedOn w:val="Normal"/>
    <w:next w:val="Normal"/>
    <w:qFormat/>
    <w:rsid w:val="00744109"/>
    <w:pPr>
      <w:keepLines/>
      <w:tabs>
        <w:tab w:val="left" w:pos="425"/>
        <w:tab w:val="left" w:pos="851"/>
      </w:tabs>
      <w:spacing w:before="40" w:after="40" w:line="180" w:lineRule="atLeast"/>
    </w:pPr>
    <w:rPr>
      <w:sz w:val="18"/>
    </w:rPr>
  </w:style>
  <w:style w:type="paragraph" w:customStyle="1" w:styleId="TableFigNoteLast">
    <w:name w:val="Table/Fig: Note–Last"/>
    <w:basedOn w:val="Normal"/>
    <w:next w:val="Normal"/>
    <w:qFormat/>
    <w:rsid w:val="00744109"/>
    <w:pPr>
      <w:keepLines/>
      <w:tabs>
        <w:tab w:val="left" w:pos="425"/>
        <w:tab w:val="left" w:pos="851"/>
      </w:tabs>
      <w:spacing w:before="40" w:after="240" w:line="180" w:lineRule="atLeast"/>
    </w:pPr>
    <w:rPr>
      <w:sz w:val="18"/>
    </w:rPr>
  </w:style>
  <w:style w:type="paragraph" w:customStyle="1" w:styleId="BulletStyle">
    <w:name w:val="Bullet Style"/>
    <w:next w:val="Normal"/>
    <w:link w:val="BulletStyleChar"/>
    <w:qFormat/>
    <w:rsid w:val="00744109"/>
    <w:pPr>
      <w:tabs>
        <w:tab w:val="left" w:pos="142"/>
      </w:tabs>
      <w:spacing w:after="120" w:line="240" w:lineRule="atLeast"/>
      <w:ind w:left="142" w:hanging="142"/>
    </w:pPr>
    <w:rPr>
      <w:rFonts w:ascii="Arial" w:hAnsi="Arial"/>
      <w:szCs w:val="20"/>
    </w:rPr>
  </w:style>
  <w:style w:type="character" w:customStyle="1" w:styleId="BulletStyleChar">
    <w:name w:val="Bullet Style Char"/>
    <w:basedOn w:val="DefaultParagraphFont"/>
    <w:link w:val="BulletStyle"/>
    <w:rsid w:val="00744109"/>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afeworkaustralia.gov.au/sites/swa/about/publications/pages/wellbeing-depression-bullying-technical-findings" TargetMode="External"/><Relationship Id="rId18" Type="http://schemas.openxmlformats.org/officeDocument/2006/relationships/image" Target="media/image9.emf"/><Relationship Id="rId26"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pyrightrequests@safeworkaustralia.gov.au" TargetMode="External"/><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e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978-1-74361-113-5</PublicationIdentifier>
    <ParentFolderID xmlns="http://schemas.microsoft.com/sharepoint/v3/fields">781</ParentFolderID>
  </documentManagement>
</p:properties>
</file>

<file path=customXml/itemProps1.xml><?xml version="1.0" encoding="utf-8"?>
<ds:datastoreItem xmlns:ds="http://schemas.openxmlformats.org/officeDocument/2006/customXml" ds:itemID="{585917EC-7B62-4FDE-BF26-8835E3AB013D}"/>
</file>

<file path=customXml/itemProps2.xml><?xml version="1.0" encoding="utf-8"?>
<ds:datastoreItem xmlns:ds="http://schemas.openxmlformats.org/officeDocument/2006/customXml" ds:itemID="{62F5FE3E-71C0-4B16-8A4D-A4789C99BB5C}"/>
</file>

<file path=docProps/app.xml><?xml version="1.0" encoding="utf-8"?>
<Properties xmlns="http://schemas.openxmlformats.org/officeDocument/2006/extended-properties" xmlns:vt="http://schemas.openxmlformats.org/officeDocument/2006/docPropsVTypes">
  <Template>521C46D0.dotm</Template>
  <TotalTime>1</TotalTime>
  <Pages>17</Pages>
  <Words>4710</Words>
  <Characters>27322</Characters>
  <Application>Microsoft Office Word</Application>
  <DocSecurity>0</DocSecurity>
  <Lines>487</Lines>
  <Paragraphs>141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work characteristics, wellbeing, depression and workplace bullying - Summary report</dc:title>
  <dc:creator>Perri Timmins</dc:creator>
  <cp:lastModifiedBy>Ingrid Kimber</cp:lastModifiedBy>
  <cp:revision>2</cp:revision>
  <cp:lastPrinted>2013-03-22T04:23:00Z</cp:lastPrinted>
  <dcterms:created xsi:type="dcterms:W3CDTF">2013-06-23T21:51:00Z</dcterms:created>
  <dcterms:modified xsi:type="dcterms:W3CDTF">2013-06-23T21:51:00Z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