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rawings/drawing1.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2.xml" ContentType="application/vnd.openxmlformats-officedocument.drawingml.chartshapes+xml"/>
  <Override PartName="/word/drawings/drawing5.xml" ContentType="application/vnd.openxmlformats-officedocument.drawingml.chartshapes+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charts/chart9.xml" ContentType="application/vnd.openxmlformats-officedocument.drawingml.chart+xml"/>
  <Override PartName="/word/charts/chart5.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charts/chart8.xml" ContentType="application/vnd.openxmlformats-officedocument.drawingml.chart+xml"/>
  <Override PartName="/word/charts/chart6.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charts/chart7.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991" w:rsidRPr="00E81CB3" w:rsidRDefault="00E81CB3" w:rsidP="00421991">
      <w:pPr>
        <w:rPr>
          <w:color w:val="FFFFFF" w:themeColor="background1"/>
        </w:rPr>
      </w:pPr>
      <w:bookmarkStart w:id="0" w:name="_GoBack"/>
      <w:bookmarkEnd w:id="0"/>
      <w:r w:rsidRPr="00E81CB3">
        <w:rPr>
          <w:color w:val="FFFFFF" w:themeColor="background1"/>
        </w:rPr>
        <w:t>.</w:t>
      </w:r>
    </w:p>
    <w:p w:rsidR="00421991" w:rsidRPr="00E81CB3" w:rsidRDefault="00E81CB3" w:rsidP="00421991">
      <w:pPr>
        <w:rPr>
          <w:color w:val="FFFFFF" w:themeColor="background1"/>
        </w:rPr>
      </w:pPr>
      <w:r w:rsidRPr="00E81CB3">
        <w:rPr>
          <w:color w:val="FFFFFF" w:themeColor="background1"/>
        </w:rPr>
        <w:t>.</w:t>
      </w:r>
    </w:p>
    <w:p w:rsidR="00421991" w:rsidRPr="00E81CB3" w:rsidRDefault="00E81CB3" w:rsidP="00421991">
      <w:pPr>
        <w:rPr>
          <w:color w:val="FFFFFF" w:themeColor="background1"/>
        </w:rPr>
      </w:pPr>
      <w:r w:rsidRPr="00E81CB3">
        <w:rPr>
          <w:color w:val="FFFFFF" w:themeColor="background1"/>
        </w:rPr>
        <w:t>.</w:t>
      </w:r>
    </w:p>
    <w:p w:rsidR="00421991" w:rsidRPr="00E81CB3" w:rsidRDefault="00E81CB3" w:rsidP="00421991">
      <w:pPr>
        <w:rPr>
          <w:color w:val="FFFFFF" w:themeColor="background1"/>
        </w:rPr>
      </w:pPr>
      <w:r w:rsidRPr="00E81CB3">
        <w:rPr>
          <w:color w:val="FFFFFF" w:themeColor="background1"/>
        </w:rPr>
        <w:t>.</w:t>
      </w:r>
    </w:p>
    <w:p w:rsidR="0068666E" w:rsidRPr="00DD2ECE" w:rsidRDefault="001164BE" w:rsidP="00C71B51">
      <w:pPr>
        <w:spacing w:after="360"/>
        <w:jc w:val="center"/>
        <w:rPr>
          <w:b/>
          <w:sz w:val="40"/>
          <w:szCs w:val="40"/>
        </w:rPr>
      </w:pPr>
      <w:bookmarkStart w:id="1" w:name="_Toc419447043"/>
      <w:r w:rsidRPr="00DD2ECE">
        <w:rPr>
          <w:b/>
          <w:sz w:val="40"/>
          <w:szCs w:val="40"/>
        </w:rPr>
        <w:t>Work Health and Safety in the Accommodation and Food Services Industry</w:t>
      </w:r>
      <w:bookmarkEnd w:id="1"/>
    </w:p>
    <w:p w:rsidR="00421991" w:rsidRPr="00E81CB3" w:rsidRDefault="00E81CB3" w:rsidP="001164BE">
      <w:pPr>
        <w:jc w:val="center"/>
        <w:rPr>
          <w:b/>
          <w:color w:val="FFFFFF" w:themeColor="background1"/>
        </w:rPr>
      </w:pPr>
      <w:r w:rsidRPr="00E81CB3">
        <w:rPr>
          <w:b/>
          <w:color w:val="FFFFFF" w:themeColor="background1"/>
        </w:rPr>
        <w:t>.</w:t>
      </w:r>
      <w:r w:rsidR="00C71B51">
        <w:rPr>
          <w:b/>
          <w:noProof/>
          <w:color w:val="FFFFFF" w:themeColor="background1"/>
        </w:rPr>
        <w:drawing>
          <wp:inline distT="0" distB="0" distL="0" distR="0">
            <wp:extent cx="6191250" cy="3390900"/>
            <wp:effectExtent l="0" t="0" r="0" b="0"/>
            <wp:docPr id="2" name="Picture 2" descr="Publication cover - an image of a barista preparing a cup of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3390900"/>
                    </a:xfrm>
                    <a:prstGeom prst="rect">
                      <a:avLst/>
                    </a:prstGeom>
                    <a:noFill/>
                    <a:ln>
                      <a:noFill/>
                    </a:ln>
                  </pic:spPr>
                </pic:pic>
              </a:graphicData>
            </a:graphic>
          </wp:inline>
        </w:drawing>
      </w:r>
    </w:p>
    <w:p w:rsidR="00421991" w:rsidRPr="00E81CB3" w:rsidRDefault="00E81CB3" w:rsidP="001164BE">
      <w:pPr>
        <w:jc w:val="center"/>
        <w:rPr>
          <w:b/>
          <w:color w:val="FFFFFF" w:themeColor="background1"/>
        </w:rPr>
      </w:pPr>
      <w:r w:rsidRPr="00E81CB3">
        <w:rPr>
          <w:b/>
          <w:color w:val="FFFFFF" w:themeColor="background1"/>
        </w:rPr>
        <w:t>.</w:t>
      </w:r>
    </w:p>
    <w:p w:rsidR="00421991" w:rsidRPr="00E81CB3" w:rsidRDefault="00E81CB3" w:rsidP="001164BE">
      <w:pPr>
        <w:jc w:val="center"/>
        <w:rPr>
          <w:b/>
          <w:color w:val="FFFFFF" w:themeColor="background1"/>
        </w:rPr>
      </w:pPr>
      <w:r w:rsidRPr="00E81CB3">
        <w:rPr>
          <w:b/>
          <w:color w:val="FFFFFF" w:themeColor="background1"/>
        </w:rPr>
        <w:t>.</w:t>
      </w:r>
    </w:p>
    <w:p w:rsidR="00421991" w:rsidRPr="00E81CB3" w:rsidRDefault="00E81CB3" w:rsidP="001164BE">
      <w:pPr>
        <w:jc w:val="center"/>
        <w:rPr>
          <w:b/>
          <w:color w:val="FFFFFF" w:themeColor="background1"/>
        </w:rPr>
      </w:pPr>
      <w:r w:rsidRPr="00E81CB3">
        <w:rPr>
          <w:b/>
          <w:color w:val="FFFFFF" w:themeColor="background1"/>
        </w:rPr>
        <w:t>.</w:t>
      </w:r>
    </w:p>
    <w:p w:rsidR="00421991" w:rsidRPr="00E81CB3" w:rsidRDefault="00E81CB3" w:rsidP="001164BE">
      <w:pPr>
        <w:jc w:val="center"/>
        <w:rPr>
          <w:b/>
          <w:color w:val="FFFFFF" w:themeColor="background1"/>
        </w:rPr>
      </w:pPr>
      <w:r w:rsidRPr="00E81CB3">
        <w:rPr>
          <w:b/>
          <w:color w:val="FFFFFF" w:themeColor="background1"/>
        </w:rPr>
        <w:t>.</w:t>
      </w:r>
    </w:p>
    <w:p w:rsidR="00421991" w:rsidRPr="00E81CB3" w:rsidRDefault="00421991" w:rsidP="00C71B51">
      <w:pPr>
        <w:rPr>
          <w:b/>
          <w:color w:val="FFFFFF" w:themeColor="background1"/>
        </w:rPr>
      </w:pPr>
    </w:p>
    <w:p w:rsidR="00421991" w:rsidRPr="00E81CB3" w:rsidRDefault="00E81CB3" w:rsidP="001164BE">
      <w:pPr>
        <w:jc w:val="center"/>
        <w:rPr>
          <w:b/>
          <w:color w:val="FFFFFF" w:themeColor="background1"/>
        </w:rPr>
      </w:pPr>
      <w:r w:rsidRPr="00E81CB3">
        <w:rPr>
          <w:b/>
          <w:color w:val="FFFFFF" w:themeColor="background1"/>
        </w:rPr>
        <w:t>.</w:t>
      </w:r>
    </w:p>
    <w:p w:rsidR="00421991" w:rsidRPr="00E81CB3" w:rsidRDefault="00E81CB3" w:rsidP="001164BE">
      <w:pPr>
        <w:jc w:val="center"/>
        <w:rPr>
          <w:b/>
          <w:color w:val="FFFFFF" w:themeColor="background1"/>
        </w:rPr>
      </w:pPr>
      <w:r w:rsidRPr="00E81CB3">
        <w:rPr>
          <w:b/>
          <w:color w:val="FFFFFF" w:themeColor="background1"/>
        </w:rPr>
        <w:t>.</w:t>
      </w:r>
    </w:p>
    <w:p w:rsidR="00421991" w:rsidRPr="00E81CB3" w:rsidRDefault="00E81CB3" w:rsidP="00C71B51">
      <w:pPr>
        <w:jc w:val="center"/>
        <w:rPr>
          <w:b/>
          <w:color w:val="FFFFFF" w:themeColor="background1"/>
        </w:rPr>
      </w:pPr>
      <w:r w:rsidRPr="00E81CB3">
        <w:rPr>
          <w:b/>
          <w:color w:val="FFFFFF" w:themeColor="background1"/>
        </w:rPr>
        <w:t>.</w:t>
      </w:r>
    </w:p>
    <w:p w:rsidR="001164BE" w:rsidRPr="001164BE" w:rsidRDefault="001164BE" w:rsidP="001164BE">
      <w:pPr>
        <w:jc w:val="center"/>
        <w:rPr>
          <w:b/>
        </w:rPr>
      </w:pPr>
      <w:r w:rsidRPr="001164BE">
        <w:rPr>
          <w:b/>
        </w:rPr>
        <w:t>2015</w:t>
      </w:r>
    </w:p>
    <w:p w:rsidR="001164BE" w:rsidRPr="001164BE" w:rsidRDefault="001164BE" w:rsidP="001164BE">
      <w:pPr>
        <w:jc w:val="center"/>
      </w:pPr>
      <w:bookmarkStart w:id="2" w:name="_Toc349643328"/>
      <w:bookmarkStart w:id="3" w:name="_Toc349643433"/>
      <w:bookmarkStart w:id="4" w:name="_Toc349643740"/>
      <w:r>
        <w:rPr>
          <w:noProof/>
        </w:rPr>
        <w:drawing>
          <wp:inline distT="0" distB="0" distL="0" distR="0" wp14:anchorId="0754B368" wp14:editId="5773550D">
            <wp:extent cx="1761744" cy="356616"/>
            <wp:effectExtent l="0" t="0" r="0" b="5715"/>
            <wp:docPr id="1" name="Picture 1" descr="Safe Work Australia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1744" cy="356616"/>
                    </a:xfrm>
                    <a:prstGeom prst="rect">
                      <a:avLst/>
                    </a:prstGeom>
                  </pic:spPr>
                </pic:pic>
              </a:graphicData>
            </a:graphic>
          </wp:inline>
        </w:drawing>
      </w:r>
      <w:bookmarkEnd w:id="2"/>
      <w:bookmarkEnd w:id="3"/>
      <w:bookmarkEnd w:id="4"/>
    </w:p>
    <w:p w:rsidR="00C71B51" w:rsidRDefault="00C71B51">
      <w:pPr>
        <w:rPr>
          <w:rStyle w:val="BoldBody"/>
          <w:rFonts w:eastAsiaTheme="minorHAnsi"/>
          <w:kern w:val="0"/>
          <w:sz w:val="20"/>
          <w:szCs w:val="20"/>
          <w:lang w:eastAsia="en-US"/>
        </w:rPr>
      </w:pPr>
      <w:r>
        <w:rPr>
          <w:rStyle w:val="BoldBody"/>
        </w:rPr>
        <w:br w:type="page"/>
      </w:r>
    </w:p>
    <w:p w:rsidR="001164BE" w:rsidRPr="00421991" w:rsidRDefault="001164BE" w:rsidP="001164BE">
      <w:pPr>
        <w:pStyle w:val="TextBody"/>
        <w:rPr>
          <w:color w:val="auto"/>
        </w:rPr>
      </w:pPr>
      <w:r w:rsidRPr="00421991">
        <w:rPr>
          <w:rStyle w:val="BoldBody"/>
          <w:color w:val="auto"/>
        </w:rPr>
        <w:lastRenderedPageBreak/>
        <w:t>Disclaimer</w:t>
      </w:r>
    </w:p>
    <w:p w:rsidR="001164BE" w:rsidRPr="00421991" w:rsidRDefault="001164BE" w:rsidP="001164BE">
      <w:pPr>
        <w:pStyle w:val="TextBody"/>
        <w:rPr>
          <w:color w:val="auto"/>
        </w:rPr>
      </w:pPr>
      <w:r w:rsidRPr="00421991">
        <w:rPr>
          <w:color w:val="auto"/>
        </w:rPr>
        <w:t>The information provided in this document can only assist you in the most general way. This document does not replace any statutory requirements under any relevant jurisdictional legislation. Safe Work Australia is not liable for any loss resulting from any action taken or reliance made by you on the information or material contained in this document. Before relying on the material, users should carefully make their own assessment as to its accuracy, currency, completeness and relevance for their purposes, and should obtain any appropriate professional advice relevant to their particular circumstances.</w:t>
      </w:r>
    </w:p>
    <w:p w:rsidR="001164BE" w:rsidRPr="00421991" w:rsidRDefault="001164BE" w:rsidP="001164BE">
      <w:pPr>
        <w:pStyle w:val="TextBody"/>
        <w:rPr>
          <w:color w:val="auto"/>
        </w:rPr>
      </w:pPr>
      <w:r w:rsidRPr="00421991">
        <w:rPr>
          <w:color w:val="auto"/>
        </w:rPr>
        <w:t>To the extent that the material on this document includes views or recommendations of third parties, such views or recommendations do not necessarily reflect the views of Safe Work Australia or indicate its commitment to a particular course of action.</w:t>
      </w:r>
    </w:p>
    <w:p w:rsidR="001164BE" w:rsidRPr="00421991" w:rsidRDefault="001164BE" w:rsidP="001164BE">
      <w:pPr>
        <w:pStyle w:val="TextBody"/>
        <w:rPr>
          <w:color w:val="auto"/>
        </w:rPr>
      </w:pPr>
    </w:p>
    <w:p w:rsidR="001164BE" w:rsidRPr="00421991" w:rsidRDefault="001164BE" w:rsidP="001164BE">
      <w:pPr>
        <w:pStyle w:val="TextBody"/>
        <w:rPr>
          <w:color w:val="auto"/>
        </w:rPr>
      </w:pPr>
      <w:r w:rsidRPr="00421991">
        <w:rPr>
          <w:noProof/>
          <w:color w:val="auto"/>
          <w:lang w:val="en-AU" w:eastAsia="en-AU"/>
        </w:rPr>
        <w:drawing>
          <wp:inline distT="0" distB="0" distL="0" distR="0" wp14:anchorId="7E92BD5E" wp14:editId="5E77C3B2">
            <wp:extent cx="1371600" cy="514350"/>
            <wp:effectExtent l="0" t="0" r="0" b="0"/>
            <wp:docPr id="3" name="Picture 3" descr="by_new"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_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514350"/>
                    </a:xfrm>
                    <a:prstGeom prst="rect">
                      <a:avLst/>
                    </a:prstGeom>
                    <a:noFill/>
                    <a:ln>
                      <a:noFill/>
                    </a:ln>
                  </pic:spPr>
                </pic:pic>
              </a:graphicData>
            </a:graphic>
          </wp:inline>
        </w:drawing>
      </w:r>
    </w:p>
    <w:p w:rsidR="001164BE" w:rsidRPr="00421991" w:rsidRDefault="001164BE" w:rsidP="001164BE">
      <w:pPr>
        <w:pStyle w:val="TextBody"/>
        <w:rPr>
          <w:color w:val="auto"/>
        </w:rPr>
      </w:pPr>
    </w:p>
    <w:p w:rsidR="001164BE" w:rsidRPr="00421991" w:rsidRDefault="001164BE" w:rsidP="001164BE">
      <w:pPr>
        <w:pStyle w:val="TextBody"/>
        <w:rPr>
          <w:color w:val="auto"/>
        </w:rPr>
      </w:pPr>
      <w:r w:rsidRPr="00421991">
        <w:rPr>
          <w:rStyle w:val="BoldBody"/>
          <w:color w:val="auto"/>
        </w:rPr>
        <w:t>Creative Commons</w:t>
      </w:r>
    </w:p>
    <w:p w:rsidR="001164BE" w:rsidRPr="00421991" w:rsidRDefault="00FA4EA2" w:rsidP="00FA4EA2">
      <w:pPr>
        <w:pStyle w:val="TextBody"/>
        <w:rPr>
          <w:color w:val="auto"/>
        </w:rPr>
      </w:pPr>
      <w:r w:rsidRPr="00FA4EA2">
        <w:rPr>
          <w:color w:val="auto"/>
        </w:rPr>
        <w:t xml:space="preserve">ISBN: </w:t>
      </w:r>
      <w:r w:rsidR="00E85488">
        <w:t xml:space="preserve">978-1-76028-238-7 </w:t>
      </w:r>
      <w:r w:rsidRPr="00FA4EA2">
        <w:rPr>
          <w:color w:val="auto"/>
        </w:rPr>
        <w:t>(online pdf)</w:t>
      </w:r>
      <w:r>
        <w:rPr>
          <w:color w:val="auto"/>
        </w:rPr>
        <w:br/>
      </w:r>
      <w:r w:rsidRPr="00FA4EA2">
        <w:rPr>
          <w:color w:val="auto"/>
        </w:rPr>
        <w:t xml:space="preserve">ISBN: </w:t>
      </w:r>
      <w:r w:rsidR="00E85488">
        <w:t>978-1-76028-239-4</w:t>
      </w:r>
      <w:r w:rsidRPr="00FA4EA2">
        <w:rPr>
          <w:color w:val="auto"/>
        </w:rPr>
        <w:t xml:space="preserve"> (online docx)</w:t>
      </w:r>
    </w:p>
    <w:p w:rsidR="001164BE" w:rsidRPr="00421991" w:rsidRDefault="001164BE" w:rsidP="001164BE">
      <w:pPr>
        <w:pStyle w:val="TextBody"/>
        <w:rPr>
          <w:color w:val="auto"/>
        </w:rPr>
      </w:pPr>
      <w:r w:rsidRPr="00421991">
        <w:rPr>
          <w:color w:val="auto"/>
        </w:rPr>
        <w:t xml:space="preserve">With the exception of the Safe Work Australia logo, this report is licensed by Safe Work Australia under a Creative Commons 3.0 Australia Licence.  To view a copy of this licence, visit </w:t>
      </w:r>
      <w:r w:rsidR="00421991" w:rsidRPr="008D5510">
        <w:rPr>
          <w:rStyle w:val="HyperlinkBody"/>
          <w:color w:val="auto"/>
          <w:u w:val="none"/>
        </w:rPr>
        <w:t>http://creativecommons.org/licenses/by/3.0/au/deed.en</w:t>
      </w:r>
      <w:r w:rsidR="00126B88">
        <w:rPr>
          <w:rStyle w:val="HyperlinkBody"/>
          <w:color w:val="auto"/>
          <w:u w:val="none"/>
        </w:rPr>
        <w:t xml:space="preserve"> </w:t>
      </w:r>
    </w:p>
    <w:p w:rsidR="001164BE" w:rsidRPr="00421991" w:rsidRDefault="001164BE" w:rsidP="001164BE">
      <w:pPr>
        <w:pStyle w:val="TextBody"/>
        <w:rPr>
          <w:color w:val="auto"/>
        </w:rPr>
      </w:pPr>
      <w:r w:rsidRPr="00421991">
        <w:rPr>
          <w:color w:val="auto"/>
        </w:rPr>
        <w:t>In essence, you are free to copy, communicate and adapt the work, as long as you attribute the work to Safe Work Australia and abide by the other licensing terms. The report should be attributed as Work Health and Safety in the Accommodation and Food Services Industry.</w:t>
      </w:r>
    </w:p>
    <w:p w:rsidR="001164BE" w:rsidRPr="00421991" w:rsidRDefault="001164BE" w:rsidP="001164BE">
      <w:pPr>
        <w:pStyle w:val="TextBody"/>
        <w:rPr>
          <w:color w:val="auto"/>
        </w:rPr>
      </w:pPr>
      <w:r w:rsidRPr="00421991">
        <w:rPr>
          <w:color w:val="auto"/>
        </w:rPr>
        <w:t>Enquiries regarding the licence and any use of the report are welcome at:</w:t>
      </w:r>
    </w:p>
    <w:p w:rsidR="001164BE" w:rsidRPr="00421991" w:rsidRDefault="001164BE" w:rsidP="00C71B51">
      <w:pPr>
        <w:pStyle w:val="TextBody"/>
        <w:spacing w:before="120"/>
        <w:rPr>
          <w:color w:val="auto"/>
        </w:rPr>
      </w:pPr>
      <w:r w:rsidRPr="00421991">
        <w:rPr>
          <w:color w:val="auto"/>
        </w:rPr>
        <w:t xml:space="preserve">Safe Work Australia </w:t>
      </w:r>
      <w:r w:rsidRPr="00421991">
        <w:rPr>
          <w:color w:val="auto"/>
        </w:rPr>
        <w:br/>
        <w:t>GPO Box 641 Canberra ACT 2601</w:t>
      </w:r>
    </w:p>
    <w:p w:rsidR="001164BE" w:rsidRPr="00421991" w:rsidRDefault="001164BE" w:rsidP="001164BE">
      <w:r w:rsidRPr="00421991">
        <w:t xml:space="preserve">Email: </w:t>
      </w:r>
      <w:hyperlink r:id="rId12" w:history="1">
        <w:r w:rsidR="00126B88" w:rsidRPr="00506713">
          <w:rPr>
            <w:rStyle w:val="Hyperlink"/>
            <w:sz w:val="20"/>
            <w:szCs w:val="20"/>
            <w:u w:color="001E5B"/>
            <w:lang w:val="en-GB"/>
          </w:rPr>
          <w:t>copyrightrequests@safeworkaustralia.gov.au</w:t>
        </w:r>
      </w:hyperlink>
      <w:r w:rsidR="00126B88">
        <w:rPr>
          <w:rStyle w:val="HyperlinkBody"/>
          <w:color w:val="auto"/>
          <w:u w:val="none"/>
        </w:rPr>
        <w:t xml:space="preserve"> </w:t>
      </w:r>
      <w:r w:rsidR="00DD2ECE">
        <w:rPr>
          <w:rStyle w:val="HyperlinkBody"/>
          <w:color w:val="auto"/>
          <w:u w:val="none"/>
        </w:rPr>
        <w:t xml:space="preserve"> </w:t>
      </w:r>
    </w:p>
    <w:p w:rsidR="005062E3" w:rsidRDefault="001164BE" w:rsidP="002E1ECA">
      <w:pPr>
        <w:pStyle w:val="TOCHeading"/>
      </w:pPr>
      <w:r w:rsidRPr="00421991">
        <w:br w:type="page"/>
      </w:r>
    </w:p>
    <w:bookmarkStart w:id="5" w:name="_Toc419453233" w:displacedByCustomXml="next"/>
    <w:bookmarkStart w:id="6" w:name="_Toc426441664" w:displacedByCustomXml="next"/>
    <w:sdt>
      <w:sdtPr>
        <w:rPr>
          <w:b w:val="0"/>
          <w:sz w:val="22"/>
          <w:szCs w:val="22"/>
        </w:rPr>
        <w:id w:val="1963914348"/>
        <w:docPartObj>
          <w:docPartGallery w:val="Table of Contents"/>
          <w:docPartUnique/>
        </w:docPartObj>
      </w:sdtPr>
      <w:sdtEndPr>
        <w:rPr>
          <w:bCs/>
          <w:noProof/>
        </w:rPr>
      </w:sdtEndPr>
      <w:sdtContent>
        <w:p w:rsidR="00EE7018" w:rsidRDefault="005062E3" w:rsidP="00EE7018">
          <w:pPr>
            <w:pStyle w:val="Heading1"/>
            <w:rPr>
              <w:noProof/>
            </w:rPr>
          </w:pPr>
          <w:r>
            <w:t>Contents</w:t>
          </w:r>
          <w:bookmarkEnd w:id="6"/>
          <w:bookmarkEnd w:id="5"/>
          <w:r>
            <w:fldChar w:fldCharType="begin"/>
          </w:r>
          <w:r>
            <w:instrText xml:space="preserve"> TOC \o "1-3" \h \z \u </w:instrText>
          </w:r>
          <w:r>
            <w:fldChar w:fldCharType="separate"/>
          </w:r>
        </w:p>
        <w:p w:rsidR="00EE7018" w:rsidRPr="00EE7018" w:rsidRDefault="000B362B" w:rsidP="00EE7018">
          <w:pPr>
            <w:pStyle w:val="TOC1"/>
            <w:tabs>
              <w:tab w:val="right" w:leader="dot" w:pos="9742"/>
            </w:tabs>
            <w:rPr>
              <w:rFonts w:eastAsiaTheme="minorEastAsia"/>
              <w:noProof/>
              <w:kern w:val="0"/>
              <w:sz w:val="20"/>
              <w:szCs w:val="20"/>
            </w:rPr>
          </w:pPr>
          <w:hyperlink w:anchor="_Toc426441665" w:history="1">
            <w:r w:rsidR="00EE7018" w:rsidRPr="00EE7018">
              <w:rPr>
                <w:rStyle w:val="Hyperlink"/>
                <w:noProof/>
                <w:sz w:val="20"/>
                <w:szCs w:val="20"/>
              </w:rPr>
              <w:t>Summary</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_Toc426441665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4</w:t>
            </w:r>
            <w:r w:rsidR="00EE7018" w:rsidRPr="00EE7018">
              <w:rPr>
                <w:noProof/>
                <w:webHidden/>
                <w:sz w:val="20"/>
                <w:szCs w:val="20"/>
              </w:rPr>
              <w:fldChar w:fldCharType="end"/>
            </w:r>
          </w:hyperlink>
        </w:p>
        <w:p w:rsidR="00EE7018" w:rsidRPr="00EE7018" w:rsidRDefault="000B362B" w:rsidP="00EE7018">
          <w:pPr>
            <w:pStyle w:val="TOC1"/>
            <w:tabs>
              <w:tab w:val="right" w:leader="dot" w:pos="9742"/>
            </w:tabs>
            <w:rPr>
              <w:rFonts w:eastAsiaTheme="minorEastAsia"/>
              <w:noProof/>
              <w:kern w:val="0"/>
              <w:sz w:val="20"/>
              <w:szCs w:val="20"/>
            </w:rPr>
          </w:pPr>
          <w:hyperlink w:anchor="_Toc426441669" w:history="1">
            <w:r w:rsidR="00EE7018" w:rsidRPr="00EE7018">
              <w:rPr>
                <w:rStyle w:val="Hyperlink"/>
                <w:noProof/>
                <w:sz w:val="20"/>
                <w:szCs w:val="20"/>
              </w:rPr>
              <w:t>Introduction</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_Toc426441669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5</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670" w:history="1">
            <w:r w:rsidR="00EE7018" w:rsidRPr="00EE7018">
              <w:rPr>
                <w:rStyle w:val="Hyperlink"/>
                <w:noProof/>
                <w:sz w:val="20"/>
                <w:szCs w:val="20"/>
              </w:rPr>
              <w:t>Industry inclusions and exclusions</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_Toc426441670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5</w:t>
            </w:r>
            <w:r w:rsidR="00EE7018" w:rsidRPr="00EE7018">
              <w:rPr>
                <w:noProof/>
                <w:webHidden/>
                <w:sz w:val="20"/>
                <w:szCs w:val="20"/>
              </w:rPr>
              <w:fldChar w:fldCharType="end"/>
            </w:r>
          </w:hyperlink>
        </w:p>
        <w:p w:rsidR="00EE7018" w:rsidRPr="00EE7018" w:rsidRDefault="000B362B" w:rsidP="00EE7018">
          <w:pPr>
            <w:pStyle w:val="TOC1"/>
            <w:tabs>
              <w:tab w:val="right" w:leader="dot" w:pos="9742"/>
            </w:tabs>
            <w:rPr>
              <w:rFonts w:eastAsiaTheme="minorEastAsia"/>
              <w:noProof/>
              <w:kern w:val="0"/>
              <w:sz w:val="20"/>
              <w:szCs w:val="20"/>
            </w:rPr>
          </w:pPr>
          <w:hyperlink w:anchor="_Toc426441671" w:history="1">
            <w:r w:rsidR="00EE7018" w:rsidRPr="00EE7018">
              <w:rPr>
                <w:rStyle w:val="Hyperlink"/>
                <w:noProof/>
                <w:sz w:val="20"/>
                <w:szCs w:val="20"/>
              </w:rPr>
              <w:t>Industry characteristics</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_Toc426441671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6</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672" w:history="1">
            <w:r w:rsidR="00EE7018" w:rsidRPr="00EE7018">
              <w:rPr>
                <w:rStyle w:val="Hyperlink"/>
                <w:noProof/>
                <w:sz w:val="20"/>
                <w:szCs w:val="20"/>
              </w:rPr>
              <w:t>Workers by industry division</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_Toc426441672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6</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673" w:history="1">
            <w:r w:rsidR="00EE7018" w:rsidRPr="00EE7018">
              <w:rPr>
                <w:rStyle w:val="Hyperlink"/>
                <w:noProof/>
                <w:sz w:val="20"/>
                <w:szCs w:val="20"/>
              </w:rPr>
              <w:t>Workers by industry subdivision</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_Toc426441673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6</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674" w:history="1">
            <w:r w:rsidR="00EE7018" w:rsidRPr="00EE7018">
              <w:rPr>
                <w:rStyle w:val="Hyperlink"/>
                <w:noProof/>
                <w:sz w:val="20"/>
                <w:szCs w:val="20"/>
              </w:rPr>
              <w:t>Workers by sex</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_Toc426441674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6</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675" w:history="1">
            <w:r w:rsidR="00EE7018" w:rsidRPr="00EE7018">
              <w:rPr>
                <w:rStyle w:val="Hyperlink"/>
                <w:noProof/>
                <w:sz w:val="20"/>
                <w:szCs w:val="20"/>
              </w:rPr>
              <w:t>Workers by age group</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_Toc426441675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7</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676" w:history="1">
            <w:r w:rsidR="00EE7018" w:rsidRPr="00EE7018">
              <w:rPr>
                <w:rStyle w:val="Hyperlink"/>
                <w:noProof/>
                <w:sz w:val="20"/>
                <w:szCs w:val="20"/>
              </w:rPr>
              <w:t>Workers by part-time status</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_Toc426441676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7</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677" w:history="1">
            <w:r w:rsidR="00EE7018" w:rsidRPr="00EE7018">
              <w:rPr>
                <w:rStyle w:val="Hyperlink"/>
                <w:noProof/>
                <w:sz w:val="20"/>
                <w:szCs w:val="20"/>
              </w:rPr>
              <w:t>Number of hours worked</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_Toc426441677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8</w:t>
            </w:r>
            <w:r w:rsidR="00EE7018" w:rsidRPr="00EE7018">
              <w:rPr>
                <w:noProof/>
                <w:webHidden/>
                <w:sz w:val="20"/>
                <w:szCs w:val="20"/>
              </w:rPr>
              <w:fldChar w:fldCharType="end"/>
            </w:r>
          </w:hyperlink>
        </w:p>
        <w:p w:rsidR="00EE7018" w:rsidRPr="00EE7018" w:rsidRDefault="000B362B" w:rsidP="00EE7018">
          <w:pPr>
            <w:pStyle w:val="TOC1"/>
            <w:tabs>
              <w:tab w:val="right" w:leader="dot" w:pos="9742"/>
            </w:tabs>
            <w:rPr>
              <w:rFonts w:eastAsiaTheme="minorEastAsia"/>
              <w:noProof/>
              <w:kern w:val="0"/>
              <w:sz w:val="20"/>
              <w:szCs w:val="20"/>
            </w:rPr>
          </w:pPr>
          <w:hyperlink w:anchor="_Toc426441678" w:history="1">
            <w:r w:rsidR="00EE7018" w:rsidRPr="00EE7018">
              <w:rPr>
                <w:rStyle w:val="Hyperlink"/>
                <w:noProof/>
                <w:sz w:val="20"/>
                <w:szCs w:val="20"/>
              </w:rPr>
              <w:t>Workers’ compensation statistics</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_Toc426441678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10</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679" w:history="1">
            <w:r w:rsidR="00EE7018" w:rsidRPr="00EE7018">
              <w:rPr>
                <w:rStyle w:val="Hyperlink"/>
                <w:noProof/>
                <w:sz w:val="20"/>
                <w:szCs w:val="20"/>
              </w:rPr>
              <w:t>Serious claims by industry division</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_Toc426441679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10</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680" w:history="1">
            <w:r w:rsidR="00EE7018" w:rsidRPr="00EE7018">
              <w:rPr>
                <w:rStyle w:val="Hyperlink"/>
                <w:noProof/>
                <w:sz w:val="20"/>
                <w:szCs w:val="20"/>
              </w:rPr>
              <w:t>Serious claims by industry subdivision</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_Toc426441680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10</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681" w:history="1">
            <w:r w:rsidR="00EE7018" w:rsidRPr="00EE7018">
              <w:rPr>
                <w:rStyle w:val="Hyperlink"/>
                <w:noProof/>
                <w:sz w:val="20"/>
                <w:szCs w:val="20"/>
              </w:rPr>
              <w:t>Trends in frequency rates over time</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_Toc426441681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11</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682" w:history="1">
            <w:r w:rsidR="00EE7018" w:rsidRPr="00EE7018">
              <w:rPr>
                <w:rStyle w:val="Hyperlink"/>
                <w:noProof/>
                <w:sz w:val="20"/>
                <w:szCs w:val="20"/>
              </w:rPr>
              <w:t>Serious claims by jurisdiction</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_Toc426441682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11</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683" w:history="1">
            <w:r w:rsidR="00EE7018" w:rsidRPr="00EE7018">
              <w:rPr>
                <w:rStyle w:val="Hyperlink"/>
                <w:noProof/>
                <w:sz w:val="20"/>
                <w:szCs w:val="20"/>
              </w:rPr>
              <w:t>Serious claims by sex</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_Toc426441683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12</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684" w:history="1">
            <w:r w:rsidR="00EE7018" w:rsidRPr="00EE7018">
              <w:rPr>
                <w:rStyle w:val="Hyperlink"/>
                <w:noProof/>
                <w:sz w:val="20"/>
                <w:szCs w:val="20"/>
              </w:rPr>
              <w:t>Serious claims by age group</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_Toc426441684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12</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685" w:history="1">
            <w:r w:rsidR="00EE7018" w:rsidRPr="00EE7018">
              <w:rPr>
                <w:rStyle w:val="Hyperlink"/>
                <w:noProof/>
                <w:sz w:val="20"/>
                <w:szCs w:val="20"/>
              </w:rPr>
              <w:t>Mechanism of injuries and diseases</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_Toc426441685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13</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690" w:history="1">
            <w:r w:rsidR="00EE7018" w:rsidRPr="00EE7018">
              <w:rPr>
                <w:rStyle w:val="Hyperlink"/>
                <w:noProof/>
                <w:sz w:val="20"/>
                <w:szCs w:val="20"/>
              </w:rPr>
              <w:t>Breakdown agency of injuries and diseases</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_Toc426441690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15</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694" w:history="1">
            <w:r w:rsidR="00EE7018" w:rsidRPr="00EE7018">
              <w:rPr>
                <w:rStyle w:val="Hyperlink"/>
                <w:noProof/>
                <w:sz w:val="20"/>
                <w:szCs w:val="20"/>
              </w:rPr>
              <w:t>Nature of injuries and diseases</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_Toc426441694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16</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699" w:history="1">
            <w:r w:rsidR="00EE7018" w:rsidRPr="00EE7018">
              <w:rPr>
                <w:rStyle w:val="Hyperlink"/>
                <w:noProof/>
                <w:sz w:val="20"/>
                <w:szCs w:val="20"/>
              </w:rPr>
              <w:t>Bodily location of injuries and diseases</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_Toc426441699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17</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703" w:history="1">
            <w:r w:rsidR="00EE7018" w:rsidRPr="00EE7018">
              <w:rPr>
                <w:rStyle w:val="Hyperlink"/>
                <w:noProof/>
                <w:sz w:val="20"/>
                <w:szCs w:val="20"/>
              </w:rPr>
              <w:t>Time lost from work and compensation paid</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_Toc426441703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19</w:t>
            </w:r>
            <w:r w:rsidR="00EE7018" w:rsidRPr="00EE7018">
              <w:rPr>
                <w:noProof/>
                <w:webHidden/>
                <w:sz w:val="20"/>
                <w:szCs w:val="20"/>
              </w:rPr>
              <w:fldChar w:fldCharType="end"/>
            </w:r>
          </w:hyperlink>
        </w:p>
        <w:p w:rsidR="00EE7018" w:rsidRPr="00EE7018" w:rsidRDefault="000B362B" w:rsidP="00EE7018">
          <w:pPr>
            <w:pStyle w:val="TOC1"/>
            <w:tabs>
              <w:tab w:val="right" w:leader="dot" w:pos="9742"/>
            </w:tabs>
            <w:rPr>
              <w:rFonts w:eastAsiaTheme="minorEastAsia"/>
              <w:noProof/>
              <w:kern w:val="0"/>
              <w:sz w:val="20"/>
              <w:szCs w:val="20"/>
            </w:rPr>
          </w:pPr>
          <w:hyperlink w:anchor="_Toc426441709" w:history="1">
            <w:r w:rsidR="00EE7018" w:rsidRPr="00EE7018">
              <w:rPr>
                <w:rStyle w:val="Hyperlink"/>
                <w:noProof/>
                <w:sz w:val="20"/>
                <w:szCs w:val="20"/>
              </w:rPr>
              <w:t>Work-Related Injuries Survey</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_Toc426441709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22</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710" w:history="1">
            <w:r w:rsidR="00EE7018" w:rsidRPr="00EE7018">
              <w:rPr>
                <w:rStyle w:val="Hyperlink"/>
                <w:noProof/>
                <w:sz w:val="20"/>
                <w:szCs w:val="20"/>
              </w:rPr>
              <w:t>Survey results by industry division</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_Toc426441710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22</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711" w:history="1">
            <w:r w:rsidR="00EE7018" w:rsidRPr="00EE7018">
              <w:rPr>
                <w:rStyle w:val="Hyperlink"/>
                <w:noProof/>
                <w:sz w:val="20"/>
                <w:szCs w:val="20"/>
              </w:rPr>
              <w:t>Survey results by sex</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_Toc426441711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23</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712" w:history="1">
            <w:r w:rsidR="00EE7018" w:rsidRPr="00EE7018">
              <w:rPr>
                <w:rStyle w:val="Hyperlink"/>
                <w:noProof/>
                <w:sz w:val="20"/>
                <w:szCs w:val="20"/>
              </w:rPr>
              <w:t>Survey results by selected characteristics</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_Toc426441712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23</w:t>
            </w:r>
            <w:r w:rsidR="00EE7018" w:rsidRPr="00EE7018">
              <w:rPr>
                <w:noProof/>
                <w:webHidden/>
                <w:sz w:val="20"/>
                <w:szCs w:val="20"/>
              </w:rPr>
              <w:fldChar w:fldCharType="end"/>
            </w:r>
          </w:hyperlink>
        </w:p>
        <w:p w:rsidR="00EE7018" w:rsidRPr="00EE7018" w:rsidRDefault="000B362B" w:rsidP="00EE7018">
          <w:pPr>
            <w:pStyle w:val="TOC1"/>
            <w:tabs>
              <w:tab w:val="right" w:leader="dot" w:pos="9742"/>
            </w:tabs>
            <w:rPr>
              <w:rFonts w:eastAsiaTheme="minorEastAsia"/>
              <w:noProof/>
              <w:kern w:val="0"/>
              <w:sz w:val="20"/>
              <w:szCs w:val="20"/>
            </w:rPr>
          </w:pPr>
          <w:hyperlink w:anchor="_Toc426441713" w:history="1">
            <w:r w:rsidR="00EE7018" w:rsidRPr="00EE7018">
              <w:rPr>
                <w:rStyle w:val="Hyperlink"/>
                <w:noProof/>
                <w:sz w:val="20"/>
                <w:szCs w:val="20"/>
              </w:rPr>
              <w:t>Work-related injury fatalities</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_Toc426441713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24</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714" w:history="1">
            <w:r w:rsidR="00EE7018" w:rsidRPr="00EE7018">
              <w:rPr>
                <w:rStyle w:val="Hyperlink"/>
                <w:noProof/>
                <w:sz w:val="20"/>
                <w:szCs w:val="20"/>
              </w:rPr>
              <w:t>Work-related injury fatalities by industry division</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_Toc426441714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24</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715" w:history="1">
            <w:r w:rsidR="00EE7018" w:rsidRPr="00EE7018">
              <w:rPr>
                <w:rStyle w:val="Hyperlink"/>
                <w:noProof/>
                <w:sz w:val="20"/>
                <w:szCs w:val="20"/>
              </w:rPr>
              <w:t>Work-related injury fatalities by industry subdivision</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_Toc426441715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25</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716" w:history="1">
            <w:r w:rsidR="00EE7018" w:rsidRPr="00EE7018">
              <w:rPr>
                <w:rStyle w:val="Hyperlink"/>
                <w:noProof/>
                <w:sz w:val="20"/>
                <w:szCs w:val="20"/>
              </w:rPr>
              <w:t>Work-related injury fatalities by sex</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_Toc426441716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25</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717" w:history="1">
            <w:r w:rsidR="00EE7018" w:rsidRPr="00EE7018">
              <w:rPr>
                <w:rStyle w:val="Hyperlink"/>
                <w:noProof/>
                <w:sz w:val="20"/>
                <w:szCs w:val="20"/>
              </w:rPr>
              <w:t>Work-related injury fatalities by age group</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_Toc426441717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25</w:t>
            </w:r>
            <w:r w:rsidR="00EE7018" w:rsidRPr="00EE7018">
              <w:rPr>
                <w:noProof/>
                <w:webHidden/>
                <w:sz w:val="20"/>
                <w:szCs w:val="20"/>
              </w:rPr>
              <w:fldChar w:fldCharType="end"/>
            </w:r>
          </w:hyperlink>
        </w:p>
        <w:p w:rsidR="00EE7018" w:rsidRPr="00EE7018" w:rsidRDefault="000B362B" w:rsidP="00EE7018">
          <w:pPr>
            <w:pStyle w:val="TOC2"/>
            <w:tabs>
              <w:tab w:val="right" w:leader="dot" w:pos="9742"/>
            </w:tabs>
            <w:rPr>
              <w:rFonts w:eastAsiaTheme="minorEastAsia"/>
              <w:noProof/>
              <w:kern w:val="0"/>
              <w:sz w:val="20"/>
              <w:szCs w:val="20"/>
            </w:rPr>
          </w:pPr>
          <w:hyperlink w:anchor="_Toc426441718" w:history="1">
            <w:r w:rsidR="00EE7018" w:rsidRPr="00EE7018">
              <w:rPr>
                <w:rStyle w:val="Hyperlink"/>
                <w:noProof/>
                <w:sz w:val="20"/>
                <w:szCs w:val="20"/>
              </w:rPr>
              <w:t>Mechanism and breakdown agency of fatal injuries</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_Toc426441718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25</w:t>
            </w:r>
            <w:r w:rsidR="00EE7018" w:rsidRPr="00EE7018">
              <w:rPr>
                <w:noProof/>
                <w:webHidden/>
                <w:sz w:val="20"/>
                <w:szCs w:val="20"/>
              </w:rPr>
              <w:fldChar w:fldCharType="end"/>
            </w:r>
          </w:hyperlink>
        </w:p>
        <w:p w:rsidR="00EE7018" w:rsidRPr="00EE7018" w:rsidRDefault="000B362B" w:rsidP="00EE7018">
          <w:pPr>
            <w:pStyle w:val="TOC1"/>
            <w:tabs>
              <w:tab w:val="right" w:leader="dot" w:pos="9742"/>
            </w:tabs>
            <w:rPr>
              <w:rFonts w:eastAsiaTheme="minorEastAsia"/>
              <w:noProof/>
              <w:kern w:val="0"/>
              <w:sz w:val="20"/>
              <w:szCs w:val="20"/>
            </w:rPr>
          </w:pPr>
          <w:hyperlink w:anchor="_Toc426441719" w:history="1">
            <w:r w:rsidR="00EE7018" w:rsidRPr="00EE7018">
              <w:rPr>
                <w:rStyle w:val="Hyperlink"/>
                <w:noProof/>
                <w:sz w:val="20"/>
                <w:szCs w:val="20"/>
              </w:rPr>
              <w:t>Conclusion</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_Toc426441719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27</w:t>
            </w:r>
            <w:r w:rsidR="00EE7018" w:rsidRPr="00EE7018">
              <w:rPr>
                <w:noProof/>
                <w:webHidden/>
                <w:sz w:val="20"/>
                <w:szCs w:val="20"/>
              </w:rPr>
              <w:fldChar w:fldCharType="end"/>
            </w:r>
          </w:hyperlink>
        </w:p>
        <w:p w:rsidR="00EE7018" w:rsidRPr="00EE7018" w:rsidRDefault="000B362B" w:rsidP="00EE7018">
          <w:pPr>
            <w:pStyle w:val="TOC1"/>
            <w:tabs>
              <w:tab w:val="right" w:leader="dot" w:pos="9742"/>
            </w:tabs>
            <w:rPr>
              <w:rFonts w:eastAsiaTheme="minorEastAsia"/>
              <w:noProof/>
              <w:kern w:val="0"/>
              <w:sz w:val="20"/>
              <w:szCs w:val="20"/>
            </w:rPr>
          </w:pPr>
          <w:hyperlink w:anchor="_Toc426441720" w:history="1">
            <w:r w:rsidR="00EE7018" w:rsidRPr="00EE7018">
              <w:rPr>
                <w:rStyle w:val="Hyperlink"/>
                <w:noProof/>
                <w:sz w:val="20"/>
                <w:szCs w:val="20"/>
              </w:rPr>
              <w:t>Explanatory notes</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_Toc426441720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29</w:t>
            </w:r>
            <w:r w:rsidR="00EE7018" w:rsidRPr="00EE7018">
              <w:rPr>
                <w:noProof/>
                <w:webHidden/>
                <w:sz w:val="20"/>
                <w:szCs w:val="20"/>
              </w:rPr>
              <w:fldChar w:fldCharType="end"/>
            </w:r>
          </w:hyperlink>
        </w:p>
        <w:p w:rsidR="00EE7018" w:rsidRPr="00EE7018" w:rsidRDefault="000B362B" w:rsidP="00EE7018">
          <w:pPr>
            <w:pStyle w:val="TOC1"/>
            <w:tabs>
              <w:tab w:val="right" w:leader="dot" w:pos="9742"/>
            </w:tabs>
            <w:rPr>
              <w:rFonts w:eastAsiaTheme="minorEastAsia"/>
              <w:noProof/>
              <w:kern w:val="0"/>
              <w:sz w:val="20"/>
              <w:szCs w:val="20"/>
            </w:rPr>
          </w:pPr>
          <w:hyperlink w:anchor="_Toc426441731" w:history="1">
            <w:r w:rsidR="00EE7018" w:rsidRPr="00EE7018">
              <w:rPr>
                <w:rStyle w:val="Hyperlink"/>
                <w:noProof/>
                <w:sz w:val="20"/>
                <w:szCs w:val="20"/>
              </w:rPr>
              <w:t>References</w:t>
            </w:r>
            <w:r w:rsidR="00EE7018" w:rsidRPr="00EE7018">
              <w:rPr>
                <w:noProof/>
                <w:webHidden/>
                <w:sz w:val="20"/>
                <w:szCs w:val="20"/>
              </w:rPr>
              <w:tab/>
            </w:r>
            <w:r w:rsidR="00EE7018" w:rsidRPr="00EE7018">
              <w:rPr>
                <w:noProof/>
                <w:webHidden/>
                <w:sz w:val="20"/>
                <w:szCs w:val="20"/>
              </w:rPr>
              <w:fldChar w:fldCharType="begin"/>
            </w:r>
            <w:r w:rsidR="00EE7018" w:rsidRPr="00EE7018">
              <w:rPr>
                <w:noProof/>
                <w:webHidden/>
                <w:sz w:val="20"/>
                <w:szCs w:val="20"/>
              </w:rPr>
              <w:instrText xml:space="preserve"> PAGEREF _Toc426441731 \h </w:instrText>
            </w:r>
            <w:r w:rsidR="00EE7018" w:rsidRPr="00EE7018">
              <w:rPr>
                <w:noProof/>
                <w:webHidden/>
                <w:sz w:val="20"/>
                <w:szCs w:val="20"/>
              </w:rPr>
            </w:r>
            <w:r w:rsidR="00EE7018" w:rsidRPr="00EE7018">
              <w:rPr>
                <w:noProof/>
                <w:webHidden/>
                <w:sz w:val="20"/>
                <w:szCs w:val="20"/>
              </w:rPr>
              <w:fldChar w:fldCharType="separate"/>
            </w:r>
            <w:r w:rsidR="00DB0001">
              <w:rPr>
                <w:noProof/>
                <w:webHidden/>
                <w:sz w:val="20"/>
                <w:szCs w:val="20"/>
              </w:rPr>
              <w:t>32</w:t>
            </w:r>
            <w:r w:rsidR="00EE7018" w:rsidRPr="00EE7018">
              <w:rPr>
                <w:noProof/>
                <w:webHidden/>
                <w:sz w:val="20"/>
                <w:szCs w:val="20"/>
              </w:rPr>
              <w:fldChar w:fldCharType="end"/>
            </w:r>
          </w:hyperlink>
        </w:p>
        <w:p w:rsidR="005062E3" w:rsidRDefault="005062E3" w:rsidP="00EE7018">
          <w:pPr>
            <w:pStyle w:val="TOC1"/>
            <w:tabs>
              <w:tab w:val="right" w:leader="dot" w:pos="9736"/>
            </w:tabs>
            <w:spacing w:line="240" w:lineRule="auto"/>
          </w:pPr>
          <w:r>
            <w:rPr>
              <w:b/>
              <w:bCs/>
              <w:noProof/>
            </w:rPr>
            <w:fldChar w:fldCharType="end"/>
          </w:r>
        </w:p>
      </w:sdtContent>
    </w:sdt>
    <w:p w:rsidR="001164BE" w:rsidRPr="00421991" w:rsidRDefault="001164BE">
      <w:r w:rsidRPr="00421991">
        <w:br w:type="page"/>
      </w:r>
    </w:p>
    <w:p w:rsidR="001164BE" w:rsidRPr="00421991" w:rsidRDefault="00024D2E" w:rsidP="002E1ECA">
      <w:pPr>
        <w:pStyle w:val="Heading1"/>
      </w:pPr>
      <w:bookmarkStart w:id="7" w:name="_Toc426441665"/>
      <w:r>
        <w:lastRenderedPageBreak/>
        <w:t>S</w:t>
      </w:r>
      <w:r w:rsidR="001164BE" w:rsidRPr="00421991">
        <w:t>ummary</w:t>
      </w:r>
      <w:bookmarkEnd w:id="7"/>
    </w:p>
    <w:p w:rsidR="00E13DB6" w:rsidRPr="00E13DB6" w:rsidRDefault="00E13DB6" w:rsidP="00E13DB6">
      <w:pPr>
        <w:pStyle w:val="Heading2"/>
      </w:pPr>
      <w:bookmarkStart w:id="8" w:name="_Toc426441666"/>
      <w:r w:rsidRPr="00E13DB6">
        <w:t>Workers’ compensation statistics</w:t>
      </w:r>
      <w:bookmarkEnd w:id="8"/>
    </w:p>
    <w:p w:rsidR="00E13DB6" w:rsidRPr="00E13DB6" w:rsidRDefault="00E13DB6" w:rsidP="00E13DB6">
      <w:pPr>
        <w:pStyle w:val="ListParagraph"/>
        <w:numPr>
          <w:ilvl w:val="0"/>
          <w:numId w:val="15"/>
        </w:numPr>
        <w:rPr>
          <w:sz w:val="20"/>
          <w:szCs w:val="20"/>
        </w:rPr>
      </w:pPr>
      <w:r w:rsidRPr="00E13DB6">
        <w:rPr>
          <w:sz w:val="20"/>
          <w:szCs w:val="20"/>
        </w:rPr>
        <w:t>The rate of serious claims fell by 18% from 9 serious claims per million hours worked in 2000–01 to 7.4 in 2011–12.</w:t>
      </w:r>
    </w:p>
    <w:p w:rsidR="00E13DB6" w:rsidRPr="00E13DB6" w:rsidRDefault="00E13DB6" w:rsidP="00E13DB6">
      <w:pPr>
        <w:pStyle w:val="ListParagraph"/>
        <w:numPr>
          <w:ilvl w:val="0"/>
          <w:numId w:val="15"/>
        </w:numPr>
        <w:rPr>
          <w:sz w:val="20"/>
          <w:szCs w:val="20"/>
        </w:rPr>
      </w:pPr>
      <w:r w:rsidRPr="00E13DB6">
        <w:rPr>
          <w:sz w:val="20"/>
          <w:szCs w:val="20"/>
        </w:rPr>
        <w:t>92% of serious claims arose from injury and musculoskeletal disorders, while 8% arose from diseases.</w:t>
      </w:r>
    </w:p>
    <w:p w:rsidR="00E13DB6" w:rsidRPr="00E13DB6" w:rsidRDefault="00E13DB6" w:rsidP="00E13DB6">
      <w:pPr>
        <w:pStyle w:val="ListParagraph"/>
        <w:numPr>
          <w:ilvl w:val="0"/>
          <w:numId w:val="15"/>
        </w:numPr>
        <w:rPr>
          <w:color w:val="221E1F"/>
          <w:sz w:val="20"/>
          <w:szCs w:val="20"/>
        </w:rPr>
      </w:pPr>
      <w:r w:rsidRPr="00E13DB6">
        <w:rPr>
          <w:color w:val="221E1F"/>
          <w:sz w:val="20"/>
          <w:szCs w:val="20"/>
        </w:rPr>
        <w:t xml:space="preserve">Body stressing led to the highest proportion (32%) of serious claims. Nearly half (48%) of all body stressing disorders arose from muscular stress while lifting, carrying or putting down objects. </w:t>
      </w:r>
    </w:p>
    <w:p w:rsidR="00E13DB6" w:rsidRPr="00E13DB6" w:rsidRDefault="00E13DB6" w:rsidP="00E13DB6">
      <w:pPr>
        <w:pStyle w:val="ListParagraph"/>
        <w:numPr>
          <w:ilvl w:val="0"/>
          <w:numId w:val="15"/>
        </w:numPr>
        <w:rPr>
          <w:color w:val="221E1F"/>
          <w:sz w:val="20"/>
          <w:szCs w:val="20"/>
        </w:rPr>
      </w:pPr>
      <w:r w:rsidRPr="00E13DB6">
        <w:rPr>
          <w:color w:val="221E1F"/>
          <w:sz w:val="20"/>
          <w:szCs w:val="20"/>
        </w:rPr>
        <w:t>The bodily location most commonly affected by injuries and diseases that led to serious claims was the hand, fingers and thumb, which accounted for 22% of serious claims.</w:t>
      </w:r>
    </w:p>
    <w:p w:rsidR="00E13DB6" w:rsidRPr="00E13DB6" w:rsidRDefault="00E13DB6" w:rsidP="00E13DB6">
      <w:pPr>
        <w:pStyle w:val="ListParagraph"/>
        <w:numPr>
          <w:ilvl w:val="0"/>
          <w:numId w:val="15"/>
        </w:numPr>
        <w:rPr>
          <w:color w:val="221E1F"/>
          <w:sz w:val="20"/>
          <w:szCs w:val="20"/>
        </w:rPr>
      </w:pPr>
      <w:r w:rsidRPr="00E13DB6">
        <w:rPr>
          <w:color w:val="221E1F"/>
          <w:sz w:val="20"/>
          <w:szCs w:val="20"/>
        </w:rPr>
        <w:t>The median time lost from work for a serious claim was 4 weeks in 2011–12.</w:t>
      </w:r>
    </w:p>
    <w:p w:rsidR="00E13DB6" w:rsidRPr="00E13DB6" w:rsidRDefault="00E13DB6" w:rsidP="00E13DB6">
      <w:pPr>
        <w:pStyle w:val="ListParagraph"/>
        <w:numPr>
          <w:ilvl w:val="0"/>
          <w:numId w:val="15"/>
        </w:numPr>
        <w:rPr>
          <w:color w:val="221E1F"/>
          <w:sz w:val="20"/>
          <w:szCs w:val="20"/>
        </w:rPr>
      </w:pPr>
      <w:r w:rsidRPr="00E13DB6">
        <w:rPr>
          <w:color w:val="221E1F"/>
          <w:sz w:val="20"/>
          <w:szCs w:val="20"/>
        </w:rPr>
        <w:t>The median payment for a serious claim was $4 700 in 2011–12.</w:t>
      </w:r>
    </w:p>
    <w:p w:rsidR="00E13DB6" w:rsidRPr="00E13DB6" w:rsidRDefault="00E13DB6" w:rsidP="00E13DB6">
      <w:pPr>
        <w:pStyle w:val="Heading2"/>
      </w:pPr>
      <w:bookmarkStart w:id="9" w:name="_Toc426441667"/>
      <w:r w:rsidRPr="00E13DB6">
        <w:t>Work-Related Injuries Survey</w:t>
      </w:r>
      <w:bookmarkEnd w:id="9"/>
    </w:p>
    <w:p w:rsidR="00E13DB6" w:rsidRPr="00E13DB6" w:rsidRDefault="00E13DB6" w:rsidP="00E13DB6">
      <w:pPr>
        <w:pStyle w:val="ListParagraph"/>
        <w:numPr>
          <w:ilvl w:val="0"/>
          <w:numId w:val="16"/>
        </w:numPr>
        <w:rPr>
          <w:color w:val="221E1F"/>
          <w:sz w:val="20"/>
          <w:szCs w:val="20"/>
        </w:rPr>
      </w:pPr>
      <w:r w:rsidRPr="00E13DB6">
        <w:rPr>
          <w:color w:val="221E1F"/>
          <w:sz w:val="20"/>
          <w:szCs w:val="20"/>
        </w:rPr>
        <w:t>In 2013–14, the accommodation and food services industry had an incidence rate of 58.6 injuries and diseases per 1 000 workers, which is 38% higher than the rate for the Australian workforce.</w:t>
      </w:r>
    </w:p>
    <w:p w:rsidR="00E13DB6" w:rsidRPr="00E13DB6" w:rsidRDefault="00E13DB6" w:rsidP="00E13DB6">
      <w:pPr>
        <w:pStyle w:val="Heading2"/>
      </w:pPr>
      <w:bookmarkStart w:id="10" w:name="_Toc426441668"/>
      <w:r w:rsidRPr="00E13DB6">
        <w:t>Work-related injury fatalities</w:t>
      </w:r>
      <w:bookmarkEnd w:id="10"/>
    </w:p>
    <w:p w:rsidR="002E1ECA" w:rsidRPr="00E13DB6" w:rsidRDefault="00E13DB6" w:rsidP="00E13DB6">
      <w:pPr>
        <w:pStyle w:val="ListParagraph"/>
        <w:numPr>
          <w:ilvl w:val="0"/>
          <w:numId w:val="16"/>
        </w:numPr>
        <w:rPr>
          <w:color w:val="221E1F"/>
          <w:sz w:val="20"/>
          <w:szCs w:val="20"/>
        </w:rPr>
      </w:pPr>
      <w:r w:rsidRPr="00E13DB6">
        <w:rPr>
          <w:color w:val="221E1F"/>
          <w:sz w:val="20"/>
          <w:szCs w:val="20"/>
        </w:rPr>
        <w:t>Vehicle incidents led to the highest proportion (26%) of fatal injuries over the 11-year period between 2003 and 2013.</w:t>
      </w:r>
      <w:r w:rsidR="002E1ECA" w:rsidRPr="00E13DB6">
        <w:rPr>
          <w:color w:val="221E1F"/>
          <w:sz w:val="20"/>
          <w:szCs w:val="20"/>
        </w:rPr>
        <w:br w:type="page"/>
      </w:r>
    </w:p>
    <w:p w:rsidR="001164BE" w:rsidRPr="00421991" w:rsidRDefault="001164BE" w:rsidP="002E1ECA">
      <w:pPr>
        <w:pStyle w:val="Heading1"/>
        <w:rPr>
          <w:bCs/>
          <w:sz w:val="20"/>
          <w:szCs w:val="20"/>
        </w:rPr>
      </w:pPr>
      <w:bookmarkStart w:id="11" w:name="_Toc426441669"/>
      <w:r w:rsidRPr="00421991">
        <w:lastRenderedPageBreak/>
        <w:t>Introduction</w:t>
      </w:r>
      <w:bookmarkEnd w:id="11"/>
    </w:p>
    <w:p w:rsidR="001164BE" w:rsidRPr="00421991" w:rsidRDefault="001164BE" w:rsidP="001164BE">
      <w:pPr>
        <w:pStyle w:val="TextBody"/>
        <w:rPr>
          <w:color w:val="auto"/>
        </w:rPr>
      </w:pPr>
      <w:r w:rsidRPr="00421991">
        <w:rPr>
          <w:color w:val="auto"/>
        </w:rPr>
        <w:t>The accommodation and food services industry was identified as a priority industry in the Australian Work Health and Safety Strategy 2012–2022 (the Australian Strategy) (Safe Work Australia 2012), which was developed through consultation with governments, industry, unions and the public. Priority industries were based on rates of injuries, diseases or fatalities, or due to the nature of hazards found in each industry. The aim of the Australian Strategy is to focus attention on selected priority industries so that causes of workplace injuries, diseases and fatalities can be identified and minimised through appropriate prevention strategies.</w:t>
      </w:r>
    </w:p>
    <w:p w:rsidR="001164BE" w:rsidRPr="00421991" w:rsidRDefault="001164BE" w:rsidP="001164BE">
      <w:pPr>
        <w:pStyle w:val="TextBody"/>
        <w:rPr>
          <w:color w:val="auto"/>
        </w:rPr>
      </w:pPr>
      <w:r w:rsidRPr="00421991">
        <w:rPr>
          <w:color w:val="auto"/>
        </w:rPr>
        <w:t>This report supports the objectives of the Australian Strategy by profiling the accommodation and food services industry in order to identify the main risks faced by workers in the industry and to highlight areas within the industry that merit the greatest attention. The data used to profile the industry come from the:</w:t>
      </w:r>
    </w:p>
    <w:p w:rsidR="001164BE" w:rsidRPr="00421991" w:rsidRDefault="001164BE" w:rsidP="00421991">
      <w:pPr>
        <w:pStyle w:val="TextBody"/>
        <w:numPr>
          <w:ilvl w:val="0"/>
          <w:numId w:val="10"/>
        </w:numPr>
        <w:rPr>
          <w:color w:val="auto"/>
        </w:rPr>
      </w:pPr>
      <w:r w:rsidRPr="00421991">
        <w:rPr>
          <w:color w:val="auto"/>
        </w:rPr>
        <w:t>Labour Force Survey</w:t>
      </w:r>
    </w:p>
    <w:p w:rsidR="001164BE" w:rsidRPr="00421991" w:rsidRDefault="001164BE" w:rsidP="00421991">
      <w:pPr>
        <w:pStyle w:val="TextBody"/>
        <w:numPr>
          <w:ilvl w:val="0"/>
          <w:numId w:val="10"/>
        </w:numPr>
        <w:rPr>
          <w:color w:val="auto"/>
        </w:rPr>
      </w:pPr>
      <w:r w:rsidRPr="00421991">
        <w:rPr>
          <w:color w:val="auto"/>
        </w:rPr>
        <w:t>National Data Set for Compensation-Based Statistics</w:t>
      </w:r>
    </w:p>
    <w:p w:rsidR="001164BE" w:rsidRPr="00421991" w:rsidRDefault="001164BE" w:rsidP="00421991">
      <w:pPr>
        <w:pStyle w:val="TextBody"/>
        <w:numPr>
          <w:ilvl w:val="0"/>
          <w:numId w:val="10"/>
        </w:numPr>
        <w:rPr>
          <w:color w:val="auto"/>
        </w:rPr>
      </w:pPr>
      <w:r w:rsidRPr="00421991">
        <w:rPr>
          <w:color w:val="auto"/>
        </w:rPr>
        <w:t>Work-Related Injuries Survey, and</w:t>
      </w:r>
    </w:p>
    <w:p w:rsidR="001164BE" w:rsidRPr="00421991" w:rsidRDefault="001164BE" w:rsidP="00421991">
      <w:pPr>
        <w:pStyle w:val="TextBody"/>
        <w:numPr>
          <w:ilvl w:val="0"/>
          <w:numId w:val="10"/>
        </w:numPr>
        <w:rPr>
          <w:color w:val="auto"/>
        </w:rPr>
      </w:pPr>
      <w:r w:rsidRPr="00421991">
        <w:rPr>
          <w:color w:val="auto"/>
        </w:rPr>
        <w:t>Traumatic Injury Fatalities database.</w:t>
      </w:r>
    </w:p>
    <w:p w:rsidR="001164BE" w:rsidRPr="00421991" w:rsidRDefault="001164BE" w:rsidP="002E1ECA">
      <w:pPr>
        <w:pStyle w:val="Heading2"/>
      </w:pPr>
      <w:bookmarkStart w:id="12" w:name="_Toc426441670"/>
      <w:r w:rsidRPr="00421991">
        <w:t>Industry inclusions and exclusions</w:t>
      </w:r>
      <w:bookmarkEnd w:id="12"/>
    </w:p>
    <w:p w:rsidR="001164BE" w:rsidRPr="00421991" w:rsidRDefault="001164BE" w:rsidP="001164BE">
      <w:pPr>
        <w:pStyle w:val="TextBody"/>
        <w:rPr>
          <w:color w:val="auto"/>
        </w:rPr>
      </w:pPr>
      <w:r w:rsidRPr="00421991">
        <w:rPr>
          <w:color w:val="auto"/>
        </w:rPr>
        <w:t>All industry classifications in this report are based on the Australian and New Zealand Standard Industrial Classification, 2006, which was developed by the Australian Bureau of Statistics (ABS) and Statistics New Zealand to enable the standardised collection and analysis of industry statistics in Australia and New Zealand. The classification system groups businesses that undertake similar economic activities.</w:t>
      </w:r>
    </w:p>
    <w:p w:rsidR="001164BE" w:rsidRPr="00421991" w:rsidRDefault="001164BE" w:rsidP="001164BE">
      <w:pPr>
        <w:pStyle w:val="TextBody"/>
        <w:rPr>
          <w:color w:val="auto"/>
        </w:rPr>
      </w:pPr>
      <w:r w:rsidRPr="00421991">
        <w:rPr>
          <w:color w:val="auto"/>
        </w:rPr>
        <w:t>The accommodation and food services industry is comprised of businesses that are primarily engaged in providing short-term accommodation, and food and beverage services to customers. The industry is divided into four main subdivisions—accommodation; cafes, restaurants and takeaway food services; pubs, taverns and bars; and clubs.</w:t>
      </w:r>
    </w:p>
    <w:p w:rsidR="001164BE" w:rsidRPr="00421991" w:rsidRDefault="001164BE" w:rsidP="001164BE">
      <w:pPr>
        <w:pStyle w:val="TextBody"/>
        <w:rPr>
          <w:color w:val="auto"/>
        </w:rPr>
      </w:pPr>
      <w:r w:rsidRPr="00421991">
        <w:rPr>
          <w:color w:val="auto"/>
        </w:rPr>
        <w:t>The accommodation subdivision is comprised of businesses mainly engaged in providing short-term accommodation. Primary activities include the operation of camping grounds, caravan parks for visitors, holiday houses, hotels, motels, resorts, serviced apartments, ski lodges, student residences (except boarding schools) and youth hostels. It excludes businesses that rent or lease residential properties and businesses that provide residential caravan accommodation.</w:t>
      </w:r>
    </w:p>
    <w:p w:rsidR="001164BE" w:rsidRPr="00421991" w:rsidRDefault="001164BE" w:rsidP="001164BE">
      <w:pPr>
        <w:pStyle w:val="TextBody"/>
        <w:rPr>
          <w:color w:val="auto"/>
        </w:rPr>
      </w:pPr>
      <w:r w:rsidRPr="00421991">
        <w:rPr>
          <w:color w:val="auto"/>
        </w:rPr>
        <w:t>The cafes, restaurants and takeaway food services subdivision is comprised of businesses mainly engaged in providing food and beverage services to customers. Primary activities include the operation of cafes, restaurants, juice bars, mobile food vans, takeaway food services, airline food catering services, and other food and beverage catering services. It excludes retail businesses that provide baked goods.</w:t>
      </w:r>
    </w:p>
    <w:p w:rsidR="001164BE" w:rsidRPr="00421991" w:rsidRDefault="001164BE" w:rsidP="001164BE">
      <w:pPr>
        <w:pStyle w:val="TextBody"/>
        <w:rPr>
          <w:color w:val="auto"/>
        </w:rPr>
      </w:pPr>
      <w:r w:rsidRPr="00421991">
        <w:rPr>
          <w:color w:val="auto"/>
        </w:rPr>
        <w:t>The pubs, taverns and bars subdivision is comprised of businesses mainly engaged in providing alcoholic beverages for consumption on or off the premises (food and live entertainment may also be provided). Primary activities include the operation of bars, night clubs, pubs and taverns. It excludes retail businesses that solely provide alcoholic beverages for consumption off the premises.</w:t>
      </w:r>
    </w:p>
    <w:p w:rsidR="001164BE" w:rsidRPr="00421991" w:rsidRDefault="001164BE" w:rsidP="001164BE">
      <w:pPr>
        <w:pStyle w:val="TextBody"/>
        <w:rPr>
          <w:color w:val="auto"/>
        </w:rPr>
      </w:pPr>
      <w:r w:rsidRPr="00421991">
        <w:rPr>
          <w:color w:val="auto"/>
        </w:rPr>
        <w:t>The clubs subdivision is comprised of businesses mainly engaged in providing hospitality services (e.g. gambling, sporting, or other social or entertainment services) to members. It excludes businesses that mainly provide alcoholic beverages for consumption on or off the premises, which are classified in the pubs, taverns and bars subdivision.</w:t>
      </w:r>
    </w:p>
    <w:p w:rsidR="002E1ECA" w:rsidRDefault="002E1ECA">
      <w:pPr>
        <w:rPr>
          <w:b/>
          <w:sz w:val="36"/>
          <w:szCs w:val="44"/>
        </w:rPr>
      </w:pPr>
      <w:r>
        <w:br w:type="page"/>
      </w:r>
    </w:p>
    <w:p w:rsidR="001164BE" w:rsidRPr="00421991" w:rsidRDefault="001164BE" w:rsidP="002E1ECA">
      <w:pPr>
        <w:pStyle w:val="Heading1"/>
      </w:pPr>
      <w:bookmarkStart w:id="13" w:name="_Toc426441671"/>
      <w:r w:rsidRPr="00421991">
        <w:lastRenderedPageBreak/>
        <w:t>Industry characteristics</w:t>
      </w:r>
      <w:bookmarkEnd w:id="13"/>
    </w:p>
    <w:p w:rsidR="001164BE" w:rsidRPr="00421991" w:rsidRDefault="001164BE" w:rsidP="001164BE">
      <w:pPr>
        <w:pStyle w:val="TextBody"/>
        <w:rPr>
          <w:color w:val="auto"/>
        </w:rPr>
      </w:pPr>
      <w:r w:rsidRPr="00421991">
        <w:rPr>
          <w:color w:val="auto"/>
        </w:rPr>
        <w:t>The industry characteristics in this chapter are of Labour Force Survey data that are collected and published by the ABS. The data are derived from monthly surveys and are used to develop a range of statistics about Australian workers. Workers include employees who work for an employer, self-employed people (whether they employ others or not) and those who work without pay for a family business or farm. People who are engaged in voluntary work only are excluded.</w:t>
      </w:r>
    </w:p>
    <w:p w:rsidR="001164BE" w:rsidRPr="00421991" w:rsidRDefault="001164BE" w:rsidP="001164BE">
      <w:pPr>
        <w:pStyle w:val="TextBody"/>
        <w:rPr>
          <w:color w:val="auto"/>
        </w:rPr>
      </w:pPr>
      <w:r w:rsidRPr="00421991">
        <w:rPr>
          <w:color w:val="auto"/>
        </w:rPr>
        <w:t>This chapter describes key characteristics of workers in the accommodation and food services industry and highlights characteristics that are unique to the industry.</w:t>
      </w:r>
    </w:p>
    <w:p w:rsidR="001164BE" w:rsidRPr="00421991" w:rsidRDefault="001164BE" w:rsidP="002E1ECA">
      <w:pPr>
        <w:pStyle w:val="Heading2"/>
      </w:pPr>
      <w:bookmarkStart w:id="14" w:name="_Toc426441672"/>
      <w:r w:rsidRPr="00421991">
        <w:t>Workers by industry division</w:t>
      </w:r>
      <w:bookmarkEnd w:id="14"/>
    </w:p>
    <w:p w:rsidR="001164BE" w:rsidRPr="00421991" w:rsidRDefault="001164BE" w:rsidP="001164BE">
      <w:pPr>
        <w:pStyle w:val="TextBody"/>
        <w:rPr>
          <w:color w:val="auto"/>
        </w:rPr>
      </w:pPr>
      <w:r w:rsidRPr="00421991">
        <w:rPr>
          <w:color w:val="auto"/>
        </w:rPr>
        <w:t>In 2012–13, the accommodation and food services industry employed 780 575 workers, which represents 7% of the Australian workforce for the period. Figure 1 shows the number of workers in each of the 19 Australian industries in 2012–13.</w:t>
      </w:r>
    </w:p>
    <w:p w:rsidR="001164BE" w:rsidRPr="00421991" w:rsidRDefault="001164BE" w:rsidP="001164BE">
      <w:pPr>
        <w:pStyle w:val="Figuretitle"/>
        <w:rPr>
          <w:color w:val="auto"/>
        </w:rPr>
      </w:pPr>
      <w:r w:rsidRPr="00421991">
        <w:rPr>
          <w:color w:val="auto"/>
        </w:rPr>
        <w:t>Figure 1: Number of workers by industry, 2012–13</w:t>
      </w:r>
    </w:p>
    <w:p w:rsidR="00F851EA" w:rsidRPr="00421991" w:rsidRDefault="00F0444C" w:rsidP="001164BE">
      <w:pPr>
        <w:pStyle w:val="FootnoteFiguresandtables"/>
        <w:rPr>
          <w:color w:val="auto"/>
        </w:rPr>
      </w:pPr>
      <w:r>
        <w:rPr>
          <w:noProof/>
          <w:lang w:val="en-AU" w:eastAsia="en-AU"/>
        </w:rPr>
        <w:drawing>
          <wp:inline distT="0" distB="0" distL="0" distR="0" wp14:anchorId="4D5BC4A8" wp14:editId="57F0942C">
            <wp:extent cx="5400000" cy="3600000"/>
            <wp:effectExtent l="0" t="0" r="10795" b="19685"/>
            <wp:docPr id="14" name="Chart 14" descr="Figure 1: Number of workers by industry, 2012–13" title="Figure 1: Number of workers by industry, 2012–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64BE" w:rsidRPr="00421991" w:rsidRDefault="001164BE" w:rsidP="001164BE">
      <w:pPr>
        <w:pStyle w:val="FootnoteFiguresandtables"/>
        <w:rPr>
          <w:color w:val="auto"/>
        </w:rPr>
      </w:pPr>
      <w:r w:rsidRPr="00421991">
        <w:rPr>
          <w:color w:val="auto"/>
        </w:rPr>
        <w:t>Source: Australian Bureau of Statistics 2014a.</w:t>
      </w:r>
    </w:p>
    <w:p w:rsidR="001164BE" w:rsidRPr="00421991" w:rsidRDefault="001164BE" w:rsidP="002E1ECA">
      <w:pPr>
        <w:pStyle w:val="Heading2"/>
      </w:pPr>
      <w:bookmarkStart w:id="15" w:name="_Toc426441673"/>
      <w:r w:rsidRPr="00421991">
        <w:t>Workers by industry subdivision</w:t>
      </w:r>
      <w:bookmarkEnd w:id="15"/>
    </w:p>
    <w:p w:rsidR="001164BE" w:rsidRPr="00421991" w:rsidRDefault="001164BE" w:rsidP="001164BE">
      <w:pPr>
        <w:pStyle w:val="TextBody"/>
        <w:rPr>
          <w:color w:val="auto"/>
        </w:rPr>
      </w:pPr>
      <w:r w:rsidRPr="00421991">
        <w:rPr>
          <w:color w:val="auto"/>
        </w:rPr>
        <w:t>Of the 780 575 accommodation and food services workers in 2012–13, 67% worked in cafes, restaurants and takeaway food services, 14% worked in accommodation, 13% worked in pubs, taverns and bars, and 7% worked in clubs.</w:t>
      </w:r>
    </w:p>
    <w:p w:rsidR="001164BE" w:rsidRPr="00421991" w:rsidRDefault="001164BE" w:rsidP="002E1ECA">
      <w:pPr>
        <w:pStyle w:val="Heading2"/>
      </w:pPr>
      <w:bookmarkStart w:id="16" w:name="_Toc426441674"/>
      <w:r w:rsidRPr="00421991">
        <w:t>Workers by sex</w:t>
      </w:r>
      <w:bookmarkEnd w:id="16"/>
    </w:p>
    <w:p w:rsidR="001164BE" w:rsidRPr="00421991" w:rsidRDefault="001164BE" w:rsidP="001164BE">
      <w:pPr>
        <w:pStyle w:val="TextBody"/>
        <w:rPr>
          <w:color w:val="auto"/>
        </w:rPr>
      </w:pPr>
      <w:r w:rsidRPr="00421991">
        <w:rPr>
          <w:color w:val="auto"/>
        </w:rPr>
        <w:t>Out of the 19 Australian industries, the accommodation and food services industry is one of six industries that has a higher proportion of female workers than male workers. While female workers comprised 46% of the Australian workforce in 2012–13, they comprised 55% of workers in the accommodation and food services industry.</w:t>
      </w:r>
    </w:p>
    <w:p w:rsidR="00F0444C" w:rsidRDefault="001164BE" w:rsidP="00F0444C">
      <w:pPr>
        <w:pStyle w:val="TextBody"/>
        <w:rPr>
          <w:b/>
          <w:sz w:val="28"/>
          <w:szCs w:val="28"/>
        </w:rPr>
      </w:pPr>
      <w:r w:rsidRPr="00421991">
        <w:rPr>
          <w:color w:val="auto"/>
        </w:rPr>
        <w:t>Although female workers make up the majority of accommodation and food services workers, they work fewer hours on average than male workers. In 2012–13, female workers in the accommodation and food services industry worked an average of 24.3 hours per week, while male workers worked an average of 31.2 hours per week.</w:t>
      </w:r>
      <w:r w:rsidR="00F0444C">
        <w:br w:type="page"/>
      </w:r>
    </w:p>
    <w:p w:rsidR="001164BE" w:rsidRPr="00421991" w:rsidRDefault="001164BE" w:rsidP="002E1ECA">
      <w:pPr>
        <w:pStyle w:val="Heading2"/>
      </w:pPr>
      <w:bookmarkStart w:id="17" w:name="_Toc426441675"/>
      <w:r w:rsidRPr="00421991">
        <w:lastRenderedPageBreak/>
        <w:t>Workers by age group</w:t>
      </w:r>
      <w:bookmarkEnd w:id="17"/>
    </w:p>
    <w:p w:rsidR="001164BE" w:rsidRPr="00421991" w:rsidRDefault="001164BE" w:rsidP="001164BE">
      <w:pPr>
        <w:pStyle w:val="TextBody"/>
        <w:rPr>
          <w:color w:val="auto"/>
        </w:rPr>
      </w:pPr>
      <w:r w:rsidRPr="00421991">
        <w:rPr>
          <w:color w:val="auto"/>
        </w:rPr>
        <w:t>The accommodation and food services industry has the highest proportion of workers aged between 15 and 24 years. The age group accounted for 43% of accommodation and food services workers in 2012–13, which is significantly higher than any other industry and almost three times higher than the proportion for the Australian workforce. Figure 2 outlines the percentage of workers aged 15–24 years by industry for 2012–13.</w:t>
      </w:r>
    </w:p>
    <w:p w:rsidR="001164BE" w:rsidRPr="00421991" w:rsidRDefault="001164BE" w:rsidP="001164BE">
      <w:pPr>
        <w:pStyle w:val="Figuretitle"/>
        <w:rPr>
          <w:b w:val="0"/>
          <w:bCs w:val="0"/>
          <w:color w:val="auto"/>
        </w:rPr>
      </w:pPr>
      <w:r w:rsidRPr="00421991">
        <w:rPr>
          <w:color w:val="auto"/>
        </w:rPr>
        <w:t>Figure 2: Percentage of workers aged 15–24 years by industry, 2012–13</w:t>
      </w:r>
    </w:p>
    <w:p w:rsidR="001164BE" w:rsidRPr="00421991" w:rsidRDefault="00F0444C" w:rsidP="001164BE">
      <w:pPr>
        <w:pStyle w:val="TextBody"/>
        <w:rPr>
          <w:color w:val="auto"/>
        </w:rPr>
      </w:pPr>
      <w:r>
        <w:rPr>
          <w:noProof/>
          <w:lang w:val="en-AU" w:eastAsia="en-AU"/>
        </w:rPr>
        <w:drawing>
          <wp:inline distT="0" distB="0" distL="0" distR="0" wp14:anchorId="699F6C03" wp14:editId="204880B3">
            <wp:extent cx="5400000" cy="3600000"/>
            <wp:effectExtent l="0" t="0" r="10795" b="19685"/>
            <wp:docPr id="16" name="Chart 16" descr="Figure 2: Percentage of workers aged 15–24 years by industry, 2012–13" title="Figure 2: Percentage of workers aged 15–24 years by industry, 2012–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64BE" w:rsidRPr="00421991" w:rsidRDefault="001164BE" w:rsidP="001164BE">
      <w:pPr>
        <w:pStyle w:val="FootnoteFiguresandtables"/>
        <w:rPr>
          <w:color w:val="auto"/>
        </w:rPr>
      </w:pPr>
      <w:r w:rsidRPr="00421991">
        <w:rPr>
          <w:color w:val="auto"/>
        </w:rPr>
        <w:t>Source: Australian Bureau of Statistics 2014a.</w:t>
      </w:r>
    </w:p>
    <w:p w:rsidR="001164BE" w:rsidRPr="00421991" w:rsidRDefault="001164BE" w:rsidP="002E1ECA">
      <w:pPr>
        <w:pStyle w:val="Heading2"/>
      </w:pPr>
      <w:bookmarkStart w:id="18" w:name="_Toc426441676"/>
      <w:r w:rsidRPr="00421991">
        <w:t>Workers by part-time status</w:t>
      </w:r>
      <w:bookmarkEnd w:id="18"/>
    </w:p>
    <w:p w:rsidR="00723065" w:rsidRDefault="001164BE" w:rsidP="00F0444C">
      <w:pPr>
        <w:pStyle w:val="TextBody"/>
        <w:rPr>
          <w:b/>
          <w:bCs/>
        </w:rPr>
      </w:pPr>
      <w:r w:rsidRPr="00421991">
        <w:rPr>
          <w:color w:val="auto"/>
        </w:rPr>
        <w:t xml:space="preserve">The accommodation and food services industry has the highest proportion of part-time workers (people who usually work less than 35 hours per week) in Australia. In 2012–13, 58% </w:t>
      </w:r>
      <w:r w:rsidR="007C4268" w:rsidRPr="00421991">
        <w:rPr>
          <w:color w:val="auto"/>
        </w:rPr>
        <w:t>of workers</w:t>
      </w:r>
      <w:r w:rsidRPr="00421991">
        <w:rPr>
          <w:color w:val="auto"/>
        </w:rPr>
        <w:t xml:space="preserve"> in the accommodation and food services industry were part-time workers, which is higher than any other industry and almost twice as high as the proportion of part-time workers in the Australian workforce. Figure 3 shows the percentage of part-time workers in each industry in 2012–13.</w:t>
      </w:r>
    </w:p>
    <w:p w:rsidR="00F0444C" w:rsidRDefault="00F0444C">
      <w:pPr>
        <w:rPr>
          <w:rFonts w:eastAsiaTheme="minorHAnsi"/>
          <w:b/>
          <w:bCs/>
          <w:kern w:val="0"/>
          <w:sz w:val="20"/>
          <w:szCs w:val="20"/>
          <w:lang w:val="en-GB" w:eastAsia="en-US"/>
        </w:rPr>
      </w:pPr>
      <w:r>
        <w:br w:type="page"/>
      </w:r>
    </w:p>
    <w:p w:rsidR="001164BE" w:rsidRPr="00421991" w:rsidRDefault="001164BE" w:rsidP="001164BE">
      <w:pPr>
        <w:pStyle w:val="Figuretitle"/>
        <w:rPr>
          <w:color w:val="auto"/>
        </w:rPr>
      </w:pPr>
      <w:r w:rsidRPr="00421991">
        <w:rPr>
          <w:color w:val="auto"/>
        </w:rPr>
        <w:lastRenderedPageBreak/>
        <w:t>Figure 3: Percentage of part-time workers by industry, 2012–13</w:t>
      </w:r>
    </w:p>
    <w:p w:rsidR="0000553D" w:rsidRDefault="00F0444C" w:rsidP="001164BE">
      <w:pPr>
        <w:pStyle w:val="FootnoteFiguresandtables"/>
        <w:rPr>
          <w:color w:val="auto"/>
        </w:rPr>
      </w:pPr>
      <w:r>
        <w:rPr>
          <w:noProof/>
          <w:lang w:val="en-AU" w:eastAsia="en-AU"/>
        </w:rPr>
        <w:drawing>
          <wp:inline distT="0" distB="0" distL="0" distR="0" wp14:anchorId="489CDE20" wp14:editId="45024F10">
            <wp:extent cx="5400000" cy="3600000"/>
            <wp:effectExtent l="0" t="0" r="10795" b="19685"/>
            <wp:docPr id="15" name="Chart 15" title="Figure 2: Percentage of workers aged 15–24 years by industry, 2012–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444C" w:rsidRDefault="001164BE" w:rsidP="00F0444C">
      <w:pPr>
        <w:pStyle w:val="FootnoteFiguresandtables"/>
        <w:rPr>
          <w:b/>
          <w:sz w:val="28"/>
          <w:szCs w:val="28"/>
        </w:rPr>
      </w:pPr>
      <w:r w:rsidRPr="00421991">
        <w:rPr>
          <w:color w:val="auto"/>
        </w:rPr>
        <w:t>Source: Australian Bureau of Statistics 2014a.</w:t>
      </w:r>
    </w:p>
    <w:p w:rsidR="001164BE" w:rsidRPr="00421991" w:rsidRDefault="001164BE" w:rsidP="002E1ECA">
      <w:pPr>
        <w:pStyle w:val="Heading2"/>
      </w:pPr>
      <w:bookmarkStart w:id="19" w:name="_Toc426441677"/>
      <w:r w:rsidRPr="00421991">
        <w:t>Number of hours worked</w:t>
      </w:r>
      <w:bookmarkEnd w:id="19"/>
    </w:p>
    <w:p w:rsidR="001164BE" w:rsidRPr="00421991" w:rsidRDefault="001164BE" w:rsidP="001164BE">
      <w:pPr>
        <w:pStyle w:val="TextBody"/>
        <w:rPr>
          <w:color w:val="auto"/>
        </w:rPr>
      </w:pPr>
      <w:r w:rsidRPr="00421991">
        <w:rPr>
          <w:color w:val="auto"/>
        </w:rPr>
        <w:t>Unsurprisingly, the average number of hours worked by accommodation and food services workers is lower than other industries because it has the highest proportion of part-time workers in Australia. In 2012–13, workers in the accommodation and food services industry worked an average of 27.4 hours per week, which is 6.5 hours fewer than the average for the Australian workforce.</w:t>
      </w:r>
    </w:p>
    <w:p w:rsidR="001164BE" w:rsidRPr="00421991" w:rsidRDefault="001164BE" w:rsidP="001164BE">
      <w:pPr>
        <w:pStyle w:val="TextBody"/>
        <w:rPr>
          <w:color w:val="auto"/>
        </w:rPr>
      </w:pPr>
      <w:r w:rsidRPr="00421991">
        <w:rPr>
          <w:color w:val="auto"/>
        </w:rPr>
        <w:t xml:space="preserve">When the data are disaggregated by workers status, however, full-time workers (people who usually work 35 hours or more per week) in the accommodation and food services industry work more hours on average than full-time workers in the Australian workforce. In 2012–13, full-time workers in the accommodation and food services industry worked an average of 44.3 hours, while full-time workers in the Australian workforce worked an average of 41 hours per week. </w:t>
      </w:r>
    </w:p>
    <w:p w:rsidR="001164BE" w:rsidRPr="00421991" w:rsidRDefault="001164BE" w:rsidP="001164BE">
      <w:pPr>
        <w:pStyle w:val="TextBody"/>
        <w:rPr>
          <w:color w:val="auto"/>
        </w:rPr>
      </w:pPr>
      <w:r w:rsidRPr="00421991">
        <w:rPr>
          <w:color w:val="auto"/>
        </w:rPr>
        <w:t>In contrast, part-time workers in the accommodation and food services industry work fewer hours on average than part-time workers in the Australian workforce. In 2012–13, part-time workers in the accommodation and food services industry worked an average of 15.1 hours per week, while part-time workers in the Australian workforce worked an average of 17 hours per week. Figure 4 shows the average number of hours worked by full-time and part-time workers in the accommodation and food services industry and the Australian workforce in 2012–13.</w:t>
      </w:r>
    </w:p>
    <w:p w:rsidR="00F0444C" w:rsidRDefault="00F0444C">
      <w:pPr>
        <w:rPr>
          <w:rFonts w:eastAsiaTheme="minorHAnsi"/>
          <w:b/>
          <w:bCs/>
          <w:kern w:val="0"/>
          <w:sz w:val="20"/>
          <w:szCs w:val="20"/>
          <w:lang w:val="en-GB" w:eastAsia="en-US"/>
        </w:rPr>
      </w:pPr>
      <w:r>
        <w:br w:type="page"/>
      </w:r>
    </w:p>
    <w:p w:rsidR="00F0444C" w:rsidRDefault="001164BE" w:rsidP="00F0444C">
      <w:pPr>
        <w:pStyle w:val="Figuretitle"/>
        <w:spacing w:after="0"/>
        <w:rPr>
          <w:color w:val="auto"/>
        </w:rPr>
      </w:pPr>
      <w:r w:rsidRPr="00421991">
        <w:rPr>
          <w:color w:val="auto"/>
        </w:rPr>
        <w:lastRenderedPageBreak/>
        <w:t>Figure 4: Average number of hours worked in the accommodation and food services industry and the Australian workforce by worker status, 2012–13</w:t>
      </w:r>
    </w:p>
    <w:p w:rsidR="0000553D" w:rsidRDefault="0000553D" w:rsidP="001164BE">
      <w:pPr>
        <w:pStyle w:val="FootnoteFiguresandtables"/>
        <w:rPr>
          <w:color w:val="auto"/>
        </w:rPr>
      </w:pPr>
      <w:r>
        <w:rPr>
          <w:noProof/>
          <w:lang w:val="en-AU" w:eastAsia="en-AU"/>
        </w:rPr>
        <w:drawing>
          <wp:inline distT="0" distB="0" distL="0" distR="0" wp14:anchorId="62E34887" wp14:editId="44625F80">
            <wp:extent cx="5400000" cy="3600000"/>
            <wp:effectExtent l="0" t="0" r="10795" b="19685"/>
            <wp:docPr id="6" name="Chart 6" title="Figure 4: Average number of hours worked in the accommodation and food services industry and the Australian workforce by worker status, 2012–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64BE" w:rsidRPr="00421991" w:rsidRDefault="001164BE" w:rsidP="001164BE">
      <w:pPr>
        <w:pStyle w:val="FootnoteFiguresandtables"/>
        <w:rPr>
          <w:color w:val="auto"/>
          <w:sz w:val="20"/>
          <w:szCs w:val="20"/>
        </w:rPr>
      </w:pPr>
      <w:r w:rsidRPr="00421991">
        <w:rPr>
          <w:color w:val="auto"/>
        </w:rPr>
        <w:t>Source: Australian Bureau of Statistics 2014a.</w:t>
      </w:r>
    </w:p>
    <w:p w:rsidR="005062E3" w:rsidRDefault="005062E3">
      <w:pPr>
        <w:rPr>
          <w:b/>
          <w:sz w:val="32"/>
          <w:szCs w:val="44"/>
        </w:rPr>
      </w:pPr>
      <w:r>
        <w:br w:type="page"/>
      </w:r>
    </w:p>
    <w:p w:rsidR="001164BE" w:rsidRPr="00421991" w:rsidRDefault="001164BE" w:rsidP="002E1ECA">
      <w:pPr>
        <w:pStyle w:val="Heading1"/>
      </w:pPr>
      <w:bookmarkStart w:id="20" w:name="_Toc426441678"/>
      <w:r w:rsidRPr="00421991">
        <w:lastRenderedPageBreak/>
        <w:t>Workers’ compensation statistics</w:t>
      </w:r>
      <w:bookmarkEnd w:id="20"/>
    </w:p>
    <w:p w:rsidR="001164BE" w:rsidRPr="00421991" w:rsidRDefault="001164BE" w:rsidP="001164BE">
      <w:pPr>
        <w:pStyle w:val="TextBody"/>
        <w:rPr>
          <w:color w:val="auto"/>
        </w:rPr>
      </w:pPr>
      <w:r w:rsidRPr="00421991">
        <w:rPr>
          <w:color w:val="auto"/>
        </w:rPr>
        <w:t>Safe Work Australia compiles national workers’ compensation statistics using data obtained from workers’ compensation authorities in each state, territory and the Commonwealth Government. These data are collated into the National Data Set for Compensation-Based Statistics, which is Safe Work Australia’s primary source of information on work-related injuries and diseases.</w:t>
      </w:r>
    </w:p>
    <w:p w:rsidR="001164BE" w:rsidRPr="00421991" w:rsidRDefault="001164BE" w:rsidP="001164BE">
      <w:pPr>
        <w:pStyle w:val="TextBody"/>
        <w:rPr>
          <w:color w:val="auto"/>
        </w:rPr>
      </w:pPr>
      <w:r w:rsidRPr="00421991">
        <w:rPr>
          <w:color w:val="auto"/>
        </w:rPr>
        <w:t>The workers’ compensation statistics in this report are restricted to serious claims only. A serious claim is an accepted workers’ compensation claim that involves one or more weeks away from work and excludes all fatalities, and all injuries experienced while travelling to or from work or while on a break away from the workplace. These statistics are presented to provide insight into the characteristics of compensated injuries and diseases and to assess changes in serious claims over time.</w:t>
      </w:r>
    </w:p>
    <w:p w:rsidR="001164BE" w:rsidRPr="00421991" w:rsidRDefault="001164BE" w:rsidP="001164BE">
      <w:pPr>
        <w:pStyle w:val="TextBody"/>
        <w:rPr>
          <w:color w:val="auto"/>
        </w:rPr>
      </w:pPr>
      <w:r w:rsidRPr="00421991">
        <w:rPr>
          <w:color w:val="auto"/>
        </w:rPr>
        <w:t>When analysing trends over time or comparing different groups of employees, incidence and frequency rates are better measures of risk than the number of serious claims because they account for differences in the number employees and the number of hours worked respectively. Because a frequency rate accounts for the number of hours worked, it is a better measure than an incidence rate, particularly when assessing a large proportion of employees who work part-time or lower-than-average hours. Therefore, due to the high proportion of part-time employees and the low average hours worked in the accommodation and food services industry, only frequency rates of serious claims are presented in this chapter.</w:t>
      </w:r>
    </w:p>
    <w:p w:rsidR="001164BE" w:rsidRPr="00421991" w:rsidRDefault="001164BE" w:rsidP="001164BE">
      <w:pPr>
        <w:pStyle w:val="TextBody"/>
        <w:rPr>
          <w:color w:val="auto"/>
        </w:rPr>
      </w:pPr>
      <w:r w:rsidRPr="00421991">
        <w:rPr>
          <w:color w:val="auto"/>
        </w:rPr>
        <w:t>Serious claims covering a three-year period (2010–11 to 2012–13) were aggregated and are used to describe most of the workers’ compensation statistics in this chapter. Data for 2012–13 are preliminary and are subject to revision.</w:t>
      </w:r>
    </w:p>
    <w:p w:rsidR="001164BE" w:rsidRPr="00421991" w:rsidRDefault="001164BE" w:rsidP="005062E3">
      <w:pPr>
        <w:pStyle w:val="Heading2"/>
      </w:pPr>
      <w:bookmarkStart w:id="21" w:name="_Toc426441679"/>
      <w:r w:rsidRPr="00421991">
        <w:t>Serious claims by industry division</w:t>
      </w:r>
      <w:bookmarkEnd w:id="21"/>
    </w:p>
    <w:p w:rsidR="001164BE" w:rsidRPr="00421991" w:rsidRDefault="001164BE" w:rsidP="001164BE">
      <w:pPr>
        <w:pStyle w:val="TextBody"/>
        <w:rPr>
          <w:color w:val="auto"/>
        </w:rPr>
      </w:pPr>
      <w:r w:rsidRPr="00421991">
        <w:rPr>
          <w:color w:val="auto"/>
        </w:rPr>
        <w:t>A total of 21 000 serious claims were made by accommodation and food services employees between 2010–11 and 2012–13, which represents 6% of serious claims made by all Australian employees. The industry recorded a frequency rate of 7.3 serious claims per million hours worked, which is similar to the frequency rate for all Australian employees (7.1 serious claims per million hours worked).</w:t>
      </w:r>
    </w:p>
    <w:p w:rsidR="001164BE" w:rsidRPr="00421991" w:rsidRDefault="001164BE" w:rsidP="005062E3">
      <w:pPr>
        <w:pStyle w:val="Heading2"/>
      </w:pPr>
      <w:bookmarkStart w:id="22" w:name="_Toc426441680"/>
      <w:r w:rsidRPr="00421991">
        <w:t>Serious claims by industry subdivision</w:t>
      </w:r>
      <w:bookmarkEnd w:id="22"/>
    </w:p>
    <w:p w:rsidR="001164BE" w:rsidRPr="00421991" w:rsidRDefault="001164BE" w:rsidP="001164BE">
      <w:pPr>
        <w:pStyle w:val="TextBody"/>
        <w:rPr>
          <w:color w:val="auto"/>
        </w:rPr>
      </w:pPr>
      <w:r w:rsidRPr="00421991">
        <w:rPr>
          <w:color w:val="auto"/>
        </w:rPr>
        <w:t>Between 2010–11 and 2012–13, the clubs subdivision had the highest frequency rate (11.3 serious claims per million hours worked) in the industry, followed by the accommodation subdivision (10.6 serious claims per million hours worked). The cafes, restaurants and takeaway food services subdivision had the lowest frequency rate (5.8 serious claims per million hours worked).</w:t>
      </w:r>
    </w:p>
    <w:p w:rsidR="001164BE" w:rsidRPr="00421991" w:rsidRDefault="001164BE" w:rsidP="001164BE">
      <w:pPr>
        <w:pStyle w:val="TextBody"/>
        <w:rPr>
          <w:color w:val="auto"/>
        </w:rPr>
      </w:pPr>
      <w:r w:rsidRPr="00421991">
        <w:rPr>
          <w:color w:val="auto"/>
        </w:rPr>
        <w:t>While the accommodation subdivision constituted 16% of total hours worked in the industry, it accounted for 24% of the industry’s serious claims. Likewise, although the clubs subdivision constituted 8% of total hours worked in the industry, it accounted for 13% of the industry’s serious claims. In contrast, despite constituting 60% of the industry’s total hours worked, the cafes, restaurants and takeaway food services subdivision accounted for 48% of serious claims in the industry. Table 1 outlines frequency rates and selected percentages for each industry subdivision for 2010–11 to 2012–13.</w:t>
      </w:r>
    </w:p>
    <w:p w:rsidR="001164BE" w:rsidRPr="00421991" w:rsidRDefault="001164BE" w:rsidP="001164BE">
      <w:pPr>
        <w:pStyle w:val="Tabletitle"/>
        <w:rPr>
          <w:color w:val="auto"/>
        </w:rPr>
      </w:pPr>
      <w:r w:rsidRPr="00421991">
        <w:rPr>
          <w:color w:val="auto"/>
        </w:rPr>
        <w:t>Table 1: Serious claims in accommodation and food services industry: frequency rates, percentage of industry’s total serious claims and percentage of industry’s total hours worked by industry subdivision, 2010–11 to 2012–13 combined</w:t>
      </w:r>
    </w:p>
    <w:tbl>
      <w:tblPr>
        <w:tblStyle w:val="TableGrid"/>
        <w:tblW w:w="9694" w:type="dxa"/>
        <w:tblLayout w:type="fixed"/>
        <w:tblLook w:val="0000" w:firstRow="0" w:lastRow="0" w:firstColumn="0" w:lastColumn="0" w:noHBand="0" w:noVBand="0"/>
        <w:tblCaption w:val="Table 1: Serious claims in accommodation and food services industry: frequency rates, percentage of industry’s total serious claims and percentage of industry’s total hours worked by industry subdivision, 2010–11 to 2012–13 combined"/>
        <w:tblDescription w:val="Table 1: Serious claims in accommodation and food services industry: frequency rates, percentage of industry’s total serious claims and percentage of industry’s total hours worked by industry subdivision, 2010–11 to 2012–13 combined"/>
      </w:tblPr>
      <w:tblGrid>
        <w:gridCol w:w="3250"/>
        <w:gridCol w:w="2245"/>
        <w:gridCol w:w="2126"/>
        <w:gridCol w:w="2073"/>
      </w:tblGrid>
      <w:tr w:rsidR="0000553D" w:rsidRPr="00421991" w:rsidTr="00681892">
        <w:trPr>
          <w:trHeight w:val="60"/>
          <w:tblHeader/>
        </w:trPr>
        <w:tc>
          <w:tcPr>
            <w:tcW w:w="3250" w:type="dxa"/>
            <w:vAlign w:val="center"/>
          </w:tcPr>
          <w:p w:rsidR="001164BE" w:rsidRPr="00421991" w:rsidRDefault="001164BE" w:rsidP="00767FA1">
            <w:pPr>
              <w:pStyle w:val="Tabletext"/>
              <w:spacing w:before="0" w:after="0"/>
              <w:rPr>
                <w:color w:val="auto"/>
              </w:rPr>
            </w:pPr>
            <w:r w:rsidRPr="00421991">
              <w:rPr>
                <w:rStyle w:val="BoldBody"/>
                <w:color w:val="auto"/>
              </w:rPr>
              <w:t>Industry subdivision</w:t>
            </w:r>
          </w:p>
        </w:tc>
        <w:tc>
          <w:tcPr>
            <w:tcW w:w="2245" w:type="dxa"/>
            <w:vAlign w:val="center"/>
          </w:tcPr>
          <w:p w:rsidR="001164BE" w:rsidRPr="00421991" w:rsidRDefault="001164BE" w:rsidP="00767FA1">
            <w:pPr>
              <w:pStyle w:val="Tabletext2"/>
              <w:spacing w:before="0" w:after="0"/>
              <w:rPr>
                <w:color w:val="auto"/>
              </w:rPr>
            </w:pPr>
            <w:r w:rsidRPr="00421991">
              <w:rPr>
                <w:rStyle w:val="BoldBody"/>
                <w:color w:val="auto"/>
              </w:rPr>
              <w:t>Frequency rate (serious claims per million hours worked)</w:t>
            </w:r>
          </w:p>
        </w:tc>
        <w:tc>
          <w:tcPr>
            <w:tcW w:w="2126" w:type="dxa"/>
            <w:vAlign w:val="center"/>
          </w:tcPr>
          <w:p w:rsidR="001164BE" w:rsidRPr="00421991" w:rsidRDefault="001164BE" w:rsidP="00767FA1">
            <w:pPr>
              <w:pStyle w:val="Tabletext2"/>
              <w:spacing w:before="0" w:after="0"/>
              <w:rPr>
                <w:color w:val="auto"/>
              </w:rPr>
            </w:pPr>
            <w:r w:rsidRPr="00421991">
              <w:rPr>
                <w:rStyle w:val="BoldBody"/>
                <w:color w:val="auto"/>
              </w:rPr>
              <w:t>Percentage of industry’s total serious claims</w:t>
            </w:r>
          </w:p>
        </w:tc>
        <w:tc>
          <w:tcPr>
            <w:tcW w:w="2073" w:type="dxa"/>
            <w:vAlign w:val="center"/>
          </w:tcPr>
          <w:p w:rsidR="001164BE" w:rsidRPr="00421991" w:rsidRDefault="001164BE" w:rsidP="00767FA1">
            <w:pPr>
              <w:pStyle w:val="Tabletext2"/>
              <w:spacing w:before="0" w:after="0"/>
              <w:rPr>
                <w:color w:val="auto"/>
              </w:rPr>
            </w:pPr>
            <w:r w:rsidRPr="00421991">
              <w:rPr>
                <w:rStyle w:val="BoldBody"/>
                <w:color w:val="auto"/>
              </w:rPr>
              <w:t>Percentage of industry’s total hours worked</w:t>
            </w:r>
          </w:p>
        </w:tc>
      </w:tr>
      <w:tr w:rsidR="0000553D" w:rsidRPr="00421991" w:rsidTr="00767FA1">
        <w:trPr>
          <w:trHeight w:val="60"/>
        </w:trPr>
        <w:tc>
          <w:tcPr>
            <w:tcW w:w="3250" w:type="dxa"/>
            <w:vAlign w:val="center"/>
          </w:tcPr>
          <w:p w:rsidR="001164BE" w:rsidRPr="00421991" w:rsidRDefault="001164BE" w:rsidP="00767FA1">
            <w:pPr>
              <w:pStyle w:val="Tabletext"/>
              <w:spacing w:before="0" w:after="0"/>
              <w:rPr>
                <w:color w:val="auto"/>
              </w:rPr>
            </w:pPr>
            <w:r w:rsidRPr="00421991">
              <w:rPr>
                <w:color w:val="auto"/>
              </w:rPr>
              <w:t>Clubs</w:t>
            </w:r>
          </w:p>
        </w:tc>
        <w:tc>
          <w:tcPr>
            <w:tcW w:w="2245" w:type="dxa"/>
            <w:vAlign w:val="center"/>
          </w:tcPr>
          <w:p w:rsidR="001164BE" w:rsidRPr="00421991" w:rsidRDefault="001164BE" w:rsidP="00767FA1">
            <w:pPr>
              <w:pStyle w:val="Tabletext2"/>
              <w:spacing w:before="0" w:after="0"/>
              <w:rPr>
                <w:color w:val="auto"/>
              </w:rPr>
            </w:pPr>
            <w:r w:rsidRPr="00421991">
              <w:rPr>
                <w:color w:val="auto"/>
              </w:rPr>
              <w:t>11.3</w:t>
            </w:r>
          </w:p>
        </w:tc>
        <w:tc>
          <w:tcPr>
            <w:tcW w:w="2126" w:type="dxa"/>
            <w:vAlign w:val="center"/>
          </w:tcPr>
          <w:p w:rsidR="001164BE" w:rsidRPr="00421991" w:rsidRDefault="001164BE" w:rsidP="00767FA1">
            <w:pPr>
              <w:pStyle w:val="Tabletext2"/>
              <w:spacing w:before="0" w:after="0"/>
              <w:rPr>
                <w:color w:val="auto"/>
              </w:rPr>
            </w:pPr>
            <w:r w:rsidRPr="00421991">
              <w:rPr>
                <w:color w:val="auto"/>
              </w:rPr>
              <w:t>13%</w:t>
            </w:r>
          </w:p>
        </w:tc>
        <w:tc>
          <w:tcPr>
            <w:tcW w:w="2073" w:type="dxa"/>
            <w:vAlign w:val="center"/>
          </w:tcPr>
          <w:p w:rsidR="001164BE" w:rsidRPr="00421991" w:rsidRDefault="001164BE" w:rsidP="00767FA1">
            <w:pPr>
              <w:pStyle w:val="Tabletext2"/>
              <w:spacing w:before="0" w:after="0"/>
              <w:rPr>
                <w:color w:val="auto"/>
              </w:rPr>
            </w:pPr>
            <w:r w:rsidRPr="00421991">
              <w:rPr>
                <w:color w:val="auto"/>
              </w:rPr>
              <w:t>8%</w:t>
            </w:r>
          </w:p>
        </w:tc>
      </w:tr>
      <w:tr w:rsidR="0000553D" w:rsidRPr="00421991" w:rsidTr="00767FA1">
        <w:trPr>
          <w:trHeight w:val="60"/>
        </w:trPr>
        <w:tc>
          <w:tcPr>
            <w:tcW w:w="3250" w:type="dxa"/>
            <w:vAlign w:val="center"/>
          </w:tcPr>
          <w:p w:rsidR="001164BE" w:rsidRPr="00421991" w:rsidRDefault="001164BE" w:rsidP="00767FA1">
            <w:pPr>
              <w:pStyle w:val="Tabletext"/>
              <w:spacing w:before="0" w:after="0"/>
              <w:rPr>
                <w:color w:val="auto"/>
              </w:rPr>
            </w:pPr>
            <w:r w:rsidRPr="00421991">
              <w:rPr>
                <w:color w:val="auto"/>
              </w:rPr>
              <w:t>Accommodation</w:t>
            </w:r>
          </w:p>
        </w:tc>
        <w:tc>
          <w:tcPr>
            <w:tcW w:w="2245" w:type="dxa"/>
            <w:vAlign w:val="center"/>
          </w:tcPr>
          <w:p w:rsidR="001164BE" w:rsidRPr="00421991" w:rsidRDefault="001164BE" w:rsidP="00767FA1">
            <w:pPr>
              <w:pStyle w:val="Tabletext2"/>
              <w:spacing w:before="0" w:after="0"/>
              <w:rPr>
                <w:color w:val="auto"/>
              </w:rPr>
            </w:pPr>
            <w:r w:rsidRPr="00421991">
              <w:rPr>
                <w:color w:val="auto"/>
              </w:rPr>
              <w:t>10.6</w:t>
            </w:r>
          </w:p>
        </w:tc>
        <w:tc>
          <w:tcPr>
            <w:tcW w:w="2126" w:type="dxa"/>
            <w:vAlign w:val="center"/>
          </w:tcPr>
          <w:p w:rsidR="001164BE" w:rsidRPr="00421991" w:rsidRDefault="001164BE" w:rsidP="00767FA1">
            <w:pPr>
              <w:pStyle w:val="Tabletext2"/>
              <w:spacing w:before="0" w:after="0"/>
              <w:rPr>
                <w:color w:val="auto"/>
              </w:rPr>
            </w:pPr>
            <w:r w:rsidRPr="00421991">
              <w:rPr>
                <w:color w:val="auto"/>
              </w:rPr>
              <w:t>24%</w:t>
            </w:r>
          </w:p>
        </w:tc>
        <w:tc>
          <w:tcPr>
            <w:tcW w:w="2073" w:type="dxa"/>
            <w:vAlign w:val="center"/>
          </w:tcPr>
          <w:p w:rsidR="001164BE" w:rsidRPr="00421991" w:rsidRDefault="001164BE" w:rsidP="00767FA1">
            <w:pPr>
              <w:pStyle w:val="Tabletext2"/>
              <w:spacing w:before="0" w:after="0"/>
              <w:rPr>
                <w:color w:val="auto"/>
              </w:rPr>
            </w:pPr>
            <w:r w:rsidRPr="00421991">
              <w:rPr>
                <w:color w:val="auto"/>
              </w:rPr>
              <w:t>16%</w:t>
            </w:r>
          </w:p>
        </w:tc>
      </w:tr>
      <w:tr w:rsidR="0000553D" w:rsidRPr="00421991" w:rsidTr="00767FA1">
        <w:trPr>
          <w:trHeight w:val="60"/>
        </w:trPr>
        <w:tc>
          <w:tcPr>
            <w:tcW w:w="3250" w:type="dxa"/>
            <w:vAlign w:val="center"/>
          </w:tcPr>
          <w:p w:rsidR="001164BE" w:rsidRPr="00421991" w:rsidRDefault="001164BE" w:rsidP="00767FA1">
            <w:pPr>
              <w:pStyle w:val="Tabletext"/>
              <w:spacing w:before="0" w:after="0"/>
              <w:rPr>
                <w:color w:val="auto"/>
              </w:rPr>
            </w:pPr>
            <w:r w:rsidRPr="00421991">
              <w:rPr>
                <w:color w:val="auto"/>
              </w:rPr>
              <w:t>Pubs, taverns and bars</w:t>
            </w:r>
          </w:p>
        </w:tc>
        <w:tc>
          <w:tcPr>
            <w:tcW w:w="2245" w:type="dxa"/>
            <w:vAlign w:val="center"/>
          </w:tcPr>
          <w:p w:rsidR="001164BE" w:rsidRPr="00421991" w:rsidRDefault="001164BE" w:rsidP="00767FA1">
            <w:pPr>
              <w:pStyle w:val="Tabletext2"/>
              <w:spacing w:before="0" w:after="0"/>
              <w:rPr>
                <w:color w:val="auto"/>
              </w:rPr>
            </w:pPr>
            <w:r w:rsidRPr="00421991">
              <w:rPr>
                <w:color w:val="auto"/>
              </w:rPr>
              <w:t>7.5</w:t>
            </w:r>
          </w:p>
        </w:tc>
        <w:tc>
          <w:tcPr>
            <w:tcW w:w="2126" w:type="dxa"/>
            <w:vAlign w:val="center"/>
          </w:tcPr>
          <w:p w:rsidR="001164BE" w:rsidRPr="00421991" w:rsidRDefault="001164BE" w:rsidP="00767FA1">
            <w:pPr>
              <w:pStyle w:val="Tabletext2"/>
              <w:spacing w:before="0" w:after="0"/>
              <w:rPr>
                <w:color w:val="auto"/>
              </w:rPr>
            </w:pPr>
            <w:r w:rsidRPr="00421991">
              <w:rPr>
                <w:color w:val="auto"/>
              </w:rPr>
              <w:t>16%</w:t>
            </w:r>
          </w:p>
        </w:tc>
        <w:tc>
          <w:tcPr>
            <w:tcW w:w="2073" w:type="dxa"/>
            <w:vAlign w:val="center"/>
          </w:tcPr>
          <w:p w:rsidR="001164BE" w:rsidRPr="00421991" w:rsidRDefault="001164BE" w:rsidP="00767FA1">
            <w:pPr>
              <w:pStyle w:val="Tabletext2"/>
              <w:spacing w:before="0" w:after="0"/>
              <w:rPr>
                <w:color w:val="auto"/>
              </w:rPr>
            </w:pPr>
            <w:r w:rsidRPr="00421991">
              <w:rPr>
                <w:color w:val="auto"/>
              </w:rPr>
              <w:t>15%</w:t>
            </w:r>
          </w:p>
        </w:tc>
      </w:tr>
      <w:tr w:rsidR="0000553D" w:rsidRPr="00421991" w:rsidTr="00767FA1">
        <w:trPr>
          <w:trHeight w:val="60"/>
        </w:trPr>
        <w:tc>
          <w:tcPr>
            <w:tcW w:w="3250" w:type="dxa"/>
            <w:vAlign w:val="center"/>
          </w:tcPr>
          <w:p w:rsidR="001164BE" w:rsidRPr="00421991" w:rsidRDefault="001164BE" w:rsidP="00767FA1">
            <w:pPr>
              <w:pStyle w:val="Tabletext"/>
              <w:spacing w:before="0" w:after="0"/>
              <w:rPr>
                <w:color w:val="auto"/>
              </w:rPr>
            </w:pPr>
            <w:r w:rsidRPr="00421991">
              <w:rPr>
                <w:color w:val="auto"/>
              </w:rPr>
              <w:t>Cafes, restaurants and takeaway food services</w:t>
            </w:r>
          </w:p>
        </w:tc>
        <w:tc>
          <w:tcPr>
            <w:tcW w:w="2245" w:type="dxa"/>
            <w:vAlign w:val="center"/>
          </w:tcPr>
          <w:p w:rsidR="001164BE" w:rsidRPr="00421991" w:rsidRDefault="001164BE" w:rsidP="00767FA1">
            <w:pPr>
              <w:pStyle w:val="Tabletext2"/>
              <w:spacing w:before="0" w:after="0"/>
              <w:rPr>
                <w:color w:val="auto"/>
              </w:rPr>
            </w:pPr>
            <w:r w:rsidRPr="00421991">
              <w:rPr>
                <w:color w:val="auto"/>
              </w:rPr>
              <w:t>5.8</w:t>
            </w:r>
          </w:p>
        </w:tc>
        <w:tc>
          <w:tcPr>
            <w:tcW w:w="2126" w:type="dxa"/>
            <w:vAlign w:val="center"/>
          </w:tcPr>
          <w:p w:rsidR="001164BE" w:rsidRPr="00421991" w:rsidRDefault="001164BE" w:rsidP="00767FA1">
            <w:pPr>
              <w:pStyle w:val="Tabletext2"/>
              <w:spacing w:before="0" w:after="0"/>
              <w:rPr>
                <w:color w:val="auto"/>
              </w:rPr>
            </w:pPr>
            <w:r w:rsidRPr="00421991">
              <w:rPr>
                <w:color w:val="auto"/>
              </w:rPr>
              <w:t>48%</w:t>
            </w:r>
          </w:p>
        </w:tc>
        <w:tc>
          <w:tcPr>
            <w:tcW w:w="2073" w:type="dxa"/>
            <w:vAlign w:val="center"/>
          </w:tcPr>
          <w:p w:rsidR="001164BE" w:rsidRPr="00421991" w:rsidRDefault="001164BE" w:rsidP="00767FA1">
            <w:pPr>
              <w:pStyle w:val="Tabletext2"/>
              <w:spacing w:before="0" w:after="0"/>
              <w:rPr>
                <w:color w:val="auto"/>
              </w:rPr>
            </w:pPr>
            <w:r w:rsidRPr="00421991">
              <w:rPr>
                <w:color w:val="auto"/>
              </w:rPr>
              <w:t>60%</w:t>
            </w:r>
          </w:p>
        </w:tc>
      </w:tr>
      <w:tr w:rsidR="0000553D" w:rsidRPr="00421991" w:rsidTr="00767FA1">
        <w:trPr>
          <w:trHeight w:val="60"/>
        </w:trPr>
        <w:tc>
          <w:tcPr>
            <w:tcW w:w="3250" w:type="dxa"/>
            <w:vAlign w:val="center"/>
          </w:tcPr>
          <w:p w:rsidR="001164BE" w:rsidRPr="00421991" w:rsidRDefault="001164BE" w:rsidP="00767FA1">
            <w:pPr>
              <w:pStyle w:val="Tabletext"/>
              <w:spacing w:before="0" w:after="0"/>
              <w:rPr>
                <w:color w:val="auto"/>
              </w:rPr>
            </w:pPr>
            <w:r w:rsidRPr="00421991">
              <w:rPr>
                <w:rStyle w:val="BoldBody"/>
                <w:color w:val="auto"/>
              </w:rPr>
              <w:t>Total</w:t>
            </w:r>
          </w:p>
        </w:tc>
        <w:tc>
          <w:tcPr>
            <w:tcW w:w="2245" w:type="dxa"/>
            <w:vAlign w:val="center"/>
          </w:tcPr>
          <w:p w:rsidR="001164BE" w:rsidRPr="00421991" w:rsidRDefault="001164BE" w:rsidP="00767FA1">
            <w:pPr>
              <w:pStyle w:val="Tabletext2"/>
              <w:spacing w:before="0" w:after="0"/>
              <w:rPr>
                <w:color w:val="auto"/>
              </w:rPr>
            </w:pPr>
            <w:r w:rsidRPr="00421991">
              <w:rPr>
                <w:rStyle w:val="BoldBody"/>
                <w:color w:val="auto"/>
              </w:rPr>
              <w:t>7.3</w:t>
            </w:r>
          </w:p>
        </w:tc>
        <w:tc>
          <w:tcPr>
            <w:tcW w:w="2126" w:type="dxa"/>
            <w:vAlign w:val="center"/>
          </w:tcPr>
          <w:p w:rsidR="001164BE" w:rsidRPr="00421991" w:rsidRDefault="001164BE" w:rsidP="00767FA1">
            <w:pPr>
              <w:pStyle w:val="Tabletext2"/>
              <w:spacing w:before="0" w:after="0"/>
              <w:rPr>
                <w:color w:val="auto"/>
              </w:rPr>
            </w:pPr>
            <w:r w:rsidRPr="00421991">
              <w:rPr>
                <w:rStyle w:val="BoldBody"/>
                <w:color w:val="auto"/>
              </w:rPr>
              <w:t>100%</w:t>
            </w:r>
          </w:p>
        </w:tc>
        <w:tc>
          <w:tcPr>
            <w:tcW w:w="2073" w:type="dxa"/>
            <w:vAlign w:val="center"/>
          </w:tcPr>
          <w:p w:rsidR="001164BE" w:rsidRPr="00421991" w:rsidRDefault="001164BE" w:rsidP="00767FA1">
            <w:pPr>
              <w:pStyle w:val="Tabletext2"/>
              <w:spacing w:before="0" w:after="0"/>
              <w:rPr>
                <w:color w:val="auto"/>
              </w:rPr>
            </w:pPr>
            <w:r w:rsidRPr="00421991">
              <w:rPr>
                <w:rStyle w:val="BoldBody"/>
                <w:color w:val="auto"/>
              </w:rPr>
              <w:t>100%</w:t>
            </w:r>
          </w:p>
        </w:tc>
      </w:tr>
    </w:tbl>
    <w:p w:rsidR="001164BE" w:rsidRPr="00421991" w:rsidRDefault="001164BE" w:rsidP="0000553D">
      <w:pPr>
        <w:pStyle w:val="FootnoteFiguresandtables"/>
        <w:spacing w:before="60" w:after="0"/>
        <w:rPr>
          <w:color w:val="auto"/>
        </w:rPr>
      </w:pPr>
      <w:r w:rsidRPr="00421991">
        <w:rPr>
          <w:color w:val="auto"/>
        </w:rPr>
        <w:t>Source: National Data Set for Compensation-Based Statistics.</w:t>
      </w:r>
    </w:p>
    <w:p w:rsidR="001164BE" w:rsidRPr="00421991" w:rsidRDefault="001164BE" w:rsidP="005062E3">
      <w:pPr>
        <w:pStyle w:val="Heading2"/>
        <w:rPr>
          <w:bCs/>
          <w:sz w:val="20"/>
          <w:szCs w:val="20"/>
        </w:rPr>
      </w:pPr>
      <w:bookmarkStart w:id="23" w:name="_Toc426441681"/>
      <w:r w:rsidRPr="00421991">
        <w:lastRenderedPageBreak/>
        <w:t>Trends in frequency rates over time</w:t>
      </w:r>
      <w:bookmarkEnd w:id="23"/>
    </w:p>
    <w:p w:rsidR="001164BE" w:rsidRPr="00421991" w:rsidRDefault="001164BE" w:rsidP="001164BE">
      <w:pPr>
        <w:pStyle w:val="TextBody"/>
        <w:rPr>
          <w:color w:val="auto"/>
        </w:rPr>
      </w:pPr>
      <w:r w:rsidRPr="00421991">
        <w:rPr>
          <w:color w:val="auto"/>
        </w:rPr>
        <w:t xml:space="preserve">The trends presented in this section exclude preliminary data (2012–13) as they are subject to revision. </w:t>
      </w:r>
    </w:p>
    <w:p w:rsidR="001164BE" w:rsidRPr="00421991" w:rsidRDefault="001164BE" w:rsidP="001164BE">
      <w:pPr>
        <w:pStyle w:val="TextBody"/>
        <w:rPr>
          <w:color w:val="auto"/>
        </w:rPr>
      </w:pPr>
      <w:r w:rsidRPr="00421991">
        <w:rPr>
          <w:color w:val="auto"/>
        </w:rPr>
        <w:t>The frequency rate of serious claims in the accommodation and food services industry fell by 18% from 9 serious claims per million hours worked in 2000–01 to 7.4 in 2011–12. In comparison, the frequency rate for all Australian employees fell by 24% over the same period.</w:t>
      </w:r>
    </w:p>
    <w:p w:rsidR="001164BE" w:rsidRPr="00421991" w:rsidRDefault="001164BE" w:rsidP="001164BE">
      <w:pPr>
        <w:pStyle w:val="TextBody"/>
        <w:rPr>
          <w:color w:val="auto"/>
        </w:rPr>
      </w:pPr>
      <w:r w:rsidRPr="00421991">
        <w:rPr>
          <w:color w:val="auto"/>
        </w:rPr>
        <w:t>Within the accommodation and food services industry, each subdivision experienced a decline in frequency rates in 2009–10 and this was driven by an increase in the number of hours worked and a simultaneous decrease in the number of serious claims in each subdivision.</w:t>
      </w:r>
    </w:p>
    <w:p w:rsidR="001164BE" w:rsidRPr="00421991" w:rsidRDefault="001164BE" w:rsidP="001164BE">
      <w:pPr>
        <w:pStyle w:val="TextBody"/>
        <w:rPr>
          <w:b/>
          <w:bCs/>
          <w:color w:val="auto"/>
        </w:rPr>
      </w:pPr>
      <w:r w:rsidRPr="00421991">
        <w:rPr>
          <w:color w:val="auto"/>
        </w:rPr>
        <w:t>Over the 12-year period, the clubs subdivision had the highest frequency rates in the industry. The cafes, restaurants and takeaway food services subdivision had the lowest frequency rates and experienced the most stable frequency rates out of all subdivisions. Figure 5 shows trends in frequency rates for accommodation and food services subdivisions from 2000–01 to 2011–12.</w:t>
      </w:r>
    </w:p>
    <w:p w:rsidR="001164BE" w:rsidRPr="00421991" w:rsidRDefault="001164BE" w:rsidP="001164BE">
      <w:pPr>
        <w:pStyle w:val="Figuretitle"/>
        <w:rPr>
          <w:color w:val="auto"/>
        </w:rPr>
      </w:pPr>
      <w:r w:rsidRPr="00421991">
        <w:rPr>
          <w:color w:val="auto"/>
        </w:rPr>
        <w:t>Figure 5: Serious claims in accommodation and food services subdivisions: frequency rates, 2000–01 to 2011–12</w:t>
      </w:r>
    </w:p>
    <w:p w:rsidR="0000553D" w:rsidRDefault="0000553D" w:rsidP="001164BE">
      <w:pPr>
        <w:pStyle w:val="FootnoteFiguresandtables"/>
        <w:rPr>
          <w:color w:val="auto"/>
        </w:rPr>
      </w:pPr>
      <w:r>
        <w:rPr>
          <w:noProof/>
          <w:lang w:val="en-AU" w:eastAsia="en-AU"/>
        </w:rPr>
        <w:drawing>
          <wp:inline distT="0" distB="0" distL="0" distR="0" wp14:anchorId="0CF68007" wp14:editId="679A4DCE">
            <wp:extent cx="5086350" cy="3390900"/>
            <wp:effectExtent l="0" t="0" r="19050" b="19050"/>
            <wp:docPr id="7" name="Chart 7" title="Figure 5: Serious claims in accommodation and food services subdivisions: frequency rates, 2000–01 to 201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164BE" w:rsidRPr="00421991" w:rsidRDefault="001164BE" w:rsidP="001164BE">
      <w:pPr>
        <w:pStyle w:val="FootnoteFiguresandtables"/>
        <w:rPr>
          <w:color w:val="auto"/>
        </w:rPr>
      </w:pPr>
      <w:r w:rsidRPr="00421991">
        <w:rPr>
          <w:color w:val="auto"/>
        </w:rPr>
        <w:t>Source: National Data Set for Compensation-Based Statistics.</w:t>
      </w:r>
    </w:p>
    <w:p w:rsidR="001164BE" w:rsidRPr="00421991" w:rsidRDefault="001164BE" w:rsidP="005062E3">
      <w:pPr>
        <w:pStyle w:val="Heading2"/>
      </w:pPr>
      <w:bookmarkStart w:id="24" w:name="_Toc426441682"/>
      <w:r w:rsidRPr="00421991">
        <w:t>Serious claims by jurisdiction</w:t>
      </w:r>
      <w:bookmarkEnd w:id="24"/>
    </w:p>
    <w:p w:rsidR="001164BE" w:rsidRPr="00421991" w:rsidRDefault="001164BE" w:rsidP="001164BE">
      <w:pPr>
        <w:pStyle w:val="TextBody"/>
        <w:rPr>
          <w:color w:val="auto"/>
        </w:rPr>
      </w:pPr>
      <w:r w:rsidRPr="00421991">
        <w:rPr>
          <w:color w:val="auto"/>
        </w:rPr>
        <w:t>Between 2010–11 and 2012–13, Queensland had the highest frequency rate (9.5 serious claims per million hours worked), while Victoria had the lowest (4.2 serious claims per million hours worked). Figure 6 shows jurisdiction-specific frequency rates for employees in the accommodation and food services industry for 2010–11 to 2012–13.</w:t>
      </w:r>
    </w:p>
    <w:p w:rsidR="00F0444C" w:rsidRDefault="00F0444C">
      <w:pPr>
        <w:rPr>
          <w:rFonts w:eastAsiaTheme="minorHAnsi"/>
          <w:b/>
          <w:bCs/>
          <w:kern w:val="0"/>
          <w:sz w:val="20"/>
          <w:szCs w:val="20"/>
          <w:lang w:val="en-GB" w:eastAsia="en-US"/>
        </w:rPr>
      </w:pPr>
      <w:r>
        <w:br w:type="page"/>
      </w:r>
    </w:p>
    <w:p w:rsidR="001164BE" w:rsidRPr="00421991" w:rsidRDefault="001164BE" w:rsidP="001164BE">
      <w:pPr>
        <w:pStyle w:val="Figuretitle"/>
        <w:rPr>
          <w:color w:val="auto"/>
        </w:rPr>
      </w:pPr>
      <w:r w:rsidRPr="00421991">
        <w:rPr>
          <w:color w:val="auto"/>
        </w:rPr>
        <w:lastRenderedPageBreak/>
        <w:t>Figure 6: Serious claims in accommodation and food services industry: frequency rates by jurisdiction, 2010–11 to 2012–13 combined</w:t>
      </w:r>
    </w:p>
    <w:p w:rsidR="0000553D" w:rsidRDefault="0000553D" w:rsidP="001164BE">
      <w:pPr>
        <w:pStyle w:val="FootnoteFiguresandtables"/>
        <w:rPr>
          <w:color w:val="auto"/>
        </w:rPr>
      </w:pPr>
      <w:r>
        <w:rPr>
          <w:noProof/>
          <w:lang w:val="en-AU" w:eastAsia="en-AU"/>
        </w:rPr>
        <w:drawing>
          <wp:inline distT="0" distB="0" distL="0" distR="0" wp14:anchorId="25A7B9B2" wp14:editId="2E8B9DAF">
            <wp:extent cx="5400000" cy="3600000"/>
            <wp:effectExtent l="0" t="0" r="10795" b="19685"/>
            <wp:docPr id="8" name="Chart 8" title="Figure 6: Serious claims in accommodation and food services industry: frequency rates by jurisdiction, 2010–11 to 2012–13 combin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164BE" w:rsidRPr="00421991" w:rsidRDefault="001164BE" w:rsidP="001164BE">
      <w:pPr>
        <w:pStyle w:val="FootnoteFiguresandtables"/>
        <w:rPr>
          <w:color w:val="auto"/>
        </w:rPr>
      </w:pPr>
      <w:r w:rsidRPr="00421991">
        <w:rPr>
          <w:color w:val="auto"/>
        </w:rPr>
        <w:t>Source: National Data Set for Compensation-Based Statistics.</w:t>
      </w:r>
    </w:p>
    <w:p w:rsidR="001164BE" w:rsidRPr="00421991" w:rsidRDefault="001164BE" w:rsidP="005062E3">
      <w:pPr>
        <w:pStyle w:val="Heading2"/>
      </w:pPr>
      <w:bookmarkStart w:id="25" w:name="_Toc426441683"/>
      <w:r w:rsidRPr="00421991">
        <w:t>Serious claims by sex</w:t>
      </w:r>
      <w:bookmarkEnd w:id="25"/>
    </w:p>
    <w:p w:rsidR="001164BE" w:rsidRPr="00421991" w:rsidRDefault="001164BE" w:rsidP="001164BE">
      <w:pPr>
        <w:pStyle w:val="TextBody"/>
        <w:rPr>
          <w:color w:val="auto"/>
        </w:rPr>
      </w:pPr>
      <w:r w:rsidRPr="00421991">
        <w:rPr>
          <w:color w:val="auto"/>
        </w:rPr>
        <w:t>Compared with the industry frequency rate of 7.3 serious claims per million hours worked, female employees had a higher frequency rate of 7.9 serious claims per million hours worked, while male employees had a lower frequency rate of 6.6 serious claims per million hours worked. This means that for each hour worked, the rate for female employees was 20% higher than the rate for male employees between 2010–11 and 2012–13.</w:t>
      </w:r>
    </w:p>
    <w:p w:rsidR="001164BE" w:rsidRPr="00421991" w:rsidRDefault="001164BE" w:rsidP="005062E3">
      <w:pPr>
        <w:pStyle w:val="Heading2"/>
      </w:pPr>
      <w:bookmarkStart w:id="26" w:name="_Toc426441684"/>
      <w:r w:rsidRPr="00421991">
        <w:t>Serious claims by age group</w:t>
      </w:r>
      <w:bookmarkEnd w:id="26"/>
    </w:p>
    <w:p w:rsidR="001164BE" w:rsidRPr="00421991" w:rsidRDefault="001164BE" w:rsidP="001164BE">
      <w:pPr>
        <w:pStyle w:val="TextBody"/>
        <w:rPr>
          <w:b/>
          <w:bCs/>
          <w:color w:val="auto"/>
        </w:rPr>
      </w:pPr>
      <w:r w:rsidRPr="00421991">
        <w:rPr>
          <w:color w:val="auto"/>
        </w:rPr>
        <w:t>Between 2010–11 and 2012–13, older employees had higher frequency rates than younger employees. Employees aged 25–29 years had the lowest frequency rate of 5.8 serious claims per million hours worked, while the highest frequency rate was recorded by employees aged 50–54 and 60–64 years, both of which had 10.4 serious claims per million hours worked. Table 2 outlines frequency rates and selected percentages by age group for 2010–11 to 2012–13.</w:t>
      </w:r>
    </w:p>
    <w:p w:rsidR="001164BE" w:rsidRPr="00421991" w:rsidRDefault="001164BE" w:rsidP="001164BE">
      <w:pPr>
        <w:pStyle w:val="Tabletitle"/>
        <w:rPr>
          <w:color w:val="auto"/>
        </w:rPr>
      </w:pPr>
      <w:r w:rsidRPr="00421991">
        <w:rPr>
          <w:color w:val="auto"/>
        </w:rPr>
        <w:t>Table 2: Serious claims in accommodation and food services industry: frequency rates, percentage of industry’s total serious claims and percentage of industry’s total hours worked by age group, 2010–11 to 2012–13 combined</w:t>
      </w:r>
    </w:p>
    <w:tbl>
      <w:tblPr>
        <w:tblStyle w:val="TableGrid"/>
        <w:tblW w:w="0" w:type="auto"/>
        <w:tblLayout w:type="fixed"/>
        <w:tblLook w:val="0000" w:firstRow="0" w:lastRow="0" w:firstColumn="0" w:lastColumn="0" w:noHBand="0" w:noVBand="0"/>
        <w:tblCaption w:val="Table 2: Serious claims in accommodation and food services industry: frequency rates, percentage of industry’s total serious claims and percentage of industry’s total hours worked by age group, 2010–11 to 2012–13 combined"/>
      </w:tblPr>
      <w:tblGrid>
        <w:gridCol w:w="1965"/>
        <w:gridCol w:w="2911"/>
        <w:gridCol w:w="2437"/>
        <w:gridCol w:w="2381"/>
      </w:tblGrid>
      <w:tr w:rsidR="00CF3859" w:rsidRPr="00421991" w:rsidTr="00F0444C">
        <w:trPr>
          <w:trHeight w:val="60"/>
          <w:tblHeader/>
        </w:trPr>
        <w:tc>
          <w:tcPr>
            <w:tcW w:w="1965" w:type="dxa"/>
            <w:vAlign w:val="center"/>
          </w:tcPr>
          <w:p w:rsidR="001164BE" w:rsidRPr="00421991" w:rsidRDefault="001164BE" w:rsidP="00767FA1">
            <w:pPr>
              <w:pStyle w:val="Tabletext2"/>
              <w:spacing w:before="0" w:after="0"/>
              <w:jc w:val="left"/>
              <w:rPr>
                <w:color w:val="auto"/>
              </w:rPr>
            </w:pPr>
            <w:r w:rsidRPr="00421991">
              <w:rPr>
                <w:rStyle w:val="BoldBody"/>
                <w:color w:val="auto"/>
              </w:rPr>
              <w:t>Age group</w:t>
            </w:r>
          </w:p>
        </w:tc>
        <w:tc>
          <w:tcPr>
            <w:tcW w:w="2911" w:type="dxa"/>
            <w:vAlign w:val="center"/>
          </w:tcPr>
          <w:p w:rsidR="001164BE" w:rsidRPr="00421991" w:rsidRDefault="001164BE" w:rsidP="00C632ED">
            <w:pPr>
              <w:pStyle w:val="Tabletext2"/>
              <w:spacing w:before="0" w:after="0"/>
              <w:rPr>
                <w:color w:val="auto"/>
              </w:rPr>
            </w:pPr>
            <w:r w:rsidRPr="00421991">
              <w:rPr>
                <w:rStyle w:val="BoldBody"/>
                <w:color w:val="auto"/>
              </w:rPr>
              <w:t>Frequency rate (serious claims per million hours worked)</w:t>
            </w:r>
          </w:p>
        </w:tc>
        <w:tc>
          <w:tcPr>
            <w:tcW w:w="2437" w:type="dxa"/>
            <w:vAlign w:val="center"/>
          </w:tcPr>
          <w:p w:rsidR="001164BE" w:rsidRPr="00421991" w:rsidRDefault="001164BE" w:rsidP="00C632ED">
            <w:pPr>
              <w:pStyle w:val="Tabletext2"/>
              <w:spacing w:before="0" w:after="0"/>
              <w:rPr>
                <w:color w:val="auto"/>
              </w:rPr>
            </w:pPr>
            <w:r w:rsidRPr="00421991">
              <w:rPr>
                <w:rStyle w:val="BoldBody"/>
                <w:color w:val="auto"/>
              </w:rPr>
              <w:t>Percentage of industry’s total serious claims</w:t>
            </w:r>
          </w:p>
        </w:tc>
        <w:tc>
          <w:tcPr>
            <w:tcW w:w="2381" w:type="dxa"/>
            <w:vAlign w:val="center"/>
          </w:tcPr>
          <w:p w:rsidR="001164BE" w:rsidRPr="00421991" w:rsidRDefault="001164BE" w:rsidP="00C632ED">
            <w:pPr>
              <w:pStyle w:val="Tabletext2"/>
              <w:spacing w:before="0" w:after="0"/>
              <w:rPr>
                <w:color w:val="auto"/>
              </w:rPr>
            </w:pPr>
            <w:r w:rsidRPr="00421991">
              <w:rPr>
                <w:rStyle w:val="BoldBody"/>
                <w:color w:val="auto"/>
              </w:rPr>
              <w:t>Percentage of industry’s total hours worked</w:t>
            </w:r>
          </w:p>
        </w:tc>
      </w:tr>
      <w:tr w:rsidR="001164BE" w:rsidRPr="00421991" w:rsidTr="00F0444C">
        <w:trPr>
          <w:trHeight w:val="60"/>
        </w:trPr>
        <w:tc>
          <w:tcPr>
            <w:tcW w:w="1965" w:type="dxa"/>
            <w:vAlign w:val="center"/>
          </w:tcPr>
          <w:p w:rsidR="001164BE" w:rsidRPr="00421991" w:rsidRDefault="001164BE" w:rsidP="00767FA1">
            <w:pPr>
              <w:pStyle w:val="Tabletext2"/>
              <w:spacing w:before="0" w:after="0"/>
              <w:jc w:val="left"/>
              <w:rPr>
                <w:color w:val="auto"/>
              </w:rPr>
            </w:pPr>
            <w:r w:rsidRPr="00421991">
              <w:rPr>
                <w:color w:val="auto"/>
              </w:rPr>
              <w:t>15–19 years</w:t>
            </w:r>
          </w:p>
        </w:tc>
        <w:tc>
          <w:tcPr>
            <w:tcW w:w="2911" w:type="dxa"/>
            <w:vAlign w:val="center"/>
          </w:tcPr>
          <w:p w:rsidR="001164BE" w:rsidRPr="00421991" w:rsidRDefault="001164BE" w:rsidP="00C632ED">
            <w:pPr>
              <w:pStyle w:val="Tabletext2"/>
              <w:spacing w:before="0" w:after="0"/>
              <w:rPr>
                <w:color w:val="auto"/>
              </w:rPr>
            </w:pPr>
            <w:r w:rsidRPr="00421991">
              <w:rPr>
                <w:color w:val="auto"/>
              </w:rPr>
              <w:t>5.9</w:t>
            </w:r>
          </w:p>
        </w:tc>
        <w:tc>
          <w:tcPr>
            <w:tcW w:w="2437" w:type="dxa"/>
            <w:vAlign w:val="center"/>
          </w:tcPr>
          <w:p w:rsidR="001164BE" w:rsidRPr="00421991" w:rsidRDefault="001164BE" w:rsidP="00C632ED">
            <w:pPr>
              <w:pStyle w:val="Tabletext2"/>
              <w:spacing w:before="0" w:after="0"/>
              <w:rPr>
                <w:color w:val="auto"/>
              </w:rPr>
            </w:pPr>
            <w:r w:rsidRPr="00421991">
              <w:rPr>
                <w:color w:val="auto"/>
              </w:rPr>
              <w:t>12%</w:t>
            </w:r>
          </w:p>
        </w:tc>
        <w:tc>
          <w:tcPr>
            <w:tcW w:w="2381" w:type="dxa"/>
            <w:vAlign w:val="center"/>
          </w:tcPr>
          <w:p w:rsidR="001164BE" w:rsidRPr="00421991" w:rsidRDefault="001164BE" w:rsidP="00C632ED">
            <w:pPr>
              <w:pStyle w:val="Tabletext2"/>
              <w:spacing w:before="0" w:after="0"/>
              <w:rPr>
                <w:color w:val="auto"/>
              </w:rPr>
            </w:pPr>
            <w:r w:rsidRPr="00421991">
              <w:rPr>
                <w:color w:val="auto"/>
              </w:rPr>
              <w:t>14%</w:t>
            </w:r>
          </w:p>
        </w:tc>
      </w:tr>
      <w:tr w:rsidR="001164BE" w:rsidRPr="00421991" w:rsidTr="00F0444C">
        <w:trPr>
          <w:trHeight w:val="60"/>
        </w:trPr>
        <w:tc>
          <w:tcPr>
            <w:tcW w:w="1965" w:type="dxa"/>
            <w:vAlign w:val="center"/>
          </w:tcPr>
          <w:p w:rsidR="001164BE" w:rsidRPr="00421991" w:rsidRDefault="001164BE" w:rsidP="00767FA1">
            <w:pPr>
              <w:pStyle w:val="Tabletext2"/>
              <w:spacing w:before="0" w:after="0"/>
              <w:jc w:val="left"/>
              <w:rPr>
                <w:color w:val="auto"/>
              </w:rPr>
            </w:pPr>
            <w:r w:rsidRPr="00421991">
              <w:rPr>
                <w:color w:val="auto"/>
              </w:rPr>
              <w:t>20–24 years</w:t>
            </w:r>
          </w:p>
        </w:tc>
        <w:tc>
          <w:tcPr>
            <w:tcW w:w="2911" w:type="dxa"/>
            <w:vAlign w:val="center"/>
          </w:tcPr>
          <w:p w:rsidR="001164BE" w:rsidRPr="00421991" w:rsidRDefault="001164BE" w:rsidP="00C632ED">
            <w:pPr>
              <w:pStyle w:val="Tabletext2"/>
              <w:spacing w:before="0" w:after="0"/>
              <w:rPr>
                <w:color w:val="auto"/>
              </w:rPr>
            </w:pPr>
            <w:r w:rsidRPr="00421991">
              <w:rPr>
                <w:color w:val="auto"/>
              </w:rPr>
              <w:t>6.0</w:t>
            </w:r>
          </w:p>
        </w:tc>
        <w:tc>
          <w:tcPr>
            <w:tcW w:w="2437" w:type="dxa"/>
            <w:vAlign w:val="center"/>
          </w:tcPr>
          <w:p w:rsidR="001164BE" w:rsidRPr="00421991" w:rsidRDefault="001164BE" w:rsidP="00C632ED">
            <w:pPr>
              <w:pStyle w:val="Tabletext2"/>
              <w:spacing w:before="0" w:after="0"/>
              <w:rPr>
                <w:color w:val="auto"/>
              </w:rPr>
            </w:pPr>
            <w:r w:rsidRPr="00421991">
              <w:rPr>
                <w:color w:val="auto"/>
              </w:rPr>
              <w:t>17%</w:t>
            </w:r>
          </w:p>
        </w:tc>
        <w:tc>
          <w:tcPr>
            <w:tcW w:w="2381" w:type="dxa"/>
            <w:vAlign w:val="center"/>
          </w:tcPr>
          <w:p w:rsidR="001164BE" w:rsidRPr="00421991" w:rsidRDefault="001164BE" w:rsidP="00C632ED">
            <w:pPr>
              <w:pStyle w:val="Tabletext2"/>
              <w:spacing w:before="0" w:after="0"/>
              <w:rPr>
                <w:color w:val="auto"/>
              </w:rPr>
            </w:pPr>
            <w:r w:rsidRPr="00421991">
              <w:rPr>
                <w:color w:val="auto"/>
              </w:rPr>
              <w:t>21%</w:t>
            </w:r>
          </w:p>
        </w:tc>
      </w:tr>
      <w:tr w:rsidR="001164BE" w:rsidRPr="00421991" w:rsidTr="00F0444C">
        <w:trPr>
          <w:trHeight w:val="60"/>
        </w:trPr>
        <w:tc>
          <w:tcPr>
            <w:tcW w:w="1965" w:type="dxa"/>
            <w:vAlign w:val="center"/>
          </w:tcPr>
          <w:p w:rsidR="001164BE" w:rsidRPr="00421991" w:rsidRDefault="001164BE" w:rsidP="00767FA1">
            <w:pPr>
              <w:pStyle w:val="Tabletext2"/>
              <w:spacing w:before="0" w:after="0"/>
              <w:jc w:val="left"/>
              <w:rPr>
                <w:color w:val="auto"/>
              </w:rPr>
            </w:pPr>
            <w:r w:rsidRPr="00421991">
              <w:rPr>
                <w:color w:val="auto"/>
              </w:rPr>
              <w:t>25–29 years</w:t>
            </w:r>
          </w:p>
        </w:tc>
        <w:tc>
          <w:tcPr>
            <w:tcW w:w="2911" w:type="dxa"/>
            <w:vAlign w:val="center"/>
          </w:tcPr>
          <w:p w:rsidR="001164BE" w:rsidRPr="00421991" w:rsidRDefault="001164BE" w:rsidP="00C632ED">
            <w:pPr>
              <w:pStyle w:val="Tabletext2"/>
              <w:spacing w:before="0" w:after="0"/>
              <w:rPr>
                <w:color w:val="auto"/>
              </w:rPr>
            </w:pPr>
            <w:r w:rsidRPr="00421991">
              <w:rPr>
                <w:color w:val="auto"/>
              </w:rPr>
              <w:t>5.8</w:t>
            </w:r>
          </w:p>
        </w:tc>
        <w:tc>
          <w:tcPr>
            <w:tcW w:w="2437" w:type="dxa"/>
            <w:vAlign w:val="center"/>
          </w:tcPr>
          <w:p w:rsidR="001164BE" w:rsidRPr="00421991" w:rsidRDefault="001164BE" w:rsidP="00C632ED">
            <w:pPr>
              <w:pStyle w:val="Tabletext2"/>
              <w:spacing w:before="0" w:after="0"/>
              <w:rPr>
                <w:color w:val="auto"/>
              </w:rPr>
            </w:pPr>
            <w:r w:rsidRPr="00421991">
              <w:rPr>
                <w:color w:val="auto"/>
              </w:rPr>
              <w:t>13%</w:t>
            </w:r>
          </w:p>
        </w:tc>
        <w:tc>
          <w:tcPr>
            <w:tcW w:w="2381" w:type="dxa"/>
            <w:vAlign w:val="center"/>
          </w:tcPr>
          <w:p w:rsidR="001164BE" w:rsidRPr="00421991" w:rsidRDefault="001164BE" w:rsidP="00C632ED">
            <w:pPr>
              <w:pStyle w:val="Tabletext2"/>
              <w:spacing w:before="0" w:after="0"/>
              <w:rPr>
                <w:color w:val="auto"/>
              </w:rPr>
            </w:pPr>
            <w:r w:rsidRPr="00421991">
              <w:rPr>
                <w:color w:val="auto"/>
              </w:rPr>
              <w:t>16%</w:t>
            </w:r>
          </w:p>
        </w:tc>
      </w:tr>
      <w:tr w:rsidR="001164BE" w:rsidRPr="00421991" w:rsidTr="00F0444C">
        <w:trPr>
          <w:trHeight w:val="60"/>
        </w:trPr>
        <w:tc>
          <w:tcPr>
            <w:tcW w:w="1965" w:type="dxa"/>
            <w:vAlign w:val="center"/>
          </w:tcPr>
          <w:p w:rsidR="001164BE" w:rsidRPr="00421991" w:rsidRDefault="001164BE" w:rsidP="00767FA1">
            <w:pPr>
              <w:pStyle w:val="Tabletext2"/>
              <w:spacing w:before="0" w:after="0"/>
              <w:jc w:val="left"/>
              <w:rPr>
                <w:color w:val="auto"/>
              </w:rPr>
            </w:pPr>
            <w:r w:rsidRPr="00421991">
              <w:rPr>
                <w:color w:val="auto"/>
              </w:rPr>
              <w:t>30–34 years</w:t>
            </w:r>
          </w:p>
        </w:tc>
        <w:tc>
          <w:tcPr>
            <w:tcW w:w="2911" w:type="dxa"/>
            <w:vAlign w:val="center"/>
          </w:tcPr>
          <w:p w:rsidR="001164BE" w:rsidRPr="00421991" w:rsidRDefault="001164BE" w:rsidP="00C632ED">
            <w:pPr>
              <w:pStyle w:val="Tabletext2"/>
              <w:spacing w:before="0" w:after="0"/>
              <w:rPr>
                <w:color w:val="auto"/>
              </w:rPr>
            </w:pPr>
            <w:r w:rsidRPr="00421991">
              <w:rPr>
                <w:color w:val="auto"/>
              </w:rPr>
              <w:t>6.8</w:t>
            </w:r>
          </w:p>
        </w:tc>
        <w:tc>
          <w:tcPr>
            <w:tcW w:w="2437" w:type="dxa"/>
            <w:vAlign w:val="center"/>
          </w:tcPr>
          <w:p w:rsidR="001164BE" w:rsidRPr="00421991" w:rsidRDefault="001164BE" w:rsidP="00C632ED">
            <w:pPr>
              <w:pStyle w:val="Tabletext2"/>
              <w:spacing w:before="0" w:after="0"/>
              <w:rPr>
                <w:color w:val="auto"/>
              </w:rPr>
            </w:pPr>
            <w:r w:rsidRPr="00421991">
              <w:rPr>
                <w:color w:val="auto"/>
              </w:rPr>
              <w:t>10%</w:t>
            </w:r>
          </w:p>
        </w:tc>
        <w:tc>
          <w:tcPr>
            <w:tcW w:w="2381" w:type="dxa"/>
            <w:vAlign w:val="center"/>
          </w:tcPr>
          <w:p w:rsidR="001164BE" w:rsidRPr="00421991" w:rsidRDefault="001164BE" w:rsidP="00C632ED">
            <w:pPr>
              <w:pStyle w:val="Tabletext2"/>
              <w:spacing w:before="0" w:after="0"/>
              <w:rPr>
                <w:color w:val="auto"/>
              </w:rPr>
            </w:pPr>
            <w:r w:rsidRPr="00421991">
              <w:rPr>
                <w:color w:val="auto"/>
              </w:rPr>
              <w:t>10%</w:t>
            </w:r>
          </w:p>
        </w:tc>
      </w:tr>
      <w:tr w:rsidR="001164BE" w:rsidRPr="00421991" w:rsidTr="00F0444C">
        <w:trPr>
          <w:trHeight w:val="60"/>
        </w:trPr>
        <w:tc>
          <w:tcPr>
            <w:tcW w:w="1965" w:type="dxa"/>
            <w:vAlign w:val="center"/>
          </w:tcPr>
          <w:p w:rsidR="001164BE" w:rsidRPr="00421991" w:rsidRDefault="001164BE" w:rsidP="00767FA1">
            <w:pPr>
              <w:pStyle w:val="Tabletext2"/>
              <w:spacing w:before="0" w:after="0"/>
              <w:jc w:val="left"/>
              <w:rPr>
                <w:color w:val="auto"/>
              </w:rPr>
            </w:pPr>
            <w:r w:rsidRPr="00421991">
              <w:rPr>
                <w:color w:val="auto"/>
              </w:rPr>
              <w:t>35–39 years</w:t>
            </w:r>
          </w:p>
        </w:tc>
        <w:tc>
          <w:tcPr>
            <w:tcW w:w="2911" w:type="dxa"/>
            <w:vAlign w:val="center"/>
          </w:tcPr>
          <w:p w:rsidR="001164BE" w:rsidRPr="00421991" w:rsidRDefault="001164BE" w:rsidP="00C632ED">
            <w:pPr>
              <w:pStyle w:val="Tabletext2"/>
              <w:spacing w:before="0" w:after="0"/>
              <w:rPr>
                <w:color w:val="auto"/>
              </w:rPr>
            </w:pPr>
            <w:r w:rsidRPr="00421991">
              <w:rPr>
                <w:color w:val="auto"/>
              </w:rPr>
              <w:t>7.9</w:t>
            </w:r>
          </w:p>
        </w:tc>
        <w:tc>
          <w:tcPr>
            <w:tcW w:w="2437" w:type="dxa"/>
            <w:vAlign w:val="center"/>
          </w:tcPr>
          <w:p w:rsidR="001164BE" w:rsidRPr="00421991" w:rsidRDefault="001164BE" w:rsidP="00C632ED">
            <w:pPr>
              <w:pStyle w:val="Tabletext2"/>
              <w:spacing w:before="0" w:after="0"/>
              <w:rPr>
                <w:color w:val="auto"/>
              </w:rPr>
            </w:pPr>
            <w:r w:rsidRPr="00421991">
              <w:rPr>
                <w:color w:val="auto"/>
              </w:rPr>
              <w:t>9%</w:t>
            </w:r>
          </w:p>
        </w:tc>
        <w:tc>
          <w:tcPr>
            <w:tcW w:w="2381" w:type="dxa"/>
            <w:vAlign w:val="center"/>
          </w:tcPr>
          <w:p w:rsidR="001164BE" w:rsidRPr="00421991" w:rsidRDefault="001164BE" w:rsidP="00C632ED">
            <w:pPr>
              <w:pStyle w:val="Tabletext2"/>
              <w:spacing w:before="0" w:after="0"/>
              <w:rPr>
                <w:color w:val="auto"/>
              </w:rPr>
            </w:pPr>
            <w:r w:rsidRPr="00421991">
              <w:rPr>
                <w:color w:val="auto"/>
              </w:rPr>
              <w:t>8%</w:t>
            </w:r>
          </w:p>
        </w:tc>
      </w:tr>
      <w:tr w:rsidR="001164BE" w:rsidRPr="00421991" w:rsidTr="00F0444C">
        <w:trPr>
          <w:trHeight w:val="60"/>
        </w:trPr>
        <w:tc>
          <w:tcPr>
            <w:tcW w:w="1965" w:type="dxa"/>
            <w:vAlign w:val="center"/>
          </w:tcPr>
          <w:p w:rsidR="001164BE" w:rsidRPr="00421991" w:rsidRDefault="001164BE" w:rsidP="00767FA1">
            <w:pPr>
              <w:pStyle w:val="Tabletext2"/>
              <w:spacing w:before="0" w:after="0"/>
              <w:jc w:val="left"/>
              <w:rPr>
                <w:color w:val="auto"/>
              </w:rPr>
            </w:pPr>
            <w:r w:rsidRPr="00421991">
              <w:rPr>
                <w:color w:val="auto"/>
              </w:rPr>
              <w:t>40–44 years</w:t>
            </w:r>
          </w:p>
        </w:tc>
        <w:tc>
          <w:tcPr>
            <w:tcW w:w="2911" w:type="dxa"/>
            <w:vAlign w:val="center"/>
          </w:tcPr>
          <w:p w:rsidR="001164BE" w:rsidRPr="00421991" w:rsidRDefault="001164BE" w:rsidP="00C632ED">
            <w:pPr>
              <w:pStyle w:val="Tabletext2"/>
              <w:spacing w:before="0" w:after="0"/>
              <w:rPr>
                <w:color w:val="auto"/>
              </w:rPr>
            </w:pPr>
            <w:r w:rsidRPr="00421991">
              <w:rPr>
                <w:color w:val="auto"/>
              </w:rPr>
              <w:t>8.3</w:t>
            </w:r>
          </w:p>
        </w:tc>
        <w:tc>
          <w:tcPr>
            <w:tcW w:w="2437" w:type="dxa"/>
            <w:vAlign w:val="center"/>
          </w:tcPr>
          <w:p w:rsidR="001164BE" w:rsidRPr="00421991" w:rsidRDefault="001164BE" w:rsidP="00C632ED">
            <w:pPr>
              <w:pStyle w:val="Tabletext2"/>
              <w:spacing w:before="0" w:after="0"/>
              <w:rPr>
                <w:color w:val="auto"/>
              </w:rPr>
            </w:pPr>
            <w:r w:rsidRPr="00421991">
              <w:rPr>
                <w:color w:val="auto"/>
              </w:rPr>
              <w:t>9%</w:t>
            </w:r>
          </w:p>
        </w:tc>
        <w:tc>
          <w:tcPr>
            <w:tcW w:w="2381" w:type="dxa"/>
            <w:vAlign w:val="center"/>
          </w:tcPr>
          <w:p w:rsidR="001164BE" w:rsidRPr="00421991" w:rsidRDefault="001164BE" w:rsidP="00C632ED">
            <w:pPr>
              <w:pStyle w:val="Tabletext2"/>
              <w:spacing w:before="0" w:after="0"/>
              <w:rPr>
                <w:color w:val="auto"/>
              </w:rPr>
            </w:pPr>
            <w:r w:rsidRPr="00421991">
              <w:rPr>
                <w:color w:val="auto"/>
              </w:rPr>
              <w:t>8%</w:t>
            </w:r>
          </w:p>
        </w:tc>
      </w:tr>
      <w:tr w:rsidR="001164BE" w:rsidRPr="00421991" w:rsidTr="00F0444C">
        <w:trPr>
          <w:trHeight w:val="60"/>
        </w:trPr>
        <w:tc>
          <w:tcPr>
            <w:tcW w:w="1965" w:type="dxa"/>
            <w:vAlign w:val="center"/>
          </w:tcPr>
          <w:p w:rsidR="001164BE" w:rsidRPr="00421991" w:rsidRDefault="001164BE" w:rsidP="00767FA1">
            <w:pPr>
              <w:pStyle w:val="Tabletext2"/>
              <w:spacing w:before="0" w:after="0"/>
              <w:jc w:val="left"/>
              <w:rPr>
                <w:color w:val="auto"/>
              </w:rPr>
            </w:pPr>
            <w:r w:rsidRPr="00421991">
              <w:rPr>
                <w:color w:val="auto"/>
              </w:rPr>
              <w:t>45–49 years</w:t>
            </w:r>
          </w:p>
        </w:tc>
        <w:tc>
          <w:tcPr>
            <w:tcW w:w="2911" w:type="dxa"/>
            <w:vAlign w:val="center"/>
          </w:tcPr>
          <w:p w:rsidR="001164BE" w:rsidRPr="00421991" w:rsidRDefault="001164BE" w:rsidP="00C632ED">
            <w:pPr>
              <w:pStyle w:val="Tabletext2"/>
              <w:spacing w:before="0" w:after="0"/>
              <w:rPr>
                <w:color w:val="auto"/>
              </w:rPr>
            </w:pPr>
            <w:r w:rsidRPr="00421991">
              <w:rPr>
                <w:color w:val="auto"/>
              </w:rPr>
              <w:t>9.5</w:t>
            </w:r>
          </w:p>
        </w:tc>
        <w:tc>
          <w:tcPr>
            <w:tcW w:w="2437" w:type="dxa"/>
            <w:vAlign w:val="center"/>
          </w:tcPr>
          <w:p w:rsidR="001164BE" w:rsidRPr="00421991" w:rsidRDefault="001164BE" w:rsidP="00C632ED">
            <w:pPr>
              <w:pStyle w:val="Tabletext2"/>
              <w:spacing w:before="0" w:after="0"/>
              <w:rPr>
                <w:color w:val="auto"/>
              </w:rPr>
            </w:pPr>
            <w:r w:rsidRPr="00421991">
              <w:rPr>
                <w:color w:val="auto"/>
              </w:rPr>
              <w:t>10%</w:t>
            </w:r>
          </w:p>
        </w:tc>
        <w:tc>
          <w:tcPr>
            <w:tcW w:w="2381" w:type="dxa"/>
            <w:vAlign w:val="center"/>
          </w:tcPr>
          <w:p w:rsidR="001164BE" w:rsidRPr="00421991" w:rsidRDefault="001164BE" w:rsidP="00C632ED">
            <w:pPr>
              <w:pStyle w:val="Tabletext2"/>
              <w:spacing w:before="0" w:after="0"/>
              <w:rPr>
                <w:color w:val="auto"/>
              </w:rPr>
            </w:pPr>
            <w:r w:rsidRPr="00421991">
              <w:rPr>
                <w:color w:val="auto"/>
              </w:rPr>
              <w:t>8%</w:t>
            </w:r>
          </w:p>
        </w:tc>
      </w:tr>
      <w:tr w:rsidR="001164BE" w:rsidRPr="00421991" w:rsidTr="00F0444C">
        <w:trPr>
          <w:trHeight w:val="60"/>
        </w:trPr>
        <w:tc>
          <w:tcPr>
            <w:tcW w:w="1965" w:type="dxa"/>
            <w:vAlign w:val="center"/>
          </w:tcPr>
          <w:p w:rsidR="001164BE" w:rsidRPr="00421991" w:rsidRDefault="001164BE" w:rsidP="00767FA1">
            <w:pPr>
              <w:pStyle w:val="Tabletext2"/>
              <w:spacing w:before="0" w:after="0"/>
              <w:jc w:val="left"/>
              <w:rPr>
                <w:color w:val="auto"/>
              </w:rPr>
            </w:pPr>
            <w:r w:rsidRPr="00421991">
              <w:rPr>
                <w:color w:val="auto"/>
              </w:rPr>
              <w:t>50–54 years</w:t>
            </w:r>
          </w:p>
        </w:tc>
        <w:tc>
          <w:tcPr>
            <w:tcW w:w="2911" w:type="dxa"/>
            <w:vAlign w:val="center"/>
          </w:tcPr>
          <w:p w:rsidR="001164BE" w:rsidRPr="00421991" w:rsidRDefault="001164BE" w:rsidP="00C632ED">
            <w:pPr>
              <w:pStyle w:val="Tabletext2"/>
              <w:spacing w:before="0" w:after="0"/>
              <w:rPr>
                <w:color w:val="auto"/>
              </w:rPr>
            </w:pPr>
            <w:r w:rsidRPr="00421991">
              <w:rPr>
                <w:color w:val="auto"/>
              </w:rPr>
              <w:t>10.4</w:t>
            </w:r>
          </w:p>
        </w:tc>
        <w:tc>
          <w:tcPr>
            <w:tcW w:w="2437" w:type="dxa"/>
            <w:vAlign w:val="center"/>
          </w:tcPr>
          <w:p w:rsidR="001164BE" w:rsidRPr="00421991" w:rsidRDefault="001164BE" w:rsidP="00C632ED">
            <w:pPr>
              <w:pStyle w:val="Tabletext2"/>
              <w:spacing w:before="0" w:after="0"/>
              <w:rPr>
                <w:color w:val="auto"/>
              </w:rPr>
            </w:pPr>
            <w:r w:rsidRPr="00421991">
              <w:rPr>
                <w:color w:val="auto"/>
              </w:rPr>
              <w:t>10%</w:t>
            </w:r>
          </w:p>
        </w:tc>
        <w:tc>
          <w:tcPr>
            <w:tcW w:w="2381" w:type="dxa"/>
            <w:vAlign w:val="center"/>
          </w:tcPr>
          <w:p w:rsidR="001164BE" w:rsidRPr="00421991" w:rsidRDefault="001164BE" w:rsidP="00C632ED">
            <w:pPr>
              <w:pStyle w:val="Tabletext2"/>
              <w:spacing w:before="0" w:after="0"/>
              <w:rPr>
                <w:color w:val="auto"/>
              </w:rPr>
            </w:pPr>
            <w:r w:rsidRPr="00421991">
              <w:rPr>
                <w:color w:val="auto"/>
              </w:rPr>
              <w:t>7%</w:t>
            </w:r>
          </w:p>
        </w:tc>
      </w:tr>
      <w:tr w:rsidR="001164BE" w:rsidRPr="00421991" w:rsidTr="00F0444C">
        <w:trPr>
          <w:trHeight w:val="60"/>
        </w:trPr>
        <w:tc>
          <w:tcPr>
            <w:tcW w:w="1965" w:type="dxa"/>
            <w:vAlign w:val="center"/>
          </w:tcPr>
          <w:p w:rsidR="001164BE" w:rsidRPr="00421991" w:rsidRDefault="001164BE" w:rsidP="00767FA1">
            <w:pPr>
              <w:pStyle w:val="Tabletext2"/>
              <w:spacing w:before="0" w:after="0"/>
              <w:jc w:val="left"/>
              <w:rPr>
                <w:color w:val="auto"/>
              </w:rPr>
            </w:pPr>
            <w:r w:rsidRPr="00421991">
              <w:rPr>
                <w:color w:val="auto"/>
              </w:rPr>
              <w:t>55–59 years</w:t>
            </w:r>
          </w:p>
        </w:tc>
        <w:tc>
          <w:tcPr>
            <w:tcW w:w="2911" w:type="dxa"/>
            <w:vAlign w:val="center"/>
          </w:tcPr>
          <w:p w:rsidR="001164BE" w:rsidRPr="00421991" w:rsidRDefault="001164BE" w:rsidP="00C632ED">
            <w:pPr>
              <w:pStyle w:val="Tabletext2"/>
              <w:spacing w:before="0" w:after="0"/>
              <w:rPr>
                <w:color w:val="auto"/>
              </w:rPr>
            </w:pPr>
            <w:r w:rsidRPr="00421991">
              <w:rPr>
                <w:color w:val="auto"/>
              </w:rPr>
              <w:t>10.0</w:t>
            </w:r>
          </w:p>
        </w:tc>
        <w:tc>
          <w:tcPr>
            <w:tcW w:w="2437" w:type="dxa"/>
            <w:vAlign w:val="center"/>
          </w:tcPr>
          <w:p w:rsidR="001164BE" w:rsidRPr="00421991" w:rsidRDefault="001164BE" w:rsidP="00C632ED">
            <w:pPr>
              <w:pStyle w:val="Tabletext2"/>
              <w:spacing w:before="0" w:after="0"/>
              <w:rPr>
                <w:color w:val="auto"/>
              </w:rPr>
            </w:pPr>
            <w:r w:rsidRPr="00421991">
              <w:rPr>
                <w:color w:val="auto"/>
              </w:rPr>
              <w:t>7%</w:t>
            </w:r>
          </w:p>
        </w:tc>
        <w:tc>
          <w:tcPr>
            <w:tcW w:w="2381" w:type="dxa"/>
            <w:vAlign w:val="center"/>
          </w:tcPr>
          <w:p w:rsidR="001164BE" w:rsidRPr="00421991" w:rsidRDefault="001164BE" w:rsidP="00C632ED">
            <w:pPr>
              <w:pStyle w:val="Tabletext2"/>
              <w:spacing w:before="0" w:after="0"/>
              <w:rPr>
                <w:color w:val="auto"/>
              </w:rPr>
            </w:pPr>
            <w:r w:rsidRPr="00421991">
              <w:rPr>
                <w:color w:val="auto"/>
              </w:rPr>
              <w:t>5%</w:t>
            </w:r>
          </w:p>
        </w:tc>
      </w:tr>
      <w:tr w:rsidR="001164BE" w:rsidRPr="00421991" w:rsidTr="00F0444C">
        <w:trPr>
          <w:trHeight w:val="60"/>
        </w:trPr>
        <w:tc>
          <w:tcPr>
            <w:tcW w:w="1965" w:type="dxa"/>
            <w:vAlign w:val="center"/>
          </w:tcPr>
          <w:p w:rsidR="001164BE" w:rsidRPr="00421991" w:rsidRDefault="001164BE" w:rsidP="00767FA1">
            <w:pPr>
              <w:pStyle w:val="Tabletext2"/>
              <w:spacing w:before="0" w:after="0"/>
              <w:jc w:val="left"/>
              <w:rPr>
                <w:color w:val="auto"/>
              </w:rPr>
            </w:pPr>
            <w:r w:rsidRPr="00421991">
              <w:rPr>
                <w:color w:val="auto"/>
              </w:rPr>
              <w:t>60–64 years</w:t>
            </w:r>
          </w:p>
        </w:tc>
        <w:tc>
          <w:tcPr>
            <w:tcW w:w="2911" w:type="dxa"/>
            <w:vAlign w:val="center"/>
          </w:tcPr>
          <w:p w:rsidR="001164BE" w:rsidRPr="00421991" w:rsidRDefault="001164BE" w:rsidP="00C632ED">
            <w:pPr>
              <w:pStyle w:val="Tabletext2"/>
              <w:spacing w:before="0" w:after="0"/>
              <w:rPr>
                <w:color w:val="auto"/>
              </w:rPr>
            </w:pPr>
            <w:r w:rsidRPr="00421991">
              <w:rPr>
                <w:color w:val="auto"/>
              </w:rPr>
              <w:t>10.4</w:t>
            </w:r>
          </w:p>
        </w:tc>
        <w:tc>
          <w:tcPr>
            <w:tcW w:w="2437" w:type="dxa"/>
            <w:vAlign w:val="center"/>
          </w:tcPr>
          <w:p w:rsidR="001164BE" w:rsidRPr="00421991" w:rsidRDefault="001164BE" w:rsidP="00C632ED">
            <w:pPr>
              <w:pStyle w:val="Tabletext2"/>
              <w:spacing w:before="0" w:after="0"/>
              <w:rPr>
                <w:color w:val="auto"/>
              </w:rPr>
            </w:pPr>
            <w:r w:rsidRPr="00421991">
              <w:rPr>
                <w:color w:val="auto"/>
              </w:rPr>
              <w:t>4%</w:t>
            </w:r>
          </w:p>
        </w:tc>
        <w:tc>
          <w:tcPr>
            <w:tcW w:w="2381" w:type="dxa"/>
            <w:vAlign w:val="center"/>
          </w:tcPr>
          <w:p w:rsidR="001164BE" w:rsidRPr="00421991" w:rsidRDefault="001164BE" w:rsidP="00C632ED">
            <w:pPr>
              <w:pStyle w:val="Tabletext2"/>
              <w:spacing w:before="0" w:after="0"/>
              <w:rPr>
                <w:color w:val="auto"/>
              </w:rPr>
            </w:pPr>
            <w:r w:rsidRPr="00421991">
              <w:rPr>
                <w:color w:val="auto"/>
              </w:rPr>
              <w:t>3%</w:t>
            </w:r>
          </w:p>
        </w:tc>
      </w:tr>
      <w:tr w:rsidR="00767FA1" w:rsidRPr="00421991" w:rsidTr="00F0444C">
        <w:trPr>
          <w:trHeight w:val="291"/>
        </w:trPr>
        <w:tc>
          <w:tcPr>
            <w:tcW w:w="1965" w:type="dxa"/>
            <w:vAlign w:val="center"/>
          </w:tcPr>
          <w:p w:rsidR="001164BE" w:rsidRPr="00421991" w:rsidRDefault="001164BE" w:rsidP="00767FA1">
            <w:pPr>
              <w:pStyle w:val="Tabletext2"/>
              <w:spacing w:before="0" w:after="0"/>
              <w:jc w:val="left"/>
              <w:rPr>
                <w:color w:val="auto"/>
              </w:rPr>
            </w:pPr>
            <w:r w:rsidRPr="00421991">
              <w:rPr>
                <w:color w:val="auto"/>
              </w:rPr>
              <w:t>65 years and above</w:t>
            </w:r>
          </w:p>
        </w:tc>
        <w:tc>
          <w:tcPr>
            <w:tcW w:w="2911" w:type="dxa"/>
            <w:vAlign w:val="center"/>
          </w:tcPr>
          <w:p w:rsidR="001164BE" w:rsidRPr="00421991" w:rsidRDefault="001164BE" w:rsidP="00C632ED">
            <w:pPr>
              <w:pStyle w:val="Tabletext2"/>
              <w:spacing w:before="0" w:after="0"/>
              <w:rPr>
                <w:color w:val="auto"/>
              </w:rPr>
            </w:pPr>
            <w:r w:rsidRPr="00421991">
              <w:rPr>
                <w:color w:val="auto"/>
              </w:rPr>
              <w:t>7.7</w:t>
            </w:r>
          </w:p>
        </w:tc>
        <w:tc>
          <w:tcPr>
            <w:tcW w:w="2437" w:type="dxa"/>
            <w:vAlign w:val="center"/>
          </w:tcPr>
          <w:p w:rsidR="001164BE" w:rsidRPr="00421991" w:rsidRDefault="001164BE" w:rsidP="00C632ED">
            <w:pPr>
              <w:pStyle w:val="Tabletext2"/>
              <w:spacing w:before="0" w:after="0"/>
              <w:rPr>
                <w:color w:val="auto"/>
              </w:rPr>
            </w:pPr>
            <w:r w:rsidRPr="00421991">
              <w:rPr>
                <w:color w:val="auto"/>
              </w:rPr>
              <w:t>1%</w:t>
            </w:r>
          </w:p>
        </w:tc>
        <w:tc>
          <w:tcPr>
            <w:tcW w:w="2381" w:type="dxa"/>
            <w:vAlign w:val="center"/>
          </w:tcPr>
          <w:p w:rsidR="001164BE" w:rsidRPr="00421991" w:rsidRDefault="001164BE" w:rsidP="00C632ED">
            <w:pPr>
              <w:pStyle w:val="Tabletext2"/>
              <w:spacing w:before="0" w:after="0"/>
              <w:rPr>
                <w:color w:val="auto"/>
              </w:rPr>
            </w:pPr>
            <w:r w:rsidRPr="00421991">
              <w:rPr>
                <w:color w:val="auto"/>
              </w:rPr>
              <w:t>1%</w:t>
            </w:r>
          </w:p>
        </w:tc>
      </w:tr>
      <w:tr w:rsidR="00C632ED" w:rsidRPr="00421991" w:rsidTr="00F0444C">
        <w:trPr>
          <w:trHeight w:val="291"/>
        </w:trPr>
        <w:tc>
          <w:tcPr>
            <w:tcW w:w="1965" w:type="dxa"/>
            <w:vAlign w:val="center"/>
          </w:tcPr>
          <w:p w:rsidR="001164BE" w:rsidRPr="00421991" w:rsidRDefault="001164BE" w:rsidP="00767FA1">
            <w:pPr>
              <w:pStyle w:val="Tabletext2"/>
              <w:spacing w:before="0" w:after="0"/>
              <w:jc w:val="left"/>
              <w:rPr>
                <w:color w:val="auto"/>
              </w:rPr>
            </w:pPr>
            <w:r w:rsidRPr="00421991">
              <w:rPr>
                <w:rStyle w:val="BoldBody"/>
                <w:color w:val="auto"/>
              </w:rPr>
              <w:lastRenderedPageBreak/>
              <w:t>Total</w:t>
            </w:r>
          </w:p>
        </w:tc>
        <w:tc>
          <w:tcPr>
            <w:tcW w:w="2911" w:type="dxa"/>
            <w:vAlign w:val="center"/>
          </w:tcPr>
          <w:p w:rsidR="001164BE" w:rsidRPr="00421991" w:rsidRDefault="001164BE" w:rsidP="00C632ED">
            <w:pPr>
              <w:pStyle w:val="Tabletext2"/>
              <w:spacing w:before="0" w:after="0"/>
              <w:rPr>
                <w:color w:val="auto"/>
              </w:rPr>
            </w:pPr>
            <w:r w:rsidRPr="00421991">
              <w:rPr>
                <w:rStyle w:val="BoldBody"/>
                <w:color w:val="auto"/>
              </w:rPr>
              <w:t>7.3</w:t>
            </w:r>
          </w:p>
        </w:tc>
        <w:tc>
          <w:tcPr>
            <w:tcW w:w="2437" w:type="dxa"/>
            <w:vAlign w:val="center"/>
          </w:tcPr>
          <w:p w:rsidR="001164BE" w:rsidRPr="00421991" w:rsidRDefault="001164BE" w:rsidP="00C632ED">
            <w:pPr>
              <w:pStyle w:val="Tabletext2"/>
              <w:spacing w:before="0" w:after="0"/>
              <w:rPr>
                <w:color w:val="auto"/>
              </w:rPr>
            </w:pPr>
            <w:r w:rsidRPr="00421991">
              <w:rPr>
                <w:rStyle w:val="BoldBody"/>
                <w:color w:val="auto"/>
              </w:rPr>
              <w:t>100%</w:t>
            </w:r>
          </w:p>
        </w:tc>
        <w:tc>
          <w:tcPr>
            <w:tcW w:w="2381" w:type="dxa"/>
            <w:vAlign w:val="center"/>
          </w:tcPr>
          <w:p w:rsidR="001164BE" w:rsidRPr="00421991" w:rsidRDefault="001164BE" w:rsidP="00C632ED">
            <w:pPr>
              <w:pStyle w:val="Tabletext2"/>
              <w:spacing w:before="0" w:after="0"/>
              <w:rPr>
                <w:color w:val="auto"/>
              </w:rPr>
            </w:pPr>
            <w:r w:rsidRPr="00421991">
              <w:rPr>
                <w:rStyle w:val="BoldBody"/>
                <w:color w:val="auto"/>
              </w:rPr>
              <w:t>100%</w:t>
            </w:r>
          </w:p>
        </w:tc>
      </w:tr>
    </w:tbl>
    <w:p w:rsidR="001164BE" w:rsidRPr="00421991" w:rsidRDefault="001164BE" w:rsidP="0000553D">
      <w:pPr>
        <w:pStyle w:val="FootnoteFiguresandtables"/>
        <w:spacing w:before="60" w:after="0"/>
        <w:rPr>
          <w:color w:val="auto"/>
        </w:rPr>
      </w:pPr>
      <w:r w:rsidRPr="00421991">
        <w:rPr>
          <w:color w:val="auto"/>
        </w:rPr>
        <w:t>Source: National Data Set for Compensation-Based Statistics.</w:t>
      </w:r>
    </w:p>
    <w:p w:rsidR="001164BE" w:rsidRPr="00421991" w:rsidRDefault="001164BE" w:rsidP="005062E3">
      <w:pPr>
        <w:pStyle w:val="Heading2"/>
      </w:pPr>
      <w:bookmarkStart w:id="27" w:name="_Toc426441685"/>
      <w:r w:rsidRPr="00421991">
        <w:t>Mechanism of injuries and diseases</w:t>
      </w:r>
      <w:bookmarkEnd w:id="27"/>
    </w:p>
    <w:p w:rsidR="001164BE" w:rsidRPr="00421991" w:rsidRDefault="001164BE" w:rsidP="001164BE">
      <w:pPr>
        <w:pStyle w:val="TextBody"/>
        <w:rPr>
          <w:color w:val="auto"/>
        </w:rPr>
      </w:pPr>
      <w:r w:rsidRPr="00421991">
        <w:rPr>
          <w:color w:val="auto"/>
        </w:rPr>
        <w:t>Under the Type of Occurrence Classification System, information about the action that inflicted the injury or disease is coded as the mechanism, which identifies “the action, exposure or event that best describes the circumstances that resulted in the most serious injury or disease” (ASCC 2008).</w:t>
      </w:r>
    </w:p>
    <w:p w:rsidR="001164BE" w:rsidRPr="00421991" w:rsidRDefault="001164BE" w:rsidP="00DD2ECE">
      <w:pPr>
        <w:pStyle w:val="Heading3"/>
      </w:pPr>
      <w:bookmarkStart w:id="28" w:name="_Toc419453268"/>
      <w:bookmarkStart w:id="29" w:name="_Toc426441686"/>
      <w:r w:rsidRPr="00421991">
        <w:t>Mechanism of injuries and diseases by industry division</w:t>
      </w:r>
      <w:bookmarkEnd w:id="28"/>
      <w:bookmarkEnd w:id="29"/>
    </w:p>
    <w:p w:rsidR="001164BE" w:rsidRPr="00421991" w:rsidRDefault="001164BE" w:rsidP="001164BE">
      <w:pPr>
        <w:pStyle w:val="TextBody"/>
        <w:rPr>
          <w:color w:val="auto"/>
        </w:rPr>
      </w:pPr>
      <w:r w:rsidRPr="00421991">
        <w:rPr>
          <w:color w:val="auto"/>
        </w:rPr>
        <w:t>Between 2010–11 and 2012–13, body stressing led to the highest proportion (32%) of serious claims in the accommodation and food services industry. Body stressing is a disorder that occurs when muscles, tendons, ligaments or bones are placed under stress due to a single traumatic event or multiple events over time. Nearly half (48%) of all body stressing disorders arose from muscular stress while lifting, carrying, or putting down objects.</w:t>
      </w:r>
    </w:p>
    <w:p w:rsidR="001164BE" w:rsidRPr="00421991" w:rsidRDefault="001164BE" w:rsidP="001164BE">
      <w:pPr>
        <w:pStyle w:val="TextBody"/>
        <w:rPr>
          <w:color w:val="auto"/>
        </w:rPr>
      </w:pPr>
      <w:r w:rsidRPr="00421991">
        <w:rPr>
          <w:color w:val="auto"/>
        </w:rPr>
        <w:t>The second-highest proportion (24%) of serious claims occurred due to falls, trips and slips of a person. The majority (80%) of falls, trips and slips of a person arose from falls on the same level. Hitting objects with a part of the body and being hit by moving objects led to 13% and 12% of serious claims respectively.</w:t>
      </w:r>
    </w:p>
    <w:p w:rsidR="001164BE" w:rsidRPr="00421991" w:rsidRDefault="001164BE" w:rsidP="001164BE">
      <w:pPr>
        <w:pStyle w:val="TextBody"/>
        <w:rPr>
          <w:color w:val="auto"/>
        </w:rPr>
      </w:pPr>
      <w:r w:rsidRPr="00421991">
        <w:rPr>
          <w:color w:val="auto"/>
        </w:rPr>
        <w:t>A low proportion of serious claims arose from heat, electricity and other environmental factors (7%), vehicle incidents and other (5%), mental stress (4%), and chemicals and other substances (1%).</w:t>
      </w:r>
    </w:p>
    <w:p w:rsidR="001164BE" w:rsidRPr="00421991" w:rsidRDefault="001164BE" w:rsidP="00DD2ECE">
      <w:pPr>
        <w:pStyle w:val="Heading3"/>
      </w:pPr>
      <w:bookmarkStart w:id="30" w:name="_Toc419453269"/>
      <w:bookmarkStart w:id="31" w:name="_Toc426441687"/>
      <w:r w:rsidRPr="00421991">
        <w:t>Mechanism of injuries and diseases by industry subdivision</w:t>
      </w:r>
      <w:bookmarkEnd w:id="30"/>
      <w:bookmarkEnd w:id="31"/>
    </w:p>
    <w:p w:rsidR="001164BE" w:rsidRPr="00421991" w:rsidRDefault="001164BE" w:rsidP="001164BE">
      <w:pPr>
        <w:pStyle w:val="TextBody"/>
        <w:rPr>
          <w:color w:val="auto"/>
        </w:rPr>
      </w:pPr>
      <w:r w:rsidRPr="00421991">
        <w:rPr>
          <w:color w:val="auto"/>
        </w:rPr>
        <w:t xml:space="preserve">Although 32% of serious claims in the accommodation and food services industry resulted from body stressing, a higher proportion of serious claims in the accommodation (40%) and clubs (37%) subdivisions resulted from the mechanism. </w:t>
      </w:r>
    </w:p>
    <w:p w:rsidR="001164BE" w:rsidRPr="00421991" w:rsidRDefault="001164BE" w:rsidP="001164BE">
      <w:pPr>
        <w:pStyle w:val="TextBody"/>
        <w:rPr>
          <w:color w:val="auto"/>
        </w:rPr>
      </w:pPr>
      <w:r w:rsidRPr="00421991">
        <w:rPr>
          <w:color w:val="auto"/>
        </w:rPr>
        <w:t>The proportion of mental stress claims was double the industry average among employees in the clubs subdivision (8%) and almost double among employees in the pubs, taverns and bars subdivision (7%). In both subdivisions, serious claims arising from mental stress most commonly involved exposure to workplace or occupational violence.</w:t>
      </w:r>
    </w:p>
    <w:p w:rsidR="001164BE" w:rsidRPr="00421991" w:rsidRDefault="001164BE" w:rsidP="001164BE">
      <w:pPr>
        <w:pStyle w:val="TextBody"/>
        <w:rPr>
          <w:color w:val="auto"/>
        </w:rPr>
      </w:pPr>
      <w:r w:rsidRPr="00421991">
        <w:rPr>
          <w:color w:val="auto"/>
        </w:rPr>
        <w:t>Employees in the cafes, restaurants and takeaway food services subdivision experienced the highest proportion (11%) of serious claims arising from heat, electricity and other environmental factors, which involved contact with hot objects in almost all (97%) cases. Table 3 outlines the percentage of serious claims for each industry subdivision by mechanism of injury or disease for 2010–11 to 2012–13.</w:t>
      </w:r>
    </w:p>
    <w:p w:rsidR="001164BE" w:rsidRPr="00421991" w:rsidRDefault="001164BE" w:rsidP="00E81CB3">
      <w:pPr>
        <w:pStyle w:val="Tabletitle"/>
        <w:rPr>
          <w:color w:val="auto"/>
        </w:rPr>
      </w:pPr>
      <w:r w:rsidRPr="00421991">
        <w:rPr>
          <w:color w:val="auto"/>
        </w:rPr>
        <w:t>Table 3: Serious claims in accommodation and food services industry: percentage of serious claims for each subdivision by mechanism of injury or disease, 2010–11 to 2012–13 combined</w:t>
      </w:r>
    </w:p>
    <w:tbl>
      <w:tblPr>
        <w:tblStyle w:val="TableGrid"/>
        <w:tblW w:w="0" w:type="auto"/>
        <w:tblLayout w:type="fixed"/>
        <w:tblLook w:val="0000" w:firstRow="0" w:lastRow="0" w:firstColumn="0" w:lastColumn="0" w:noHBand="0" w:noVBand="0"/>
        <w:tblCaption w:val="Table 3: Serious claims in accommodation and food services industry: percentage of serious claims for each subdivision by mechanism of injury or disease, 2010–11 to 2012–13 combined"/>
      </w:tblPr>
      <w:tblGrid>
        <w:gridCol w:w="4025"/>
        <w:gridCol w:w="1134"/>
        <w:gridCol w:w="1134"/>
        <w:gridCol w:w="1134"/>
        <w:gridCol w:w="1134"/>
        <w:gridCol w:w="1133"/>
      </w:tblGrid>
      <w:tr w:rsidR="00CF3859" w:rsidRPr="00421991" w:rsidTr="00681892">
        <w:trPr>
          <w:trHeight w:val="1648"/>
          <w:tblHeader/>
        </w:trPr>
        <w:tc>
          <w:tcPr>
            <w:tcW w:w="4025" w:type="dxa"/>
            <w:vAlign w:val="center"/>
          </w:tcPr>
          <w:p w:rsidR="001164BE" w:rsidRPr="00421991" w:rsidRDefault="001164BE" w:rsidP="00767FA1">
            <w:pPr>
              <w:pStyle w:val="Tabletext"/>
              <w:spacing w:before="0" w:after="0"/>
              <w:rPr>
                <w:rStyle w:val="BoldBody"/>
                <w:color w:val="auto"/>
              </w:rPr>
            </w:pPr>
            <w:r w:rsidRPr="00421991">
              <w:rPr>
                <w:rStyle w:val="BoldBody"/>
                <w:color w:val="auto"/>
              </w:rPr>
              <w:t>Mechanism of injury or disease</w:t>
            </w:r>
          </w:p>
          <w:p w:rsidR="001164BE" w:rsidRPr="00421991" w:rsidRDefault="001164BE" w:rsidP="00767FA1">
            <w:pPr>
              <w:pStyle w:val="Tabletext1"/>
              <w:spacing w:before="0" w:after="0"/>
              <w:rPr>
                <w:color w:val="auto"/>
              </w:rPr>
            </w:pPr>
            <w:r w:rsidRPr="00421991">
              <w:rPr>
                <w:rStyle w:val="BoldBody"/>
                <w:color w:val="auto"/>
              </w:rPr>
              <w:t>Mechanism of injury or disease</w:t>
            </w:r>
          </w:p>
        </w:tc>
        <w:tc>
          <w:tcPr>
            <w:tcW w:w="1134" w:type="dxa"/>
            <w:textDirection w:val="btLr"/>
            <w:vAlign w:val="center"/>
          </w:tcPr>
          <w:p w:rsidR="001164BE" w:rsidRPr="00421991" w:rsidRDefault="001164BE" w:rsidP="00767FA1">
            <w:pPr>
              <w:pStyle w:val="Tabletext2"/>
              <w:spacing w:before="0" w:after="0"/>
              <w:rPr>
                <w:color w:val="auto"/>
              </w:rPr>
            </w:pPr>
            <w:r w:rsidRPr="00421991">
              <w:rPr>
                <w:rStyle w:val="BoldBody"/>
                <w:color w:val="auto"/>
              </w:rPr>
              <w:t>Clubs</w:t>
            </w:r>
          </w:p>
        </w:tc>
        <w:tc>
          <w:tcPr>
            <w:tcW w:w="1134" w:type="dxa"/>
            <w:textDirection w:val="btLr"/>
            <w:vAlign w:val="center"/>
          </w:tcPr>
          <w:p w:rsidR="001164BE" w:rsidRPr="00421991" w:rsidRDefault="001164BE" w:rsidP="00767FA1">
            <w:pPr>
              <w:pStyle w:val="Tabletext2"/>
              <w:spacing w:before="0" w:after="0"/>
              <w:rPr>
                <w:color w:val="auto"/>
              </w:rPr>
            </w:pPr>
            <w:r w:rsidRPr="00421991">
              <w:rPr>
                <w:rStyle w:val="BoldBody"/>
                <w:color w:val="auto"/>
              </w:rPr>
              <w:t>Accommodation</w:t>
            </w:r>
          </w:p>
        </w:tc>
        <w:tc>
          <w:tcPr>
            <w:tcW w:w="1134" w:type="dxa"/>
            <w:textDirection w:val="btLr"/>
            <w:vAlign w:val="center"/>
          </w:tcPr>
          <w:p w:rsidR="001164BE" w:rsidRPr="00421991" w:rsidRDefault="001164BE" w:rsidP="00767FA1">
            <w:pPr>
              <w:pStyle w:val="Tabletext2"/>
              <w:spacing w:before="0" w:after="0"/>
              <w:rPr>
                <w:color w:val="auto"/>
              </w:rPr>
            </w:pPr>
            <w:r w:rsidRPr="00421991">
              <w:rPr>
                <w:rStyle w:val="BoldBody"/>
                <w:color w:val="auto"/>
              </w:rPr>
              <w:t>Pubs, taverns and bars</w:t>
            </w:r>
          </w:p>
        </w:tc>
        <w:tc>
          <w:tcPr>
            <w:tcW w:w="1134" w:type="dxa"/>
            <w:textDirection w:val="btLr"/>
            <w:vAlign w:val="center"/>
          </w:tcPr>
          <w:p w:rsidR="001164BE" w:rsidRPr="00421991" w:rsidRDefault="001164BE" w:rsidP="00767FA1">
            <w:pPr>
              <w:pStyle w:val="Tabletext2"/>
              <w:spacing w:before="0" w:after="0"/>
              <w:rPr>
                <w:color w:val="auto"/>
              </w:rPr>
            </w:pPr>
            <w:r w:rsidRPr="00421991">
              <w:rPr>
                <w:rStyle w:val="BoldBody"/>
                <w:color w:val="auto"/>
              </w:rPr>
              <w:t>Cafes, restaurants and takeaway food services</w:t>
            </w:r>
          </w:p>
        </w:tc>
        <w:tc>
          <w:tcPr>
            <w:tcW w:w="1133" w:type="dxa"/>
            <w:textDirection w:val="btLr"/>
            <w:vAlign w:val="center"/>
          </w:tcPr>
          <w:p w:rsidR="001164BE" w:rsidRPr="00421991" w:rsidRDefault="001164BE" w:rsidP="00767FA1">
            <w:pPr>
              <w:pStyle w:val="Tabletext2"/>
              <w:spacing w:before="0" w:after="0"/>
              <w:rPr>
                <w:color w:val="auto"/>
              </w:rPr>
            </w:pPr>
            <w:r w:rsidRPr="00421991">
              <w:rPr>
                <w:rStyle w:val="BoldBody"/>
                <w:color w:val="auto"/>
              </w:rPr>
              <w:t>Industry total</w:t>
            </w:r>
          </w:p>
        </w:tc>
      </w:tr>
      <w:tr w:rsidR="00767FA1" w:rsidRPr="00421991" w:rsidTr="00767FA1">
        <w:trPr>
          <w:trHeight w:val="60"/>
        </w:trPr>
        <w:tc>
          <w:tcPr>
            <w:tcW w:w="4025" w:type="dxa"/>
            <w:vAlign w:val="center"/>
          </w:tcPr>
          <w:p w:rsidR="001164BE" w:rsidRPr="00421991" w:rsidRDefault="001164BE" w:rsidP="00767FA1">
            <w:pPr>
              <w:pStyle w:val="Tabletext"/>
              <w:spacing w:before="0" w:after="0"/>
              <w:rPr>
                <w:color w:val="auto"/>
              </w:rPr>
            </w:pPr>
            <w:r w:rsidRPr="00421991">
              <w:rPr>
                <w:rStyle w:val="BoldBody"/>
                <w:color w:val="auto"/>
              </w:rPr>
              <w:t>Body stressing</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37%</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40%</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29%</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28%</w:t>
            </w:r>
          </w:p>
        </w:tc>
        <w:tc>
          <w:tcPr>
            <w:tcW w:w="1133" w:type="dxa"/>
            <w:vAlign w:val="center"/>
          </w:tcPr>
          <w:p w:rsidR="001164BE" w:rsidRPr="00421991" w:rsidRDefault="001164BE" w:rsidP="00767FA1">
            <w:pPr>
              <w:pStyle w:val="Tabletext2"/>
              <w:spacing w:before="0" w:after="0"/>
              <w:rPr>
                <w:color w:val="auto"/>
              </w:rPr>
            </w:pPr>
            <w:r w:rsidRPr="00421991">
              <w:rPr>
                <w:rStyle w:val="BoldBody"/>
                <w:color w:val="auto"/>
              </w:rPr>
              <w:t>32%</w:t>
            </w:r>
          </w:p>
        </w:tc>
      </w:tr>
      <w:tr w:rsidR="00767FA1" w:rsidRPr="00421991" w:rsidTr="00767FA1">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Muscular stress while lifting, carrying, or putting down objects</w:t>
            </w:r>
          </w:p>
        </w:tc>
        <w:tc>
          <w:tcPr>
            <w:tcW w:w="1134" w:type="dxa"/>
            <w:vAlign w:val="center"/>
          </w:tcPr>
          <w:p w:rsidR="001164BE" w:rsidRPr="00421991" w:rsidRDefault="001164BE" w:rsidP="00767FA1">
            <w:pPr>
              <w:pStyle w:val="Tabletext2"/>
              <w:spacing w:before="0" w:after="0"/>
              <w:rPr>
                <w:color w:val="auto"/>
              </w:rPr>
            </w:pPr>
            <w:r w:rsidRPr="00421991">
              <w:rPr>
                <w:color w:val="auto"/>
              </w:rPr>
              <w:t>51%</w:t>
            </w:r>
          </w:p>
        </w:tc>
        <w:tc>
          <w:tcPr>
            <w:tcW w:w="1134" w:type="dxa"/>
            <w:vAlign w:val="center"/>
          </w:tcPr>
          <w:p w:rsidR="001164BE" w:rsidRPr="00421991" w:rsidRDefault="001164BE" w:rsidP="00767FA1">
            <w:pPr>
              <w:pStyle w:val="Tabletext2"/>
              <w:spacing w:before="0" w:after="0"/>
              <w:rPr>
                <w:color w:val="auto"/>
              </w:rPr>
            </w:pPr>
            <w:r w:rsidRPr="00421991">
              <w:rPr>
                <w:color w:val="auto"/>
              </w:rPr>
              <w:t>40%</w:t>
            </w:r>
          </w:p>
        </w:tc>
        <w:tc>
          <w:tcPr>
            <w:tcW w:w="1134" w:type="dxa"/>
            <w:vAlign w:val="center"/>
          </w:tcPr>
          <w:p w:rsidR="001164BE" w:rsidRPr="00421991" w:rsidRDefault="001164BE" w:rsidP="00767FA1">
            <w:pPr>
              <w:pStyle w:val="Tabletext2"/>
              <w:spacing w:before="0" w:after="0"/>
              <w:rPr>
                <w:color w:val="auto"/>
              </w:rPr>
            </w:pPr>
            <w:r w:rsidRPr="00421991">
              <w:rPr>
                <w:color w:val="auto"/>
              </w:rPr>
              <w:t>60%</w:t>
            </w:r>
          </w:p>
        </w:tc>
        <w:tc>
          <w:tcPr>
            <w:tcW w:w="1134" w:type="dxa"/>
            <w:vAlign w:val="center"/>
          </w:tcPr>
          <w:p w:rsidR="001164BE" w:rsidRPr="00421991" w:rsidRDefault="001164BE" w:rsidP="00767FA1">
            <w:pPr>
              <w:pStyle w:val="Tabletext2"/>
              <w:spacing w:before="0" w:after="0"/>
              <w:rPr>
                <w:color w:val="auto"/>
              </w:rPr>
            </w:pPr>
            <w:r w:rsidRPr="00421991">
              <w:rPr>
                <w:color w:val="auto"/>
              </w:rPr>
              <w:t>49%</w:t>
            </w:r>
          </w:p>
        </w:tc>
        <w:tc>
          <w:tcPr>
            <w:tcW w:w="1133" w:type="dxa"/>
            <w:vAlign w:val="center"/>
          </w:tcPr>
          <w:p w:rsidR="001164BE" w:rsidRPr="00421991" w:rsidRDefault="001164BE" w:rsidP="00767FA1">
            <w:pPr>
              <w:pStyle w:val="Tabletext2"/>
              <w:spacing w:before="0" w:after="0"/>
              <w:rPr>
                <w:color w:val="auto"/>
              </w:rPr>
            </w:pPr>
            <w:r w:rsidRPr="00421991">
              <w:rPr>
                <w:color w:val="auto"/>
              </w:rPr>
              <w:t>48%</w:t>
            </w:r>
          </w:p>
        </w:tc>
      </w:tr>
      <w:tr w:rsidR="00767FA1" w:rsidRPr="00421991" w:rsidTr="00767FA1">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Muscular stress while handling objects other than lifting, carrying or putting down objects</w:t>
            </w:r>
          </w:p>
        </w:tc>
        <w:tc>
          <w:tcPr>
            <w:tcW w:w="1134" w:type="dxa"/>
            <w:vAlign w:val="center"/>
          </w:tcPr>
          <w:p w:rsidR="001164BE" w:rsidRPr="00421991" w:rsidRDefault="001164BE" w:rsidP="00767FA1">
            <w:pPr>
              <w:pStyle w:val="Tabletext2"/>
              <w:spacing w:before="0" w:after="0"/>
              <w:rPr>
                <w:color w:val="auto"/>
              </w:rPr>
            </w:pPr>
            <w:r w:rsidRPr="00421991">
              <w:rPr>
                <w:color w:val="auto"/>
              </w:rPr>
              <w:t>30%</w:t>
            </w:r>
          </w:p>
        </w:tc>
        <w:tc>
          <w:tcPr>
            <w:tcW w:w="1134" w:type="dxa"/>
            <w:vAlign w:val="center"/>
          </w:tcPr>
          <w:p w:rsidR="001164BE" w:rsidRPr="00421991" w:rsidRDefault="001164BE" w:rsidP="00767FA1">
            <w:pPr>
              <w:pStyle w:val="Tabletext2"/>
              <w:spacing w:before="0" w:after="0"/>
              <w:rPr>
                <w:color w:val="auto"/>
              </w:rPr>
            </w:pPr>
            <w:r w:rsidRPr="00421991">
              <w:rPr>
                <w:color w:val="auto"/>
              </w:rPr>
              <w:t>43%</w:t>
            </w:r>
          </w:p>
        </w:tc>
        <w:tc>
          <w:tcPr>
            <w:tcW w:w="1134" w:type="dxa"/>
            <w:vAlign w:val="center"/>
          </w:tcPr>
          <w:p w:rsidR="001164BE" w:rsidRPr="00421991" w:rsidRDefault="001164BE" w:rsidP="00767FA1">
            <w:pPr>
              <w:pStyle w:val="Tabletext2"/>
              <w:spacing w:before="0" w:after="0"/>
              <w:rPr>
                <w:color w:val="auto"/>
              </w:rPr>
            </w:pPr>
            <w:r w:rsidRPr="00421991">
              <w:rPr>
                <w:color w:val="auto"/>
              </w:rPr>
              <w:t>24%</w:t>
            </w:r>
          </w:p>
        </w:tc>
        <w:tc>
          <w:tcPr>
            <w:tcW w:w="1134" w:type="dxa"/>
            <w:vAlign w:val="center"/>
          </w:tcPr>
          <w:p w:rsidR="001164BE" w:rsidRPr="00421991" w:rsidRDefault="001164BE" w:rsidP="00767FA1">
            <w:pPr>
              <w:pStyle w:val="Tabletext2"/>
              <w:spacing w:before="0" w:after="0"/>
              <w:rPr>
                <w:color w:val="auto"/>
              </w:rPr>
            </w:pPr>
            <w:r w:rsidRPr="00421991">
              <w:rPr>
                <w:color w:val="auto"/>
              </w:rPr>
              <w:t>31%</w:t>
            </w:r>
          </w:p>
        </w:tc>
        <w:tc>
          <w:tcPr>
            <w:tcW w:w="1133" w:type="dxa"/>
            <w:vAlign w:val="center"/>
          </w:tcPr>
          <w:p w:rsidR="001164BE" w:rsidRPr="00421991" w:rsidRDefault="001164BE" w:rsidP="00767FA1">
            <w:pPr>
              <w:pStyle w:val="Tabletext2"/>
              <w:spacing w:before="0" w:after="0"/>
              <w:rPr>
                <w:color w:val="auto"/>
              </w:rPr>
            </w:pPr>
            <w:r w:rsidRPr="00421991">
              <w:rPr>
                <w:color w:val="auto"/>
              </w:rPr>
              <w:t>33%</w:t>
            </w:r>
          </w:p>
        </w:tc>
      </w:tr>
      <w:tr w:rsidR="00767FA1" w:rsidRPr="00421991" w:rsidTr="00767FA1">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Muscular stress with no objects being handled</w:t>
            </w:r>
          </w:p>
        </w:tc>
        <w:tc>
          <w:tcPr>
            <w:tcW w:w="1134" w:type="dxa"/>
            <w:vAlign w:val="center"/>
          </w:tcPr>
          <w:p w:rsidR="001164BE" w:rsidRPr="00421991" w:rsidRDefault="001164BE" w:rsidP="00767FA1">
            <w:pPr>
              <w:pStyle w:val="Tabletext2"/>
              <w:spacing w:before="0" w:after="0"/>
              <w:rPr>
                <w:color w:val="auto"/>
              </w:rPr>
            </w:pPr>
            <w:r w:rsidRPr="00421991">
              <w:rPr>
                <w:color w:val="auto"/>
              </w:rPr>
              <w:t>13%</w:t>
            </w:r>
          </w:p>
        </w:tc>
        <w:tc>
          <w:tcPr>
            <w:tcW w:w="1134" w:type="dxa"/>
            <w:vAlign w:val="center"/>
          </w:tcPr>
          <w:p w:rsidR="001164BE" w:rsidRPr="00421991" w:rsidRDefault="001164BE" w:rsidP="00767FA1">
            <w:pPr>
              <w:pStyle w:val="Tabletext2"/>
              <w:spacing w:before="0" w:after="0"/>
              <w:rPr>
                <w:color w:val="auto"/>
              </w:rPr>
            </w:pPr>
            <w:r w:rsidRPr="00421991">
              <w:rPr>
                <w:color w:val="auto"/>
              </w:rPr>
              <w:t>12%</w:t>
            </w:r>
          </w:p>
        </w:tc>
        <w:tc>
          <w:tcPr>
            <w:tcW w:w="1134" w:type="dxa"/>
            <w:vAlign w:val="center"/>
          </w:tcPr>
          <w:p w:rsidR="001164BE" w:rsidRPr="00421991" w:rsidRDefault="001164BE" w:rsidP="00767FA1">
            <w:pPr>
              <w:pStyle w:val="Tabletext2"/>
              <w:spacing w:before="0" w:after="0"/>
              <w:rPr>
                <w:color w:val="auto"/>
              </w:rPr>
            </w:pPr>
            <w:r w:rsidRPr="00421991">
              <w:rPr>
                <w:color w:val="auto"/>
              </w:rPr>
              <w:t>12%</w:t>
            </w:r>
          </w:p>
        </w:tc>
        <w:tc>
          <w:tcPr>
            <w:tcW w:w="1134" w:type="dxa"/>
            <w:vAlign w:val="center"/>
          </w:tcPr>
          <w:p w:rsidR="001164BE" w:rsidRPr="00421991" w:rsidRDefault="001164BE" w:rsidP="00767FA1">
            <w:pPr>
              <w:pStyle w:val="Tabletext2"/>
              <w:spacing w:before="0" w:after="0"/>
              <w:rPr>
                <w:color w:val="auto"/>
              </w:rPr>
            </w:pPr>
            <w:r w:rsidRPr="00421991">
              <w:rPr>
                <w:color w:val="auto"/>
              </w:rPr>
              <w:t>12%</w:t>
            </w:r>
          </w:p>
        </w:tc>
        <w:tc>
          <w:tcPr>
            <w:tcW w:w="1133" w:type="dxa"/>
            <w:vAlign w:val="center"/>
          </w:tcPr>
          <w:p w:rsidR="001164BE" w:rsidRPr="00421991" w:rsidRDefault="001164BE" w:rsidP="00767FA1">
            <w:pPr>
              <w:pStyle w:val="Tabletext2"/>
              <w:spacing w:before="0" w:after="0"/>
              <w:rPr>
                <w:color w:val="auto"/>
              </w:rPr>
            </w:pPr>
            <w:r w:rsidRPr="00421991">
              <w:rPr>
                <w:color w:val="auto"/>
              </w:rPr>
              <w:t>12%</w:t>
            </w:r>
          </w:p>
        </w:tc>
      </w:tr>
      <w:tr w:rsidR="00767FA1" w:rsidRPr="00421991" w:rsidTr="00767FA1">
        <w:trPr>
          <w:trHeight w:val="60"/>
        </w:trPr>
        <w:tc>
          <w:tcPr>
            <w:tcW w:w="4025" w:type="dxa"/>
            <w:vAlign w:val="center"/>
          </w:tcPr>
          <w:p w:rsidR="001164BE" w:rsidRPr="00421991" w:rsidRDefault="001164BE" w:rsidP="00767FA1">
            <w:pPr>
              <w:pStyle w:val="Tabletext"/>
              <w:spacing w:before="0" w:after="0"/>
              <w:rPr>
                <w:color w:val="auto"/>
              </w:rPr>
            </w:pPr>
            <w:r w:rsidRPr="00421991">
              <w:rPr>
                <w:rStyle w:val="BoldBody"/>
                <w:color w:val="auto"/>
              </w:rPr>
              <w:t>Falls, trips and slips of a person</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23%</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26%</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22%</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25%</w:t>
            </w:r>
          </w:p>
        </w:tc>
        <w:tc>
          <w:tcPr>
            <w:tcW w:w="1133" w:type="dxa"/>
            <w:vAlign w:val="center"/>
          </w:tcPr>
          <w:p w:rsidR="001164BE" w:rsidRPr="00421991" w:rsidRDefault="001164BE" w:rsidP="00767FA1">
            <w:pPr>
              <w:pStyle w:val="Tabletext2"/>
              <w:spacing w:before="0" w:after="0"/>
              <w:rPr>
                <w:color w:val="auto"/>
              </w:rPr>
            </w:pPr>
            <w:r w:rsidRPr="00421991">
              <w:rPr>
                <w:rStyle w:val="BoldBody"/>
                <w:color w:val="auto"/>
              </w:rPr>
              <w:t>24%</w:t>
            </w:r>
          </w:p>
        </w:tc>
      </w:tr>
      <w:tr w:rsidR="00767FA1" w:rsidRPr="00421991" w:rsidTr="00767FA1">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Falls on the same level</w:t>
            </w:r>
          </w:p>
        </w:tc>
        <w:tc>
          <w:tcPr>
            <w:tcW w:w="1134" w:type="dxa"/>
            <w:vAlign w:val="center"/>
          </w:tcPr>
          <w:p w:rsidR="001164BE" w:rsidRPr="00421991" w:rsidRDefault="001164BE" w:rsidP="00767FA1">
            <w:pPr>
              <w:pStyle w:val="Tabletext2"/>
              <w:spacing w:before="0" w:after="0"/>
              <w:rPr>
                <w:color w:val="auto"/>
              </w:rPr>
            </w:pPr>
            <w:r w:rsidRPr="00421991">
              <w:rPr>
                <w:color w:val="auto"/>
              </w:rPr>
              <w:t>81%</w:t>
            </w:r>
          </w:p>
        </w:tc>
        <w:tc>
          <w:tcPr>
            <w:tcW w:w="1134" w:type="dxa"/>
            <w:vAlign w:val="center"/>
          </w:tcPr>
          <w:p w:rsidR="001164BE" w:rsidRPr="00421991" w:rsidRDefault="001164BE" w:rsidP="00767FA1">
            <w:pPr>
              <w:pStyle w:val="Tabletext2"/>
              <w:spacing w:before="0" w:after="0"/>
              <w:rPr>
                <w:color w:val="auto"/>
              </w:rPr>
            </w:pPr>
            <w:r w:rsidRPr="00421991">
              <w:rPr>
                <w:color w:val="auto"/>
              </w:rPr>
              <w:t>75%</w:t>
            </w:r>
          </w:p>
        </w:tc>
        <w:tc>
          <w:tcPr>
            <w:tcW w:w="1134" w:type="dxa"/>
            <w:vAlign w:val="center"/>
          </w:tcPr>
          <w:p w:rsidR="001164BE" w:rsidRPr="00421991" w:rsidRDefault="001164BE" w:rsidP="00767FA1">
            <w:pPr>
              <w:pStyle w:val="Tabletext2"/>
              <w:spacing w:before="0" w:after="0"/>
              <w:rPr>
                <w:color w:val="auto"/>
              </w:rPr>
            </w:pPr>
            <w:r w:rsidRPr="00421991">
              <w:rPr>
                <w:color w:val="auto"/>
              </w:rPr>
              <w:t>76%</w:t>
            </w:r>
          </w:p>
        </w:tc>
        <w:tc>
          <w:tcPr>
            <w:tcW w:w="1134" w:type="dxa"/>
            <w:vAlign w:val="center"/>
          </w:tcPr>
          <w:p w:rsidR="001164BE" w:rsidRPr="00421991" w:rsidRDefault="001164BE" w:rsidP="00767FA1">
            <w:pPr>
              <w:pStyle w:val="Tabletext2"/>
              <w:spacing w:before="0" w:after="0"/>
              <w:rPr>
                <w:color w:val="auto"/>
              </w:rPr>
            </w:pPr>
            <w:r w:rsidRPr="00421991">
              <w:rPr>
                <w:color w:val="auto"/>
              </w:rPr>
              <w:t>83%</w:t>
            </w:r>
          </w:p>
        </w:tc>
        <w:tc>
          <w:tcPr>
            <w:tcW w:w="1133" w:type="dxa"/>
            <w:vAlign w:val="center"/>
          </w:tcPr>
          <w:p w:rsidR="001164BE" w:rsidRPr="00421991" w:rsidRDefault="001164BE" w:rsidP="00767FA1">
            <w:pPr>
              <w:pStyle w:val="Tabletext2"/>
              <w:spacing w:before="0" w:after="0"/>
              <w:rPr>
                <w:color w:val="auto"/>
              </w:rPr>
            </w:pPr>
            <w:r w:rsidRPr="00421991">
              <w:rPr>
                <w:color w:val="auto"/>
              </w:rPr>
              <w:t>80%</w:t>
            </w:r>
          </w:p>
        </w:tc>
      </w:tr>
      <w:tr w:rsidR="00767FA1" w:rsidRPr="00421991" w:rsidTr="00767FA1">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Falls from a height</w:t>
            </w:r>
          </w:p>
        </w:tc>
        <w:tc>
          <w:tcPr>
            <w:tcW w:w="1134" w:type="dxa"/>
            <w:vAlign w:val="center"/>
          </w:tcPr>
          <w:p w:rsidR="001164BE" w:rsidRPr="00421991" w:rsidRDefault="001164BE" w:rsidP="00767FA1">
            <w:pPr>
              <w:pStyle w:val="Tabletext2"/>
              <w:spacing w:before="0" w:after="0"/>
              <w:rPr>
                <w:color w:val="auto"/>
              </w:rPr>
            </w:pPr>
            <w:r w:rsidRPr="00421991">
              <w:rPr>
                <w:color w:val="auto"/>
              </w:rPr>
              <w:t>14%</w:t>
            </w:r>
          </w:p>
        </w:tc>
        <w:tc>
          <w:tcPr>
            <w:tcW w:w="1134" w:type="dxa"/>
            <w:vAlign w:val="center"/>
          </w:tcPr>
          <w:p w:rsidR="001164BE" w:rsidRPr="00421991" w:rsidRDefault="001164BE" w:rsidP="00767FA1">
            <w:pPr>
              <w:pStyle w:val="Tabletext2"/>
              <w:spacing w:before="0" w:after="0"/>
              <w:rPr>
                <w:color w:val="auto"/>
              </w:rPr>
            </w:pPr>
            <w:r w:rsidRPr="00421991">
              <w:rPr>
                <w:color w:val="auto"/>
              </w:rPr>
              <w:t>20%</w:t>
            </w:r>
          </w:p>
        </w:tc>
        <w:tc>
          <w:tcPr>
            <w:tcW w:w="1134" w:type="dxa"/>
            <w:vAlign w:val="center"/>
          </w:tcPr>
          <w:p w:rsidR="001164BE" w:rsidRPr="00421991" w:rsidRDefault="001164BE" w:rsidP="00767FA1">
            <w:pPr>
              <w:pStyle w:val="Tabletext2"/>
              <w:spacing w:before="0" w:after="0"/>
              <w:rPr>
                <w:color w:val="auto"/>
              </w:rPr>
            </w:pPr>
            <w:r w:rsidRPr="00421991">
              <w:rPr>
                <w:color w:val="auto"/>
              </w:rPr>
              <w:t>20%</w:t>
            </w:r>
          </w:p>
        </w:tc>
        <w:tc>
          <w:tcPr>
            <w:tcW w:w="1134" w:type="dxa"/>
            <w:vAlign w:val="center"/>
          </w:tcPr>
          <w:p w:rsidR="001164BE" w:rsidRPr="00421991" w:rsidRDefault="001164BE" w:rsidP="00767FA1">
            <w:pPr>
              <w:pStyle w:val="Tabletext2"/>
              <w:spacing w:before="0" w:after="0"/>
              <w:rPr>
                <w:color w:val="auto"/>
              </w:rPr>
            </w:pPr>
            <w:r w:rsidRPr="00421991">
              <w:rPr>
                <w:color w:val="auto"/>
              </w:rPr>
              <w:t>12%</w:t>
            </w:r>
          </w:p>
        </w:tc>
        <w:tc>
          <w:tcPr>
            <w:tcW w:w="1133" w:type="dxa"/>
            <w:vAlign w:val="center"/>
          </w:tcPr>
          <w:p w:rsidR="001164BE" w:rsidRPr="00421991" w:rsidRDefault="001164BE" w:rsidP="00767FA1">
            <w:pPr>
              <w:pStyle w:val="Tabletext2"/>
              <w:spacing w:before="0" w:after="0"/>
              <w:rPr>
                <w:color w:val="auto"/>
              </w:rPr>
            </w:pPr>
            <w:r w:rsidRPr="00421991">
              <w:rPr>
                <w:color w:val="auto"/>
              </w:rPr>
              <w:t>15%</w:t>
            </w:r>
          </w:p>
        </w:tc>
      </w:tr>
      <w:tr w:rsidR="00767FA1" w:rsidRPr="00421991" w:rsidTr="00767FA1">
        <w:trPr>
          <w:trHeight w:val="60"/>
        </w:trPr>
        <w:tc>
          <w:tcPr>
            <w:tcW w:w="4025" w:type="dxa"/>
            <w:vAlign w:val="center"/>
          </w:tcPr>
          <w:p w:rsidR="001164BE" w:rsidRPr="00421991" w:rsidRDefault="001164BE" w:rsidP="00767FA1">
            <w:pPr>
              <w:pStyle w:val="Tabletext"/>
              <w:spacing w:before="0" w:after="0"/>
              <w:rPr>
                <w:color w:val="auto"/>
              </w:rPr>
            </w:pPr>
            <w:r w:rsidRPr="00421991">
              <w:rPr>
                <w:rStyle w:val="BoldBody"/>
                <w:color w:val="auto"/>
              </w:rPr>
              <w:t>Hitting objects with a part of the body</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10%</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10%</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13%</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14%</w:t>
            </w:r>
          </w:p>
        </w:tc>
        <w:tc>
          <w:tcPr>
            <w:tcW w:w="1133" w:type="dxa"/>
            <w:vAlign w:val="center"/>
          </w:tcPr>
          <w:p w:rsidR="001164BE" w:rsidRPr="00421991" w:rsidRDefault="001164BE" w:rsidP="00767FA1">
            <w:pPr>
              <w:pStyle w:val="Tabletext2"/>
              <w:spacing w:before="0" w:after="0"/>
              <w:rPr>
                <w:color w:val="auto"/>
              </w:rPr>
            </w:pPr>
            <w:r w:rsidRPr="00421991">
              <w:rPr>
                <w:rStyle w:val="BoldBody"/>
                <w:color w:val="auto"/>
              </w:rPr>
              <w:t>13%</w:t>
            </w:r>
          </w:p>
        </w:tc>
      </w:tr>
      <w:tr w:rsidR="00767FA1" w:rsidRPr="00421991" w:rsidTr="00767FA1">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lastRenderedPageBreak/>
              <w:t>Hitting moving objects</w:t>
            </w:r>
          </w:p>
        </w:tc>
        <w:tc>
          <w:tcPr>
            <w:tcW w:w="1134" w:type="dxa"/>
            <w:vAlign w:val="center"/>
          </w:tcPr>
          <w:p w:rsidR="001164BE" w:rsidRPr="00421991" w:rsidRDefault="001164BE" w:rsidP="00767FA1">
            <w:pPr>
              <w:pStyle w:val="Tabletext2"/>
              <w:spacing w:before="0" w:after="0"/>
              <w:rPr>
                <w:color w:val="auto"/>
              </w:rPr>
            </w:pPr>
            <w:r w:rsidRPr="00421991">
              <w:rPr>
                <w:color w:val="auto"/>
              </w:rPr>
              <w:t>53%</w:t>
            </w:r>
          </w:p>
        </w:tc>
        <w:tc>
          <w:tcPr>
            <w:tcW w:w="1134" w:type="dxa"/>
            <w:vAlign w:val="center"/>
          </w:tcPr>
          <w:p w:rsidR="001164BE" w:rsidRPr="00421991" w:rsidRDefault="001164BE" w:rsidP="00767FA1">
            <w:pPr>
              <w:pStyle w:val="Tabletext2"/>
              <w:spacing w:before="0" w:after="0"/>
              <w:rPr>
                <w:color w:val="auto"/>
              </w:rPr>
            </w:pPr>
            <w:r w:rsidRPr="00421991">
              <w:rPr>
                <w:color w:val="auto"/>
              </w:rPr>
              <w:t>46%</w:t>
            </w:r>
          </w:p>
        </w:tc>
        <w:tc>
          <w:tcPr>
            <w:tcW w:w="1134" w:type="dxa"/>
            <w:vAlign w:val="center"/>
          </w:tcPr>
          <w:p w:rsidR="001164BE" w:rsidRPr="00421991" w:rsidRDefault="001164BE" w:rsidP="00767FA1">
            <w:pPr>
              <w:pStyle w:val="Tabletext2"/>
              <w:spacing w:before="0" w:after="0"/>
              <w:rPr>
                <w:color w:val="auto"/>
              </w:rPr>
            </w:pPr>
            <w:r w:rsidRPr="00421991">
              <w:rPr>
                <w:color w:val="auto"/>
              </w:rPr>
              <w:t>65%</w:t>
            </w:r>
          </w:p>
        </w:tc>
        <w:tc>
          <w:tcPr>
            <w:tcW w:w="1134" w:type="dxa"/>
            <w:vAlign w:val="center"/>
          </w:tcPr>
          <w:p w:rsidR="001164BE" w:rsidRPr="00421991" w:rsidRDefault="001164BE" w:rsidP="00767FA1">
            <w:pPr>
              <w:pStyle w:val="Tabletext2"/>
              <w:spacing w:before="0" w:after="0"/>
              <w:rPr>
                <w:color w:val="auto"/>
              </w:rPr>
            </w:pPr>
            <w:r w:rsidRPr="00421991">
              <w:rPr>
                <w:color w:val="auto"/>
              </w:rPr>
              <w:t>62%</w:t>
            </w:r>
          </w:p>
        </w:tc>
        <w:tc>
          <w:tcPr>
            <w:tcW w:w="1133" w:type="dxa"/>
            <w:vAlign w:val="center"/>
          </w:tcPr>
          <w:p w:rsidR="001164BE" w:rsidRPr="00421991" w:rsidRDefault="001164BE" w:rsidP="00767FA1">
            <w:pPr>
              <w:pStyle w:val="Tabletext2"/>
              <w:spacing w:before="0" w:after="0"/>
              <w:rPr>
                <w:color w:val="auto"/>
              </w:rPr>
            </w:pPr>
            <w:r w:rsidRPr="00421991">
              <w:rPr>
                <w:color w:val="auto"/>
              </w:rPr>
              <w:t>58%</w:t>
            </w:r>
          </w:p>
        </w:tc>
      </w:tr>
      <w:tr w:rsidR="00767FA1" w:rsidRPr="00421991" w:rsidTr="00767FA1">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Hitting stationary objects</w:t>
            </w:r>
          </w:p>
        </w:tc>
        <w:tc>
          <w:tcPr>
            <w:tcW w:w="1134" w:type="dxa"/>
            <w:vAlign w:val="center"/>
          </w:tcPr>
          <w:p w:rsidR="001164BE" w:rsidRPr="00421991" w:rsidRDefault="001164BE" w:rsidP="00767FA1">
            <w:pPr>
              <w:pStyle w:val="Tabletext2"/>
              <w:spacing w:before="0" w:after="0"/>
              <w:rPr>
                <w:color w:val="auto"/>
              </w:rPr>
            </w:pPr>
            <w:r w:rsidRPr="00421991">
              <w:rPr>
                <w:color w:val="auto"/>
              </w:rPr>
              <w:t>47%</w:t>
            </w:r>
          </w:p>
        </w:tc>
        <w:tc>
          <w:tcPr>
            <w:tcW w:w="1134" w:type="dxa"/>
            <w:vAlign w:val="center"/>
          </w:tcPr>
          <w:p w:rsidR="001164BE" w:rsidRPr="00421991" w:rsidRDefault="001164BE" w:rsidP="00767FA1">
            <w:pPr>
              <w:pStyle w:val="Tabletext2"/>
              <w:spacing w:before="0" w:after="0"/>
              <w:rPr>
                <w:color w:val="auto"/>
              </w:rPr>
            </w:pPr>
            <w:r w:rsidRPr="00421991">
              <w:rPr>
                <w:color w:val="auto"/>
              </w:rPr>
              <w:t>54%</w:t>
            </w:r>
          </w:p>
        </w:tc>
        <w:tc>
          <w:tcPr>
            <w:tcW w:w="1134" w:type="dxa"/>
            <w:vAlign w:val="center"/>
          </w:tcPr>
          <w:p w:rsidR="001164BE" w:rsidRPr="00421991" w:rsidRDefault="001164BE" w:rsidP="00767FA1">
            <w:pPr>
              <w:pStyle w:val="Tabletext2"/>
              <w:spacing w:before="0" w:after="0"/>
              <w:rPr>
                <w:color w:val="auto"/>
              </w:rPr>
            </w:pPr>
            <w:r w:rsidRPr="00421991">
              <w:rPr>
                <w:color w:val="auto"/>
              </w:rPr>
              <w:t>35%</w:t>
            </w:r>
          </w:p>
        </w:tc>
        <w:tc>
          <w:tcPr>
            <w:tcW w:w="1134" w:type="dxa"/>
            <w:vAlign w:val="center"/>
          </w:tcPr>
          <w:p w:rsidR="001164BE" w:rsidRPr="00421991" w:rsidRDefault="001164BE" w:rsidP="00767FA1">
            <w:pPr>
              <w:pStyle w:val="Tabletext2"/>
              <w:spacing w:before="0" w:after="0"/>
              <w:rPr>
                <w:color w:val="auto"/>
              </w:rPr>
            </w:pPr>
            <w:r w:rsidRPr="00421991">
              <w:rPr>
                <w:color w:val="auto"/>
              </w:rPr>
              <w:t>38%</w:t>
            </w:r>
          </w:p>
        </w:tc>
        <w:tc>
          <w:tcPr>
            <w:tcW w:w="1133" w:type="dxa"/>
            <w:vAlign w:val="center"/>
          </w:tcPr>
          <w:p w:rsidR="001164BE" w:rsidRPr="00421991" w:rsidRDefault="001164BE" w:rsidP="00767FA1">
            <w:pPr>
              <w:pStyle w:val="Tabletext2"/>
              <w:spacing w:before="0" w:after="0"/>
              <w:rPr>
                <w:color w:val="auto"/>
              </w:rPr>
            </w:pPr>
            <w:r w:rsidRPr="00421991">
              <w:rPr>
                <w:color w:val="auto"/>
              </w:rPr>
              <w:t>41%</w:t>
            </w:r>
          </w:p>
        </w:tc>
      </w:tr>
      <w:tr w:rsidR="00767FA1" w:rsidRPr="00421991" w:rsidTr="00767FA1">
        <w:trPr>
          <w:trHeight w:val="60"/>
        </w:trPr>
        <w:tc>
          <w:tcPr>
            <w:tcW w:w="4025" w:type="dxa"/>
            <w:vAlign w:val="center"/>
          </w:tcPr>
          <w:p w:rsidR="001164BE" w:rsidRPr="00421991" w:rsidRDefault="001164BE" w:rsidP="00767FA1">
            <w:pPr>
              <w:pStyle w:val="Tabletext"/>
              <w:spacing w:before="0" w:after="0"/>
              <w:rPr>
                <w:color w:val="auto"/>
              </w:rPr>
            </w:pPr>
            <w:r w:rsidRPr="00421991">
              <w:rPr>
                <w:rStyle w:val="BoldBody"/>
                <w:color w:val="auto"/>
              </w:rPr>
              <w:t>Being hit by moving objects</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11%</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11%</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15%</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12%</w:t>
            </w:r>
          </w:p>
        </w:tc>
        <w:tc>
          <w:tcPr>
            <w:tcW w:w="1133" w:type="dxa"/>
            <w:vAlign w:val="center"/>
          </w:tcPr>
          <w:p w:rsidR="001164BE" w:rsidRPr="00421991" w:rsidRDefault="001164BE" w:rsidP="00767FA1">
            <w:pPr>
              <w:pStyle w:val="Tabletext2"/>
              <w:spacing w:before="0" w:after="0"/>
              <w:rPr>
                <w:color w:val="auto"/>
              </w:rPr>
            </w:pPr>
            <w:r w:rsidRPr="00421991">
              <w:rPr>
                <w:rStyle w:val="BoldBody"/>
                <w:color w:val="auto"/>
              </w:rPr>
              <w:t>12%</w:t>
            </w:r>
          </w:p>
        </w:tc>
      </w:tr>
      <w:tr w:rsidR="00767FA1" w:rsidRPr="00421991" w:rsidTr="00767FA1">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Being hit by moving objects</w:t>
            </w:r>
          </w:p>
        </w:tc>
        <w:tc>
          <w:tcPr>
            <w:tcW w:w="1134" w:type="dxa"/>
            <w:vAlign w:val="center"/>
          </w:tcPr>
          <w:p w:rsidR="001164BE" w:rsidRPr="00421991" w:rsidRDefault="001164BE" w:rsidP="00767FA1">
            <w:pPr>
              <w:pStyle w:val="Tabletext2"/>
              <w:spacing w:before="0" w:after="0"/>
              <w:rPr>
                <w:color w:val="auto"/>
              </w:rPr>
            </w:pPr>
            <w:r w:rsidRPr="00421991">
              <w:rPr>
                <w:color w:val="auto"/>
              </w:rPr>
              <w:t>34%</w:t>
            </w:r>
          </w:p>
        </w:tc>
        <w:tc>
          <w:tcPr>
            <w:tcW w:w="1134" w:type="dxa"/>
            <w:vAlign w:val="center"/>
          </w:tcPr>
          <w:p w:rsidR="001164BE" w:rsidRPr="00421991" w:rsidRDefault="001164BE" w:rsidP="00767FA1">
            <w:pPr>
              <w:pStyle w:val="Tabletext2"/>
              <w:spacing w:before="0" w:after="0"/>
              <w:rPr>
                <w:color w:val="auto"/>
              </w:rPr>
            </w:pPr>
            <w:r w:rsidRPr="00421991">
              <w:rPr>
                <w:color w:val="auto"/>
              </w:rPr>
              <w:t>35%</w:t>
            </w:r>
          </w:p>
        </w:tc>
        <w:tc>
          <w:tcPr>
            <w:tcW w:w="1134" w:type="dxa"/>
            <w:vAlign w:val="center"/>
          </w:tcPr>
          <w:p w:rsidR="001164BE" w:rsidRPr="00421991" w:rsidRDefault="001164BE" w:rsidP="00767FA1">
            <w:pPr>
              <w:pStyle w:val="Tabletext2"/>
              <w:spacing w:before="0" w:after="0"/>
              <w:rPr>
                <w:color w:val="auto"/>
              </w:rPr>
            </w:pPr>
            <w:r w:rsidRPr="00421991">
              <w:rPr>
                <w:color w:val="auto"/>
              </w:rPr>
              <w:t>31%</w:t>
            </w:r>
          </w:p>
        </w:tc>
        <w:tc>
          <w:tcPr>
            <w:tcW w:w="1134" w:type="dxa"/>
            <w:vAlign w:val="center"/>
          </w:tcPr>
          <w:p w:rsidR="001164BE" w:rsidRPr="00421991" w:rsidRDefault="001164BE" w:rsidP="00767FA1">
            <w:pPr>
              <w:pStyle w:val="Tabletext2"/>
              <w:spacing w:before="0" w:after="0"/>
              <w:rPr>
                <w:color w:val="auto"/>
              </w:rPr>
            </w:pPr>
            <w:r w:rsidRPr="00421991">
              <w:rPr>
                <w:color w:val="auto"/>
              </w:rPr>
              <w:t>41%</w:t>
            </w:r>
          </w:p>
        </w:tc>
        <w:tc>
          <w:tcPr>
            <w:tcW w:w="1133" w:type="dxa"/>
            <w:vAlign w:val="center"/>
          </w:tcPr>
          <w:p w:rsidR="001164BE" w:rsidRPr="00421991" w:rsidRDefault="001164BE" w:rsidP="00767FA1">
            <w:pPr>
              <w:pStyle w:val="Tabletext2"/>
              <w:spacing w:before="0" w:after="0"/>
              <w:rPr>
                <w:color w:val="auto"/>
              </w:rPr>
            </w:pPr>
            <w:r w:rsidRPr="00421991">
              <w:rPr>
                <w:color w:val="auto"/>
              </w:rPr>
              <w:t>37%</w:t>
            </w:r>
          </w:p>
        </w:tc>
      </w:tr>
      <w:tr w:rsidR="00767FA1" w:rsidRPr="00421991" w:rsidTr="00767FA1">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Being hit by falling objects</w:t>
            </w:r>
          </w:p>
        </w:tc>
        <w:tc>
          <w:tcPr>
            <w:tcW w:w="1134" w:type="dxa"/>
            <w:vAlign w:val="center"/>
          </w:tcPr>
          <w:p w:rsidR="001164BE" w:rsidRPr="00421991" w:rsidRDefault="001164BE" w:rsidP="00767FA1">
            <w:pPr>
              <w:pStyle w:val="Tabletext2"/>
              <w:spacing w:before="0" w:after="0"/>
              <w:rPr>
                <w:color w:val="auto"/>
              </w:rPr>
            </w:pPr>
            <w:r w:rsidRPr="00421991">
              <w:rPr>
                <w:color w:val="auto"/>
              </w:rPr>
              <w:t>30%</w:t>
            </w:r>
          </w:p>
        </w:tc>
        <w:tc>
          <w:tcPr>
            <w:tcW w:w="1134" w:type="dxa"/>
            <w:vAlign w:val="center"/>
          </w:tcPr>
          <w:p w:rsidR="001164BE" w:rsidRPr="00421991" w:rsidRDefault="001164BE" w:rsidP="00767FA1">
            <w:pPr>
              <w:pStyle w:val="Tabletext2"/>
              <w:spacing w:before="0" w:after="0"/>
              <w:rPr>
                <w:color w:val="auto"/>
              </w:rPr>
            </w:pPr>
            <w:r w:rsidRPr="00421991">
              <w:rPr>
                <w:color w:val="auto"/>
              </w:rPr>
              <w:t>30%</w:t>
            </w:r>
          </w:p>
        </w:tc>
        <w:tc>
          <w:tcPr>
            <w:tcW w:w="1134" w:type="dxa"/>
            <w:vAlign w:val="center"/>
          </w:tcPr>
          <w:p w:rsidR="001164BE" w:rsidRPr="00421991" w:rsidRDefault="001164BE" w:rsidP="00767FA1">
            <w:pPr>
              <w:pStyle w:val="Tabletext2"/>
              <w:spacing w:before="0" w:after="0"/>
              <w:rPr>
                <w:color w:val="auto"/>
              </w:rPr>
            </w:pPr>
            <w:r w:rsidRPr="00421991">
              <w:rPr>
                <w:color w:val="auto"/>
              </w:rPr>
              <w:t>25%</w:t>
            </w:r>
          </w:p>
        </w:tc>
        <w:tc>
          <w:tcPr>
            <w:tcW w:w="1134" w:type="dxa"/>
            <w:vAlign w:val="center"/>
          </w:tcPr>
          <w:p w:rsidR="001164BE" w:rsidRPr="00421991" w:rsidRDefault="001164BE" w:rsidP="00767FA1">
            <w:pPr>
              <w:pStyle w:val="Tabletext2"/>
              <w:spacing w:before="0" w:after="0"/>
              <w:rPr>
                <w:color w:val="auto"/>
              </w:rPr>
            </w:pPr>
            <w:r w:rsidRPr="00421991">
              <w:rPr>
                <w:color w:val="auto"/>
              </w:rPr>
              <w:t>30%</w:t>
            </w:r>
          </w:p>
        </w:tc>
        <w:tc>
          <w:tcPr>
            <w:tcW w:w="1133" w:type="dxa"/>
            <w:vAlign w:val="center"/>
          </w:tcPr>
          <w:p w:rsidR="001164BE" w:rsidRPr="00421991" w:rsidRDefault="001164BE" w:rsidP="00767FA1">
            <w:pPr>
              <w:pStyle w:val="Tabletext2"/>
              <w:spacing w:before="0" w:after="0"/>
              <w:rPr>
                <w:color w:val="auto"/>
              </w:rPr>
            </w:pPr>
            <w:r w:rsidRPr="00421991">
              <w:rPr>
                <w:color w:val="auto"/>
              </w:rPr>
              <w:t>29%</w:t>
            </w:r>
          </w:p>
        </w:tc>
      </w:tr>
      <w:tr w:rsidR="00767FA1" w:rsidRPr="00421991" w:rsidTr="00767FA1">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Being assaulted by a person or persons</w:t>
            </w:r>
          </w:p>
        </w:tc>
        <w:tc>
          <w:tcPr>
            <w:tcW w:w="1134" w:type="dxa"/>
            <w:vAlign w:val="center"/>
          </w:tcPr>
          <w:p w:rsidR="001164BE" w:rsidRPr="00421991" w:rsidRDefault="001164BE" w:rsidP="00767FA1">
            <w:pPr>
              <w:pStyle w:val="Tabletext2"/>
              <w:spacing w:before="0" w:after="0"/>
              <w:rPr>
                <w:color w:val="auto"/>
              </w:rPr>
            </w:pPr>
            <w:r w:rsidRPr="00421991">
              <w:rPr>
                <w:color w:val="auto"/>
              </w:rPr>
              <w:t>11%</w:t>
            </w:r>
          </w:p>
        </w:tc>
        <w:tc>
          <w:tcPr>
            <w:tcW w:w="1134" w:type="dxa"/>
            <w:vAlign w:val="center"/>
          </w:tcPr>
          <w:p w:rsidR="001164BE" w:rsidRPr="00421991" w:rsidRDefault="001164BE" w:rsidP="00767FA1">
            <w:pPr>
              <w:pStyle w:val="Tabletext2"/>
              <w:spacing w:before="0" w:after="0"/>
              <w:rPr>
                <w:color w:val="auto"/>
              </w:rPr>
            </w:pPr>
            <w:r w:rsidRPr="00421991">
              <w:rPr>
                <w:color w:val="auto"/>
              </w:rPr>
              <w:t>13%</w:t>
            </w:r>
          </w:p>
        </w:tc>
        <w:tc>
          <w:tcPr>
            <w:tcW w:w="1134" w:type="dxa"/>
            <w:vAlign w:val="center"/>
          </w:tcPr>
          <w:p w:rsidR="001164BE" w:rsidRPr="00421991" w:rsidRDefault="001164BE" w:rsidP="00767FA1">
            <w:pPr>
              <w:pStyle w:val="Tabletext2"/>
              <w:spacing w:before="0" w:after="0"/>
              <w:rPr>
                <w:color w:val="auto"/>
              </w:rPr>
            </w:pPr>
            <w:r w:rsidRPr="00421991">
              <w:rPr>
                <w:color w:val="auto"/>
              </w:rPr>
              <w:t>27%</w:t>
            </w:r>
          </w:p>
        </w:tc>
        <w:tc>
          <w:tcPr>
            <w:tcW w:w="1134" w:type="dxa"/>
            <w:vAlign w:val="center"/>
          </w:tcPr>
          <w:p w:rsidR="001164BE" w:rsidRPr="00421991" w:rsidRDefault="001164BE" w:rsidP="00767FA1">
            <w:pPr>
              <w:pStyle w:val="Tabletext2"/>
              <w:spacing w:before="0" w:after="0"/>
              <w:rPr>
                <w:color w:val="auto"/>
              </w:rPr>
            </w:pPr>
            <w:r w:rsidRPr="00421991">
              <w:rPr>
                <w:color w:val="auto"/>
              </w:rPr>
              <w:t>8%</w:t>
            </w:r>
          </w:p>
        </w:tc>
        <w:tc>
          <w:tcPr>
            <w:tcW w:w="1133" w:type="dxa"/>
            <w:vAlign w:val="center"/>
          </w:tcPr>
          <w:p w:rsidR="001164BE" w:rsidRPr="00421991" w:rsidRDefault="001164BE" w:rsidP="00767FA1">
            <w:pPr>
              <w:pStyle w:val="Tabletext2"/>
              <w:spacing w:before="0" w:after="0"/>
              <w:rPr>
                <w:color w:val="auto"/>
              </w:rPr>
            </w:pPr>
            <w:r w:rsidRPr="00421991">
              <w:rPr>
                <w:color w:val="auto"/>
              </w:rPr>
              <w:t>13%</w:t>
            </w:r>
          </w:p>
        </w:tc>
      </w:tr>
      <w:tr w:rsidR="00767FA1" w:rsidRPr="00421991" w:rsidTr="00767FA1">
        <w:trPr>
          <w:trHeight w:val="60"/>
        </w:trPr>
        <w:tc>
          <w:tcPr>
            <w:tcW w:w="4025" w:type="dxa"/>
            <w:vAlign w:val="center"/>
          </w:tcPr>
          <w:p w:rsidR="001164BE" w:rsidRPr="00421991" w:rsidRDefault="001164BE" w:rsidP="00767FA1">
            <w:pPr>
              <w:pStyle w:val="Tabletext"/>
              <w:spacing w:before="0" w:after="0"/>
              <w:rPr>
                <w:color w:val="auto"/>
              </w:rPr>
            </w:pPr>
            <w:r w:rsidRPr="00421991">
              <w:rPr>
                <w:rStyle w:val="BoldBody"/>
                <w:color w:val="auto"/>
              </w:rPr>
              <w:t>Heat, electricity and other environmental factors</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4%</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4%</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6%</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11%</w:t>
            </w:r>
          </w:p>
        </w:tc>
        <w:tc>
          <w:tcPr>
            <w:tcW w:w="1133" w:type="dxa"/>
            <w:vAlign w:val="center"/>
          </w:tcPr>
          <w:p w:rsidR="001164BE" w:rsidRPr="00421991" w:rsidRDefault="001164BE" w:rsidP="00767FA1">
            <w:pPr>
              <w:pStyle w:val="Tabletext2"/>
              <w:spacing w:before="0" w:after="0"/>
              <w:rPr>
                <w:color w:val="auto"/>
              </w:rPr>
            </w:pPr>
            <w:r w:rsidRPr="00421991">
              <w:rPr>
                <w:rStyle w:val="BoldBody"/>
                <w:color w:val="auto"/>
              </w:rPr>
              <w:t>7%</w:t>
            </w:r>
          </w:p>
        </w:tc>
      </w:tr>
      <w:tr w:rsidR="00767FA1" w:rsidRPr="00421991" w:rsidTr="00767FA1">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Contact with hot objects</w:t>
            </w:r>
          </w:p>
        </w:tc>
        <w:tc>
          <w:tcPr>
            <w:tcW w:w="1134" w:type="dxa"/>
            <w:vAlign w:val="center"/>
          </w:tcPr>
          <w:p w:rsidR="001164BE" w:rsidRPr="00421991" w:rsidRDefault="001164BE" w:rsidP="00767FA1">
            <w:pPr>
              <w:pStyle w:val="Tabletext2"/>
              <w:spacing w:before="0" w:after="0"/>
              <w:rPr>
                <w:color w:val="auto"/>
              </w:rPr>
            </w:pPr>
            <w:r w:rsidRPr="00421991">
              <w:rPr>
                <w:color w:val="auto"/>
              </w:rPr>
              <w:t>92%</w:t>
            </w:r>
          </w:p>
        </w:tc>
        <w:tc>
          <w:tcPr>
            <w:tcW w:w="1134" w:type="dxa"/>
            <w:vAlign w:val="center"/>
          </w:tcPr>
          <w:p w:rsidR="001164BE" w:rsidRPr="00421991" w:rsidRDefault="001164BE" w:rsidP="00767FA1">
            <w:pPr>
              <w:pStyle w:val="Tabletext2"/>
              <w:spacing w:before="0" w:after="0"/>
              <w:rPr>
                <w:color w:val="auto"/>
              </w:rPr>
            </w:pPr>
            <w:r w:rsidRPr="00421991">
              <w:rPr>
                <w:color w:val="auto"/>
              </w:rPr>
              <w:t>93%</w:t>
            </w:r>
          </w:p>
        </w:tc>
        <w:tc>
          <w:tcPr>
            <w:tcW w:w="1134" w:type="dxa"/>
            <w:vAlign w:val="center"/>
          </w:tcPr>
          <w:p w:rsidR="001164BE" w:rsidRPr="00421991" w:rsidRDefault="001164BE" w:rsidP="00767FA1">
            <w:pPr>
              <w:pStyle w:val="Tabletext2"/>
              <w:spacing w:before="0" w:after="0"/>
              <w:rPr>
                <w:color w:val="auto"/>
              </w:rPr>
            </w:pPr>
            <w:r w:rsidRPr="00421991">
              <w:rPr>
                <w:color w:val="auto"/>
              </w:rPr>
              <w:t>94%</w:t>
            </w:r>
          </w:p>
        </w:tc>
        <w:tc>
          <w:tcPr>
            <w:tcW w:w="1134" w:type="dxa"/>
            <w:vAlign w:val="center"/>
          </w:tcPr>
          <w:p w:rsidR="001164BE" w:rsidRPr="00421991" w:rsidRDefault="001164BE" w:rsidP="00767FA1">
            <w:pPr>
              <w:pStyle w:val="Tabletext2"/>
              <w:spacing w:before="0" w:after="0"/>
              <w:rPr>
                <w:color w:val="auto"/>
              </w:rPr>
            </w:pPr>
            <w:r w:rsidRPr="00421991">
              <w:rPr>
                <w:color w:val="auto"/>
              </w:rPr>
              <w:t>97%</w:t>
            </w:r>
          </w:p>
        </w:tc>
        <w:tc>
          <w:tcPr>
            <w:tcW w:w="1133" w:type="dxa"/>
            <w:vAlign w:val="center"/>
          </w:tcPr>
          <w:p w:rsidR="001164BE" w:rsidRPr="00421991" w:rsidRDefault="001164BE" w:rsidP="00767FA1">
            <w:pPr>
              <w:pStyle w:val="Tabletext2"/>
              <w:spacing w:before="0" w:after="0"/>
              <w:rPr>
                <w:color w:val="auto"/>
              </w:rPr>
            </w:pPr>
            <w:r w:rsidRPr="00421991">
              <w:rPr>
                <w:color w:val="auto"/>
              </w:rPr>
              <w:t>96%</w:t>
            </w:r>
          </w:p>
        </w:tc>
      </w:tr>
      <w:tr w:rsidR="00767FA1" w:rsidRPr="00421991" w:rsidTr="00767FA1">
        <w:trPr>
          <w:trHeight w:val="60"/>
        </w:trPr>
        <w:tc>
          <w:tcPr>
            <w:tcW w:w="4025" w:type="dxa"/>
            <w:vAlign w:val="center"/>
          </w:tcPr>
          <w:p w:rsidR="001164BE" w:rsidRPr="00421991" w:rsidRDefault="001164BE" w:rsidP="00767FA1">
            <w:pPr>
              <w:pStyle w:val="Tabletext"/>
              <w:spacing w:before="0" w:after="0"/>
              <w:rPr>
                <w:color w:val="auto"/>
              </w:rPr>
            </w:pPr>
            <w:r w:rsidRPr="00421991">
              <w:rPr>
                <w:rStyle w:val="BoldBody"/>
                <w:color w:val="auto"/>
              </w:rPr>
              <w:t>Vehicle incidents and other</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5%</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5%</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6%</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5%</w:t>
            </w:r>
          </w:p>
        </w:tc>
        <w:tc>
          <w:tcPr>
            <w:tcW w:w="1133" w:type="dxa"/>
            <w:vAlign w:val="center"/>
          </w:tcPr>
          <w:p w:rsidR="001164BE" w:rsidRPr="00421991" w:rsidRDefault="001164BE" w:rsidP="00767FA1">
            <w:pPr>
              <w:pStyle w:val="Tabletext2"/>
              <w:spacing w:before="0" w:after="0"/>
              <w:rPr>
                <w:color w:val="auto"/>
              </w:rPr>
            </w:pPr>
            <w:r w:rsidRPr="00421991">
              <w:rPr>
                <w:rStyle w:val="BoldBody"/>
                <w:color w:val="auto"/>
              </w:rPr>
              <w:t>5%</w:t>
            </w:r>
          </w:p>
        </w:tc>
      </w:tr>
      <w:tr w:rsidR="00767FA1" w:rsidRPr="00421991" w:rsidTr="00767FA1">
        <w:trPr>
          <w:trHeight w:val="60"/>
        </w:trPr>
        <w:tc>
          <w:tcPr>
            <w:tcW w:w="4025" w:type="dxa"/>
            <w:vAlign w:val="center"/>
          </w:tcPr>
          <w:p w:rsidR="001164BE" w:rsidRPr="00421991" w:rsidRDefault="001164BE" w:rsidP="00767FA1">
            <w:pPr>
              <w:pStyle w:val="Tabletext"/>
              <w:spacing w:before="0" w:after="0"/>
              <w:rPr>
                <w:color w:val="auto"/>
              </w:rPr>
            </w:pPr>
            <w:r w:rsidRPr="00421991">
              <w:rPr>
                <w:rStyle w:val="BoldBody"/>
                <w:color w:val="auto"/>
              </w:rPr>
              <w:t>Mental stress</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8%</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3%</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7%</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3%</w:t>
            </w:r>
          </w:p>
        </w:tc>
        <w:tc>
          <w:tcPr>
            <w:tcW w:w="1133" w:type="dxa"/>
            <w:vAlign w:val="center"/>
          </w:tcPr>
          <w:p w:rsidR="001164BE" w:rsidRPr="00421991" w:rsidRDefault="001164BE" w:rsidP="00767FA1">
            <w:pPr>
              <w:pStyle w:val="Tabletext2"/>
              <w:spacing w:before="0" w:after="0"/>
              <w:rPr>
                <w:color w:val="auto"/>
              </w:rPr>
            </w:pPr>
            <w:r w:rsidRPr="00421991">
              <w:rPr>
                <w:rStyle w:val="BoldBody"/>
                <w:color w:val="auto"/>
              </w:rPr>
              <w:t>4%</w:t>
            </w:r>
          </w:p>
        </w:tc>
      </w:tr>
      <w:tr w:rsidR="00767FA1" w:rsidRPr="00421991" w:rsidTr="00767FA1">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Exposure to workplace or occupational violence</w:t>
            </w:r>
          </w:p>
        </w:tc>
        <w:tc>
          <w:tcPr>
            <w:tcW w:w="1134" w:type="dxa"/>
            <w:vAlign w:val="center"/>
          </w:tcPr>
          <w:p w:rsidR="001164BE" w:rsidRPr="00421991" w:rsidRDefault="001164BE" w:rsidP="00767FA1">
            <w:pPr>
              <w:pStyle w:val="Tabletext2"/>
              <w:spacing w:before="0" w:after="0"/>
              <w:rPr>
                <w:color w:val="auto"/>
              </w:rPr>
            </w:pPr>
            <w:r w:rsidRPr="00421991">
              <w:rPr>
                <w:color w:val="auto"/>
              </w:rPr>
              <w:t>32%</w:t>
            </w:r>
          </w:p>
        </w:tc>
        <w:tc>
          <w:tcPr>
            <w:tcW w:w="1134" w:type="dxa"/>
            <w:vAlign w:val="center"/>
          </w:tcPr>
          <w:p w:rsidR="001164BE" w:rsidRPr="00421991" w:rsidRDefault="001164BE" w:rsidP="00767FA1">
            <w:pPr>
              <w:pStyle w:val="Tabletext2"/>
              <w:spacing w:before="0" w:after="0"/>
              <w:rPr>
                <w:color w:val="auto"/>
              </w:rPr>
            </w:pPr>
            <w:r w:rsidRPr="00421991">
              <w:rPr>
                <w:color w:val="auto"/>
              </w:rPr>
              <w:t>15%</w:t>
            </w:r>
          </w:p>
        </w:tc>
        <w:tc>
          <w:tcPr>
            <w:tcW w:w="1134" w:type="dxa"/>
            <w:vAlign w:val="center"/>
          </w:tcPr>
          <w:p w:rsidR="001164BE" w:rsidRPr="00421991" w:rsidRDefault="001164BE" w:rsidP="00767FA1">
            <w:pPr>
              <w:pStyle w:val="Tabletext2"/>
              <w:spacing w:before="0" w:after="0"/>
              <w:rPr>
                <w:color w:val="auto"/>
              </w:rPr>
            </w:pPr>
            <w:r w:rsidRPr="00421991">
              <w:rPr>
                <w:color w:val="auto"/>
              </w:rPr>
              <w:t>46%</w:t>
            </w:r>
          </w:p>
        </w:tc>
        <w:tc>
          <w:tcPr>
            <w:tcW w:w="1134" w:type="dxa"/>
            <w:vAlign w:val="center"/>
          </w:tcPr>
          <w:p w:rsidR="001164BE" w:rsidRPr="00421991" w:rsidRDefault="001164BE" w:rsidP="00767FA1">
            <w:pPr>
              <w:pStyle w:val="Tabletext2"/>
              <w:spacing w:before="0" w:after="0"/>
              <w:rPr>
                <w:color w:val="auto"/>
              </w:rPr>
            </w:pPr>
            <w:r w:rsidRPr="00421991">
              <w:rPr>
                <w:color w:val="auto"/>
              </w:rPr>
              <w:t>23%</w:t>
            </w:r>
          </w:p>
        </w:tc>
        <w:tc>
          <w:tcPr>
            <w:tcW w:w="1133" w:type="dxa"/>
            <w:vAlign w:val="center"/>
          </w:tcPr>
          <w:p w:rsidR="001164BE" w:rsidRPr="00421991" w:rsidRDefault="001164BE" w:rsidP="00767FA1">
            <w:pPr>
              <w:pStyle w:val="Tabletext2"/>
              <w:spacing w:before="0" w:after="0"/>
              <w:rPr>
                <w:color w:val="auto"/>
              </w:rPr>
            </w:pPr>
            <w:r w:rsidRPr="00421991">
              <w:rPr>
                <w:color w:val="auto"/>
              </w:rPr>
              <w:t>30%</w:t>
            </w:r>
          </w:p>
        </w:tc>
      </w:tr>
      <w:tr w:rsidR="00767FA1" w:rsidRPr="00421991" w:rsidTr="00767FA1">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Work related harassment and/or workplace bullying</w:t>
            </w:r>
          </w:p>
        </w:tc>
        <w:tc>
          <w:tcPr>
            <w:tcW w:w="1134" w:type="dxa"/>
            <w:vAlign w:val="center"/>
          </w:tcPr>
          <w:p w:rsidR="001164BE" w:rsidRPr="00421991" w:rsidRDefault="001164BE" w:rsidP="00767FA1">
            <w:pPr>
              <w:pStyle w:val="Tabletext2"/>
              <w:spacing w:before="0" w:after="0"/>
              <w:rPr>
                <w:color w:val="auto"/>
              </w:rPr>
            </w:pPr>
            <w:r w:rsidRPr="00421991">
              <w:rPr>
                <w:color w:val="auto"/>
              </w:rPr>
              <w:t>28%</w:t>
            </w:r>
          </w:p>
        </w:tc>
        <w:tc>
          <w:tcPr>
            <w:tcW w:w="1134" w:type="dxa"/>
            <w:vAlign w:val="center"/>
          </w:tcPr>
          <w:p w:rsidR="001164BE" w:rsidRPr="00421991" w:rsidRDefault="001164BE" w:rsidP="00767FA1">
            <w:pPr>
              <w:pStyle w:val="Tabletext2"/>
              <w:spacing w:before="0" w:after="0"/>
              <w:rPr>
                <w:color w:val="auto"/>
              </w:rPr>
            </w:pPr>
            <w:r w:rsidRPr="00421991">
              <w:rPr>
                <w:color w:val="auto"/>
              </w:rPr>
              <w:t>20%</w:t>
            </w:r>
          </w:p>
        </w:tc>
        <w:tc>
          <w:tcPr>
            <w:tcW w:w="1134" w:type="dxa"/>
            <w:vAlign w:val="center"/>
          </w:tcPr>
          <w:p w:rsidR="001164BE" w:rsidRPr="00421991" w:rsidRDefault="001164BE" w:rsidP="00767FA1">
            <w:pPr>
              <w:pStyle w:val="Tabletext2"/>
              <w:spacing w:before="0" w:after="0"/>
              <w:rPr>
                <w:color w:val="auto"/>
              </w:rPr>
            </w:pPr>
            <w:r w:rsidRPr="00421991">
              <w:rPr>
                <w:color w:val="auto"/>
              </w:rPr>
              <w:t>13%</w:t>
            </w:r>
          </w:p>
        </w:tc>
        <w:tc>
          <w:tcPr>
            <w:tcW w:w="1134" w:type="dxa"/>
            <w:vAlign w:val="center"/>
          </w:tcPr>
          <w:p w:rsidR="001164BE" w:rsidRPr="00421991" w:rsidRDefault="001164BE" w:rsidP="00767FA1">
            <w:pPr>
              <w:pStyle w:val="Tabletext2"/>
              <w:spacing w:before="0" w:after="0"/>
              <w:rPr>
                <w:color w:val="auto"/>
              </w:rPr>
            </w:pPr>
            <w:r w:rsidRPr="00421991">
              <w:rPr>
                <w:color w:val="auto"/>
              </w:rPr>
              <w:t>23%</w:t>
            </w:r>
          </w:p>
        </w:tc>
        <w:tc>
          <w:tcPr>
            <w:tcW w:w="1133" w:type="dxa"/>
            <w:vAlign w:val="center"/>
          </w:tcPr>
          <w:p w:rsidR="001164BE" w:rsidRPr="00421991" w:rsidRDefault="001164BE" w:rsidP="00767FA1">
            <w:pPr>
              <w:pStyle w:val="Tabletext2"/>
              <w:spacing w:before="0" w:after="0"/>
              <w:rPr>
                <w:color w:val="auto"/>
              </w:rPr>
            </w:pPr>
            <w:r w:rsidRPr="00421991">
              <w:rPr>
                <w:color w:val="auto"/>
              </w:rPr>
              <w:t>21%</w:t>
            </w:r>
          </w:p>
        </w:tc>
      </w:tr>
      <w:tr w:rsidR="00767FA1" w:rsidRPr="00421991" w:rsidTr="00767FA1">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Work pressure</w:t>
            </w:r>
          </w:p>
        </w:tc>
        <w:tc>
          <w:tcPr>
            <w:tcW w:w="1134" w:type="dxa"/>
            <w:vAlign w:val="center"/>
          </w:tcPr>
          <w:p w:rsidR="001164BE" w:rsidRPr="00421991" w:rsidRDefault="001164BE" w:rsidP="00767FA1">
            <w:pPr>
              <w:pStyle w:val="Tabletext2"/>
              <w:spacing w:before="0" w:after="0"/>
              <w:rPr>
                <w:color w:val="auto"/>
              </w:rPr>
            </w:pPr>
            <w:r w:rsidRPr="00421991">
              <w:rPr>
                <w:color w:val="auto"/>
              </w:rPr>
              <w:t>14%</w:t>
            </w:r>
          </w:p>
        </w:tc>
        <w:tc>
          <w:tcPr>
            <w:tcW w:w="1134" w:type="dxa"/>
            <w:vAlign w:val="center"/>
          </w:tcPr>
          <w:p w:rsidR="001164BE" w:rsidRPr="00421991" w:rsidRDefault="001164BE" w:rsidP="00767FA1">
            <w:pPr>
              <w:pStyle w:val="Tabletext2"/>
              <w:spacing w:before="0" w:after="0"/>
              <w:rPr>
                <w:color w:val="auto"/>
              </w:rPr>
            </w:pPr>
            <w:r w:rsidRPr="00421991">
              <w:rPr>
                <w:color w:val="auto"/>
              </w:rPr>
              <w:t>18%</w:t>
            </w:r>
          </w:p>
        </w:tc>
        <w:tc>
          <w:tcPr>
            <w:tcW w:w="1134" w:type="dxa"/>
            <w:vAlign w:val="center"/>
          </w:tcPr>
          <w:p w:rsidR="001164BE" w:rsidRPr="00421991" w:rsidRDefault="001164BE" w:rsidP="00767FA1">
            <w:pPr>
              <w:pStyle w:val="Tabletext2"/>
              <w:spacing w:before="0" w:after="0"/>
              <w:rPr>
                <w:color w:val="auto"/>
              </w:rPr>
            </w:pPr>
            <w:r w:rsidRPr="00421991">
              <w:rPr>
                <w:color w:val="auto"/>
              </w:rPr>
              <w:t>17%</w:t>
            </w:r>
          </w:p>
        </w:tc>
        <w:tc>
          <w:tcPr>
            <w:tcW w:w="1134" w:type="dxa"/>
            <w:vAlign w:val="center"/>
          </w:tcPr>
          <w:p w:rsidR="001164BE" w:rsidRPr="00421991" w:rsidRDefault="001164BE" w:rsidP="00767FA1">
            <w:pPr>
              <w:pStyle w:val="Tabletext2"/>
              <w:spacing w:before="0" w:after="0"/>
              <w:rPr>
                <w:color w:val="auto"/>
              </w:rPr>
            </w:pPr>
            <w:r w:rsidRPr="00421991">
              <w:rPr>
                <w:color w:val="auto"/>
              </w:rPr>
              <w:t>16%</w:t>
            </w:r>
          </w:p>
        </w:tc>
        <w:tc>
          <w:tcPr>
            <w:tcW w:w="1133" w:type="dxa"/>
            <w:vAlign w:val="center"/>
          </w:tcPr>
          <w:p w:rsidR="001164BE" w:rsidRPr="00421991" w:rsidRDefault="001164BE" w:rsidP="00767FA1">
            <w:pPr>
              <w:pStyle w:val="Tabletext2"/>
              <w:spacing w:before="0" w:after="0"/>
              <w:rPr>
                <w:color w:val="auto"/>
              </w:rPr>
            </w:pPr>
            <w:r w:rsidRPr="00421991">
              <w:rPr>
                <w:color w:val="auto"/>
              </w:rPr>
              <w:t>16%</w:t>
            </w:r>
          </w:p>
        </w:tc>
      </w:tr>
      <w:tr w:rsidR="00767FA1" w:rsidRPr="00421991" w:rsidTr="00767FA1">
        <w:trPr>
          <w:trHeight w:val="60"/>
        </w:trPr>
        <w:tc>
          <w:tcPr>
            <w:tcW w:w="4025" w:type="dxa"/>
            <w:vAlign w:val="center"/>
          </w:tcPr>
          <w:p w:rsidR="001164BE" w:rsidRPr="00421991" w:rsidRDefault="001164BE" w:rsidP="00767FA1">
            <w:pPr>
              <w:pStyle w:val="Tabletext"/>
              <w:spacing w:before="0" w:after="0"/>
              <w:rPr>
                <w:color w:val="auto"/>
              </w:rPr>
            </w:pPr>
            <w:r w:rsidRPr="00421991">
              <w:rPr>
                <w:rStyle w:val="BoldBody"/>
                <w:color w:val="auto"/>
              </w:rPr>
              <w:t>Chemicals and other substances</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1%</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2%</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1%</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1%</w:t>
            </w:r>
          </w:p>
        </w:tc>
        <w:tc>
          <w:tcPr>
            <w:tcW w:w="1133" w:type="dxa"/>
            <w:vAlign w:val="center"/>
          </w:tcPr>
          <w:p w:rsidR="001164BE" w:rsidRPr="00421991" w:rsidRDefault="001164BE" w:rsidP="00767FA1">
            <w:pPr>
              <w:pStyle w:val="Tabletext2"/>
              <w:spacing w:before="0" w:after="0"/>
              <w:rPr>
                <w:color w:val="auto"/>
              </w:rPr>
            </w:pPr>
            <w:r w:rsidRPr="00421991">
              <w:rPr>
                <w:rStyle w:val="BoldBody"/>
                <w:color w:val="auto"/>
              </w:rPr>
              <w:t>1%</w:t>
            </w:r>
          </w:p>
        </w:tc>
      </w:tr>
      <w:tr w:rsidR="00767FA1" w:rsidRPr="00421991" w:rsidTr="00767FA1">
        <w:trPr>
          <w:trHeight w:val="60"/>
        </w:trPr>
        <w:tc>
          <w:tcPr>
            <w:tcW w:w="4025" w:type="dxa"/>
            <w:vAlign w:val="center"/>
          </w:tcPr>
          <w:p w:rsidR="001164BE" w:rsidRPr="00421991" w:rsidRDefault="001164BE" w:rsidP="00767FA1">
            <w:pPr>
              <w:pStyle w:val="Tabletext"/>
              <w:spacing w:before="0" w:after="0"/>
              <w:rPr>
                <w:color w:val="auto"/>
              </w:rPr>
            </w:pPr>
            <w:r w:rsidRPr="00421991">
              <w:rPr>
                <w:rStyle w:val="BoldBody"/>
                <w:color w:val="auto"/>
              </w:rPr>
              <w:t>Total</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100%</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100%</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100%</w:t>
            </w:r>
          </w:p>
        </w:tc>
        <w:tc>
          <w:tcPr>
            <w:tcW w:w="1134" w:type="dxa"/>
            <w:vAlign w:val="center"/>
          </w:tcPr>
          <w:p w:rsidR="001164BE" w:rsidRPr="00421991" w:rsidRDefault="001164BE" w:rsidP="00767FA1">
            <w:pPr>
              <w:pStyle w:val="Tabletext2"/>
              <w:spacing w:before="0" w:after="0"/>
              <w:rPr>
                <w:color w:val="auto"/>
              </w:rPr>
            </w:pPr>
            <w:r w:rsidRPr="00421991">
              <w:rPr>
                <w:rStyle w:val="BoldBody"/>
                <w:color w:val="auto"/>
              </w:rPr>
              <w:t>100%</w:t>
            </w:r>
          </w:p>
        </w:tc>
        <w:tc>
          <w:tcPr>
            <w:tcW w:w="1133" w:type="dxa"/>
            <w:vAlign w:val="center"/>
          </w:tcPr>
          <w:p w:rsidR="001164BE" w:rsidRPr="00421991" w:rsidRDefault="001164BE" w:rsidP="00767FA1">
            <w:pPr>
              <w:pStyle w:val="Tabletext2"/>
              <w:spacing w:before="0" w:after="0"/>
              <w:rPr>
                <w:color w:val="auto"/>
              </w:rPr>
            </w:pPr>
            <w:r w:rsidRPr="00421991">
              <w:rPr>
                <w:rStyle w:val="BoldBody"/>
                <w:color w:val="auto"/>
              </w:rPr>
              <w:t>100%</w:t>
            </w:r>
          </w:p>
        </w:tc>
      </w:tr>
    </w:tbl>
    <w:p w:rsidR="001164BE" w:rsidRPr="00421991" w:rsidRDefault="001164BE" w:rsidP="001164BE">
      <w:pPr>
        <w:pStyle w:val="FootnoteFiguresandtables"/>
        <w:rPr>
          <w:color w:val="auto"/>
        </w:rPr>
      </w:pPr>
      <w:r w:rsidRPr="00421991">
        <w:rPr>
          <w:color w:val="auto"/>
        </w:rPr>
        <w:t>Columns may not add up to 100% because the table outlines selected mechanisms of injury or disease.</w:t>
      </w:r>
    </w:p>
    <w:p w:rsidR="001164BE" w:rsidRPr="00421991" w:rsidRDefault="001164BE" w:rsidP="001164BE">
      <w:pPr>
        <w:pStyle w:val="FootnoteFiguresandtables"/>
        <w:rPr>
          <w:color w:val="auto"/>
        </w:rPr>
      </w:pPr>
      <w:r w:rsidRPr="00421991">
        <w:rPr>
          <w:color w:val="auto"/>
        </w:rPr>
        <w:t>Source: National Data Set for Compensation-Based Statistics.</w:t>
      </w:r>
    </w:p>
    <w:p w:rsidR="001164BE" w:rsidRPr="00421991" w:rsidRDefault="001164BE" w:rsidP="00DD2ECE">
      <w:pPr>
        <w:pStyle w:val="Heading3"/>
      </w:pPr>
      <w:bookmarkStart w:id="32" w:name="_Toc419453270"/>
      <w:bookmarkStart w:id="33" w:name="_Toc426441688"/>
      <w:r w:rsidRPr="00421991">
        <w:t>Mechanism of injuries and diseases by sex</w:t>
      </w:r>
      <w:bookmarkEnd w:id="32"/>
      <w:bookmarkEnd w:id="33"/>
    </w:p>
    <w:p w:rsidR="001164BE" w:rsidRPr="00421991" w:rsidRDefault="001164BE" w:rsidP="001164BE">
      <w:pPr>
        <w:pStyle w:val="TextBody"/>
        <w:rPr>
          <w:color w:val="auto"/>
        </w:rPr>
      </w:pPr>
      <w:r w:rsidRPr="00421991">
        <w:rPr>
          <w:color w:val="auto"/>
        </w:rPr>
        <w:t>There were two marked differences in the way in which female and male employees sustained injuries and diseases that led to serious claims. Compared with male employees, a significantly higher proportion of female employees were compensated for injuries and diseases caused by falls, trips and slips of a person (29% versus 19% for males). Compared with female employees, a substantially higher proportion of male employees were compensated for injuries and diseases caused by hitting objects with a part of the body (16% versus 10% for females). Table 4 outlines the percentage of serious claims for female and male employees by mechanism of injury or disease for 2010–11 to 2012–13.</w:t>
      </w:r>
    </w:p>
    <w:p w:rsidR="001164BE" w:rsidRPr="00421991" w:rsidRDefault="001164BE" w:rsidP="001164BE">
      <w:pPr>
        <w:pStyle w:val="Tabletitle"/>
        <w:rPr>
          <w:color w:val="auto"/>
        </w:rPr>
      </w:pPr>
      <w:r w:rsidRPr="00421991">
        <w:rPr>
          <w:color w:val="auto"/>
        </w:rPr>
        <w:t>Table 4: Serious claims in accommodation and food services industry: percentage of serious claims for female and male employees by mechanism of injury or disease, 2010–11 to 2012–13 combined</w:t>
      </w:r>
    </w:p>
    <w:tbl>
      <w:tblPr>
        <w:tblStyle w:val="TableGrid"/>
        <w:tblW w:w="0" w:type="auto"/>
        <w:tblLayout w:type="fixed"/>
        <w:tblLook w:val="0000" w:firstRow="0" w:lastRow="0" w:firstColumn="0" w:lastColumn="0" w:noHBand="0" w:noVBand="0"/>
        <w:tblCaption w:val="Table 4: Serious claims in accommodation and food services industry: percentage of serious claims for female and male employees by mechanism of injury or disease, 2010–11 to 2012–13 combined"/>
      </w:tblPr>
      <w:tblGrid>
        <w:gridCol w:w="6283"/>
        <w:gridCol w:w="1134"/>
        <w:gridCol w:w="1134"/>
        <w:gridCol w:w="1133"/>
      </w:tblGrid>
      <w:tr w:rsidR="0000553D" w:rsidRPr="00421991" w:rsidTr="00681892">
        <w:trPr>
          <w:trHeight w:val="60"/>
          <w:tblHeader/>
        </w:trPr>
        <w:tc>
          <w:tcPr>
            <w:tcW w:w="6283" w:type="dxa"/>
            <w:vAlign w:val="center"/>
          </w:tcPr>
          <w:p w:rsidR="001164BE" w:rsidRPr="00421991" w:rsidRDefault="001164BE" w:rsidP="00767FA1">
            <w:pPr>
              <w:pStyle w:val="Tabletext2"/>
              <w:spacing w:before="0" w:after="0"/>
              <w:jc w:val="left"/>
              <w:rPr>
                <w:color w:val="auto"/>
              </w:rPr>
            </w:pPr>
            <w:r w:rsidRPr="0000553D">
              <w:rPr>
                <w:b/>
                <w:bCs/>
              </w:rPr>
              <w:t>Mechanism of injury or disease</w:t>
            </w:r>
          </w:p>
        </w:tc>
        <w:tc>
          <w:tcPr>
            <w:tcW w:w="1134" w:type="dxa"/>
            <w:vAlign w:val="center"/>
          </w:tcPr>
          <w:p w:rsidR="001164BE" w:rsidRPr="00421991" w:rsidRDefault="001164BE" w:rsidP="00CF3859">
            <w:pPr>
              <w:pStyle w:val="Tabletext2"/>
              <w:spacing w:before="0" w:after="0"/>
              <w:rPr>
                <w:color w:val="auto"/>
              </w:rPr>
            </w:pPr>
            <w:r w:rsidRPr="0000553D">
              <w:rPr>
                <w:b/>
                <w:bCs/>
              </w:rPr>
              <w:t>Female</w:t>
            </w:r>
          </w:p>
        </w:tc>
        <w:tc>
          <w:tcPr>
            <w:tcW w:w="1134" w:type="dxa"/>
            <w:vAlign w:val="center"/>
          </w:tcPr>
          <w:p w:rsidR="001164BE" w:rsidRPr="00421991" w:rsidRDefault="001164BE" w:rsidP="00CF3859">
            <w:pPr>
              <w:pStyle w:val="Tabletext2"/>
              <w:spacing w:before="0" w:after="0"/>
              <w:rPr>
                <w:color w:val="auto"/>
              </w:rPr>
            </w:pPr>
            <w:r w:rsidRPr="0000553D">
              <w:rPr>
                <w:b/>
                <w:bCs/>
              </w:rPr>
              <w:t>Male</w:t>
            </w:r>
          </w:p>
        </w:tc>
        <w:tc>
          <w:tcPr>
            <w:tcW w:w="1133" w:type="dxa"/>
            <w:vAlign w:val="center"/>
          </w:tcPr>
          <w:p w:rsidR="001164BE" w:rsidRPr="00421991" w:rsidRDefault="001164BE" w:rsidP="00CF3859">
            <w:pPr>
              <w:pStyle w:val="Tabletext2"/>
              <w:spacing w:before="0" w:after="0"/>
              <w:rPr>
                <w:color w:val="auto"/>
              </w:rPr>
            </w:pPr>
            <w:r w:rsidRPr="0000553D">
              <w:rPr>
                <w:b/>
                <w:bCs/>
              </w:rPr>
              <w:t>Total</w:t>
            </w:r>
          </w:p>
        </w:tc>
      </w:tr>
      <w:tr w:rsidR="0000553D" w:rsidRPr="00421991" w:rsidTr="00767FA1">
        <w:trPr>
          <w:trHeight w:val="60"/>
        </w:trPr>
        <w:tc>
          <w:tcPr>
            <w:tcW w:w="6283" w:type="dxa"/>
            <w:vAlign w:val="center"/>
          </w:tcPr>
          <w:p w:rsidR="001164BE" w:rsidRPr="00421991" w:rsidRDefault="001164BE" w:rsidP="00767FA1">
            <w:pPr>
              <w:pStyle w:val="Tabletext2"/>
              <w:spacing w:before="0" w:after="0"/>
              <w:jc w:val="left"/>
              <w:rPr>
                <w:color w:val="auto"/>
              </w:rPr>
            </w:pPr>
            <w:r w:rsidRPr="00421991">
              <w:rPr>
                <w:color w:val="auto"/>
              </w:rPr>
              <w:t>Body stressing</w:t>
            </w:r>
          </w:p>
        </w:tc>
        <w:tc>
          <w:tcPr>
            <w:tcW w:w="1134" w:type="dxa"/>
            <w:vAlign w:val="center"/>
          </w:tcPr>
          <w:p w:rsidR="001164BE" w:rsidRPr="00421991" w:rsidRDefault="001164BE" w:rsidP="00CF3859">
            <w:pPr>
              <w:pStyle w:val="Tabletext2"/>
              <w:spacing w:before="0" w:after="0"/>
              <w:rPr>
                <w:color w:val="auto"/>
              </w:rPr>
            </w:pPr>
            <w:r w:rsidRPr="00421991">
              <w:rPr>
                <w:color w:val="auto"/>
              </w:rPr>
              <w:t>33%</w:t>
            </w:r>
          </w:p>
        </w:tc>
        <w:tc>
          <w:tcPr>
            <w:tcW w:w="1134" w:type="dxa"/>
            <w:vAlign w:val="center"/>
          </w:tcPr>
          <w:p w:rsidR="001164BE" w:rsidRPr="00421991" w:rsidRDefault="001164BE" w:rsidP="00CF3859">
            <w:pPr>
              <w:pStyle w:val="Tabletext2"/>
              <w:spacing w:before="0" w:after="0"/>
              <w:rPr>
                <w:color w:val="auto"/>
              </w:rPr>
            </w:pPr>
            <w:r w:rsidRPr="00421991">
              <w:rPr>
                <w:color w:val="auto"/>
              </w:rPr>
              <w:t>31%</w:t>
            </w:r>
          </w:p>
        </w:tc>
        <w:tc>
          <w:tcPr>
            <w:tcW w:w="1133" w:type="dxa"/>
            <w:vAlign w:val="center"/>
          </w:tcPr>
          <w:p w:rsidR="001164BE" w:rsidRPr="00421991" w:rsidRDefault="001164BE" w:rsidP="00CF3859">
            <w:pPr>
              <w:pStyle w:val="Tabletext2"/>
              <w:spacing w:before="0" w:after="0"/>
              <w:rPr>
                <w:color w:val="auto"/>
              </w:rPr>
            </w:pPr>
            <w:r w:rsidRPr="00421991">
              <w:rPr>
                <w:color w:val="auto"/>
              </w:rPr>
              <w:t>32%</w:t>
            </w:r>
          </w:p>
        </w:tc>
      </w:tr>
      <w:tr w:rsidR="0000553D" w:rsidRPr="00421991" w:rsidTr="00767FA1">
        <w:trPr>
          <w:trHeight w:val="60"/>
        </w:trPr>
        <w:tc>
          <w:tcPr>
            <w:tcW w:w="6283" w:type="dxa"/>
            <w:vAlign w:val="center"/>
          </w:tcPr>
          <w:p w:rsidR="001164BE" w:rsidRPr="00421991" w:rsidRDefault="001164BE" w:rsidP="00767FA1">
            <w:pPr>
              <w:pStyle w:val="Tabletext2"/>
              <w:spacing w:before="0" w:after="0"/>
              <w:jc w:val="left"/>
              <w:rPr>
                <w:color w:val="auto"/>
              </w:rPr>
            </w:pPr>
            <w:r w:rsidRPr="00421991">
              <w:rPr>
                <w:color w:val="auto"/>
              </w:rPr>
              <w:t>Falls, trips and slips of a person</w:t>
            </w:r>
          </w:p>
        </w:tc>
        <w:tc>
          <w:tcPr>
            <w:tcW w:w="1134" w:type="dxa"/>
            <w:vAlign w:val="center"/>
          </w:tcPr>
          <w:p w:rsidR="001164BE" w:rsidRPr="00421991" w:rsidRDefault="001164BE" w:rsidP="00CF3859">
            <w:pPr>
              <w:pStyle w:val="Tabletext2"/>
              <w:spacing w:before="0" w:after="0"/>
              <w:rPr>
                <w:color w:val="auto"/>
              </w:rPr>
            </w:pPr>
            <w:r w:rsidRPr="00421991">
              <w:rPr>
                <w:color w:val="auto"/>
              </w:rPr>
              <w:t>29%</w:t>
            </w:r>
          </w:p>
        </w:tc>
        <w:tc>
          <w:tcPr>
            <w:tcW w:w="1134" w:type="dxa"/>
            <w:vAlign w:val="center"/>
          </w:tcPr>
          <w:p w:rsidR="001164BE" w:rsidRPr="00421991" w:rsidRDefault="001164BE" w:rsidP="00CF3859">
            <w:pPr>
              <w:pStyle w:val="Tabletext2"/>
              <w:spacing w:before="0" w:after="0"/>
              <w:rPr>
                <w:color w:val="auto"/>
              </w:rPr>
            </w:pPr>
            <w:r w:rsidRPr="00421991">
              <w:rPr>
                <w:color w:val="auto"/>
              </w:rPr>
              <w:t>19%</w:t>
            </w:r>
          </w:p>
        </w:tc>
        <w:tc>
          <w:tcPr>
            <w:tcW w:w="1133" w:type="dxa"/>
            <w:vAlign w:val="center"/>
          </w:tcPr>
          <w:p w:rsidR="001164BE" w:rsidRPr="00421991" w:rsidRDefault="001164BE" w:rsidP="00CF3859">
            <w:pPr>
              <w:pStyle w:val="Tabletext2"/>
              <w:spacing w:before="0" w:after="0"/>
              <w:rPr>
                <w:color w:val="auto"/>
              </w:rPr>
            </w:pPr>
            <w:r w:rsidRPr="00421991">
              <w:rPr>
                <w:color w:val="auto"/>
              </w:rPr>
              <w:t>24%</w:t>
            </w:r>
          </w:p>
        </w:tc>
      </w:tr>
      <w:tr w:rsidR="0000553D" w:rsidRPr="00421991" w:rsidTr="00767FA1">
        <w:trPr>
          <w:trHeight w:val="60"/>
        </w:trPr>
        <w:tc>
          <w:tcPr>
            <w:tcW w:w="6283" w:type="dxa"/>
            <w:vAlign w:val="center"/>
          </w:tcPr>
          <w:p w:rsidR="001164BE" w:rsidRPr="00421991" w:rsidRDefault="001164BE" w:rsidP="00767FA1">
            <w:pPr>
              <w:pStyle w:val="Tabletext2"/>
              <w:spacing w:before="0" w:after="0"/>
              <w:jc w:val="left"/>
              <w:rPr>
                <w:color w:val="auto"/>
              </w:rPr>
            </w:pPr>
            <w:r w:rsidRPr="00421991">
              <w:rPr>
                <w:color w:val="auto"/>
              </w:rPr>
              <w:t>Hitting objects with a part of the body</w:t>
            </w:r>
          </w:p>
        </w:tc>
        <w:tc>
          <w:tcPr>
            <w:tcW w:w="1134" w:type="dxa"/>
            <w:vAlign w:val="center"/>
          </w:tcPr>
          <w:p w:rsidR="001164BE" w:rsidRPr="00421991" w:rsidRDefault="001164BE" w:rsidP="00CF3859">
            <w:pPr>
              <w:pStyle w:val="Tabletext2"/>
              <w:spacing w:before="0" w:after="0"/>
              <w:rPr>
                <w:color w:val="auto"/>
              </w:rPr>
            </w:pPr>
            <w:r w:rsidRPr="00421991">
              <w:rPr>
                <w:color w:val="auto"/>
              </w:rPr>
              <w:t>10%</w:t>
            </w:r>
          </w:p>
        </w:tc>
        <w:tc>
          <w:tcPr>
            <w:tcW w:w="1134" w:type="dxa"/>
            <w:vAlign w:val="center"/>
          </w:tcPr>
          <w:p w:rsidR="001164BE" w:rsidRPr="00421991" w:rsidRDefault="001164BE" w:rsidP="00CF3859">
            <w:pPr>
              <w:pStyle w:val="Tabletext2"/>
              <w:spacing w:before="0" w:after="0"/>
              <w:rPr>
                <w:color w:val="auto"/>
              </w:rPr>
            </w:pPr>
            <w:r w:rsidRPr="00421991">
              <w:rPr>
                <w:color w:val="auto"/>
              </w:rPr>
              <w:t>16%</w:t>
            </w:r>
          </w:p>
        </w:tc>
        <w:tc>
          <w:tcPr>
            <w:tcW w:w="1133" w:type="dxa"/>
            <w:vAlign w:val="center"/>
          </w:tcPr>
          <w:p w:rsidR="001164BE" w:rsidRPr="00421991" w:rsidRDefault="001164BE" w:rsidP="00CF3859">
            <w:pPr>
              <w:pStyle w:val="Tabletext2"/>
              <w:spacing w:before="0" w:after="0"/>
              <w:rPr>
                <w:color w:val="auto"/>
              </w:rPr>
            </w:pPr>
            <w:r w:rsidRPr="00421991">
              <w:rPr>
                <w:color w:val="auto"/>
              </w:rPr>
              <w:t>13%</w:t>
            </w:r>
          </w:p>
        </w:tc>
      </w:tr>
      <w:tr w:rsidR="0000553D" w:rsidRPr="00421991" w:rsidTr="00767FA1">
        <w:trPr>
          <w:trHeight w:val="60"/>
        </w:trPr>
        <w:tc>
          <w:tcPr>
            <w:tcW w:w="6283" w:type="dxa"/>
            <w:vAlign w:val="center"/>
          </w:tcPr>
          <w:p w:rsidR="001164BE" w:rsidRPr="00421991" w:rsidRDefault="001164BE" w:rsidP="00767FA1">
            <w:pPr>
              <w:pStyle w:val="Tabletext2"/>
              <w:spacing w:before="0" w:after="0"/>
              <w:jc w:val="left"/>
              <w:rPr>
                <w:color w:val="auto"/>
              </w:rPr>
            </w:pPr>
            <w:r w:rsidRPr="00421991">
              <w:rPr>
                <w:color w:val="auto"/>
              </w:rPr>
              <w:t>Being hit by moving objects</w:t>
            </w:r>
          </w:p>
        </w:tc>
        <w:tc>
          <w:tcPr>
            <w:tcW w:w="1134" w:type="dxa"/>
            <w:vAlign w:val="center"/>
          </w:tcPr>
          <w:p w:rsidR="001164BE" w:rsidRPr="00421991" w:rsidRDefault="001164BE" w:rsidP="00CF3859">
            <w:pPr>
              <w:pStyle w:val="Tabletext2"/>
              <w:spacing w:before="0" w:after="0"/>
              <w:rPr>
                <w:color w:val="auto"/>
              </w:rPr>
            </w:pPr>
            <w:r w:rsidRPr="00421991">
              <w:rPr>
                <w:color w:val="auto"/>
              </w:rPr>
              <w:t>10%</w:t>
            </w:r>
          </w:p>
        </w:tc>
        <w:tc>
          <w:tcPr>
            <w:tcW w:w="1134" w:type="dxa"/>
            <w:vAlign w:val="center"/>
          </w:tcPr>
          <w:p w:rsidR="001164BE" w:rsidRPr="00421991" w:rsidRDefault="001164BE" w:rsidP="00CF3859">
            <w:pPr>
              <w:pStyle w:val="Tabletext2"/>
              <w:spacing w:before="0" w:after="0"/>
              <w:rPr>
                <w:color w:val="auto"/>
              </w:rPr>
            </w:pPr>
            <w:r w:rsidRPr="00421991">
              <w:rPr>
                <w:color w:val="auto"/>
              </w:rPr>
              <w:t>14%</w:t>
            </w:r>
          </w:p>
        </w:tc>
        <w:tc>
          <w:tcPr>
            <w:tcW w:w="1133" w:type="dxa"/>
            <w:vAlign w:val="center"/>
          </w:tcPr>
          <w:p w:rsidR="001164BE" w:rsidRPr="00421991" w:rsidRDefault="001164BE" w:rsidP="00CF3859">
            <w:pPr>
              <w:pStyle w:val="Tabletext2"/>
              <w:spacing w:before="0" w:after="0"/>
              <w:rPr>
                <w:color w:val="auto"/>
              </w:rPr>
            </w:pPr>
            <w:r w:rsidRPr="00421991">
              <w:rPr>
                <w:color w:val="auto"/>
              </w:rPr>
              <w:t>12%</w:t>
            </w:r>
          </w:p>
        </w:tc>
      </w:tr>
      <w:tr w:rsidR="0000553D" w:rsidRPr="00421991" w:rsidTr="00767FA1">
        <w:trPr>
          <w:trHeight w:val="60"/>
        </w:trPr>
        <w:tc>
          <w:tcPr>
            <w:tcW w:w="6283" w:type="dxa"/>
            <w:vAlign w:val="center"/>
          </w:tcPr>
          <w:p w:rsidR="001164BE" w:rsidRPr="00421991" w:rsidRDefault="001164BE" w:rsidP="00767FA1">
            <w:pPr>
              <w:pStyle w:val="Tabletext2"/>
              <w:spacing w:before="0" w:after="0"/>
              <w:jc w:val="left"/>
              <w:rPr>
                <w:color w:val="auto"/>
              </w:rPr>
            </w:pPr>
            <w:r w:rsidRPr="00421991">
              <w:rPr>
                <w:color w:val="auto"/>
              </w:rPr>
              <w:t>Heat, electricity and other environmental factors</w:t>
            </w:r>
          </w:p>
        </w:tc>
        <w:tc>
          <w:tcPr>
            <w:tcW w:w="1134" w:type="dxa"/>
            <w:vAlign w:val="center"/>
          </w:tcPr>
          <w:p w:rsidR="001164BE" w:rsidRPr="00421991" w:rsidRDefault="001164BE" w:rsidP="00CF3859">
            <w:pPr>
              <w:pStyle w:val="Tabletext2"/>
              <w:spacing w:before="0" w:after="0"/>
              <w:rPr>
                <w:color w:val="auto"/>
              </w:rPr>
            </w:pPr>
            <w:r w:rsidRPr="00421991">
              <w:rPr>
                <w:color w:val="auto"/>
              </w:rPr>
              <w:t>6%</w:t>
            </w:r>
          </w:p>
        </w:tc>
        <w:tc>
          <w:tcPr>
            <w:tcW w:w="1134" w:type="dxa"/>
            <w:vAlign w:val="center"/>
          </w:tcPr>
          <w:p w:rsidR="001164BE" w:rsidRPr="00421991" w:rsidRDefault="001164BE" w:rsidP="00CF3859">
            <w:pPr>
              <w:pStyle w:val="Tabletext2"/>
              <w:spacing w:before="0" w:after="0"/>
              <w:rPr>
                <w:color w:val="auto"/>
              </w:rPr>
            </w:pPr>
            <w:r w:rsidRPr="00421991">
              <w:rPr>
                <w:color w:val="auto"/>
              </w:rPr>
              <w:t>9%</w:t>
            </w:r>
          </w:p>
        </w:tc>
        <w:tc>
          <w:tcPr>
            <w:tcW w:w="1133" w:type="dxa"/>
            <w:vAlign w:val="center"/>
          </w:tcPr>
          <w:p w:rsidR="001164BE" w:rsidRPr="00421991" w:rsidRDefault="001164BE" w:rsidP="00CF3859">
            <w:pPr>
              <w:pStyle w:val="Tabletext2"/>
              <w:spacing w:before="0" w:after="0"/>
              <w:rPr>
                <w:color w:val="auto"/>
              </w:rPr>
            </w:pPr>
            <w:r w:rsidRPr="00421991">
              <w:rPr>
                <w:color w:val="auto"/>
              </w:rPr>
              <w:t>7%</w:t>
            </w:r>
          </w:p>
        </w:tc>
      </w:tr>
      <w:tr w:rsidR="0000553D" w:rsidRPr="00421991" w:rsidTr="00767FA1">
        <w:trPr>
          <w:trHeight w:val="60"/>
        </w:trPr>
        <w:tc>
          <w:tcPr>
            <w:tcW w:w="6283" w:type="dxa"/>
            <w:vAlign w:val="center"/>
          </w:tcPr>
          <w:p w:rsidR="001164BE" w:rsidRPr="00421991" w:rsidRDefault="001164BE" w:rsidP="00767FA1">
            <w:pPr>
              <w:pStyle w:val="Tabletext2"/>
              <w:spacing w:before="0" w:after="0"/>
              <w:jc w:val="left"/>
              <w:rPr>
                <w:color w:val="auto"/>
              </w:rPr>
            </w:pPr>
            <w:r w:rsidRPr="00421991">
              <w:rPr>
                <w:color w:val="auto"/>
              </w:rPr>
              <w:t>Vehicle incidents and other</w:t>
            </w:r>
          </w:p>
        </w:tc>
        <w:tc>
          <w:tcPr>
            <w:tcW w:w="1134" w:type="dxa"/>
            <w:vAlign w:val="center"/>
          </w:tcPr>
          <w:p w:rsidR="001164BE" w:rsidRPr="00421991" w:rsidRDefault="001164BE" w:rsidP="00CF3859">
            <w:pPr>
              <w:pStyle w:val="Tabletext2"/>
              <w:spacing w:before="0" w:after="0"/>
              <w:rPr>
                <w:color w:val="auto"/>
              </w:rPr>
            </w:pPr>
            <w:r w:rsidRPr="00421991">
              <w:rPr>
                <w:color w:val="auto"/>
              </w:rPr>
              <w:t>5%</w:t>
            </w:r>
          </w:p>
        </w:tc>
        <w:tc>
          <w:tcPr>
            <w:tcW w:w="1134" w:type="dxa"/>
            <w:vAlign w:val="center"/>
          </w:tcPr>
          <w:p w:rsidR="001164BE" w:rsidRPr="00421991" w:rsidRDefault="001164BE" w:rsidP="00CF3859">
            <w:pPr>
              <w:pStyle w:val="Tabletext2"/>
              <w:spacing w:before="0" w:after="0"/>
              <w:rPr>
                <w:color w:val="auto"/>
              </w:rPr>
            </w:pPr>
            <w:r w:rsidRPr="00421991">
              <w:rPr>
                <w:color w:val="auto"/>
              </w:rPr>
              <w:t>5%</w:t>
            </w:r>
          </w:p>
        </w:tc>
        <w:tc>
          <w:tcPr>
            <w:tcW w:w="1133" w:type="dxa"/>
            <w:vAlign w:val="center"/>
          </w:tcPr>
          <w:p w:rsidR="001164BE" w:rsidRPr="00421991" w:rsidRDefault="001164BE" w:rsidP="00CF3859">
            <w:pPr>
              <w:pStyle w:val="Tabletext2"/>
              <w:spacing w:before="0" w:after="0"/>
              <w:rPr>
                <w:color w:val="auto"/>
              </w:rPr>
            </w:pPr>
            <w:r w:rsidRPr="00421991">
              <w:rPr>
                <w:color w:val="auto"/>
              </w:rPr>
              <w:t>5%</w:t>
            </w:r>
          </w:p>
        </w:tc>
      </w:tr>
      <w:tr w:rsidR="0000553D" w:rsidRPr="00421991" w:rsidTr="00767FA1">
        <w:trPr>
          <w:trHeight w:val="60"/>
        </w:trPr>
        <w:tc>
          <w:tcPr>
            <w:tcW w:w="6283" w:type="dxa"/>
            <w:vAlign w:val="center"/>
          </w:tcPr>
          <w:p w:rsidR="001164BE" w:rsidRPr="00421991" w:rsidRDefault="001164BE" w:rsidP="00767FA1">
            <w:pPr>
              <w:pStyle w:val="Tabletext2"/>
              <w:spacing w:before="0" w:after="0"/>
              <w:jc w:val="left"/>
              <w:rPr>
                <w:color w:val="auto"/>
              </w:rPr>
            </w:pPr>
            <w:r w:rsidRPr="00421991">
              <w:rPr>
                <w:color w:val="auto"/>
              </w:rPr>
              <w:t>Mental stress</w:t>
            </w:r>
          </w:p>
        </w:tc>
        <w:tc>
          <w:tcPr>
            <w:tcW w:w="1134" w:type="dxa"/>
            <w:vAlign w:val="center"/>
          </w:tcPr>
          <w:p w:rsidR="001164BE" w:rsidRPr="00421991" w:rsidRDefault="001164BE" w:rsidP="00CF3859">
            <w:pPr>
              <w:pStyle w:val="Tabletext2"/>
              <w:spacing w:before="0" w:after="0"/>
              <w:rPr>
                <w:color w:val="auto"/>
              </w:rPr>
            </w:pPr>
            <w:r w:rsidRPr="00421991">
              <w:rPr>
                <w:color w:val="auto"/>
              </w:rPr>
              <w:t>5%</w:t>
            </w:r>
          </w:p>
        </w:tc>
        <w:tc>
          <w:tcPr>
            <w:tcW w:w="1134" w:type="dxa"/>
            <w:vAlign w:val="center"/>
          </w:tcPr>
          <w:p w:rsidR="001164BE" w:rsidRPr="00421991" w:rsidRDefault="001164BE" w:rsidP="00CF3859">
            <w:pPr>
              <w:pStyle w:val="Tabletext2"/>
              <w:spacing w:before="0" w:after="0"/>
              <w:rPr>
                <w:color w:val="auto"/>
              </w:rPr>
            </w:pPr>
            <w:r w:rsidRPr="00421991">
              <w:rPr>
                <w:color w:val="auto"/>
              </w:rPr>
              <w:t>3%</w:t>
            </w:r>
          </w:p>
        </w:tc>
        <w:tc>
          <w:tcPr>
            <w:tcW w:w="1133" w:type="dxa"/>
            <w:vAlign w:val="center"/>
          </w:tcPr>
          <w:p w:rsidR="001164BE" w:rsidRPr="00421991" w:rsidRDefault="001164BE" w:rsidP="00CF3859">
            <w:pPr>
              <w:pStyle w:val="Tabletext2"/>
              <w:spacing w:before="0" w:after="0"/>
              <w:rPr>
                <w:color w:val="auto"/>
              </w:rPr>
            </w:pPr>
            <w:r w:rsidRPr="00421991">
              <w:rPr>
                <w:color w:val="auto"/>
              </w:rPr>
              <w:t>4%</w:t>
            </w:r>
          </w:p>
        </w:tc>
      </w:tr>
      <w:tr w:rsidR="0000553D" w:rsidRPr="00421991" w:rsidTr="00767FA1">
        <w:trPr>
          <w:trHeight w:val="60"/>
        </w:trPr>
        <w:tc>
          <w:tcPr>
            <w:tcW w:w="6283" w:type="dxa"/>
            <w:vAlign w:val="center"/>
          </w:tcPr>
          <w:p w:rsidR="001164BE" w:rsidRPr="00421991" w:rsidRDefault="001164BE" w:rsidP="00767FA1">
            <w:pPr>
              <w:pStyle w:val="Tabletext2"/>
              <w:spacing w:before="0" w:after="0"/>
              <w:jc w:val="left"/>
              <w:rPr>
                <w:color w:val="auto"/>
              </w:rPr>
            </w:pPr>
            <w:r w:rsidRPr="00421991">
              <w:rPr>
                <w:color w:val="auto"/>
              </w:rPr>
              <w:t>Chemicals and other substances</w:t>
            </w:r>
          </w:p>
        </w:tc>
        <w:tc>
          <w:tcPr>
            <w:tcW w:w="1134" w:type="dxa"/>
            <w:vAlign w:val="center"/>
          </w:tcPr>
          <w:p w:rsidR="001164BE" w:rsidRPr="00421991" w:rsidRDefault="001164BE" w:rsidP="00CF3859">
            <w:pPr>
              <w:pStyle w:val="Tabletext2"/>
              <w:spacing w:before="0" w:after="0"/>
              <w:rPr>
                <w:color w:val="auto"/>
              </w:rPr>
            </w:pPr>
            <w:r w:rsidRPr="00421991">
              <w:rPr>
                <w:color w:val="auto"/>
              </w:rPr>
              <w:t>1%</w:t>
            </w:r>
          </w:p>
        </w:tc>
        <w:tc>
          <w:tcPr>
            <w:tcW w:w="1134" w:type="dxa"/>
            <w:vAlign w:val="center"/>
          </w:tcPr>
          <w:p w:rsidR="001164BE" w:rsidRPr="00421991" w:rsidRDefault="001164BE" w:rsidP="00CF3859">
            <w:pPr>
              <w:pStyle w:val="Tabletext2"/>
              <w:spacing w:before="0" w:after="0"/>
              <w:rPr>
                <w:color w:val="auto"/>
              </w:rPr>
            </w:pPr>
            <w:r w:rsidRPr="00421991">
              <w:rPr>
                <w:color w:val="auto"/>
              </w:rPr>
              <w:t>2%</w:t>
            </w:r>
          </w:p>
        </w:tc>
        <w:tc>
          <w:tcPr>
            <w:tcW w:w="1133" w:type="dxa"/>
            <w:vAlign w:val="center"/>
          </w:tcPr>
          <w:p w:rsidR="001164BE" w:rsidRPr="00421991" w:rsidRDefault="001164BE" w:rsidP="00CF3859">
            <w:pPr>
              <w:pStyle w:val="Tabletext2"/>
              <w:spacing w:before="0" w:after="0"/>
              <w:rPr>
                <w:color w:val="auto"/>
              </w:rPr>
            </w:pPr>
            <w:r w:rsidRPr="00421991">
              <w:rPr>
                <w:color w:val="auto"/>
              </w:rPr>
              <w:t>1%</w:t>
            </w:r>
          </w:p>
        </w:tc>
      </w:tr>
      <w:tr w:rsidR="0000553D" w:rsidRPr="00421991" w:rsidTr="00767FA1">
        <w:trPr>
          <w:trHeight w:val="60"/>
        </w:trPr>
        <w:tc>
          <w:tcPr>
            <w:tcW w:w="6283" w:type="dxa"/>
            <w:vAlign w:val="center"/>
          </w:tcPr>
          <w:p w:rsidR="001164BE" w:rsidRPr="00421991" w:rsidRDefault="001164BE" w:rsidP="00767FA1">
            <w:pPr>
              <w:pStyle w:val="Tabletext2"/>
              <w:spacing w:before="0" w:after="0"/>
              <w:jc w:val="left"/>
              <w:rPr>
                <w:color w:val="auto"/>
              </w:rPr>
            </w:pPr>
            <w:r w:rsidRPr="0000553D">
              <w:rPr>
                <w:b/>
                <w:bCs/>
              </w:rPr>
              <w:t>Total</w:t>
            </w:r>
          </w:p>
        </w:tc>
        <w:tc>
          <w:tcPr>
            <w:tcW w:w="1134" w:type="dxa"/>
            <w:vAlign w:val="center"/>
          </w:tcPr>
          <w:p w:rsidR="001164BE" w:rsidRPr="00421991" w:rsidRDefault="001164BE" w:rsidP="00CF3859">
            <w:pPr>
              <w:pStyle w:val="Tabletext2"/>
              <w:spacing w:before="0" w:after="0"/>
              <w:rPr>
                <w:color w:val="auto"/>
              </w:rPr>
            </w:pPr>
            <w:r w:rsidRPr="0000553D">
              <w:rPr>
                <w:b/>
                <w:bCs/>
              </w:rPr>
              <w:t>100%</w:t>
            </w:r>
          </w:p>
        </w:tc>
        <w:tc>
          <w:tcPr>
            <w:tcW w:w="1134" w:type="dxa"/>
            <w:vAlign w:val="center"/>
          </w:tcPr>
          <w:p w:rsidR="001164BE" w:rsidRPr="00421991" w:rsidRDefault="001164BE" w:rsidP="00CF3859">
            <w:pPr>
              <w:pStyle w:val="Tabletext2"/>
              <w:spacing w:before="0" w:after="0"/>
              <w:rPr>
                <w:color w:val="auto"/>
              </w:rPr>
            </w:pPr>
            <w:r w:rsidRPr="0000553D">
              <w:rPr>
                <w:b/>
                <w:bCs/>
              </w:rPr>
              <w:t>100%</w:t>
            </w:r>
          </w:p>
        </w:tc>
        <w:tc>
          <w:tcPr>
            <w:tcW w:w="1133" w:type="dxa"/>
            <w:vAlign w:val="center"/>
          </w:tcPr>
          <w:p w:rsidR="001164BE" w:rsidRPr="00421991" w:rsidRDefault="001164BE" w:rsidP="00CF3859">
            <w:pPr>
              <w:pStyle w:val="Tabletext2"/>
              <w:spacing w:before="0" w:after="0"/>
              <w:rPr>
                <w:color w:val="auto"/>
              </w:rPr>
            </w:pPr>
            <w:r w:rsidRPr="0000553D">
              <w:rPr>
                <w:b/>
                <w:bCs/>
              </w:rPr>
              <w:t>100%</w:t>
            </w:r>
          </w:p>
        </w:tc>
      </w:tr>
    </w:tbl>
    <w:p w:rsidR="001164BE" w:rsidRPr="00421991" w:rsidRDefault="001164BE" w:rsidP="001164BE">
      <w:pPr>
        <w:pStyle w:val="FootnoteFiguresandtables"/>
        <w:rPr>
          <w:color w:val="auto"/>
        </w:rPr>
      </w:pPr>
      <w:r w:rsidRPr="00421991">
        <w:rPr>
          <w:color w:val="auto"/>
        </w:rPr>
        <w:t>Columns may not add up to 100% because the table outlines selected mechanisms of injury or disease.</w:t>
      </w:r>
    </w:p>
    <w:p w:rsidR="001164BE" w:rsidRPr="00421991" w:rsidRDefault="001164BE" w:rsidP="001164BE">
      <w:pPr>
        <w:pStyle w:val="FootnoteFiguresandtables"/>
        <w:rPr>
          <w:color w:val="auto"/>
        </w:rPr>
      </w:pPr>
      <w:r w:rsidRPr="00421991">
        <w:rPr>
          <w:color w:val="auto"/>
        </w:rPr>
        <w:t>Source: National Data Set for Compensation-Based Statistics.</w:t>
      </w:r>
    </w:p>
    <w:p w:rsidR="001164BE" w:rsidRPr="00421991" w:rsidRDefault="001164BE" w:rsidP="00DD2ECE">
      <w:pPr>
        <w:pStyle w:val="Heading3"/>
      </w:pPr>
      <w:bookmarkStart w:id="34" w:name="_Toc419453271"/>
      <w:bookmarkStart w:id="35" w:name="_Toc426441689"/>
      <w:r w:rsidRPr="00421991">
        <w:t>Mechanism of injuries and diseases by age group</w:t>
      </w:r>
      <w:bookmarkEnd w:id="34"/>
      <w:bookmarkEnd w:id="35"/>
    </w:p>
    <w:p w:rsidR="001164BE" w:rsidRPr="00421991" w:rsidRDefault="001164BE" w:rsidP="001164BE">
      <w:pPr>
        <w:pStyle w:val="TextBody"/>
        <w:rPr>
          <w:color w:val="auto"/>
        </w:rPr>
      </w:pPr>
      <w:r w:rsidRPr="00421991">
        <w:rPr>
          <w:color w:val="auto"/>
        </w:rPr>
        <w:t>Older employees were more likely to experience body stressing injuries and diseases than younger employees. The proportion of employees who were compensated for body stressing injuries and diseases increased as age group increased from 16% of employees aged 15–19 years to 43% of employees aged 60–64 years.</w:t>
      </w:r>
    </w:p>
    <w:p w:rsidR="001164BE" w:rsidRPr="00421991" w:rsidRDefault="001164BE" w:rsidP="001164BE">
      <w:pPr>
        <w:pStyle w:val="TextBody"/>
        <w:rPr>
          <w:color w:val="auto"/>
        </w:rPr>
      </w:pPr>
      <w:r w:rsidRPr="00421991">
        <w:rPr>
          <w:color w:val="auto"/>
        </w:rPr>
        <w:lastRenderedPageBreak/>
        <w:t>Younger employees were more likely to experience injuries and diseases arising from hitting objects with a part of the body, and heat, electricity and other environmental factors than older employees. The proportion of employees who were compensated for injuries and diseases caused by hitting objects with a part of the body increased as age group decreased from 6% for employees aged 55–59 years to 19% for employees aged 15–19 years. The proportion of employees who experienced injuries and diseases caused by heat, electricity and other environmental factors increased as age group decreased from 1% for employees aged 65 years and above to 18% for employees aged 15–19 years. Table 5 outlines the percentage of serious claims for each age group by mechanism of injury or disease for 2010–11 to 2012–13.</w:t>
      </w:r>
    </w:p>
    <w:p w:rsidR="001164BE" w:rsidRPr="00421991" w:rsidRDefault="001164BE" w:rsidP="001164BE">
      <w:pPr>
        <w:pStyle w:val="Tabletitle"/>
        <w:rPr>
          <w:color w:val="auto"/>
        </w:rPr>
      </w:pPr>
      <w:r w:rsidRPr="00421991">
        <w:rPr>
          <w:color w:val="auto"/>
        </w:rPr>
        <w:t>Table 5: Serious claims in accommodation and food services industry: percentage of serious claims for each age group by mechanism of injury or disease, 2010–11 to 2012–13 combined</w:t>
      </w:r>
    </w:p>
    <w:tbl>
      <w:tblPr>
        <w:tblStyle w:val="TableGrid"/>
        <w:tblW w:w="9749" w:type="dxa"/>
        <w:tblInd w:w="-34" w:type="dxa"/>
        <w:tblLayout w:type="fixed"/>
        <w:tblLook w:val="0000" w:firstRow="0" w:lastRow="0" w:firstColumn="0" w:lastColumn="0" w:noHBand="0" w:noVBand="0"/>
        <w:tblCaption w:val="Table 5: Serious claims in accommodation and food services industry: percentage of serious claims for each age group by mechanism of injury or disease, 2010–11 to 2012–13 combined"/>
      </w:tblPr>
      <w:tblGrid>
        <w:gridCol w:w="2269"/>
        <w:gridCol w:w="680"/>
        <w:gridCol w:w="680"/>
        <w:gridCol w:w="680"/>
        <w:gridCol w:w="680"/>
        <w:gridCol w:w="680"/>
        <w:gridCol w:w="680"/>
        <w:gridCol w:w="680"/>
        <w:gridCol w:w="680"/>
        <w:gridCol w:w="680"/>
        <w:gridCol w:w="680"/>
        <w:gridCol w:w="680"/>
      </w:tblGrid>
      <w:tr w:rsidR="009E22B3" w:rsidRPr="00421991" w:rsidTr="00681892">
        <w:trPr>
          <w:trHeight w:val="60"/>
          <w:tblHeader/>
        </w:trPr>
        <w:tc>
          <w:tcPr>
            <w:tcW w:w="2269" w:type="dxa"/>
            <w:vAlign w:val="center"/>
          </w:tcPr>
          <w:p w:rsidR="001164BE" w:rsidRPr="00421991" w:rsidRDefault="001164BE" w:rsidP="00767FA1">
            <w:pPr>
              <w:pStyle w:val="Tabletext"/>
              <w:spacing w:before="0" w:after="0"/>
              <w:rPr>
                <w:color w:val="auto"/>
              </w:rPr>
            </w:pPr>
            <w:r w:rsidRPr="00421991">
              <w:rPr>
                <w:rStyle w:val="BoldBody"/>
                <w:color w:val="auto"/>
              </w:rPr>
              <w:t>Mechanism of injury or disease</w:t>
            </w:r>
          </w:p>
        </w:tc>
        <w:tc>
          <w:tcPr>
            <w:tcW w:w="680" w:type="dxa"/>
            <w:vAlign w:val="center"/>
          </w:tcPr>
          <w:p w:rsidR="001164BE" w:rsidRPr="00421991" w:rsidRDefault="001164BE" w:rsidP="00CF3859">
            <w:pPr>
              <w:pStyle w:val="Tabletext2"/>
              <w:spacing w:before="0" w:after="0"/>
              <w:rPr>
                <w:color w:val="auto"/>
              </w:rPr>
            </w:pPr>
            <w:r w:rsidRPr="00421991">
              <w:rPr>
                <w:rStyle w:val="BoldBody"/>
                <w:color w:val="auto"/>
              </w:rPr>
              <w:t>15-19</w:t>
            </w:r>
          </w:p>
        </w:tc>
        <w:tc>
          <w:tcPr>
            <w:tcW w:w="680" w:type="dxa"/>
            <w:vAlign w:val="center"/>
          </w:tcPr>
          <w:p w:rsidR="001164BE" w:rsidRPr="00421991" w:rsidRDefault="001164BE" w:rsidP="00CF3859">
            <w:pPr>
              <w:pStyle w:val="Tabletext2"/>
              <w:spacing w:before="0" w:after="0"/>
              <w:rPr>
                <w:color w:val="auto"/>
              </w:rPr>
            </w:pPr>
            <w:r w:rsidRPr="00421991">
              <w:rPr>
                <w:rStyle w:val="BoldBody"/>
                <w:color w:val="auto"/>
              </w:rPr>
              <w:t>20-24</w:t>
            </w:r>
          </w:p>
        </w:tc>
        <w:tc>
          <w:tcPr>
            <w:tcW w:w="680" w:type="dxa"/>
            <w:vAlign w:val="center"/>
          </w:tcPr>
          <w:p w:rsidR="001164BE" w:rsidRPr="00421991" w:rsidRDefault="001164BE" w:rsidP="00CF3859">
            <w:pPr>
              <w:pStyle w:val="Tabletext2"/>
              <w:spacing w:before="0" w:after="0"/>
              <w:rPr>
                <w:color w:val="auto"/>
              </w:rPr>
            </w:pPr>
            <w:r w:rsidRPr="00421991">
              <w:rPr>
                <w:rStyle w:val="BoldBody"/>
                <w:color w:val="auto"/>
              </w:rPr>
              <w:t>25-29</w:t>
            </w:r>
          </w:p>
        </w:tc>
        <w:tc>
          <w:tcPr>
            <w:tcW w:w="680" w:type="dxa"/>
            <w:vAlign w:val="center"/>
          </w:tcPr>
          <w:p w:rsidR="001164BE" w:rsidRPr="00421991" w:rsidRDefault="001164BE" w:rsidP="00CF3859">
            <w:pPr>
              <w:pStyle w:val="Tabletext2"/>
              <w:spacing w:before="0" w:after="0"/>
              <w:rPr>
                <w:color w:val="auto"/>
              </w:rPr>
            </w:pPr>
            <w:r w:rsidRPr="00421991">
              <w:rPr>
                <w:rStyle w:val="BoldBody"/>
                <w:color w:val="auto"/>
              </w:rPr>
              <w:t>30-34</w:t>
            </w:r>
          </w:p>
        </w:tc>
        <w:tc>
          <w:tcPr>
            <w:tcW w:w="680" w:type="dxa"/>
            <w:vAlign w:val="center"/>
          </w:tcPr>
          <w:p w:rsidR="001164BE" w:rsidRPr="00421991" w:rsidRDefault="001164BE" w:rsidP="00CF3859">
            <w:pPr>
              <w:pStyle w:val="Tabletext2"/>
              <w:spacing w:before="0" w:after="0"/>
              <w:rPr>
                <w:color w:val="auto"/>
              </w:rPr>
            </w:pPr>
            <w:r w:rsidRPr="00421991">
              <w:rPr>
                <w:rStyle w:val="BoldBody"/>
                <w:color w:val="auto"/>
              </w:rPr>
              <w:t>35-39</w:t>
            </w:r>
          </w:p>
        </w:tc>
        <w:tc>
          <w:tcPr>
            <w:tcW w:w="680" w:type="dxa"/>
            <w:vAlign w:val="center"/>
          </w:tcPr>
          <w:p w:rsidR="001164BE" w:rsidRPr="00421991" w:rsidRDefault="001164BE" w:rsidP="00CF3859">
            <w:pPr>
              <w:pStyle w:val="Tabletext2"/>
              <w:spacing w:before="0" w:after="0"/>
              <w:rPr>
                <w:color w:val="auto"/>
              </w:rPr>
            </w:pPr>
            <w:r w:rsidRPr="00421991">
              <w:rPr>
                <w:rStyle w:val="BoldBody"/>
                <w:color w:val="auto"/>
              </w:rPr>
              <w:t>40-44</w:t>
            </w:r>
          </w:p>
        </w:tc>
        <w:tc>
          <w:tcPr>
            <w:tcW w:w="680" w:type="dxa"/>
            <w:vAlign w:val="center"/>
          </w:tcPr>
          <w:p w:rsidR="001164BE" w:rsidRPr="00421991" w:rsidRDefault="001164BE" w:rsidP="00CF3859">
            <w:pPr>
              <w:pStyle w:val="Tabletext2"/>
              <w:spacing w:before="0" w:after="0"/>
              <w:rPr>
                <w:color w:val="auto"/>
              </w:rPr>
            </w:pPr>
            <w:r w:rsidRPr="00421991">
              <w:rPr>
                <w:rStyle w:val="BoldBody"/>
                <w:color w:val="auto"/>
              </w:rPr>
              <w:t>45-49</w:t>
            </w:r>
          </w:p>
        </w:tc>
        <w:tc>
          <w:tcPr>
            <w:tcW w:w="680" w:type="dxa"/>
            <w:vAlign w:val="center"/>
          </w:tcPr>
          <w:p w:rsidR="001164BE" w:rsidRPr="00421991" w:rsidRDefault="001164BE" w:rsidP="00CF3859">
            <w:pPr>
              <w:pStyle w:val="Tabletext2"/>
              <w:spacing w:before="0" w:after="0"/>
              <w:rPr>
                <w:color w:val="auto"/>
              </w:rPr>
            </w:pPr>
            <w:r w:rsidRPr="00421991">
              <w:rPr>
                <w:rStyle w:val="BoldBody"/>
                <w:color w:val="auto"/>
              </w:rPr>
              <w:t>50-54</w:t>
            </w:r>
          </w:p>
        </w:tc>
        <w:tc>
          <w:tcPr>
            <w:tcW w:w="680" w:type="dxa"/>
            <w:vAlign w:val="center"/>
          </w:tcPr>
          <w:p w:rsidR="001164BE" w:rsidRPr="00421991" w:rsidRDefault="001164BE" w:rsidP="00CF3859">
            <w:pPr>
              <w:pStyle w:val="Tabletext2"/>
              <w:spacing w:before="0" w:after="0"/>
              <w:rPr>
                <w:color w:val="auto"/>
              </w:rPr>
            </w:pPr>
            <w:r w:rsidRPr="00421991">
              <w:rPr>
                <w:rStyle w:val="BoldBody"/>
                <w:color w:val="auto"/>
              </w:rPr>
              <w:t>55-59</w:t>
            </w:r>
          </w:p>
        </w:tc>
        <w:tc>
          <w:tcPr>
            <w:tcW w:w="680" w:type="dxa"/>
            <w:vAlign w:val="center"/>
          </w:tcPr>
          <w:p w:rsidR="001164BE" w:rsidRPr="00421991" w:rsidRDefault="001164BE" w:rsidP="00CF3859">
            <w:pPr>
              <w:pStyle w:val="Tabletext2"/>
              <w:spacing w:before="0" w:after="0"/>
              <w:rPr>
                <w:color w:val="auto"/>
              </w:rPr>
            </w:pPr>
            <w:r w:rsidRPr="00421991">
              <w:rPr>
                <w:rStyle w:val="BoldBody"/>
                <w:color w:val="auto"/>
              </w:rPr>
              <w:t>60-64</w:t>
            </w:r>
          </w:p>
        </w:tc>
        <w:tc>
          <w:tcPr>
            <w:tcW w:w="680" w:type="dxa"/>
            <w:vAlign w:val="center"/>
          </w:tcPr>
          <w:p w:rsidR="001164BE" w:rsidRPr="00421991" w:rsidRDefault="001164BE" w:rsidP="00CF3859">
            <w:pPr>
              <w:pStyle w:val="Tabletext2"/>
              <w:spacing w:before="0" w:after="0"/>
              <w:rPr>
                <w:color w:val="auto"/>
              </w:rPr>
            </w:pPr>
            <w:r w:rsidRPr="00421991">
              <w:rPr>
                <w:rStyle w:val="BoldBody"/>
                <w:color w:val="auto"/>
              </w:rPr>
              <w:t>65+</w:t>
            </w:r>
          </w:p>
        </w:tc>
      </w:tr>
      <w:tr w:rsidR="009E22B3" w:rsidRPr="00421991" w:rsidTr="00767FA1">
        <w:trPr>
          <w:trHeight w:val="60"/>
        </w:trPr>
        <w:tc>
          <w:tcPr>
            <w:tcW w:w="2269" w:type="dxa"/>
            <w:vAlign w:val="center"/>
          </w:tcPr>
          <w:p w:rsidR="001164BE" w:rsidRPr="00421991" w:rsidRDefault="001164BE" w:rsidP="00767FA1">
            <w:pPr>
              <w:pStyle w:val="Tabletext"/>
              <w:spacing w:before="0" w:after="0"/>
              <w:rPr>
                <w:color w:val="auto"/>
              </w:rPr>
            </w:pPr>
            <w:r w:rsidRPr="00421991">
              <w:rPr>
                <w:color w:val="auto"/>
              </w:rPr>
              <w:t>Body stressing</w:t>
            </w:r>
          </w:p>
        </w:tc>
        <w:tc>
          <w:tcPr>
            <w:tcW w:w="680" w:type="dxa"/>
          </w:tcPr>
          <w:p w:rsidR="001164BE" w:rsidRPr="00421991" w:rsidRDefault="001164BE" w:rsidP="009E22B3">
            <w:pPr>
              <w:pStyle w:val="Tabletext2"/>
              <w:spacing w:before="0" w:after="0"/>
              <w:rPr>
                <w:color w:val="auto"/>
              </w:rPr>
            </w:pPr>
            <w:r w:rsidRPr="00421991">
              <w:rPr>
                <w:color w:val="auto"/>
              </w:rPr>
              <w:t>16%</w:t>
            </w:r>
          </w:p>
        </w:tc>
        <w:tc>
          <w:tcPr>
            <w:tcW w:w="680" w:type="dxa"/>
          </w:tcPr>
          <w:p w:rsidR="001164BE" w:rsidRPr="00421991" w:rsidRDefault="001164BE" w:rsidP="009E22B3">
            <w:pPr>
              <w:pStyle w:val="Tabletext2"/>
              <w:spacing w:before="0" w:after="0"/>
              <w:rPr>
                <w:color w:val="auto"/>
              </w:rPr>
            </w:pPr>
            <w:r w:rsidRPr="00421991">
              <w:rPr>
                <w:color w:val="auto"/>
              </w:rPr>
              <w:t>23%</w:t>
            </w:r>
          </w:p>
        </w:tc>
        <w:tc>
          <w:tcPr>
            <w:tcW w:w="680" w:type="dxa"/>
          </w:tcPr>
          <w:p w:rsidR="001164BE" w:rsidRPr="00421991" w:rsidRDefault="001164BE" w:rsidP="009E22B3">
            <w:pPr>
              <w:pStyle w:val="Tabletext2"/>
              <w:spacing w:before="0" w:after="0"/>
              <w:rPr>
                <w:color w:val="auto"/>
              </w:rPr>
            </w:pPr>
            <w:r w:rsidRPr="00421991">
              <w:rPr>
                <w:color w:val="auto"/>
              </w:rPr>
              <w:t>27%</w:t>
            </w:r>
          </w:p>
        </w:tc>
        <w:tc>
          <w:tcPr>
            <w:tcW w:w="680" w:type="dxa"/>
          </w:tcPr>
          <w:p w:rsidR="001164BE" w:rsidRPr="00421991" w:rsidRDefault="001164BE" w:rsidP="009E22B3">
            <w:pPr>
              <w:pStyle w:val="Tabletext2"/>
              <w:spacing w:before="0" w:after="0"/>
              <w:rPr>
                <w:color w:val="auto"/>
              </w:rPr>
            </w:pPr>
            <w:r w:rsidRPr="00421991">
              <w:rPr>
                <w:color w:val="auto"/>
              </w:rPr>
              <w:t>36%</w:t>
            </w:r>
          </w:p>
        </w:tc>
        <w:tc>
          <w:tcPr>
            <w:tcW w:w="680" w:type="dxa"/>
          </w:tcPr>
          <w:p w:rsidR="001164BE" w:rsidRPr="00421991" w:rsidRDefault="001164BE" w:rsidP="009E22B3">
            <w:pPr>
              <w:pStyle w:val="Tabletext2"/>
              <w:spacing w:before="0" w:after="0"/>
              <w:rPr>
                <w:color w:val="auto"/>
              </w:rPr>
            </w:pPr>
            <w:r w:rsidRPr="00421991">
              <w:rPr>
                <w:color w:val="auto"/>
              </w:rPr>
              <w:t>38%</w:t>
            </w:r>
          </w:p>
        </w:tc>
        <w:tc>
          <w:tcPr>
            <w:tcW w:w="680" w:type="dxa"/>
          </w:tcPr>
          <w:p w:rsidR="001164BE" w:rsidRPr="00421991" w:rsidRDefault="001164BE" w:rsidP="009E22B3">
            <w:pPr>
              <w:pStyle w:val="Tabletext2"/>
              <w:spacing w:before="0" w:after="0"/>
              <w:rPr>
                <w:color w:val="auto"/>
              </w:rPr>
            </w:pPr>
            <w:r w:rsidRPr="00421991">
              <w:rPr>
                <w:color w:val="auto"/>
              </w:rPr>
              <w:t>41%</w:t>
            </w:r>
          </w:p>
        </w:tc>
        <w:tc>
          <w:tcPr>
            <w:tcW w:w="680" w:type="dxa"/>
          </w:tcPr>
          <w:p w:rsidR="001164BE" w:rsidRPr="00421991" w:rsidRDefault="001164BE" w:rsidP="009E22B3">
            <w:pPr>
              <w:pStyle w:val="Tabletext2"/>
              <w:spacing w:before="0" w:after="0"/>
              <w:rPr>
                <w:color w:val="auto"/>
              </w:rPr>
            </w:pPr>
            <w:r w:rsidRPr="00421991">
              <w:rPr>
                <w:color w:val="auto"/>
              </w:rPr>
              <w:t>41%</w:t>
            </w:r>
          </w:p>
        </w:tc>
        <w:tc>
          <w:tcPr>
            <w:tcW w:w="680" w:type="dxa"/>
          </w:tcPr>
          <w:p w:rsidR="001164BE" w:rsidRPr="00421991" w:rsidRDefault="001164BE" w:rsidP="009E22B3">
            <w:pPr>
              <w:pStyle w:val="Tabletext2"/>
              <w:spacing w:before="0" w:after="0"/>
              <w:rPr>
                <w:color w:val="auto"/>
              </w:rPr>
            </w:pPr>
            <w:r w:rsidRPr="00421991">
              <w:rPr>
                <w:color w:val="auto"/>
              </w:rPr>
              <w:t>41%</w:t>
            </w:r>
          </w:p>
        </w:tc>
        <w:tc>
          <w:tcPr>
            <w:tcW w:w="680" w:type="dxa"/>
          </w:tcPr>
          <w:p w:rsidR="001164BE" w:rsidRPr="00421991" w:rsidRDefault="001164BE" w:rsidP="009E22B3">
            <w:pPr>
              <w:pStyle w:val="Tabletext2"/>
              <w:spacing w:before="0" w:after="0"/>
              <w:rPr>
                <w:color w:val="auto"/>
              </w:rPr>
            </w:pPr>
            <w:r w:rsidRPr="00421991">
              <w:rPr>
                <w:color w:val="auto"/>
              </w:rPr>
              <w:t>40%</w:t>
            </w:r>
          </w:p>
        </w:tc>
        <w:tc>
          <w:tcPr>
            <w:tcW w:w="680" w:type="dxa"/>
          </w:tcPr>
          <w:p w:rsidR="001164BE" w:rsidRPr="00421991" w:rsidRDefault="001164BE" w:rsidP="009E22B3">
            <w:pPr>
              <w:pStyle w:val="Tabletext2"/>
              <w:spacing w:before="0" w:after="0"/>
              <w:rPr>
                <w:color w:val="auto"/>
              </w:rPr>
            </w:pPr>
            <w:r w:rsidRPr="00421991">
              <w:rPr>
                <w:color w:val="auto"/>
              </w:rPr>
              <w:t>43%</w:t>
            </w:r>
          </w:p>
        </w:tc>
        <w:tc>
          <w:tcPr>
            <w:tcW w:w="680" w:type="dxa"/>
          </w:tcPr>
          <w:p w:rsidR="001164BE" w:rsidRPr="00421991" w:rsidRDefault="001164BE" w:rsidP="009E22B3">
            <w:pPr>
              <w:pStyle w:val="Tabletext2"/>
              <w:spacing w:before="0" w:after="0"/>
              <w:rPr>
                <w:color w:val="auto"/>
              </w:rPr>
            </w:pPr>
            <w:r w:rsidRPr="00421991">
              <w:rPr>
                <w:color w:val="auto"/>
              </w:rPr>
              <w:t>31%</w:t>
            </w:r>
          </w:p>
        </w:tc>
      </w:tr>
      <w:tr w:rsidR="009E22B3" w:rsidRPr="00421991" w:rsidTr="00767FA1">
        <w:trPr>
          <w:trHeight w:val="60"/>
        </w:trPr>
        <w:tc>
          <w:tcPr>
            <w:tcW w:w="2269" w:type="dxa"/>
            <w:vAlign w:val="center"/>
          </w:tcPr>
          <w:p w:rsidR="001164BE" w:rsidRPr="00421991" w:rsidRDefault="001164BE" w:rsidP="00767FA1">
            <w:pPr>
              <w:pStyle w:val="Tabletext"/>
              <w:spacing w:before="0" w:after="0"/>
              <w:rPr>
                <w:color w:val="auto"/>
              </w:rPr>
            </w:pPr>
            <w:r w:rsidRPr="00421991">
              <w:rPr>
                <w:color w:val="auto"/>
              </w:rPr>
              <w:t>Falls, trips and slips of a person</w:t>
            </w:r>
          </w:p>
        </w:tc>
        <w:tc>
          <w:tcPr>
            <w:tcW w:w="680" w:type="dxa"/>
          </w:tcPr>
          <w:p w:rsidR="001164BE" w:rsidRPr="00421991" w:rsidRDefault="001164BE" w:rsidP="009E22B3">
            <w:pPr>
              <w:pStyle w:val="Tabletext2"/>
              <w:spacing w:before="0" w:after="0"/>
              <w:rPr>
                <w:color w:val="auto"/>
              </w:rPr>
            </w:pPr>
            <w:r w:rsidRPr="00421991">
              <w:rPr>
                <w:color w:val="auto"/>
              </w:rPr>
              <w:t>25%</w:t>
            </w:r>
          </w:p>
        </w:tc>
        <w:tc>
          <w:tcPr>
            <w:tcW w:w="680" w:type="dxa"/>
          </w:tcPr>
          <w:p w:rsidR="001164BE" w:rsidRPr="00421991" w:rsidRDefault="001164BE" w:rsidP="009E22B3">
            <w:pPr>
              <w:pStyle w:val="Tabletext2"/>
              <w:spacing w:before="0" w:after="0"/>
              <w:rPr>
                <w:color w:val="auto"/>
              </w:rPr>
            </w:pPr>
            <w:r w:rsidRPr="00421991">
              <w:rPr>
                <w:color w:val="auto"/>
              </w:rPr>
              <w:t>23%</w:t>
            </w:r>
          </w:p>
        </w:tc>
        <w:tc>
          <w:tcPr>
            <w:tcW w:w="680" w:type="dxa"/>
          </w:tcPr>
          <w:p w:rsidR="001164BE" w:rsidRPr="00421991" w:rsidRDefault="001164BE" w:rsidP="009E22B3">
            <w:pPr>
              <w:pStyle w:val="Tabletext2"/>
              <w:spacing w:before="0" w:after="0"/>
              <w:rPr>
                <w:color w:val="auto"/>
              </w:rPr>
            </w:pPr>
            <w:r w:rsidRPr="00421991">
              <w:rPr>
                <w:color w:val="auto"/>
              </w:rPr>
              <w:t>21%</w:t>
            </w:r>
          </w:p>
        </w:tc>
        <w:tc>
          <w:tcPr>
            <w:tcW w:w="680" w:type="dxa"/>
          </w:tcPr>
          <w:p w:rsidR="001164BE" w:rsidRPr="00421991" w:rsidRDefault="001164BE" w:rsidP="009E22B3">
            <w:pPr>
              <w:pStyle w:val="Tabletext2"/>
              <w:spacing w:before="0" w:after="0"/>
              <w:rPr>
                <w:color w:val="auto"/>
              </w:rPr>
            </w:pPr>
            <w:r w:rsidRPr="00421991">
              <w:rPr>
                <w:color w:val="auto"/>
              </w:rPr>
              <w:t>21%</w:t>
            </w:r>
          </w:p>
        </w:tc>
        <w:tc>
          <w:tcPr>
            <w:tcW w:w="680" w:type="dxa"/>
          </w:tcPr>
          <w:p w:rsidR="001164BE" w:rsidRPr="00421991" w:rsidRDefault="001164BE" w:rsidP="009E22B3">
            <w:pPr>
              <w:pStyle w:val="Tabletext2"/>
              <w:spacing w:before="0" w:after="0"/>
              <w:rPr>
                <w:color w:val="auto"/>
              </w:rPr>
            </w:pPr>
            <w:r w:rsidRPr="00421991">
              <w:rPr>
                <w:color w:val="auto"/>
              </w:rPr>
              <w:t>21%</w:t>
            </w:r>
          </w:p>
        </w:tc>
        <w:tc>
          <w:tcPr>
            <w:tcW w:w="680" w:type="dxa"/>
          </w:tcPr>
          <w:p w:rsidR="001164BE" w:rsidRPr="00421991" w:rsidRDefault="001164BE" w:rsidP="009E22B3">
            <w:pPr>
              <w:pStyle w:val="Tabletext2"/>
              <w:spacing w:before="0" w:after="0"/>
              <w:rPr>
                <w:color w:val="auto"/>
              </w:rPr>
            </w:pPr>
            <w:r w:rsidRPr="00421991">
              <w:rPr>
                <w:color w:val="auto"/>
              </w:rPr>
              <w:t>22%</w:t>
            </w:r>
          </w:p>
        </w:tc>
        <w:tc>
          <w:tcPr>
            <w:tcW w:w="680" w:type="dxa"/>
          </w:tcPr>
          <w:p w:rsidR="001164BE" w:rsidRPr="00421991" w:rsidRDefault="001164BE" w:rsidP="009E22B3">
            <w:pPr>
              <w:pStyle w:val="Tabletext2"/>
              <w:spacing w:before="0" w:after="0"/>
              <w:rPr>
                <w:color w:val="auto"/>
              </w:rPr>
            </w:pPr>
            <w:r w:rsidRPr="00421991">
              <w:rPr>
                <w:color w:val="auto"/>
              </w:rPr>
              <w:t>25%</w:t>
            </w:r>
          </w:p>
        </w:tc>
        <w:tc>
          <w:tcPr>
            <w:tcW w:w="680" w:type="dxa"/>
          </w:tcPr>
          <w:p w:rsidR="001164BE" w:rsidRPr="00421991" w:rsidRDefault="001164BE" w:rsidP="009E22B3">
            <w:pPr>
              <w:pStyle w:val="Tabletext2"/>
              <w:spacing w:before="0" w:after="0"/>
              <w:rPr>
                <w:color w:val="auto"/>
              </w:rPr>
            </w:pPr>
            <w:r w:rsidRPr="00421991">
              <w:rPr>
                <w:color w:val="auto"/>
              </w:rPr>
              <w:t>29%</w:t>
            </w:r>
          </w:p>
        </w:tc>
        <w:tc>
          <w:tcPr>
            <w:tcW w:w="680" w:type="dxa"/>
          </w:tcPr>
          <w:p w:rsidR="001164BE" w:rsidRPr="00421991" w:rsidRDefault="001164BE" w:rsidP="009E22B3">
            <w:pPr>
              <w:pStyle w:val="Tabletext2"/>
              <w:spacing w:before="0" w:after="0"/>
              <w:rPr>
                <w:color w:val="auto"/>
              </w:rPr>
            </w:pPr>
            <w:r w:rsidRPr="00421991">
              <w:rPr>
                <w:color w:val="auto"/>
              </w:rPr>
              <w:t>32%</w:t>
            </w:r>
          </w:p>
        </w:tc>
        <w:tc>
          <w:tcPr>
            <w:tcW w:w="680" w:type="dxa"/>
          </w:tcPr>
          <w:p w:rsidR="001164BE" w:rsidRPr="00421991" w:rsidRDefault="001164BE" w:rsidP="009E22B3">
            <w:pPr>
              <w:pStyle w:val="Tabletext2"/>
              <w:spacing w:before="0" w:after="0"/>
              <w:rPr>
                <w:color w:val="auto"/>
              </w:rPr>
            </w:pPr>
            <w:r w:rsidRPr="00421991">
              <w:rPr>
                <w:color w:val="auto"/>
              </w:rPr>
              <w:t>32%</w:t>
            </w:r>
          </w:p>
        </w:tc>
        <w:tc>
          <w:tcPr>
            <w:tcW w:w="680" w:type="dxa"/>
          </w:tcPr>
          <w:p w:rsidR="001164BE" w:rsidRPr="00421991" w:rsidRDefault="001164BE" w:rsidP="009E22B3">
            <w:pPr>
              <w:pStyle w:val="Tabletext2"/>
              <w:spacing w:before="0" w:after="0"/>
              <w:rPr>
                <w:color w:val="auto"/>
              </w:rPr>
            </w:pPr>
            <w:r w:rsidRPr="00421991">
              <w:rPr>
                <w:color w:val="auto"/>
              </w:rPr>
              <w:t>39%</w:t>
            </w:r>
          </w:p>
        </w:tc>
      </w:tr>
      <w:tr w:rsidR="009E22B3" w:rsidRPr="00421991" w:rsidTr="00767FA1">
        <w:trPr>
          <w:trHeight w:val="60"/>
        </w:trPr>
        <w:tc>
          <w:tcPr>
            <w:tcW w:w="2269" w:type="dxa"/>
            <w:vAlign w:val="center"/>
          </w:tcPr>
          <w:p w:rsidR="001164BE" w:rsidRPr="00421991" w:rsidRDefault="001164BE" w:rsidP="00767FA1">
            <w:pPr>
              <w:pStyle w:val="Tabletext"/>
              <w:spacing w:before="0" w:after="0"/>
              <w:rPr>
                <w:color w:val="auto"/>
              </w:rPr>
            </w:pPr>
            <w:r w:rsidRPr="00421991">
              <w:rPr>
                <w:color w:val="auto"/>
              </w:rPr>
              <w:t>Hitting objects with a part of the body</w:t>
            </w:r>
          </w:p>
        </w:tc>
        <w:tc>
          <w:tcPr>
            <w:tcW w:w="680" w:type="dxa"/>
          </w:tcPr>
          <w:p w:rsidR="001164BE" w:rsidRPr="00421991" w:rsidRDefault="001164BE" w:rsidP="009E22B3">
            <w:pPr>
              <w:pStyle w:val="Tabletext2"/>
              <w:spacing w:before="0" w:after="0"/>
              <w:rPr>
                <w:color w:val="auto"/>
              </w:rPr>
            </w:pPr>
            <w:r w:rsidRPr="00421991">
              <w:rPr>
                <w:color w:val="auto"/>
              </w:rPr>
              <w:t>19%</w:t>
            </w:r>
          </w:p>
        </w:tc>
        <w:tc>
          <w:tcPr>
            <w:tcW w:w="680" w:type="dxa"/>
          </w:tcPr>
          <w:p w:rsidR="001164BE" w:rsidRPr="00421991" w:rsidRDefault="001164BE" w:rsidP="009E22B3">
            <w:pPr>
              <w:pStyle w:val="Tabletext2"/>
              <w:spacing w:before="0" w:after="0"/>
              <w:rPr>
                <w:color w:val="auto"/>
              </w:rPr>
            </w:pPr>
            <w:r w:rsidRPr="00421991">
              <w:rPr>
                <w:color w:val="auto"/>
              </w:rPr>
              <w:t>18%</w:t>
            </w:r>
          </w:p>
        </w:tc>
        <w:tc>
          <w:tcPr>
            <w:tcW w:w="680" w:type="dxa"/>
          </w:tcPr>
          <w:p w:rsidR="001164BE" w:rsidRPr="00421991" w:rsidRDefault="001164BE" w:rsidP="009E22B3">
            <w:pPr>
              <w:pStyle w:val="Tabletext2"/>
              <w:spacing w:before="0" w:after="0"/>
              <w:rPr>
                <w:color w:val="auto"/>
              </w:rPr>
            </w:pPr>
            <w:r w:rsidRPr="00421991">
              <w:rPr>
                <w:color w:val="auto"/>
              </w:rPr>
              <w:t>17%</w:t>
            </w:r>
          </w:p>
        </w:tc>
        <w:tc>
          <w:tcPr>
            <w:tcW w:w="680" w:type="dxa"/>
          </w:tcPr>
          <w:p w:rsidR="001164BE" w:rsidRPr="00421991" w:rsidRDefault="001164BE" w:rsidP="009E22B3">
            <w:pPr>
              <w:pStyle w:val="Tabletext2"/>
              <w:spacing w:before="0" w:after="0"/>
              <w:rPr>
                <w:color w:val="auto"/>
              </w:rPr>
            </w:pPr>
            <w:r w:rsidRPr="00421991">
              <w:rPr>
                <w:color w:val="auto"/>
              </w:rPr>
              <w:t>12%</w:t>
            </w:r>
          </w:p>
        </w:tc>
        <w:tc>
          <w:tcPr>
            <w:tcW w:w="680" w:type="dxa"/>
          </w:tcPr>
          <w:p w:rsidR="001164BE" w:rsidRPr="00421991" w:rsidRDefault="001164BE" w:rsidP="009E22B3">
            <w:pPr>
              <w:pStyle w:val="Tabletext2"/>
              <w:spacing w:before="0" w:after="0"/>
              <w:rPr>
                <w:color w:val="auto"/>
              </w:rPr>
            </w:pPr>
            <w:r w:rsidRPr="00421991">
              <w:rPr>
                <w:color w:val="auto"/>
              </w:rPr>
              <w:t>10%</w:t>
            </w:r>
          </w:p>
        </w:tc>
        <w:tc>
          <w:tcPr>
            <w:tcW w:w="680" w:type="dxa"/>
          </w:tcPr>
          <w:p w:rsidR="001164BE" w:rsidRPr="00421991" w:rsidRDefault="001164BE" w:rsidP="009E22B3">
            <w:pPr>
              <w:pStyle w:val="Tabletext2"/>
              <w:spacing w:before="0" w:after="0"/>
              <w:rPr>
                <w:color w:val="auto"/>
              </w:rPr>
            </w:pPr>
            <w:r w:rsidRPr="00421991">
              <w:rPr>
                <w:color w:val="auto"/>
              </w:rPr>
              <w:t>10%</w:t>
            </w:r>
          </w:p>
        </w:tc>
        <w:tc>
          <w:tcPr>
            <w:tcW w:w="680" w:type="dxa"/>
          </w:tcPr>
          <w:p w:rsidR="001164BE" w:rsidRPr="00421991" w:rsidRDefault="001164BE" w:rsidP="009E22B3">
            <w:pPr>
              <w:pStyle w:val="Tabletext2"/>
              <w:spacing w:before="0" w:after="0"/>
              <w:rPr>
                <w:color w:val="auto"/>
              </w:rPr>
            </w:pPr>
            <w:r w:rsidRPr="00421991">
              <w:rPr>
                <w:color w:val="auto"/>
              </w:rPr>
              <w:t>8%</w:t>
            </w:r>
          </w:p>
        </w:tc>
        <w:tc>
          <w:tcPr>
            <w:tcW w:w="680" w:type="dxa"/>
          </w:tcPr>
          <w:p w:rsidR="001164BE" w:rsidRPr="00421991" w:rsidRDefault="001164BE" w:rsidP="009E22B3">
            <w:pPr>
              <w:pStyle w:val="Tabletext2"/>
              <w:spacing w:before="0" w:after="0"/>
              <w:rPr>
                <w:color w:val="auto"/>
              </w:rPr>
            </w:pPr>
            <w:r w:rsidRPr="00421991">
              <w:rPr>
                <w:color w:val="auto"/>
              </w:rPr>
              <w:t>8%</w:t>
            </w:r>
          </w:p>
        </w:tc>
        <w:tc>
          <w:tcPr>
            <w:tcW w:w="680" w:type="dxa"/>
          </w:tcPr>
          <w:p w:rsidR="001164BE" w:rsidRPr="00421991" w:rsidRDefault="001164BE" w:rsidP="009E22B3">
            <w:pPr>
              <w:pStyle w:val="Tabletext2"/>
              <w:spacing w:before="0" w:after="0"/>
              <w:rPr>
                <w:color w:val="auto"/>
              </w:rPr>
            </w:pPr>
            <w:r w:rsidRPr="00421991">
              <w:rPr>
                <w:color w:val="auto"/>
              </w:rPr>
              <w:t>6%</w:t>
            </w:r>
          </w:p>
        </w:tc>
        <w:tc>
          <w:tcPr>
            <w:tcW w:w="680" w:type="dxa"/>
          </w:tcPr>
          <w:p w:rsidR="001164BE" w:rsidRPr="00421991" w:rsidRDefault="001164BE" w:rsidP="009E22B3">
            <w:pPr>
              <w:pStyle w:val="Tabletext2"/>
              <w:spacing w:before="0" w:after="0"/>
              <w:rPr>
                <w:color w:val="auto"/>
              </w:rPr>
            </w:pPr>
            <w:r w:rsidRPr="00421991">
              <w:rPr>
                <w:color w:val="auto"/>
              </w:rPr>
              <w:t>7%</w:t>
            </w:r>
          </w:p>
        </w:tc>
        <w:tc>
          <w:tcPr>
            <w:tcW w:w="680" w:type="dxa"/>
          </w:tcPr>
          <w:p w:rsidR="001164BE" w:rsidRPr="00421991" w:rsidRDefault="001164BE" w:rsidP="009E22B3">
            <w:pPr>
              <w:pStyle w:val="Tabletext2"/>
              <w:spacing w:before="0" w:after="0"/>
              <w:rPr>
                <w:color w:val="auto"/>
              </w:rPr>
            </w:pPr>
            <w:r w:rsidRPr="00421991">
              <w:rPr>
                <w:color w:val="auto"/>
              </w:rPr>
              <w:t>11%</w:t>
            </w:r>
          </w:p>
        </w:tc>
      </w:tr>
      <w:tr w:rsidR="009E22B3" w:rsidRPr="00421991" w:rsidTr="00767FA1">
        <w:trPr>
          <w:trHeight w:val="60"/>
        </w:trPr>
        <w:tc>
          <w:tcPr>
            <w:tcW w:w="2269" w:type="dxa"/>
            <w:vAlign w:val="center"/>
          </w:tcPr>
          <w:p w:rsidR="001164BE" w:rsidRPr="00421991" w:rsidRDefault="001164BE" w:rsidP="00767FA1">
            <w:pPr>
              <w:pStyle w:val="Tabletext"/>
              <w:spacing w:before="0" w:after="0"/>
              <w:rPr>
                <w:color w:val="auto"/>
              </w:rPr>
            </w:pPr>
            <w:r w:rsidRPr="00421991">
              <w:rPr>
                <w:color w:val="auto"/>
              </w:rPr>
              <w:t>Being hit by moving objects</w:t>
            </w:r>
          </w:p>
        </w:tc>
        <w:tc>
          <w:tcPr>
            <w:tcW w:w="680" w:type="dxa"/>
          </w:tcPr>
          <w:p w:rsidR="001164BE" w:rsidRPr="00421991" w:rsidRDefault="001164BE" w:rsidP="009E22B3">
            <w:pPr>
              <w:pStyle w:val="Tabletext2"/>
              <w:spacing w:before="0" w:after="0"/>
              <w:rPr>
                <w:color w:val="auto"/>
              </w:rPr>
            </w:pPr>
            <w:r w:rsidRPr="00421991">
              <w:rPr>
                <w:color w:val="auto"/>
              </w:rPr>
              <w:t>13%</w:t>
            </w:r>
          </w:p>
        </w:tc>
        <w:tc>
          <w:tcPr>
            <w:tcW w:w="680" w:type="dxa"/>
          </w:tcPr>
          <w:p w:rsidR="001164BE" w:rsidRPr="00421991" w:rsidRDefault="001164BE" w:rsidP="009E22B3">
            <w:pPr>
              <w:pStyle w:val="Tabletext2"/>
              <w:spacing w:before="0" w:after="0"/>
              <w:rPr>
                <w:color w:val="auto"/>
              </w:rPr>
            </w:pPr>
            <w:r w:rsidRPr="00421991">
              <w:rPr>
                <w:color w:val="auto"/>
              </w:rPr>
              <w:t>16%</w:t>
            </w:r>
          </w:p>
        </w:tc>
        <w:tc>
          <w:tcPr>
            <w:tcW w:w="680" w:type="dxa"/>
          </w:tcPr>
          <w:p w:rsidR="001164BE" w:rsidRPr="00421991" w:rsidRDefault="001164BE" w:rsidP="009E22B3">
            <w:pPr>
              <w:pStyle w:val="Tabletext2"/>
              <w:spacing w:before="0" w:after="0"/>
              <w:rPr>
                <w:color w:val="auto"/>
              </w:rPr>
            </w:pPr>
            <w:r w:rsidRPr="00421991">
              <w:rPr>
                <w:color w:val="auto"/>
              </w:rPr>
              <w:t>16%</w:t>
            </w:r>
          </w:p>
        </w:tc>
        <w:tc>
          <w:tcPr>
            <w:tcW w:w="680" w:type="dxa"/>
          </w:tcPr>
          <w:p w:rsidR="001164BE" w:rsidRPr="00421991" w:rsidRDefault="001164BE" w:rsidP="009E22B3">
            <w:pPr>
              <w:pStyle w:val="Tabletext2"/>
              <w:spacing w:before="0" w:after="0"/>
              <w:rPr>
                <w:color w:val="auto"/>
              </w:rPr>
            </w:pPr>
            <w:r w:rsidRPr="00421991">
              <w:rPr>
                <w:color w:val="auto"/>
              </w:rPr>
              <w:t>14%</w:t>
            </w:r>
          </w:p>
        </w:tc>
        <w:tc>
          <w:tcPr>
            <w:tcW w:w="680" w:type="dxa"/>
          </w:tcPr>
          <w:p w:rsidR="001164BE" w:rsidRPr="00421991" w:rsidRDefault="001164BE" w:rsidP="009E22B3">
            <w:pPr>
              <w:pStyle w:val="Tabletext2"/>
              <w:spacing w:before="0" w:after="0"/>
              <w:rPr>
                <w:color w:val="auto"/>
              </w:rPr>
            </w:pPr>
            <w:r w:rsidRPr="00421991">
              <w:rPr>
                <w:color w:val="auto"/>
              </w:rPr>
              <w:t>11%</w:t>
            </w:r>
          </w:p>
        </w:tc>
        <w:tc>
          <w:tcPr>
            <w:tcW w:w="680" w:type="dxa"/>
          </w:tcPr>
          <w:p w:rsidR="001164BE" w:rsidRPr="00421991" w:rsidRDefault="001164BE" w:rsidP="009E22B3">
            <w:pPr>
              <w:pStyle w:val="Tabletext2"/>
              <w:spacing w:before="0" w:after="0"/>
              <w:rPr>
                <w:color w:val="auto"/>
              </w:rPr>
            </w:pPr>
            <w:r w:rsidRPr="00421991">
              <w:rPr>
                <w:color w:val="auto"/>
              </w:rPr>
              <w:t>9%</w:t>
            </w:r>
          </w:p>
        </w:tc>
        <w:tc>
          <w:tcPr>
            <w:tcW w:w="680" w:type="dxa"/>
          </w:tcPr>
          <w:p w:rsidR="001164BE" w:rsidRPr="00421991" w:rsidRDefault="001164BE" w:rsidP="009E22B3">
            <w:pPr>
              <w:pStyle w:val="Tabletext2"/>
              <w:spacing w:before="0" w:after="0"/>
              <w:rPr>
                <w:color w:val="auto"/>
              </w:rPr>
            </w:pPr>
            <w:r w:rsidRPr="00421991">
              <w:rPr>
                <w:color w:val="auto"/>
              </w:rPr>
              <w:t>9%</w:t>
            </w:r>
          </w:p>
        </w:tc>
        <w:tc>
          <w:tcPr>
            <w:tcW w:w="680" w:type="dxa"/>
          </w:tcPr>
          <w:p w:rsidR="001164BE" w:rsidRPr="00421991" w:rsidRDefault="001164BE" w:rsidP="009E22B3">
            <w:pPr>
              <w:pStyle w:val="Tabletext2"/>
              <w:spacing w:before="0" w:after="0"/>
              <w:rPr>
                <w:color w:val="auto"/>
              </w:rPr>
            </w:pPr>
            <w:r w:rsidRPr="00421991">
              <w:rPr>
                <w:color w:val="auto"/>
              </w:rPr>
              <w:t>8%</w:t>
            </w:r>
          </w:p>
        </w:tc>
        <w:tc>
          <w:tcPr>
            <w:tcW w:w="680" w:type="dxa"/>
          </w:tcPr>
          <w:p w:rsidR="001164BE" w:rsidRPr="00421991" w:rsidRDefault="001164BE" w:rsidP="009E22B3">
            <w:pPr>
              <w:pStyle w:val="Tabletext2"/>
              <w:spacing w:before="0" w:after="0"/>
              <w:rPr>
                <w:color w:val="auto"/>
              </w:rPr>
            </w:pPr>
            <w:r w:rsidRPr="00421991">
              <w:rPr>
                <w:color w:val="auto"/>
              </w:rPr>
              <w:t>8%</w:t>
            </w:r>
          </w:p>
        </w:tc>
        <w:tc>
          <w:tcPr>
            <w:tcW w:w="680" w:type="dxa"/>
          </w:tcPr>
          <w:p w:rsidR="001164BE" w:rsidRPr="00421991" w:rsidRDefault="001164BE" w:rsidP="009E22B3">
            <w:pPr>
              <w:pStyle w:val="Tabletext2"/>
              <w:spacing w:before="0" w:after="0"/>
              <w:rPr>
                <w:color w:val="auto"/>
              </w:rPr>
            </w:pPr>
            <w:r w:rsidRPr="00421991">
              <w:rPr>
                <w:color w:val="auto"/>
              </w:rPr>
              <w:t>7%</w:t>
            </w:r>
          </w:p>
        </w:tc>
        <w:tc>
          <w:tcPr>
            <w:tcW w:w="680" w:type="dxa"/>
          </w:tcPr>
          <w:p w:rsidR="001164BE" w:rsidRPr="00421991" w:rsidRDefault="001164BE" w:rsidP="009E22B3">
            <w:pPr>
              <w:pStyle w:val="Tabletext2"/>
              <w:spacing w:before="0" w:after="0"/>
              <w:rPr>
                <w:color w:val="auto"/>
              </w:rPr>
            </w:pPr>
            <w:r w:rsidRPr="00421991">
              <w:rPr>
                <w:color w:val="auto"/>
              </w:rPr>
              <w:t>8%</w:t>
            </w:r>
          </w:p>
        </w:tc>
      </w:tr>
      <w:tr w:rsidR="009E22B3" w:rsidRPr="00421991" w:rsidTr="00767FA1">
        <w:trPr>
          <w:trHeight w:val="60"/>
        </w:trPr>
        <w:tc>
          <w:tcPr>
            <w:tcW w:w="2269" w:type="dxa"/>
            <w:vAlign w:val="center"/>
          </w:tcPr>
          <w:p w:rsidR="001164BE" w:rsidRPr="00421991" w:rsidRDefault="001164BE" w:rsidP="00767FA1">
            <w:pPr>
              <w:pStyle w:val="Tabletext"/>
              <w:spacing w:before="0" w:after="0"/>
              <w:rPr>
                <w:color w:val="auto"/>
              </w:rPr>
            </w:pPr>
            <w:r w:rsidRPr="00421991">
              <w:rPr>
                <w:color w:val="auto"/>
              </w:rPr>
              <w:t>Heat, electricity and other environmental factors</w:t>
            </w:r>
          </w:p>
        </w:tc>
        <w:tc>
          <w:tcPr>
            <w:tcW w:w="680" w:type="dxa"/>
          </w:tcPr>
          <w:p w:rsidR="001164BE" w:rsidRPr="00421991" w:rsidRDefault="001164BE" w:rsidP="009E22B3">
            <w:pPr>
              <w:pStyle w:val="Tabletext2"/>
              <w:spacing w:before="0" w:after="0"/>
              <w:rPr>
                <w:color w:val="auto"/>
              </w:rPr>
            </w:pPr>
            <w:r w:rsidRPr="00421991">
              <w:rPr>
                <w:color w:val="auto"/>
              </w:rPr>
              <w:t>18%</w:t>
            </w:r>
          </w:p>
        </w:tc>
        <w:tc>
          <w:tcPr>
            <w:tcW w:w="680" w:type="dxa"/>
          </w:tcPr>
          <w:p w:rsidR="001164BE" w:rsidRPr="00421991" w:rsidRDefault="001164BE" w:rsidP="009E22B3">
            <w:pPr>
              <w:pStyle w:val="Tabletext2"/>
              <w:spacing w:before="0" w:after="0"/>
              <w:rPr>
                <w:color w:val="auto"/>
              </w:rPr>
            </w:pPr>
            <w:r w:rsidRPr="00421991">
              <w:rPr>
                <w:color w:val="auto"/>
              </w:rPr>
              <w:t>10%</w:t>
            </w:r>
          </w:p>
        </w:tc>
        <w:tc>
          <w:tcPr>
            <w:tcW w:w="680" w:type="dxa"/>
          </w:tcPr>
          <w:p w:rsidR="001164BE" w:rsidRPr="00421991" w:rsidRDefault="001164BE" w:rsidP="009E22B3">
            <w:pPr>
              <w:pStyle w:val="Tabletext2"/>
              <w:spacing w:before="0" w:after="0"/>
              <w:rPr>
                <w:color w:val="auto"/>
              </w:rPr>
            </w:pPr>
            <w:r w:rsidRPr="00421991">
              <w:rPr>
                <w:color w:val="auto"/>
              </w:rPr>
              <w:t>10%</w:t>
            </w:r>
          </w:p>
        </w:tc>
        <w:tc>
          <w:tcPr>
            <w:tcW w:w="680" w:type="dxa"/>
          </w:tcPr>
          <w:p w:rsidR="001164BE" w:rsidRPr="00421991" w:rsidRDefault="001164BE" w:rsidP="009E22B3">
            <w:pPr>
              <w:pStyle w:val="Tabletext2"/>
              <w:spacing w:before="0" w:after="0"/>
              <w:rPr>
                <w:color w:val="auto"/>
              </w:rPr>
            </w:pPr>
            <w:r w:rsidRPr="00421991">
              <w:rPr>
                <w:color w:val="auto"/>
              </w:rPr>
              <w:t>6%</w:t>
            </w:r>
          </w:p>
        </w:tc>
        <w:tc>
          <w:tcPr>
            <w:tcW w:w="680" w:type="dxa"/>
          </w:tcPr>
          <w:p w:rsidR="001164BE" w:rsidRPr="00421991" w:rsidRDefault="001164BE" w:rsidP="009E22B3">
            <w:pPr>
              <w:pStyle w:val="Tabletext2"/>
              <w:spacing w:before="0" w:after="0"/>
              <w:rPr>
                <w:color w:val="auto"/>
              </w:rPr>
            </w:pPr>
            <w:r w:rsidRPr="00421991">
              <w:rPr>
                <w:color w:val="auto"/>
              </w:rPr>
              <w:t>6%</w:t>
            </w:r>
          </w:p>
        </w:tc>
        <w:tc>
          <w:tcPr>
            <w:tcW w:w="680" w:type="dxa"/>
          </w:tcPr>
          <w:p w:rsidR="001164BE" w:rsidRPr="00421991" w:rsidRDefault="001164BE" w:rsidP="009E22B3">
            <w:pPr>
              <w:pStyle w:val="Tabletext2"/>
              <w:spacing w:before="0" w:after="0"/>
              <w:rPr>
                <w:color w:val="auto"/>
              </w:rPr>
            </w:pPr>
            <w:r w:rsidRPr="00421991">
              <w:rPr>
                <w:color w:val="auto"/>
              </w:rPr>
              <w:t>4%</w:t>
            </w:r>
          </w:p>
        </w:tc>
        <w:tc>
          <w:tcPr>
            <w:tcW w:w="680" w:type="dxa"/>
          </w:tcPr>
          <w:p w:rsidR="001164BE" w:rsidRPr="00421991" w:rsidRDefault="001164BE" w:rsidP="009E22B3">
            <w:pPr>
              <w:pStyle w:val="Tabletext2"/>
              <w:spacing w:before="0" w:after="0"/>
              <w:rPr>
                <w:color w:val="auto"/>
              </w:rPr>
            </w:pPr>
            <w:r w:rsidRPr="00421991">
              <w:rPr>
                <w:color w:val="auto"/>
              </w:rPr>
              <w:t>4%</w:t>
            </w:r>
          </w:p>
        </w:tc>
        <w:tc>
          <w:tcPr>
            <w:tcW w:w="680" w:type="dxa"/>
          </w:tcPr>
          <w:p w:rsidR="001164BE" w:rsidRPr="00421991" w:rsidRDefault="001164BE" w:rsidP="009E22B3">
            <w:pPr>
              <w:pStyle w:val="Tabletext2"/>
              <w:spacing w:before="0" w:after="0"/>
              <w:rPr>
                <w:color w:val="auto"/>
              </w:rPr>
            </w:pPr>
            <w:r w:rsidRPr="00421991">
              <w:rPr>
                <w:color w:val="auto"/>
              </w:rPr>
              <w:t>3%</w:t>
            </w:r>
          </w:p>
        </w:tc>
        <w:tc>
          <w:tcPr>
            <w:tcW w:w="680" w:type="dxa"/>
          </w:tcPr>
          <w:p w:rsidR="001164BE" w:rsidRPr="00421991" w:rsidRDefault="001164BE" w:rsidP="009E22B3">
            <w:pPr>
              <w:pStyle w:val="Tabletext2"/>
              <w:spacing w:before="0" w:after="0"/>
              <w:rPr>
                <w:color w:val="auto"/>
              </w:rPr>
            </w:pPr>
            <w:r w:rsidRPr="00421991">
              <w:rPr>
                <w:color w:val="auto"/>
              </w:rPr>
              <w:t>3%</w:t>
            </w:r>
          </w:p>
        </w:tc>
        <w:tc>
          <w:tcPr>
            <w:tcW w:w="680" w:type="dxa"/>
          </w:tcPr>
          <w:p w:rsidR="001164BE" w:rsidRPr="00421991" w:rsidRDefault="001164BE" w:rsidP="009E22B3">
            <w:pPr>
              <w:pStyle w:val="Tabletext2"/>
              <w:spacing w:before="0" w:after="0"/>
              <w:rPr>
                <w:color w:val="auto"/>
              </w:rPr>
            </w:pPr>
            <w:r w:rsidRPr="00421991">
              <w:rPr>
                <w:color w:val="auto"/>
              </w:rPr>
              <w:t>2%</w:t>
            </w:r>
          </w:p>
        </w:tc>
        <w:tc>
          <w:tcPr>
            <w:tcW w:w="680" w:type="dxa"/>
          </w:tcPr>
          <w:p w:rsidR="001164BE" w:rsidRPr="00421991" w:rsidRDefault="001164BE" w:rsidP="009E22B3">
            <w:pPr>
              <w:pStyle w:val="Tabletext2"/>
              <w:spacing w:before="0" w:after="0"/>
              <w:rPr>
                <w:color w:val="auto"/>
              </w:rPr>
            </w:pPr>
            <w:r w:rsidRPr="00421991">
              <w:rPr>
                <w:color w:val="auto"/>
              </w:rPr>
              <w:t>1%</w:t>
            </w:r>
          </w:p>
        </w:tc>
      </w:tr>
      <w:tr w:rsidR="009E22B3" w:rsidRPr="00421991" w:rsidTr="00767FA1">
        <w:trPr>
          <w:trHeight w:val="60"/>
        </w:trPr>
        <w:tc>
          <w:tcPr>
            <w:tcW w:w="2269" w:type="dxa"/>
            <w:vAlign w:val="center"/>
          </w:tcPr>
          <w:p w:rsidR="001164BE" w:rsidRPr="00421991" w:rsidRDefault="001164BE" w:rsidP="00767FA1">
            <w:pPr>
              <w:pStyle w:val="Tabletext"/>
              <w:spacing w:before="0" w:after="0"/>
              <w:rPr>
                <w:color w:val="auto"/>
              </w:rPr>
            </w:pPr>
            <w:r w:rsidRPr="00421991">
              <w:rPr>
                <w:color w:val="auto"/>
              </w:rPr>
              <w:t>Vehicle incidents and other</w:t>
            </w:r>
          </w:p>
        </w:tc>
        <w:tc>
          <w:tcPr>
            <w:tcW w:w="680" w:type="dxa"/>
          </w:tcPr>
          <w:p w:rsidR="001164BE" w:rsidRPr="00421991" w:rsidRDefault="001164BE" w:rsidP="009E22B3">
            <w:pPr>
              <w:pStyle w:val="Tabletext2"/>
              <w:spacing w:before="0" w:after="0"/>
              <w:rPr>
                <w:color w:val="auto"/>
              </w:rPr>
            </w:pPr>
            <w:r w:rsidRPr="00421991">
              <w:rPr>
                <w:color w:val="auto"/>
              </w:rPr>
              <w:t>4%</w:t>
            </w:r>
          </w:p>
        </w:tc>
        <w:tc>
          <w:tcPr>
            <w:tcW w:w="680" w:type="dxa"/>
          </w:tcPr>
          <w:p w:rsidR="001164BE" w:rsidRPr="00421991" w:rsidRDefault="001164BE" w:rsidP="009E22B3">
            <w:pPr>
              <w:pStyle w:val="Tabletext2"/>
              <w:spacing w:before="0" w:after="0"/>
              <w:rPr>
                <w:color w:val="auto"/>
              </w:rPr>
            </w:pPr>
            <w:r w:rsidRPr="00421991">
              <w:rPr>
                <w:color w:val="auto"/>
              </w:rPr>
              <w:t>4%</w:t>
            </w:r>
          </w:p>
        </w:tc>
        <w:tc>
          <w:tcPr>
            <w:tcW w:w="680" w:type="dxa"/>
          </w:tcPr>
          <w:p w:rsidR="001164BE" w:rsidRPr="00421991" w:rsidRDefault="001164BE" w:rsidP="009E22B3">
            <w:pPr>
              <w:pStyle w:val="Tabletext2"/>
              <w:spacing w:before="0" w:after="0"/>
              <w:rPr>
                <w:color w:val="auto"/>
              </w:rPr>
            </w:pPr>
            <w:r w:rsidRPr="00421991">
              <w:rPr>
                <w:color w:val="auto"/>
              </w:rPr>
              <w:t>5%</w:t>
            </w:r>
          </w:p>
        </w:tc>
        <w:tc>
          <w:tcPr>
            <w:tcW w:w="680" w:type="dxa"/>
          </w:tcPr>
          <w:p w:rsidR="001164BE" w:rsidRPr="00421991" w:rsidRDefault="001164BE" w:rsidP="009E22B3">
            <w:pPr>
              <w:pStyle w:val="Tabletext2"/>
              <w:spacing w:before="0" w:after="0"/>
              <w:rPr>
                <w:color w:val="auto"/>
              </w:rPr>
            </w:pPr>
            <w:r w:rsidRPr="00421991">
              <w:rPr>
                <w:color w:val="auto"/>
              </w:rPr>
              <w:t>6%</w:t>
            </w:r>
          </w:p>
        </w:tc>
        <w:tc>
          <w:tcPr>
            <w:tcW w:w="680" w:type="dxa"/>
          </w:tcPr>
          <w:p w:rsidR="001164BE" w:rsidRPr="00421991" w:rsidRDefault="001164BE" w:rsidP="009E22B3">
            <w:pPr>
              <w:pStyle w:val="Tabletext2"/>
              <w:spacing w:before="0" w:after="0"/>
              <w:rPr>
                <w:color w:val="auto"/>
              </w:rPr>
            </w:pPr>
            <w:r w:rsidRPr="00421991">
              <w:rPr>
                <w:color w:val="auto"/>
              </w:rPr>
              <w:t>7%</w:t>
            </w:r>
          </w:p>
        </w:tc>
        <w:tc>
          <w:tcPr>
            <w:tcW w:w="680" w:type="dxa"/>
          </w:tcPr>
          <w:p w:rsidR="001164BE" w:rsidRPr="00421991" w:rsidRDefault="001164BE" w:rsidP="009E22B3">
            <w:pPr>
              <w:pStyle w:val="Tabletext2"/>
              <w:spacing w:before="0" w:after="0"/>
              <w:rPr>
                <w:color w:val="auto"/>
              </w:rPr>
            </w:pPr>
            <w:r w:rsidRPr="00421991">
              <w:rPr>
                <w:color w:val="auto"/>
              </w:rPr>
              <w:t>6%</w:t>
            </w:r>
          </w:p>
        </w:tc>
        <w:tc>
          <w:tcPr>
            <w:tcW w:w="680" w:type="dxa"/>
          </w:tcPr>
          <w:p w:rsidR="001164BE" w:rsidRPr="00421991" w:rsidRDefault="001164BE" w:rsidP="009E22B3">
            <w:pPr>
              <w:pStyle w:val="Tabletext2"/>
              <w:spacing w:before="0" w:after="0"/>
              <w:rPr>
                <w:color w:val="auto"/>
              </w:rPr>
            </w:pPr>
            <w:r w:rsidRPr="00421991">
              <w:rPr>
                <w:color w:val="auto"/>
              </w:rPr>
              <w:t>7%</w:t>
            </w:r>
          </w:p>
        </w:tc>
        <w:tc>
          <w:tcPr>
            <w:tcW w:w="680" w:type="dxa"/>
          </w:tcPr>
          <w:p w:rsidR="001164BE" w:rsidRPr="00421991" w:rsidRDefault="001164BE" w:rsidP="009E22B3">
            <w:pPr>
              <w:pStyle w:val="Tabletext2"/>
              <w:spacing w:before="0" w:after="0"/>
              <w:rPr>
                <w:color w:val="auto"/>
              </w:rPr>
            </w:pPr>
            <w:r w:rsidRPr="00421991">
              <w:rPr>
                <w:color w:val="auto"/>
              </w:rPr>
              <w:t>6%</w:t>
            </w:r>
          </w:p>
        </w:tc>
        <w:tc>
          <w:tcPr>
            <w:tcW w:w="680" w:type="dxa"/>
          </w:tcPr>
          <w:p w:rsidR="001164BE" w:rsidRPr="00421991" w:rsidRDefault="001164BE" w:rsidP="009E22B3">
            <w:pPr>
              <w:pStyle w:val="Tabletext2"/>
              <w:spacing w:before="0" w:after="0"/>
              <w:rPr>
                <w:color w:val="auto"/>
              </w:rPr>
            </w:pPr>
            <w:r w:rsidRPr="00421991">
              <w:rPr>
                <w:color w:val="auto"/>
              </w:rPr>
              <w:t>6%</w:t>
            </w:r>
          </w:p>
        </w:tc>
        <w:tc>
          <w:tcPr>
            <w:tcW w:w="680" w:type="dxa"/>
          </w:tcPr>
          <w:p w:rsidR="001164BE" w:rsidRPr="00421991" w:rsidRDefault="001164BE" w:rsidP="009E22B3">
            <w:pPr>
              <w:pStyle w:val="Tabletext2"/>
              <w:spacing w:before="0" w:after="0"/>
              <w:rPr>
                <w:color w:val="auto"/>
              </w:rPr>
            </w:pPr>
            <w:r w:rsidRPr="00421991">
              <w:rPr>
                <w:color w:val="auto"/>
              </w:rPr>
              <w:t>4%</w:t>
            </w:r>
          </w:p>
        </w:tc>
        <w:tc>
          <w:tcPr>
            <w:tcW w:w="680" w:type="dxa"/>
          </w:tcPr>
          <w:p w:rsidR="001164BE" w:rsidRPr="00421991" w:rsidRDefault="001164BE" w:rsidP="009E22B3">
            <w:pPr>
              <w:pStyle w:val="Tabletext2"/>
              <w:spacing w:before="0" w:after="0"/>
              <w:rPr>
                <w:color w:val="auto"/>
              </w:rPr>
            </w:pPr>
            <w:r w:rsidRPr="00421991">
              <w:rPr>
                <w:color w:val="auto"/>
              </w:rPr>
              <w:t>6%</w:t>
            </w:r>
          </w:p>
        </w:tc>
      </w:tr>
      <w:tr w:rsidR="009E22B3" w:rsidRPr="00421991" w:rsidTr="00767FA1">
        <w:trPr>
          <w:trHeight w:val="60"/>
        </w:trPr>
        <w:tc>
          <w:tcPr>
            <w:tcW w:w="2269" w:type="dxa"/>
            <w:vAlign w:val="center"/>
          </w:tcPr>
          <w:p w:rsidR="001164BE" w:rsidRPr="00421991" w:rsidRDefault="001164BE" w:rsidP="00767FA1">
            <w:pPr>
              <w:pStyle w:val="Tabletext"/>
              <w:spacing w:before="0" w:after="0"/>
              <w:rPr>
                <w:color w:val="auto"/>
              </w:rPr>
            </w:pPr>
            <w:r w:rsidRPr="00421991">
              <w:rPr>
                <w:color w:val="auto"/>
              </w:rPr>
              <w:t>Mental stress</w:t>
            </w:r>
          </w:p>
        </w:tc>
        <w:tc>
          <w:tcPr>
            <w:tcW w:w="680" w:type="dxa"/>
          </w:tcPr>
          <w:p w:rsidR="001164BE" w:rsidRPr="00421991" w:rsidRDefault="001164BE" w:rsidP="009E22B3">
            <w:pPr>
              <w:pStyle w:val="Tabletext2"/>
              <w:spacing w:before="0" w:after="0"/>
              <w:rPr>
                <w:color w:val="auto"/>
              </w:rPr>
            </w:pPr>
            <w:r w:rsidRPr="00421991">
              <w:rPr>
                <w:color w:val="auto"/>
              </w:rPr>
              <w:t>3%</w:t>
            </w:r>
          </w:p>
        </w:tc>
        <w:tc>
          <w:tcPr>
            <w:tcW w:w="680" w:type="dxa"/>
          </w:tcPr>
          <w:p w:rsidR="001164BE" w:rsidRPr="00421991" w:rsidRDefault="001164BE" w:rsidP="009E22B3">
            <w:pPr>
              <w:pStyle w:val="Tabletext2"/>
              <w:spacing w:before="0" w:after="0"/>
              <w:rPr>
                <w:color w:val="auto"/>
              </w:rPr>
            </w:pPr>
            <w:r w:rsidRPr="00421991">
              <w:rPr>
                <w:color w:val="auto"/>
              </w:rPr>
              <w:t>4%</w:t>
            </w:r>
          </w:p>
        </w:tc>
        <w:tc>
          <w:tcPr>
            <w:tcW w:w="680" w:type="dxa"/>
          </w:tcPr>
          <w:p w:rsidR="001164BE" w:rsidRPr="00421991" w:rsidRDefault="001164BE" w:rsidP="009E22B3">
            <w:pPr>
              <w:pStyle w:val="Tabletext2"/>
              <w:spacing w:before="0" w:after="0"/>
              <w:rPr>
                <w:color w:val="auto"/>
              </w:rPr>
            </w:pPr>
            <w:r w:rsidRPr="00421991">
              <w:rPr>
                <w:color w:val="auto"/>
              </w:rPr>
              <w:t>4%</w:t>
            </w:r>
          </w:p>
        </w:tc>
        <w:tc>
          <w:tcPr>
            <w:tcW w:w="680" w:type="dxa"/>
          </w:tcPr>
          <w:p w:rsidR="001164BE" w:rsidRPr="00421991" w:rsidRDefault="001164BE" w:rsidP="009E22B3">
            <w:pPr>
              <w:pStyle w:val="Tabletext2"/>
              <w:spacing w:before="0" w:after="0"/>
              <w:rPr>
                <w:color w:val="auto"/>
              </w:rPr>
            </w:pPr>
            <w:r w:rsidRPr="00421991">
              <w:rPr>
                <w:color w:val="auto"/>
              </w:rPr>
              <w:t>4%</w:t>
            </w:r>
          </w:p>
        </w:tc>
        <w:tc>
          <w:tcPr>
            <w:tcW w:w="680" w:type="dxa"/>
          </w:tcPr>
          <w:p w:rsidR="001164BE" w:rsidRPr="00421991" w:rsidRDefault="001164BE" w:rsidP="009E22B3">
            <w:pPr>
              <w:pStyle w:val="Tabletext2"/>
              <w:spacing w:before="0" w:after="0"/>
              <w:rPr>
                <w:color w:val="auto"/>
              </w:rPr>
            </w:pPr>
            <w:r w:rsidRPr="00421991">
              <w:rPr>
                <w:color w:val="auto"/>
              </w:rPr>
              <w:t>5%</w:t>
            </w:r>
          </w:p>
        </w:tc>
        <w:tc>
          <w:tcPr>
            <w:tcW w:w="680" w:type="dxa"/>
          </w:tcPr>
          <w:p w:rsidR="001164BE" w:rsidRPr="00421991" w:rsidRDefault="001164BE" w:rsidP="009E22B3">
            <w:pPr>
              <w:pStyle w:val="Tabletext2"/>
              <w:spacing w:before="0" w:after="0"/>
              <w:rPr>
                <w:color w:val="auto"/>
              </w:rPr>
            </w:pPr>
            <w:r w:rsidRPr="00421991">
              <w:rPr>
                <w:color w:val="auto"/>
              </w:rPr>
              <w:t>6%</w:t>
            </w:r>
          </w:p>
        </w:tc>
        <w:tc>
          <w:tcPr>
            <w:tcW w:w="680" w:type="dxa"/>
          </w:tcPr>
          <w:p w:rsidR="001164BE" w:rsidRPr="00421991" w:rsidRDefault="001164BE" w:rsidP="009E22B3">
            <w:pPr>
              <w:pStyle w:val="Tabletext2"/>
              <w:spacing w:before="0" w:after="0"/>
              <w:rPr>
                <w:color w:val="auto"/>
              </w:rPr>
            </w:pPr>
            <w:r w:rsidRPr="00421991">
              <w:rPr>
                <w:color w:val="auto"/>
              </w:rPr>
              <w:t>5%</w:t>
            </w:r>
          </w:p>
        </w:tc>
        <w:tc>
          <w:tcPr>
            <w:tcW w:w="680" w:type="dxa"/>
          </w:tcPr>
          <w:p w:rsidR="001164BE" w:rsidRPr="00421991" w:rsidRDefault="001164BE" w:rsidP="009E22B3">
            <w:pPr>
              <w:pStyle w:val="Tabletext2"/>
              <w:spacing w:before="0" w:after="0"/>
              <w:rPr>
                <w:color w:val="auto"/>
              </w:rPr>
            </w:pPr>
            <w:r w:rsidRPr="00421991">
              <w:rPr>
                <w:color w:val="auto"/>
              </w:rPr>
              <w:t>5%</w:t>
            </w:r>
          </w:p>
        </w:tc>
        <w:tc>
          <w:tcPr>
            <w:tcW w:w="680" w:type="dxa"/>
          </w:tcPr>
          <w:p w:rsidR="001164BE" w:rsidRPr="00421991" w:rsidRDefault="001164BE" w:rsidP="009E22B3">
            <w:pPr>
              <w:pStyle w:val="Tabletext2"/>
              <w:spacing w:before="0" w:after="0"/>
              <w:rPr>
                <w:color w:val="auto"/>
              </w:rPr>
            </w:pPr>
            <w:r w:rsidRPr="00421991">
              <w:rPr>
                <w:color w:val="auto"/>
              </w:rPr>
              <w:t>4%</w:t>
            </w:r>
          </w:p>
        </w:tc>
        <w:tc>
          <w:tcPr>
            <w:tcW w:w="680" w:type="dxa"/>
          </w:tcPr>
          <w:p w:rsidR="001164BE" w:rsidRPr="00421991" w:rsidRDefault="001164BE" w:rsidP="009E22B3">
            <w:pPr>
              <w:pStyle w:val="Tabletext2"/>
              <w:spacing w:before="0" w:after="0"/>
              <w:rPr>
                <w:color w:val="auto"/>
              </w:rPr>
            </w:pPr>
            <w:r w:rsidRPr="00421991">
              <w:rPr>
                <w:color w:val="auto"/>
              </w:rPr>
              <w:t>4%</w:t>
            </w:r>
          </w:p>
        </w:tc>
        <w:tc>
          <w:tcPr>
            <w:tcW w:w="680" w:type="dxa"/>
          </w:tcPr>
          <w:p w:rsidR="001164BE" w:rsidRPr="00421991" w:rsidRDefault="001164BE" w:rsidP="009E22B3">
            <w:pPr>
              <w:pStyle w:val="Tabletext2"/>
              <w:spacing w:before="0" w:after="0"/>
              <w:rPr>
                <w:color w:val="auto"/>
              </w:rPr>
            </w:pPr>
            <w:r w:rsidRPr="00421991">
              <w:rPr>
                <w:color w:val="auto"/>
              </w:rPr>
              <w:t>2%</w:t>
            </w:r>
          </w:p>
        </w:tc>
      </w:tr>
      <w:tr w:rsidR="009E22B3" w:rsidRPr="00421991" w:rsidTr="00767FA1">
        <w:trPr>
          <w:trHeight w:val="60"/>
        </w:trPr>
        <w:tc>
          <w:tcPr>
            <w:tcW w:w="2269" w:type="dxa"/>
            <w:vAlign w:val="center"/>
          </w:tcPr>
          <w:p w:rsidR="001164BE" w:rsidRPr="00421991" w:rsidRDefault="001164BE" w:rsidP="00767FA1">
            <w:pPr>
              <w:pStyle w:val="Tabletext"/>
              <w:spacing w:before="0" w:after="0"/>
              <w:rPr>
                <w:color w:val="auto"/>
              </w:rPr>
            </w:pPr>
            <w:r w:rsidRPr="00421991">
              <w:rPr>
                <w:color w:val="auto"/>
              </w:rPr>
              <w:t>Chemicals and other substances</w:t>
            </w:r>
          </w:p>
        </w:tc>
        <w:tc>
          <w:tcPr>
            <w:tcW w:w="680" w:type="dxa"/>
          </w:tcPr>
          <w:p w:rsidR="001164BE" w:rsidRPr="00421991" w:rsidRDefault="001164BE" w:rsidP="009E22B3">
            <w:pPr>
              <w:pStyle w:val="Tabletext2"/>
              <w:spacing w:before="0" w:after="0"/>
              <w:rPr>
                <w:color w:val="auto"/>
              </w:rPr>
            </w:pPr>
            <w:r w:rsidRPr="00421991">
              <w:rPr>
                <w:color w:val="auto"/>
              </w:rPr>
              <w:t>2%</w:t>
            </w:r>
          </w:p>
        </w:tc>
        <w:tc>
          <w:tcPr>
            <w:tcW w:w="680" w:type="dxa"/>
          </w:tcPr>
          <w:p w:rsidR="001164BE" w:rsidRPr="00421991" w:rsidRDefault="001164BE" w:rsidP="009E22B3">
            <w:pPr>
              <w:pStyle w:val="Tabletext2"/>
              <w:spacing w:before="0" w:after="0"/>
              <w:rPr>
                <w:color w:val="auto"/>
              </w:rPr>
            </w:pPr>
            <w:r w:rsidRPr="00421991">
              <w:rPr>
                <w:color w:val="auto"/>
              </w:rPr>
              <w:t>2%</w:t>
            </w:r>
          </w:p>
        </w:tc>
        <w:tc>
          <w:tcPr>
            <w:tcW w:w="680" w:type="dxa"/>
          </w:tcPr>
          <w:p w:rsidR="001164BE" w:rsidRPr="00421991" w:rsidRDefault="001164BE" w:rsidP="009E22B3">
            <w:pPr>
              <w:pStyle w:val="Tabletext2"/>
              <w:spacing w:before="0" w:after="0"/>
              <w:rPr>
                <w:color w:val="auto"/>
              </w:rPr>
            </w:pPr>
            <w:r w:rsidRPr="00421991">
              <w:rPr>
                <w:color w:val="auto"/>
              </w:rPr>
              <w:t>1%</w:t>
            </w:r>
          </w:p>
        </w:tc>
        <w:tc>
          <w:tcPr>
            <w:tcW w:w="680" w:type="dxa"/>
          </w:tcPr>
          <w:p w:rsidR="001164BE" w:rsidRPr="00421991" w:rsidRDefault="001164BE" w:rsidP="009E22B3">
            <w:pPr>
              <w:pStyle w:val="Tabletext2"/>
              <w:spacing w:before="0" w:after="0"/>
              <w:rPr>
                <w:color w:val="auto"/>
              </w:rPr>
            </w:pPr>
            <w:r w:rsidRPr="00421991">
              <w:rPr>
                <w:color w:val="auto"/>
              </w:rPr>
              <w:t>1%</w:t>
            </w:r>
          </w:p>
        </w:tc>
        <w:tc>
          <w:tcPr>
            <w:tcW w:w="680" w:type="dxa"/>
          </w:tcPr>
          <w:p w:rsidR="001164BE" w:rsidRPr="00421991" w:rsidRDefault="001164BE" w:rsidP="009E22B3">
            <w:pPr>
              <w:pStyle w:val="Tabletext2"/>
              <w:spacing w:before="0" w:after="0"/>
              <w:rPr>
                <w:color w:val="auto"/>
              </w:rPr>
            </w:pPr>
            <w:r w:rsidRPr="00421991">
              <w:rPr>
                <w:color w:val="auto"/>
              </w:rPr>
              <w:t>1%</w:t>
            </w:r>
          </w:p>
        </w:tc>
        <w:tc>
          <w:tcPr>
            <w:tcW w:w="680" w:type="dxa"/>
          </w:tcPr>
          <w:p w:rsidR="001164BE" w:rsidRPr="00421991" w:rsidRDefault="001164BE" w:rsidP="009E22B3">
            <w:pPr>
              <w:pStyle w:val="Tabletext2"/>
              <w:spacing w:before="0" w:after="0"/>
              <w:rPr>
                <w:color w:val="auto"/>
              </w:rPr>
            </w:pPr>
            <w:r w:rsidRPr="00421991">
              <w:rPr>
                <w:color w:val="auto"/>
              </w:rPr>
              <w:t>1%</w:t>
            </w:r>
          </w:p>
        </w:tc>
        <w:tc>
          <w:tcPr>
            <w:tcW w:w="680" w:type="dxa"/>
          </w:tcPr>
          <w:p w:rsidR="001164BE" w:rsidRPr="00421991" w:rsidRDefault="001164BE" w:rsidP="009E22B3">
            <w:pPr>
              <w:pStyle w:val="Tabletext2"/>
              <w:spacing w:before="0" w:after="0"/>
              <w:rPr>
                <w:color w:val="auto"/>
              </w:rPr>
            </w:pPr>
            <w:r w:rsidRPr="00421991">
              <w:rPr>
                <w:color w:val="auto"/>
              </w:rPr>
              <w:t>1%</w:t>
            </w:r>
          </w:p>
        </w:tc>
        <w:tc>
          <w:tcPr>
            <w:tcW w:w="680" w:type="dxa"/>
          </w:tcPr>
          <w:p w:rsidR="001164BE" w:rsidRPr="00421991" w:rsidRDefault="001164BE" w:rsidP="009E22B3">
            <w:pPr>
              <w:pStyle w:val="Tabletext2"/>
              <w:spacing w:before="0" w:after="0"/>
              <w:rPr>
                <w:color w:val="auto"/>
              </w:rPr>
            </w:pPr>
            <w:r w:rsidRPr="00421991">
              <w:rPr>
                <w:color w:val="auto"/>
              </w:rPr>
              <w:t>1%</w:t>
            </w:r>
          </w:p>
        </w:tc>
        <w:tc>
          <w:tcPr>
            <w:tcW w:w="680" w:type="dxa"/>
          </w:tcPr>
          <w:p w:rsidR="001164BE" w:rsidRPr="00421991" w:rsidRDefault="001164BE" w:rsidP="009E22B3">
            <w:pPr>
              <w:pStyle w:val="Tabletext2"/>
              <w:spacing w:before="0" w:after="0"/>
              <w:rPr>
                <w:color w:val="auto"/>
              </w:rPr>
            </w:pPr>
            <w:r w:rsidRPr="00421991">
              <w:rPr>
                <w:color w:val="auto"/>
              </w:rPr>
              <w:t>1%</w:t>
            </w:r>
          </w:p>
        </w:tc>
        <w:tc>
          <w:tcPr>
            <w:tcW w:w="680" w:type="dxa"/>
          </w:tcPr>
          <w:p w:rsidR="001164BE" w:rsidRPr="00421991" w:rsidRDefault="001164BE" w:rsidP="009E22B3">
            <w:pPr>
              <w:pStyle w:val="Tabletext2"/>
              <w:spacing w:before="0" w:after="0"/>
              <w:rPr>
                <w:color w:val="auto"/>
              </w:rPr>
            </w:pPr>
            <w:r w:rsidRPr="00421991">
              <w:rPr>
                <w:color w:val="auto"/>
              </w:rPr>
              <w:t>1%</w:t>
            </w:r>
          </w:p>
        </w:tc>
        <w:tc>
          <w:tcPr>
            <w:tcW w:w="680" w:type="dxa"/>
          </w:tcPr>
          <w:p w:rsidR="001164BE" w:rsidRPr="00421991" w:rsidRDefault="001164BE" w:rsidP="009E22B3">
            <w:pPr>
              <w:pStyle w:val="Tabletext2"/>
              <w:spacing w:before="0" w:after="0"/>
              <w:rPr>
                <w:color w:val="auto"/>
              </w:rPr>
            </w:pPr>
            <w:r w:rsidRPr="00421991">
              <w:rPr>
                <w:color w:val="auto"/>
              </w:rPr>
              <w:t>2%</w:t>
            </w:r>
          </w:p>
        </w:tc>
      </w:tr>
      <w:tr w:rsidR="009E22B3" w:rsidRPr="00421991" w:rsidTr="00767FA1">
        <w:trPr>
          <w:trHeight w:val="60"/>
        </w:trPr>
        <w:tc>
          <w:tcPr>
            <w:tcW w:w="2269" w:type="dxa"/>
            <w:vAlign w:val="center"/>
          </w:tcPr>
          <w:p w:rsidR="001164BE" w:rsidRPr="00421991" w:rsidRDefault="001164BE" w:rsidP="00767FA1">
            <w:pPr>
              <w:pStyle w:val="Tabletext"/>
              <w:spacing w:before="0" w:after="0"/>
              <w:rPr>
                <w:color w:val="auto"/>
              </w:rPr>
            </w:pPr>
            <w:r w:rsidRPr="00421991">
              <w:rPr>
                <w:rStyle w:val="BoldBody"/>
                <w:color w:val="auto"/>
              </w:rPr>
              <w:t>Total</w:t>
            </w:r>
          </w:p>
        </w:tc>
        <w:tc>
          <w:tcPr>
            <w:tcW w:w="680" w:type="dxa"/>
          </w:tcPr>
          <w:p w:rsidR="001164BE" w:rsidRPr="00421991" w:rsidRDefault="001164BE" w:rsidP="009E22B3">
            <w:pPr>
              <w:pStyle w:val="Tabletext2"/>
              <w:spacing w:before="0" w:after="0"/>
              <w:rPr>
                <w:color w:val="auto"/>
              </w:rPr>
            </w:pPr>
            <w:r w:rsidRPr="00421991">
              <w:rPr>
                <w:rStyle w:val="BoldBody"/>
                <w:color w:val="auto"/>
              </w:rPr>
              <w:t>100%</w:t>
            </w:r>
          </w:p>
        </w:tc>
        <w:tc>
          <w:tcPr>
            <w:tcW w:w="680" w:type="dxa"/>
          </w:tcPr>
          <w:p w:rsidR="001164BE" w:rsidRPr="00421991" w:rsidRDefault="001164BE" w:rsidP="009E22B3">
            <w:pPr>
              <w:pStyle w:val="Tabletext2"/>
              <w:spacing w:before="0" w:after="0"/>
              <w:rPr>
                <w:color w:val="auto"/>
              </w:rPr>
            </w:pPr>
            <w:r w:rsidRPr="00421991">
              <w:rPr>
                <w:rStyle w:val="BoldBody"/>
                <w:color w:val="auto"/>
              </w:rPr>
              <w:t>100%</w:t>
            </w:r>
          </w:p>
        </w:tc>
        <w:tc>
          <w:tcPr>
            <w:tcW w:w="680" w:type="dxa"/>
          </w:tcPr>
          <w:p w:rsidR="001164BE" w:rsidRPr="00421991" w:rsidRDefault="001164BE" w:rsidP="009E22B3">
            <w:pPr>
              <w:pStyle w:val="Tabletext2"/>
              <w:spacing w:before="0" w:after="0"/>
              <w:rPr>
                <w:color w:val="auto"/>
              </w:rPr>
            </w:pPr>
            <w:r w:rsidRPr="00421991">
              <w:rPr>
                <w:rStyle w:val="BoldBody"/>
                <w:color w:val="auto"/>
              </w:rPr>
              <w:t>100%</w:t>
            </w:r>
          </w:p>
        </w:tc>
        <w:tc>
          <w:tcPr>
            <w:tcW w:w="680" w:type="dxa"/>
          </w:tcPr>
          <w:p w:rsidR="001164BE" w:rsidRPr="00421991" w:rsidRDefault="001164BE" w:rsidP="009E22B3">
            <w:pPr>
              <w:pStyle w:val="Tabletext2"/>
              <w:spacing w:before="0" w:after="0"/>
              <w:rPr>
                <w:color w:val="auto"/>
              </w:rPr>
            </w:pPr>
            <w:r w:rsidRPr="00421991">
              <w:rPr>
                <w:rStyle w:val="BoldBody"/>
                <w:color w:val="auto"/>
              </w:rPr>
              <w:t>100%</w:t>
            </w:r>
          </w:p>
        </w:tc>
        <w:tc>
          <w:tcPr>
            <w:tcW w:w="680" w:type="dxa"/>
          </w:tcPr>
          <w:p w:rsidR="001164BE" w:rsidRPr="00421991" w:rsidRDefault="001164BE" w:rsidP="009E22B3">
            <w:pPr>
              <w:pStyle w:val="Tabletext2"/>
              <w:spacing w:before="0" w:after="0"/>
              <w:rPr>
                <w:color w:val="auto"/>
              </w:rPr>
            </w:pPr>
            <w:r w:rsidRPr="00421991">
              <w:rPr>
                <w:rStyle w:val="BoldBody"/>
                <w:color w:val="auto"/>
              </w:rPr>
              <w:t>100%</w:t>
            </w:r>
          </w:p>
        </w:tc>
        <w:tc>
          <w:tcPr>
            <w:tcW w:w="680" w:type="dxa"/>
          </w:tcPr>
          <w:p w:rsidR="001164BE" w:rsidRPr="00421991" w:rsidRDefault="001164BE" w:rsidP="009E22B3">
            <w:pPr>
              <w:pStyle w:val="Tabletext2"/>
              <w:spacing w:before="0" w:after="0"/>
              <w:rPr>
                <w:color w:val="auto"/>
              </w:rPr>
            </w:pPr>
            <w:r w:rsidRPr="00421991">
              <w:rPr>
                <w:rStyle w:val="BoldBody"/>
                <w:color w:val="auto"/>
              </w:rPr>
              <w:t>100%</w:t>
            </w:r>
          </w:p>
        </w:tc>
        <w:tc>
          <w:tcPr>
            <w:tcW w:w="680" w:type="dxa"/>
          </w:tcPr>
          <w:p w:rsidR="001164BE" w:rsidRPr="00421991" w:rsidRDefault="001164BE" w:rsidP="009E22B3">
            <w:pPr>
              <w:pStyle w:val="Tabletext2"/>
              <w:spacing w:before="0" w:after="0"/>
              <w:rPr>
                <w:color w:val="auto"/>
              </w:rPr>
            </w:pPr>
            <w:r w:rsidRPr="00421991">
              <w:rPr>
                <w:rStyle w:val="BoldBody"/>
                <w:color w:val="auto"/>
              </w:rPr>
              <w:t>100%</w:t>
            </w:r>
          </w:p>
        </w:tc>
        <w:tc>
          <w:tcPr>
            <w:tcW w:w="680" w:type="dxa"/>
          </w:tcPr>
          <w:p w:rsidR="001164BE" w:rsidRPr="00421991" w:rsidRDefault="001164BE" w:rsidP="009E22B3">
            <w:pPr>
              <w:pStyle w:val="Tabletext2"/>
              <w:spacing w:before="0" w:after="0"/>
              <w:rPr>
                <w:color w:val="auto"/>
              </w:rPr>
            </w:pPr>
            <w:r w:rsidRPr="00421991">
              <w:rPr>
                <w:rStyle w:val="BoldBody"/>
                <w:color w:val="auto"/>
              </w:rPr>
              <w:t>100%</w:t>
            </w:r>
          </w:p>
        </w:tc>
        <w:tc>
          <w:tcPr>
            <w:tcW w:w="680" w:type="dxa"/>
          </w:tcPr>
          <w:p w:rsidR="001164BE" w:rsidRPr="00421991" w:rsidRDefault="001164BE" w:rsidP="009E22B3">
            <w:pPr>
              <w:pStyle w:val="Tabletext2"/>
              <w:spacing w:before="0" w:after="0"/>
              <w:rPr>
                <w:color w:val="auto"/>
              </w:rPr>
            </w:pPr>
            <w:r w:rsidRPr="00421991">
              <w:rPr>
                <w:rStyle w:val="BoldBody"/>
                <w:color w:val="auto"/>
              </w:rPr>
              <w:t>100%</w:t>
            </w:r>
          </w:p>
        </w:tc>
        <w:tc>
          <w:tcPr>
            <w:tcW w:w="680" w:type="dxa"/>
          </w:tcPr>
          <w:p w:rsidR="001164BE" w:rsidRPr="00421991" w:rsidRDefault="001164BE" w:rsidP="009E22B3">
            <w:pPr>
              <w:pStyle w:val="Tabletext2"/>
              <w:spacing w:before="0" w:after="0"/>
              <w:rPr>
                <w:color w:val="auto"/>
              </w:rPr>
            </w:pPr>
            <w:r w:rsidRPr="00421991">
              <w:rPr>
                <w:rStyle w:val="BoldBody"/>
                <w:color w:val="auto"/>
              </w:rPr>
              <w:t>100%</w:t>
            </w:r>
          </w:p>
        </w:tc>
        <w:tc>
          <w:tcPr>
            <w:tcW w:w="680" w:type="dxa"/>
          </w:tcPr>
          <w:p w:rsidR="001164BE" w:rsidRPr="00421991" w:rsidRDefault="001164BE" w:rsidP="009E22B3">
            <w:pPr>
              <w:pStyle w:val="Tabletext2"/>
              <w:spacing w:before="0" w:after="0"/>
              <w:rPr>
                <w:color w:val="auto"/>
              </w:rPr>
            </w:pPr>
            <w:r w:rsidRPr="00421991">
              <w:rPr>
                <w:rStyle w:val="BoldBody"/>
                <w:color w:val="auto"/>
              </w:rPr>
              <w:t>100%</w:t>
            </w:r>
          </w:p>
        </w:tc>
      </w:tr>
    </w:tbl>
    <w:p w:rsidR="001164BE" w:rsidRPr="00421991" w:rsidRDefault="001164BE" w:rsidP="001164BE">
      <w:pPr>
        <w:pStyle w:val="FootnoteFiguresandtables"/>
        <w:rPr>
          <w:color w:val="auto"/>
        </w:rPr>
      </w:pPr>
      <w:r w:rsidRPr="00421991">
        <w:rPr>
          <w:color w:val="auto"/>
        </w:rPr>
        <w:t>Columns may not add up to 100% because the table outlines selected mechanisms of injury or disease.</w:t>
      </w:r>
    </w:p>
    <w:p w:rsidR="001164BE" w:rsidRPr="00421991" w:rsidRDefault="001164BE" w:rsidP="001164BE">
      <w:pPr>
        <w:pStyle w:val="FootnoteFiguresandtables"/>
        <w:rPr>
          <w:color w:val="auto"/>
        </w:rPr>
      </w:pPr>
      <w:r w:rsidRPr="00421991">
        <w:rPr>
          <w:color w:val="auto"/>
        </w:rPr>
        <w:t>Source: National Data Set for Compensation-Based Statistics.</w:t>
      </w:r>
    </w:p>
    <w:p w:rsidR="001164BE" w:rsidRPr="00421991" w:rsidRDefault="001164BE" w:rsidP="005062E3">
      <w:pPr>
        <w:pStyle w:val="Heading2"/>
      </w:pPr>
      <w:bookmarkStart w:id="36" w:name="_Toc426441690"/>
      <w:r w:rsidRPr="00421991">
        <w:t>Breakdown agency of injuries and diseases</w:t>
      </w:r>
      <w:bookmarkEnd w:id="36"/>
    </w:p>
    <w:p w:rsidR="001164BE" w:rsidRPr="00421991" w:rsidRDefault="001164BE" w:rsidP="001164BE">
      <w:pPr>
        <w:pStyle w:val="TextBody"/>
        <w:rPr>
          <w:color w:val="auto"/>
        </w:rPr>
      </w:pPr>
      <w:r w:rsidRPr="00421991">
        <w:rPr>
          <w:color w:val="auto"/>
        </w:rPr>
        <w:t>Under the Type of Occurrence Classification System, the breakdown agency identifies “the object, substance or circumstance that was principally involved in, or most closely associated with, the point at which things started to go wrong and which ultimately led to the most serious injury or disease” (ASCC 2008).</w:t>
      </w:r>
    </w:p>
    <w:p w:rsidR="001164BE" w:rsidRPr="00421991" w:rsidRDefault="001164BE" w:rsidP="00DD2ECE">
      <w:pPr>
        <w:pStyle w:val="Heading3"/>
      </w:pPr>
      <w:bookmarkStart w:id="37" w:name="_Toc419453273"/>
      <w:bookmarkStart w:id="38" w:name="_Toc426441691"/>
      <w:r w:rsidRPr="00421991">
        <w:t>Breakdown agency of injuries and diseases by industry division</w:t>
      </w:r>
      <w:bookmarkEnd w:id="37"/>
      <w:bookmarkEnd w:id="38"/>
    </w:p>
    <w:p w:rsidR="001164BE" w:rsidRPr="00421991" w:rsidRDefault="001164BE" w:rsidP="001164BE">
      <w:pPr>
        <w:pStyle w:val="TextBody"/>
        <w:rPr>
          <w:color w:val="auto"/>
        </w:rPr>
      </w:pPr>
      <w:r w:rsidRPr="00421991">
        <w:rPr>
          <w:color w:val="auto"/>
        </w:rPr>
        <w:t>Between 2010–11 and 2012–13, non-powered handtools, appliances and equipment led to the highest proportion (33%) of serious claims in the accommodation and food services industry and most commonly involved crates, cartons, boxes, cases, drums, kegs, barrels, and knives and cutlery. Environmental agencies led to 21% of serious claims and most commonly involved wet, oily, or icy internal traffic and ground surfaces, and other types of ground surfaces. Materials and other substances led to 13% of serious claims, most of which involved agencies found in food preparation areas (e.g. food, oil and fat, glass, hot water, and steam).</w:t>
      </w:r>
    </w:p>
    <w:p w:rsidR="001164BE" w:rsidRPr="00421991" w:rsidRDefault="001164BE" w:rsidP="001164BE">
      <w:pPr>
        <w:pStyle w:val="TextBody"/>
        <w:rPr>
          <w:color w:val="auto"/>
        </w:rPr>
      </w:pPr>
      <w:r w:rsidRPr="00421991">
        <w:rPr>
          <w:color w:val="auto"/>
        </w:rPr>
        <w:t>A low proportion of serious claims arose from animal, human and biological agencies (7%), powered equipment, tools and appliances (6%), mobile plant and transport (4%), and machinery and (mainly) fixed plant (3%).</w:t>
      </w:r>
    </w:p>
    <w:p w:rsidR="001164BE" w:rsidRPr="00421991" w:rsidRDefault="001164BE" w:rsidP="00DD2ECE">
      <w:pPr>
        <w:pStyle w:val="Heading3"/>
      </w:pPr>
      <w:bookmarkStart w:id="39" w:name="_Toc419453274"/>
      <w:bookmarkStart w:id="40" w:name="_Toc426441692"/>
      <w:r w:rsidRPr="00421991">
        <w:t>Breakdown agency of injuries and diseases by industry subdivision</w:t>
      </w:r>
      <w:bookmarkEnd w:id="39"/>
      <w:bookmarkEnd w:id="40"/>
    </w:p>
    <w:p w:rsidR="001164BE" w:rsidRPr="00421991" w:rsidRDefault="001164BE" w:rsidP="001164BE">
      <w:pPr>
        <w:pStyle w:val="TextBody"/>
        <w:rPr>
          <w:color w:val="auto"/>
        </w:rPr>
      </w:pPr>
      <w:r w:rsidRPr="00421991">
        <w:rPr>
          <w:color w:val="auto"/>
        </w:rPr>
        <w:t>The proportion of serious claims arising from animal, human and biological agencies (exposure to other people in most cases) was highest among employees in the clubs (8%), and pubs, taverns and bars (11%) subdivisions. Materials and other substances, which most commonly involved contact with agencies found in food preparation areas (e.g. food, oil and fat, glass, hot water, and steam), led to the highest proportion (15%) of serious claims among employees in the cafes, restaurants and takeaway food services subdivision. Table 6 outlines the percentage of serious claims for each industry subdivision by breakdown agency of injury or disease for 2010–11 to 2012–13.</w:t>
      </w:r>
    </w:p>
    <w:p w:rsidR="001164BE" w:rsidRPr="00421991" w:rsidRDefault="001164BE" w:rsidP="001164BE">
      <w:pPr>
        <w:pStyle w:val="Tabletitle"/>
        <w:rPr>
          <w:color w:val="auto"/>
        </w:rPr>
      </w:pPr>
      <w:r w:rsidRPr="00421991">
        <w:rPr>
          <w:color w:val="auto"/>
        </w:rPr>
        <w:lastRenderedPageBreak/>
        <w:t>Table 6: Serious claims in accommodation and food services industry: percentage of serious claims for each subdivision by breakdown agency of injury or disease, 2010–11 to 2012–13 combined</w:t>
      </w:r>
    </w:p>
    <w:tbl>
      <w:tblPr>
        <w:tblStyle w:val="TableGrid"/>
        <w:tblW w:w="0" w:type="auto"/>
        <w:tblLayout w:type="fixed"/>
        <w:tblLook w:val="0000" w:firstRow="0" w:lastRow="0" w:firstColumn="0" w:lastColumn="0" w:noHBand="0" w:noVBand="0"/>
        <w:tblCaption w:val="Table 6: Serious claims in accommodation and food services industry: percentage of serious claims for each subdivision by breakdown agency of injury or disease, 2010–11 to 2012–13 combined"/>
      </w:tblPr>
      <w:tblGrid>
        <w:gridCol w:w="4025"/>
        <w:gridCol w:w="1134"/>
        <w:gridCol w:w="1134"/>
        <w:gridCol w:w="1134"/>
        <w:gridCol w:w="1134"/>
        <w:gridCol w:w="1133"/>
      </w:tblGrid>
      <w:tr w:rsidR="009E22B3" w:rsidRPr="00421991" w:rsidTr="008D5510">
        <w:trPr>
          <w:trHeight w:val="1648"/>
          <w:tblHeader/>
        </w:trPr>
        <w:tc>
          <w:tcPr>
            <w:tcW w:w="4025" w:type="dxa"/>
            <w:vAlign w:val="center"/>
          </w:tcPr>
          <w:p w:rsidR="001164BE" w:rsidRPr="00421991" w:rsidRDefault="001164BE" w:rsidP="00767FA1">
            <w:pPr>
              <w:pStyle w:val="Tabletext"/>
              <w:spacing w:before="0" w:after="0"/>
              <w:rPr>
                <w:rStyle w:val="BoldBody"/>
                <w:color w:val="auto"/>
              </w:rPr>
            </w:pPr>
            <w:r w:rsidRPr="00421991">
              <w:rPr>
                <w:rStyle w:val="BoldBody"/>
                <w:color w:val="auto"/>
              </w:rPr>
              <w:t>Breakdown agency of injury or disease</w:t>
            </w:r>
          </w:p>
          <w:p w:rsidR="001164BE" w:rsidRPr="00421991" w:rsidRDefault="001164BE" w:rsidP="00767FA1">
            <w:pPr>
              <w:pStyle w:val="Tabletext1"/>
              <w:spacing w:before="0" w:after="0"/>
              <w:rPr>
                <w:color w:val="auto"/>
              </w:rPr>
            </w:pPr>
            <w:r w:rsidRPr="00421991">
              <w:rPr>
                <w:rStyle w:val="BoldBody"/>
                <w:color w:val="auto"/>
              </w:rPr>
              <w:t>Breakdown agency of injury or disease</w:t>
            </w:r>
          </w:p>
        </w:tc>
        <w:tc>
          <w:tcPr>
            <w:tcW w:w="1134" w:type="dxa"/>
            <w:textDirection w:val="btLr"/>
            <w:vAlign w:val="center"/>
          </w:tcPr>
          <w:p w:rsidR="001164BE" w:rsidRPr="00421991" w:rsidRDefault="001164BE" w:rsidP="00CF3859">
            <w:pPr>
              <w:pStyle w:val="Tabletext2"/>
              <w:spacing w:before="0" w:after="0"/>
              <w:rPr>
                <w:color w:val="auto"/>
              </w:rPr>
            </w:pPr>
            <w:r w:rsidRPr="00421991">
              <w:rPr>
                <w:rStyle w:val="BoldBody"/>
                <w:color w:val="auto"/>
              </w:rPr>
              <w:t>Clubs</w:t>
            </w:r>
          </w:p>
        </w:tc>
        <w:tc>
          <w:tcPr>
            <w:tcW w:w="1134" w:type="dxa"/>
            <w:textDirection w:val="btLr"/>
            <w:vAlign w:val="center"/>
          </w:tcPr>
          <w:p w:rsidR="001164BE" w:rsidRPr="00421991" w:rsidRDefault="001164BE" w:rsidP="00CF3859">
            <w:pPr>
              <w:pStyle w:val="Tabletext2"/>
              <w:spacing w:before="0" w:after="0"/>
              <w:rPr>
                <w:color w:val="auto"/>
              </w:rPr>
            </w:pPr>
            <w:r w:rsidRPr="00421991">
              <w:rPr>
                <w:rStyle w:val="BoldBody"/>
                <w:color w:val="auto"/>
              </w:rPr>
              <w:t>Accommodation</w:t>
            </w:r>
          </w:p>
        </w:tc>
        <w:tc>
          <w:tcPr>
            <w:tcW w:w="1134" w:type="dxa"/>
            <w:textDirection w:val="btLr"/>
            <w:vAlign w:val="center"/>
          </w:tcPr>
          <w:p w:rsidR="001164BE" w:rsidRPr="00421991" w:rsidRDefault="001164BE" w:rsidP="00CF3859">
            <w:pPr>
              <w:pStyle w:val="Tabletext2"/>
              <w:spacing w:before="0" w:after="0"/>
              <w:rPr>
                <w:color w:val="auto"/>
              </w:rPr>
            </w:pPr>
            <w:r w:rsidRPr="00421991">
              <w:rPr>
                <w:rStyle w:val="BoldBody"/>
                <w:color w:val="auto"/>
              </w:rPr>
              <w:t>Pubs, taverns and bars</w:t>
            </w:r>
          </w:p>
        </w:tc>
        <w:tc>
          <w:tcPr>
            <w:tcW w:w="1134" w:type="dxa"/>
            <w:textDirection w:val="btLr"/>
            <w:vAlign w:val="center"/>
          </w:tcPr>
          <w:p w:rsidR="001164BE" w:rsidRPr="00421991" w:rsidRDefault="001164BE" w:rsidP="00CF3859">
            <w:pPr>
              <w:pStyle w:val="Tabletext2"/>
              <w:spacing w:before="0" w:after="0"/>
              <w:rPr>
                <w:color w:val="auto"/>
              </w:rPr>
            </w:pPr>
            <w:r w:rsidRPr="00421991">
              <w:rPr>
                <w:rStyle w:val="BoldBody"/>
                <w:color w:val="auto"/>
              </w:rPr>
              <w:t>Cafes, restaurants and takeaway food services</w:t>
            </w:r>
          </w:p>
        </w:tc>
        <w:tc>
          <w:tcPr>
            <w:tcW w:w="1133" w:type="dxa"/>
            <w:textDirection w:val="btLr"/>
            <w:vAlign w:val="center"/>
          </w:tcPr>
          <w:p w:rsidR="001164BE" w:rsidRPr="00421991" w:rsidRDefault="001164BE" w:rsidP="00CF3859">
            <w:pPr>
              <w:pStyle w:val="Tabletext2"/>
              <w:spacing w:before="0" w:after="0"/>
              <w:rPr>
                <w:color w:val="auto"/>
              </w:rPr>
            </w:pPr>
            <w:r w:rsidRPr="00421991">
              <w:rPr>
                <w:rStyle w:val="BoldBody"/>
                <w:color w:val="auto"/>
              </w:rPr>
              <w:t>Industry total</w:t>
            </w:r>
          </w:p>
        </w:tc>
      </w:tr>
      <w:tr w:rsidR="009E22B3" w:rsidRPr="00421991" w:rsidTr="00F70F3C">
        <w:trPr>
          <w:trHeight w:val="60"/>
        </w:trPr>
        <w:tc>
          <w:tcPr>
            <w:tcW w:w="4025" w:type="dxa"/>
            <w:vAlign w:val="center"/>
          </w:tcPr>
          <w:p w:rsidR="001164BE" w:rsidRPr="00421991" w:rsidRDefault="001164BE" w:rsidP="00767FA1">
            <w:pPr>
              <w:pStyle w:val="Tabletext"/>
              <w:spacing w:before="0" w:after="0"/>
              <w:rPr>
                <w:color w:val="auto"/>
              </w:rPr>
            </w:pPr>
            <w:r w:rsidRPr="00421991">
              <w:rPr>
                <w:rStyle w:val="BoldBody"/>
                <w:color w:val="auto"/>
              </w:rPr>
              <w:t>Non-powered handtools, appliances and equipment</w:t>
            </w:r>
          </w:p>
        </w:tc>
        <w:tc>
          <w:tcPr>
            <w:tcW w:w="1134" w:type="dxa"/>
          </w:tcPr>
          <w:p w:rsidR="001164BE" w:rsidRPr="00421991" w:rsidRDefault="001164BE" w:rsidP="009E22B3">
            <w:pPr>
              <w:pStyle w:val="Tabletext2"/>
              <w:spacing w:before="0" w:after="0"/>
              <w:rPr>
                <w:color w:val="auto"/>
              </w:rPr>
            </w:pPr>
            <w:r w:rsidRPr="00421991">
              <w:rPr>
                <w:rStyle w:val="BoldBody"/>
                <w:color w:val="auto"/>
              </w:rPr>
              <w:t>33%</w:t>
            </w:r>
          </w:p>
        </w:tc>
        <w:tc>
          <w:tcPr>
            <w:tcW w:w="1134" w:type="dxa"/>
          </w:tcPr>
          <w:p w:rsidR="001164BE" w:rsidRPr="00421991" w:rsidRDefault="001164BE" w:rsidP="009E22B3">
            <w:pPr>
              <w:pStyle w:val="Tabletext2"/>
              <w:spacing w:before="0" w:after="0"/>
              <w:rPr>
                <w:color w:val="auto"/>
              </w:rPr>
            </w:pPr>
            <w:r w:rsidRPr="00421991">
              <w:rPr>
                <w:rStyle w:val="BoldBody"/>
                <w:color w:val="auto"/>
              </w:rPr>
              <w:t>35%</w:t>
            </w:r>
          </w:p>
        </w:tc>
        <w:tc>
          <w:tcPr>
            <w:tcW w:w="1134" w:type="dxa"/>
          </w:tcPr>
          <w:p w:rsidR="001164BE" w:rsidRPr="00421991" w:rsidRDefault="001164BE" w:rsidP="009E22B3">
            <w:pPr>
              <w:pStyle w:val="Tabletext2"/>
              <w:spacing w:before="0" w:after="0"/>
              <w:rPr>
                <w:color w:val="auto"/>
              </w:rPr>
            </w:pPr>
            <w:r w:rsidRPr="00421991">
              <w:rPr>
                <w:rStyle w:val="BoldBody"/>
                <w:color w:val="auto"/>
              </w:rPr>
              <w:t>36%</w:t>
            </w:r>
          </w:p>
        </w:tc>
        <w:tc>
          <w:tcPr>
            <w:tcW w:w="1134" w:type="dxa"/>
          </w:tcPr>
          <w:p w:rsidR="001164BE" w:rsidRPr="00421991" w:rsidRDefault="001164BE" w:rsidP="009E22B3">
            <w:pPr>
              <w:pStyle w:val="Tabletext2"/>
              <w:spacing w:before="0" w:after="0"/>
              <w:rPr>
                <w:color w:val="auto"/>
              </w:rPr>
            </w:pPr>
            <w:r w:rsidRPr="00421991">
              <w:rPr>
                <w:rStyle w:val="BoldBody"/>
                <w:color w:val="auto"/>
              </w:rPr>
              <w:t>31%</w:t>
            </w:r>
          </w:p>
        </w:tc>
        <w:tc>
          <w:tcPr>
            <w:tcW w:w="1133" w:type="dxa"/>
          </w:tcPr>
          <w:p w:rsidR="001164BE" w:rsidRPr="00421991" w:rsidRDefault="001164BE" w:rsidP="009E22B3">
            <w:pPr>
              <w:pStyle w:val="Tabletext2"/>
              <w:spacing w:before="0" w:after="0"/>
              <w:rPr>
                <w:color w:val="auto"/>
              </w:rPr>
            </w:pPr>
            <w:r w:rsidRPr="00421991">
              <w:rPr>
                <w:rStyle w:val="BoldBody"/>
                <w:color w:val="auto"/>
              </w:rPr>
              <w:t>33%</w:t>
            </w:r>
          </w:p>
        </w:tc>
      </w:tr>
      <w:tr w:rsidR="009E22B3" w:rsidRPr="00421991" w:rsidTr="00F70F3C">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Crates, cartons, boxes, cases, drums, kegs, barrels</w:t>
            </w:r>
          </w:p>
        </w:tc>
        <w:tc>
          <w:tcPr>
            <w:tcW w:w="1134" w:type="dxa"/>
          </w:tcPr>
          <w:p w:rsidR="001164BE" w:rsidRPr="00421991" w:rsidRDefault="001164BE" w:rsidP="009E22B3">
            <w:pPr>
              <w:pStyle w:val="Tabletext2"/>
              <w:spacing w:before="0" w:after="0"/>
              <w:rPr>
                <w:color w:val="auto"/>
              </w:rPr>
            </w:pPr>
            <w:r w:rsidRPr="00421991">
              <w:rPr>
                <w:color w:val="auto"/>
              </w:rPr>
              <w:t>21%</w:t>
            </w:r>
          </w:p>
        </w:tc>
        <w:tc>
          <w:tcPr>
            <w:tcW w:w="1134" w:type="dxa"/>
          </w:tcPr>
          <w:p w:rsidR="001164BE" w:rsidRPr="00421991" w:rsidRDefault="001164BE" w:rsidP="009E22B3">
            <w:pPr>
              <w:pStyle w:val="Tabletext2"/>
              <w:spacing w:before="0" w:after="0"/>
              <w:rPr>
                <w:color w:val="auto"/>
              </w:rPr>
            </w:pPr>
            <w:r w:rsidRPr="00421991">
              <w:rPr>
                <w:color w:val="auto"/>
              </w:rPr>
              <w:t>10%</w:t>
            </w:r>
          </w:p>
        </w:tc>
        <w:tc>
          <w:tcPr>
            <w:tcW w:w="1134" w:type="dxa"/>
          </w:tcPr>
          <w:p w:rsidR="001164BE" w:rsidRPr="00421991" w:rsidRDefault="001164BE" w:rsidP="009E22B3">
            <w:pPr>
              <w:pStyle w:val="Tabletext2"/>
              <w:spacing w:before="0" w:after="0"/>
              <w:rPr>
                <w:color w:val="auto"/>
              </w:rPr>
            </w:pPr>
            <w:r w:rsidRPr="00421991">
              <w:rPr>
                <w:color w:val="auto"/>
              </w:rPr>
              <w:t>30%</w:t>
            </w:r>
          </w:p>
        </w:tc>
        <w:tc>
          <w:tcPr>
            <w:tcW w:w="1134" w:type="dxa"/>
          </w:tcPr>
          <w:p w:rsidR="001164BE" w:rsidRPr="00421991" w:rsidRDefault="001164BE" w:rsidP="009E22B3">
            <w:pPr>
              <w:pStyle w:val="Tabletext2"/>
              <w:spacing w:before="0" w:after="0"/>
              <w:rPr>
                <w:color w:val="auto"/>
              </w:rPr>
            </w:pPr>
            <w:r w:rsidRPr="00421991">
              <w:rPr>
                <w:color w:val="auto"/>
              </w:rPr>
              <w:t>22%</w:t>
            </w:r>
          </w:p>
        </w:tc>
        <w:tc>
          <w:tcPr>
            <w:tcW w:w="1133" w:type="dxa"/>
          </w:tcPr>
          <w:p w:rsidR="001164BE" w:rsidRPr="00421991" w:rsidRDefault="001164BE" w:rsidP="009E22B3">
            <w:pPr>
              <w:pStyle w:val="Tabletext2"/>
              <w:spacing w:before="0" w:after="0"/>
              <w:rPr>
                <w:color w:val="auto"/>
              </w:rPr>
            </w:pPr>
            <w:r w:rsidRPr="00421991">
              <w:rPr>
                <w:color w:val="auto"/>
              </w:rPr>
              <w:t>20%</w:t>
            </w:r>
          </w:p>
        </w:tc>
      </w:tr>
      <w:tr w:rsidR="009E22B3" w:rsidRPr="00421991" w:rsidTr="00F70F3C">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Knives and cutlery</w:t>
            </w:r>
          </w:p>
        </w:tc>
        <w:tc>
          <w:tcPr>
            <w:tcW w:w="1134" w:type="dxa"/>
          </w:tcPr>
          <w:p w:rsidR="001164BE" w:rsidRPr="00421991" w:rsidRDefault="001164BE" w:rsidP="009E22B3">
            <w:pPr>
              <w:pStyle w:val="Tabletext2"/>
              <w:spacing w:before="0" w:after="0"/>
              <w:rPr>
                <w:color w:val="auto"/>
              </w:rPr>
            </w:pPr>
            <w:r w:rsidRPr="00421991">
              <w:rPr>
                <w:color w:val="auto"/>
              </w:rPr>
              <w:t>15%</w:t>
            </w:r>
          </w:p>
        </w:tc>
        <w:tc>
          <w:tcPr>
            <w:tcW w:w="1134" w:type="dxa"/>
          </w:tcPr>
          <w:p w:rsidR="001164BE" w:rsidRPr="00421991" w:rsidRDefault="001164BE" w:rsidP="009E22B3">
            <w:pPr>
              <w:pStyle w:val="Tabletext2"/>
              <w:spacing w:before="0" w:after="0"/>
              <w:rPr>
                <w:color w:val="auto"/>
              </w:rPr>
            </w:pPr>
            <w:r w:rsidRPr="00421991">
              <w:rPr>
                <w:color w:val="auto"/>
              </w:rPr>
              <w:t>8%</w:t>
            </w:r>
          </w:p>
        </w:tc>
        <w:tc>
          <w:tcPr>
            <w:tcW w:w="1134" w:type="dxa"/>
          </w:tcPr>
          <w:p w:rsidR="001164BE" w:rsidRPr="00421991" w:rsidRDefault="001164BE" w:rsidP="009E22B3">
            <w:pPr>
              <w:pStyle w:val="Tabletext2"/>
              <w:spacing w:before="0" w:after="0"/>
              <w:rPr>
                <w:color w:val="auto"/>
              </w:rPr>
            </w:pPr>
            <w:r w:rsidRPr="00421991">
              <w:rPr>
                <w:color w:val="auto"/>
              </w:rPr>
              <w:t>17%</w:t>
            </w:r>
          </w:p>
        </w:tc>
        <w:tc>
          <w:tcPr>
            <w:tcW w:w="1134" w:type="dxa"/>
          </w:tcPr>
          <w:p w:rsidR="001164BE" w:rsidRPr="00421991" w:rsidRDefault="001164BE" w:rsidP="009E22B3">
            <w:pPr>
              <w:pStyle w:val="Tabletext2"/>
              <w:spacing w:before="0" w:after="0"/>
              <w:rPr>
                <w:color w:val="auto"/>
              </w:rPr>
            </w:pPr>
            <w:r w:rsidRPr="00421991">
              <w:rPr>
                <w:color w:val="auto"/>
              </w:rPr>
              <w:t>26%</w:t>
            </w:r>
          </w:p>
        </w:tc>
        <w:tc>
          <w:tcPr>
            <w:tcW w:w="1133" w:type="dxa"/>
          </w:tcPr>
          <w:p w:rsidR="001164BE" w:rsidRPr="00421991" w:rsidRDefault="001164BE" w:rsidP="009E22B3">
            <w:pPr>
              <w:pStyle w:val="Tabletext2"/>
              <w:spacing w:before="0" w:after="0"/>
              <w:rPr>
                <w:color w:val="auto"/>
              </w:rPr>
            </w:pPr>
            <w:r w:rsidRPr="00421991">
              <w:rPr>
                <w:color w:val="auto"/>
              </w:rPr>
              <w:t>19%</w:t>
            </w:r>
          </w:p>
        </w:tc>
      </w:tr>
      <w:tr w:rsidR="009E22B3" w:rsidRPr="00421991" w:rsidTr="00F70F3C">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Doors and windows</w:t>
            </w:r>
          </w:p>
        </w:tc>
        <w:tc>
          <w:tcPr>
            <w:tcW w:w="1134" w:type="dxa"/>
          </w:tcPr>
          <w:p w:rsidR="001164BE" w:rsidRPr="00421991" w:rsidRDefault="001164BE" w:rsidP="009E22B3">
            <w:pPr>
              <w:pStyle w:val="Tabletext2"/>
              <w:spacing w:before="0" w:after="0"/>
              <w:rPr>
                <w:color w:val="auto"/>
              </w:rPr>
            </w:pPr>
            <w:r w:rsidRPr="00421991">
              <w:rPr>
                <w:color w:val="auto"/>
              </w:rPr>
              <w:t>5%</w:t>
            </w:r>
          </w:p>
        </w:tc>
        <w:tc>
          <w:tcPr>
            <w:tcW w:w="1134" w:type="dxa"/>
          </w:tcPr>
          <w:p w:rsidR="001164BE" w:rsidRPr="00421991" w:rsidRDefault="001164BE" w:rsidP="009E22B3">
            <w:pPr>
              <w:pStyle w:val="Tabletext2"/>
              <w:spacing w:before="0" w:after="0"/>
              <w:rPr>
                <w:color w:val="auto"/>
              </w:rPr>
            </w:pPr>
            <w:r w:rsidRPr="00421991">
              <w:rPr>
                <w:color w:val="auto"/>
              </w:rPr>
              <w:t>6%</w:t>
            </w:r>
          </w:p>
        </w:tc>
        <w:tc>
          <w:tcPr>
            <w:tcW w:w="1134" w:type="dxa"/>
          </w:tcPr>
          <w:p w:rsidR="001164BE" w:rsidRPr="00421991" w:rsidRDefault="001164BE" w:rsidP="009E22B3">
            <w:pPr>
              <w:pStyle w:val="Tabletext2"/>
              <w:spacing w:before="0" w:after="0"/>
              <w:rPr>
                <w:color w:val="auto"/>
              </w:rPr>
            </w:pPr>
            <w:r w:rsidRPr="00421991">
              <w:rPr>
                <w:color w:val="auto"/>
              </w:rPr>
              <w:t>6%</w:t>
            </w:r>
          </w:p>
        </w:tc>
        <w:tc>
          <w:tcPr>
            <w:tcW w:w="1134" w:type="dxa"/>
          </w:tcPr>
          <w:p w:rsidR="001164BE" w:rsidRPr="00421991" w:rsidRDefault="001164BE" w:rsidP="009E22B3">
            <w:pPr>
              <w:pStyle w:val="Tabletext2"/>
              <w:spacing w:before="0" w:after="0"/>
              <w:rPr>
                <w:color w:val="auto"/>
              </w:rPr>
            </w:pPr>
            <w:r w:rsidRPr="00421991">
              <w:rPr>
                <w:color w:val="auto"/>
              </w:rPr>
              <w:t>6%</w:t>
            </w:r>
          </w:p>
        </w:tc>
        <w:tc>
          <w:tcPr>
            <w:tcW w:w="1133" w:type="dxa"/>
          </w:tcPr>
          <w:p w:rsidR="001164BE" w:rsidRPr="00421991" w:rsidRDefault="001164BE" w:rsidP="009E22B3">
            <w:pPr>
              <w:pStyle w:val="Tabletext2"/>
              <w:spacing w:before="0" w:after="0"/>
              <w:rPr>
                <w:color w:val="auto"/>
              </w:rPr>
            </w:pPr>
            <w:r w:rsidRPr="00421991">
              <w:rPr>
                <w:color w:val="auto"/>
              </w:rPr>
              <w:t>6%</w:t>
            </w:r>
          </w:p>
        </w:tc>
      </w:tr>
      <w:tr w:rsidR="009E22B3" w:rsidRPr="00421991" w:rsidTr="00F70F3C">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Beds, hospital beds</w:t>
            </w:r>
          </w:p>
        </w:tc>
        <w:tc>
          <w:tcPr>
            <w:tcW w:w="1134" w:type="dxa"/>
          </w:tcPr>
          <w:p w:rsidR="001164BE" w:rsidRPr="00421991" w:rsidRDefault="001164BE" w:rsidP="009E22B3">
            <w:pPr>
              <w:pStyle w:val="Tabletext2"/>
              <w:spacing w:before="0" w:after="0"/>
              <w:rPr>
                <w:color w:val="auto"/>
              </w:rPr>
            </w:pPr>
            <w:r w:rsidRPr="00421991">
              <w:rPr>
                <w:color w:val="auto"/>
              </w:rPr>
              <w:t>1%</w:t>
            </w:r>
          </w:p>
        </w:tc>
        <w:tc>
          <w:tcPr>
            <w:tcW w:w="1134" w:type="dxa"/>
          </w:tcPr>
          <w:p w:rsidR="001164BE" w:rsidRPr="00421991" w:rsidRDefault="001164BE" w:rsidP="009E22B3">
            <w:pPr>
              <w:pStyle w:val="Tabletext2"/>
              <w:spacing w:before="0" w:after="0"/>
              <w:rPr>
                <w:color w:val="auto"/>
              </w:rPr>
            </w:pPr>
            <w:r w:rsidRPr="00421991">
              <w:rPr>
                <w:color w:val="auto"/>
              </w:rPr>
              <w:t>18%</w:t>
            </w:r>
          </w:p>
        </w:tc>
        <w:tc>
          <w:tcPr>
            <w:tcW w:w="1134" w:type="dxa"/>
          </w:tcPr>
          <w:p w:rsidR="001164BE" w:rsidRPr="00421991" w:rsidRDefault="001164BE" w:rsidP="009E22B3">
            <w:pPr>
              <w:pStyle w:val="Tabletext2"/>
              <w:spacing w:before="0" w:after="0"/>
              <w:rPr>
                <w:color w:val="auto"/>
              </w:rPr>
            </w:pPr>
            <w:r w:rsidRPr="00421991">
              <w:rPr>
                <w:color w:val="auto"/>
              </w:rPr>
              <w:t>1%</w:t>
            </w:r>
          </w:p>
        </w:tc>
        <w:tc>
          <w:tcPr>
            <w:tcW w:w="1134" w:type="dxa"/>
          </w:tcPr>
          <w:p w:rsidR="001164BE" w:rsidRPr="00421991" w:rsidRDefault="001164BE" w:rsidP="009E22B3">
            <w:pPr>
              <w:pStyle w:val="Tabletext2"/>
              <w:spacing w:before="0" w:after="0"/>
              <w:rPr>
                <w:color w:val="auto"/>
              </w:rPr>
            </w:pPr>
            <w:r w:rsidRPr="00421991">
              <w:rPr>
                <w:color w:val="auto"/>
              </w:rPr>
              <w:t>1%</w:t>
            </w:r>
          </w:p>
        </w:tc>
        <w:tc>
          <w:tcPr>
            <w:tcW w:w="1133" w:type="dxa"/>
          </w:tcPr>
          <w:p w:rsidR="001164BE" w:rsidRPr="00421991" w:rsidRDefault="001164BE" w:rsidP="009E22B3">
            <w:pPr>
              <w:pStyle w:val="Tabletext2"/>
              <w:spacing w:before="0" w:after="0"/>
              <w:rPr>
                <w:color w:val="auto"/>
              </w:rPr>
            </w:pPr>
            <w:r w:rsidRPr="00421991">
              <w:rPr>
                <w:color w:val="auto"/>
              </w:rPr>
              <w:t>6%</w:t>
            </w:r>
          </w:p>
        </w:tc>
      </w:tr>
      <w:tr w:rsidR="009E22B3" w:rsidRPr="00421991" w:rsidTr="00F70F3C">
        <w:trPr>
          <w:trHeight w:val="60"/>
        </w:trPr>
        <w:tc>
          <w:tcPr>
            <w:tcW w:w="4025" w:type="dxa"/>
            <w:vAlign w:val="center"/>
          </w:tcPr>
          <w:p w:rsidR="001164BE" w:rsidRPr="00421991" w:rsidRDefault="001164BE" w:rsidP="00767FA1">
            <w:pPr>
              <w:pStyle w:val="Tabletext"/>
              <w:spacing w:before="0" w:after="0"/>
              <w:rPr>
                <w:color w:val="auto"/>
              </w:rPr>
            </w:pPr>
            <w:r w:rsidRPr="00421991">
              <w:rPr>
                <w:rStyle w:val="BoldBody"/>
                <w:color w:val="auto"/>
              </w:rPr>
              <w:t>Environmental agencies</w:t>
            </w:r>
          </w:p>
        </w:tc>
        <w:tc>
          <w:tcPr>
            <w:tcW w:w="1134" w:type="dxa"/>
          </w:tcPr>
          <w:p w:rsidR="001164BE" w:rsidRPr="00421991" w:rsidRDefault="001164BE" w:rsidP="009E22B3">
            <w:pPr>
              <w:pStyle w:val="Tabletext2"/>
              <w:spacing w:before="0" w:after="0"/>
              <w:rPr>
                <w:color w:val="auto"/>
              </w:rPr>
            </w:pPr>
            <w:r w:rsidRPr="00421991">
              <w:rPr>
                <w:rStyle w:val="BoldBody"/>
                <w:color w:val="auto"/>
              </w:rPr>
              <w:t>18%</w:t>
            </w:r>
          </w:p>
        </w:tc>
        <w:tc>
          <w:tcPr>
            <w:tcW w:w="1134" w:type="dxa"/>
          </w:tcPr>
          <w:p w:rsidR="001164BE" w:rsidRPr="00421991" w:rsidRDefault="001164BE" w:rsidP="009E22B3">
            <w:pPr>
              <w:pStyle w:val="Tabletext2"/>
              <w:spacing w:before="0" w:after="0"/>
              <w:rPr>
                <w:color w:val="auto"/>
              </w:rPr>
            </w:pPr>
            <w:r w:rsidRPr="00421991">
              <w:rPr>
                <w:rStyle w:val="BoldBody"/>
                <w:color w:val="auto"/>
              </w:rPr>
              <w:t>22%</w:t>
            </w:r>
          </w:p>
        </w:tc>
        <w:tc>
          <w:tcPr>
            <w:tcW w:w="1134" w:type="dxa"/>
          </w:tcPr>
          <w:p w:rsidR="001164BE" w:rsidRPr="00421991" w:rsidRDefault="001164BE" w:rsidP="009E22B3">
            <w:pPr>
              <w:pStyle w:val="Tabletext2"/>
              <w:spacing w:before="0" w:after="0"/>
              <w:rPr>
                <w:color w:val="auto"/>
              </w:rPr>
            </w:pPr>
            <w:r w:rsidRPr="00421991">
              <w:rPr>
                <w:rStyle w:val="BoldBody"/>
                <w:color w:val="auto"/>
              </w:rPr>
              <w:t>19%</w:t>
            </w:r>
          </w:p>
        </w:tc>
        <w:tc>
          <w:tcPr>
            <w:tcW w:w="1134" w:type="dxa"/>
          </w:tcPr>
          <w:p w:rsidR="001164BE" w:rsidRPr="00421991" w:rsidRDefault="001164BE" w:rsidP="009E22B3">
            <w:pPr>
              <w:pStyle w:val="Tabletext2"/>
              <w:spacing w:before="0" w:after="0"/>
              <w:rPr>
                <w:color w:val="auto"/>
              </w:rPr>
            </w:pPr>
            <w:r w:rsidRPr="00421991">
              <w:rPr>
                <w:rStyle w:val="BoldBody"/>
                <w:color w:val="auto"/>
              </w:rPr>
              <w:t>21%</w:t>
            </w:r>
          </w:p>
        </w:tc>
        <w:tc>
          <w:tcPr>
            <w:tcW w:w="1133" w:type="dxa"/>
          </w:tcPr>
          <w:p w:rsidR="001164BE" w:rsidRPr="00421991" w:rsidRDefault="001164BE" w:rsidP="009E22B3">
            <w:pPr>
              <w:pStyle w:val="Tabletext2"/>
              <w:spacing w:before="0" w:after="0"/>
              <w:rPr>
                <w:color w:val="auto"/>
              </w:rPr>
            </w:pPr>
            <w:r w:rsidRPr="00421991">
              <w:rPr>
                <w:rStyle w:val="BoldBody"/>
                <w:color w:val="auto"/>
              </w:rPr>
              <w:t>21%</w:t>
            </w:r>
          </w:p>
        </w:tc>
      </w:tr>
      <w:tr w:rsidR="009E22B3" w:rsidRPr="00421991" w:rsidTr="00F70F3C">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Wet, oily, or icy internal traffic and ground surfaces</w:t>
            </w:r>
          </w:p>
        </w:tc>
        <w:tc>
          <w:tcPr>
            <w:tcW w:w="1134" w:type="dxa"/>
          </w:tcPr>
          <w:p w:rsidR="001164BE" w:rsidRPr="00421991" w:rsidRDefault="001164BE" w:rsidP="009E22B3">
            <w:pPr>
              <w:pStyle w:val="Tabletext2"/>
              <w:spacing w:before="0" w:after="0"/>
              <w:rPr>
                <w:color w:val="auto"/>
              </w:rPr>
            </w:pPr>
            <w:r w:rsidRPr="00421991">
              <w:rPr>
                <w:color w:val="auto"/>
              </w:rPr>
              <w:t>19%</w:t>
            </w:r>
          </w:p>
        </w:tc>
        <w:tc>
          <w:tcPr>
            <w:tcW w:w="1134" w:type="dxa"/>
          </w:tcPr>
          <w:p w:rsidR="001164BE" w:rsidRPr="00421991" w:rsidRDefault="001164BE" w:rsidP="009E22B3">
            <w:pPr>
              <w:pStyle w:val="Tabletext2"/>
              <w:spacing w:before="0" w:after="0"/>
              <w:rPr>
                <w:color w:val="auto"/>
              </w:rPr>
            </w:pPr>
            <w:r w:rsidRPr="00421991">
              <w:rPr>
                <w:color w:val="auto"/>
              </w:rPr>
              <w:t>19%</w:t>
            </w:r>
          </w:p>
        </w:tc>
        <w:tc>
          <w:tcPr>
            <w:tcW w:w="1134" w:type="dxa"/>
          </w:tcPr>
          <w:p w:rsidR="001164BE" w:rsidRPr="00421991" w:rsidRDefault="001164BE" w:rsidP="009E22B3">
            <w:pPr>
              <w:pStyle w:val="Tabletext2"/>
              <w:spacing w:before="0" w:after="0"/>
              <w:rPr>
                <w:color w:val="auto"/>
              </w:rPr>
            </w:pPr>
            <w:r w:rsidRPr="00421991">
              <w:rPr>
                <w:color w:val="auto"/>
              </w:rPr>
              <w:t>25%</w:t>
            </w:r>
          </w:p>
        </w:tc>
        <w:tc>
          <w:tcPr>
            <w:tcW w:w="1134" w:type="dxa"/>
          </w:tcPr>
          <w:p w:rsidR="001164BE" w:rsidRPr="00421991" w:rsidRDefault="001164BE" w:rsidP="009E22B3">
            <w:pPr>
              <w:pStyle w:val="Tabletext2"/>
              <w:spacing w:before="0" w:after="0"/>
              <w:rPr>
                <w:color w:val="auto"/>
              </w:rPr>
            </w:pPr>
            <w:r w:rsidRPr="00421991">
              <w:rPr>
                <w:color w:val="auto"/>
              </w:rPr>
              <w:t>30%</w:t>
            </w:r>
          </w:p>
        </w:tc>
        <w:tc>
          <w:tcPr>
            <w:tcW w:w="1133" w:type="dxa"/>
          </w:tcPr>
          <w:p w:rsidR="001164BE" w:rsidRPr="00421991" w:rsidRDefault="001164BE" w:rsidP="009E22B3">
            <w:pPr>
              <w:pStyle w:val="Tabletext2"/>
              <w:spacing w:before="0" w:after="0"/>
              <w:rPr>
                <w:color w:val="auto"/>
              </w:rPr>
            </w:pPr>
            <w:r w:rsidRPr="00421991">
              <w:rPr>
                <w:color w:val="auto"/>
              </w:rPr>
              <w:t>25%</w:t>
            </w:r>
          </w:p>
        </w:tc>
      </w:tr>
      <w:tr w:rsidR="009E22B3" w:rsidRPr="00421991" w:rsidTr="00F70F3C">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Other internal traffic and ground surfaces</w:t>
            </w:r>
          </w:p>
        </w:tc>
        <w:tc>
          <w:tcPr>
            <w:tcW w:w="1134" w:type="dxa"/>
          </w:tcPr>
          <w:p w:rsidR="001164BE" w:rsidRPr="00421991" w:rsidRDefault="001164BE" w:rsidP="009E22B3">
            <w:pPr>
              <w:pStyle w:val="Tabletext2"/>
              <w:spacing w:before="0" w:after="0"/>
              <w:rPr>
                <w:color w:val="auto"/>
              </w:rPr>
            </w:pPr>
            <w:r w:rsidRPr="00421991">
              <w:rPr>
                <w:color w:val="auto"/>
              </w:rPr>
              <w:t>20%</w:t>
            </w:r>
          </w:p>
        </w:tc>
        <w:tc>
          <w:tcPr>
            <w:tcW w:w="1134" w:type="dxa"/>
          </w:tcPr>
          <w:p w:rsidR="001164BE" w:rsidRPr="00421991" w:rsidRDefault="001164BE" w:rsidP="009E22B3">
            <w:pPr>
              <w:pStyle w:val="Tabletext2"/>
              <w:spacing w:before="0" w:after="0"/>
              <w:rPr>
                <w:color w:val="auto"/>
              </w:rPr>
            </w:pPr>
            <w:r w:rsidRPr="00421991">
              <w:rPr>
                <w:color w:val="auto"/>
              </w:rPr>
              <w:t>14%</w:t>
            </w:r>
          </w:p>
        </w:tc>
        <w:tc>
          <w:tcPr>
            <w:tcW w:w="1134" w:type="dxa"/>
          </w:tcPr>
          <w:p w:rsidR="001164BE" w:rsidRPr="00421991" w:rsidRDefault="001164BE" w:rsidP="009E22B3">
            <w:pPr>
              <w:pStyle w:val="Tabletext2"/>
              <w:spacing w:before="0" w:after="0"/>
              <w:rPr>
                <w:color w:val="auto"/>
              </w:rPr>
            </w:pPr>
            <w:r w:rsidRPr="00421991">
              <w:rPr>
                <w:color w:val="auto"/>
              </w:rPr>
              <w:t>20%</w:t>
            </w:r>
          </w:p>
        </w:tc>
        <w:tc>
          <w:tcPr>
            <w:tcW w:w="1134" w:type="dxa"/>
          </w:tcPr>
          <w:p w:rsidR="001164BE" w:rsidRPr="00421991" w:rsidRDefault="001164BE" w:rsidP="009E22B3">
            <w:pPr>
              <w:pStyle w:val="Tabletext2"/>
              <w:spacing w:before="0" w:after="0"/>
              <w:rPr>
                <w:color w:val="auto"/>
              </w:rPr>
            </w:pPr>
            <w:r w:rsidRPr="00421991">
              <w:rPr>
                <w:color w:val="auto"/>
              </w:rPr>
              <w:t>19%</w:t>
            </w:r>
          </w:p>
        </w:tc>
        <w:tc>
          <w:tcPr>
            <w:tcW w:w="1133" w:type="dxa"/>
          </w:tcPr>
          <w:p w:rsidR="001164BE" w:rsidRPr="00421991" w:rsidRDefault="001164BE" w:rsidP="009E22B3">
            <w:pPr>
              <w:pStyle w:val="Tabletext2"/>
              <w:spacing w:before="0" w:after="0"/>
              <w:rPr>
                <w:color w:val="auto"/>
              </w:rPr>
            </w:pPr>
            <w:r w:rsidRPr="00421991">
              <w:rPr>
                <w:color w:val="auto"/>
              </w:rPr>
              <w:t>18%</w:t>
            </w:r>
          </w:p>
        </w:tc>
      </w:tr>
      <w:tr w:rsidR="009E22B3" w:rsidRPr="00421991" w:rsidTr="00F70F3C">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Traffic and ground surfaces other</w:t>
            </w:r>
          </w:p>
        </w:tc>
        <w:tc>
          <w:tcPr>
            <w:tcW w:w="1134" w:type="dxa"/>
          </w:tcPr>
          <w:p w:rsidR="001164BE" w:rsidRPr="00421991" w:rsidRDefault="001164BE" w:rsidP="009E22B3">
            <w:pPr>
              <w:pStyle w:val="Tabletext2"/>
              <w:spacing w:before="0" w:after="0"/>
              <w:rPr>
                <w:color w:val="auto"/>
              </w:rPr>
            </w:pPr>
            <w:r w:rsidRPr="00421991">
              <w:rPr>
                <w:color w:val="auto"/>
              </w:rPr>
              <w:t>16%</w:t>
            </w:r>
          </w:p>
        </w:tc>
        <w:tc>
          <w:tcPr>
            <w:tcW w:w="1134" w:type="dxa"/>
          </w:tcPr>
          <w:p w:rsidR="001164BE" w:rsidRPr="00421991" w:rsidRDefault="001164BE" w:rsidP="009E22B3">
            <w:pPr>
              <w:pStyle w:val="Tabletext2"/>
              <w:spacing w:before="0" w:after="0"/>
              <w:rPr>
                <w:color w:val="auto"/>
              </w:rPr>
            </w:pPr>
            <w:r w:rsidRPr="00421991">
              <w:rPr>
                <w:color w:val="auto"/>
              </w:rPr>
              <w:t>16%</w:t>
            </w:r>
          </w:p>
        </w:tc>
        <w:tc>
          <w:tcPr>
            <w:tcW w:w="1134" w:type="dxa"/>
          </w:tcPr>
          <w:p w:rsidR="001164BE" w:rsidRPr="00421991" w:rsidRDefault="001164BE" w:rsidP="009E22B3">
            <w:pPr>
              <w:pStyle w:val="Tabletext2"/>
              <w:spacing w:before="0" w:after="0"/>
              <w:rPr>
                <w:color w:val="auto"/>
              </w:rPr>
            </w:pPr>
            <w:r w:rsidRPr="00421991">
              <w:rPr>
                <w:color w:val="auto"/>
              </w:rPr>
              <w:t>10%</w:t>
            </w:r>
          </w:p>
        </w:tc>
        <w:tc>
          <w:tcPr>
            <w:tcW w:w="1134" w:type="dxa"/>
          </w:tcPr>
          <w:p w:rsidR="001164BE" w:rsidRPr="00421991" w:rsidRDefault="001164BE" w:rsidP="009E22B3">
            <w:pPr>
              <w:pStyle w:val="Tabletext2"/>
              <w:spacing w:before="0" w:after="0"/>
              <w:rPr>
                <w:color w:val="auto"/>
              </w:rPr>
            </w:pPr>
            <w:r w:rsidRPr="00421991">
              <w:rPr>
                <w:color w:val="auto"/>
              </w:rPr>
              <w:t>14%</w:t>
            </w:r>
          </w:p>
        </w:tc>
        <w:tc>
          <w:tcPr>
            <w:tcW w:w="1133" w:type="dxa"/>
          </w:tcPr>
          <w:p w:rsidR="001164BE" w:rsidRPr="00421991" w:rsidRDefault="001164BE" w:rsidP="009E22B3">
            <w:pPr>
              <w:pStyle w:val="Tabletext2"/>
              <w:spacing w:before="0" w:after="0"/>
              <w:rPr>
                <w:color w:val="auto"/>
              </w:rPr>
            </w:pPr>
            <w:r w:rsidRPr="00421991">
              <w:rPr>
                <w:color w:val="auto"/>
              </w:rPr>
              <w:t>14%</w:t>
            </w:r>
          </w:p>
        </w:tc>
      </w:tr>
      <w:tr w:rsidR="009E22B3" w:rsidRPr="00421991" w:rsidTr="00F70F3C">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Steps and stairways</w:t>
            </w:r>
          </w:p>
        </w:tc>
        <w:tc>
          <w:tcPr>
            <w:tcW w:w="1134" w:type="dxa"/>
          </w:tcPr>
          <w:p w:rsidR="001164BE" w:rsidRPr="00421991" w:rsidRDefault="001164BE" w:rsidP="009E22B3">
            <w:pPr>
              <w:pStyle w:val="Tabletext2"/>
              <w:spacing w:before="0" w:after="0"/>
              <w:rPr>
                <w:color w:val="auto"/>
              </w:rPr>
            </w:pPr>
            <w:r w:rsidRPr="00421991">
              <w:rPr>
                <w:color w:val="auto"/>
              </w:rPr>
              <w:t>14%</w:t>
            </w:r>
          </w:p>
        </w:tc>
        <w:tc>
          <w:tcPr>
            <w:tcW w:w="1134" w:type="dxa"/>
          </w:tcPr>
          <w:p w:rsidR="001164BE" w:rsidRPr="00421991" w:rsidRDefault="001164BE" w:rsidP="009E22B3">
            <w:pPr>
              <w:pStyle w:val="Tabletext2"/>
              <w:spacing w:before="0" w:after="0"/>
              <w:rPr>
                <w:color w:val="auto"/>
              </w:rPr>
            </w:pPr>
            <w:r w:rsidRPr="00421991">
              <w:rPr>
                <w:color w:val="auto"/>
              </w:rPr>
              <w:t>15%</w:t>
            </w:r>
          </w:p>
        </w:tc>
        <w:tc>
          <w:tcPr>
            <w:tcW w:w="1134" w:type="dxa"/>
          </w:tcPr>
          <w:p w:rsidR="001164BE" w:rsidRPr="00421991" w:rsidRDefault="001164BE" w:rsidP="009E22B3">
            <w:pPr>
              <w:pStyle w:val="Tabletext2"/>
              <w:spacing w:before="0" w:after="0"/>
              <w:rPr>
                <w:color w:val="auto"/>
              </w:rPr>
            </w:pPr>
            <w:r w:rsidRPr="00421991">
              <w:rPr>
                <w:color w:val="auto"/>
              </w:rPr>
              <w:t>19%</w:t>
            </w:r>
          </w:p>
        </w:tc>
        <w:tc>
          <w:tcPr>
            <w:tcW w:w="1134" w:type="dxa"/>
          </w:tcPr>
          <w:p w:rsidR="001164BE" w:rsidRPr="00421991" w:rsidRDefault="001164BE" w:rsidP="009E22B3">
            <w:pPr>
              <w:pStyle w:val="Tabletext2"/>
              <w:spacing w:before="0" w:after="0"/>
              <w:rPr>
                <w:color w:val="auto"/>
              </w:rPr>
            </w:pPr>
            <w:r w:rsidRPr="00421991">
              <w:rPr>
                <w:color w:val="auto"/>
              </w:rPr>
              <w:t>9%</w:t>
            </w:r>
          </w:p>
        </w:tc>
        <w:tc>
          <w:tcPr>
            <w:tcW w:w="1133" w:type="dxa"/>
          </w:tcPr>
          <w:p w:rsidR="001164BE" w:rsidRPr="00421991" w:rsidRDefault="001164BE" w:rsidP="009E22B3">
            <w:pPr>
              <w:pStyle w:val="Tabletext2"/>
              <w:spacing w:before="0" w:after="0"/>
              <w:rPr>
                <w:color w:val="auto"/>
              </w:rPr>
            </w:pPr>
            <w:r w:rsidRPr="00421991">
              <w:rPr>
                <w:color w:val="auto"/>
              </w:rPr>
              <w:t>12%</w:t>
            </w:r>
          </w:p>
        </w:tc>
      </w:tr>
      <w:tr w:rsidR="009E22B3" w:rsidRPr="00421991" w:rsidTr="00F70F3C">
        <w:trPr>
          <w:trHeight w:val="60"/>
        </w:trPr>
        <w:tc>
          <w:tcPr>
            <w:tcW w:w="4025" w:type="dxa"/>
            <w:vAlign w:val="center"/>
          </w:tcPr>
          <w:p w:rsidR="001164BE" w:rsidRPr="00421991" w:rsidRDefault="001164BE" w:rsidP="00767FA1">
            <w:pPr>
              <w:pStyle w:val="Tabletext"/>
              <w:spacing w:before="0" w:after="0"/>
              <w:rPr>
                <w:color w:val="auto"/>
              </w:rPr>
            </w:pPr>
            <w:r w:rsidRPr="00421991">
              <w:rPr>
                <w:rStyle w:val="BoldBody"/>
                <w:color w:val="auto"/>
              </w:rPr>
              <w:t>Materials and substances</w:t>
            </w:r>
          </w:p>
        </w:tc>
        <w:tc>
          <w:tcPr>
            <w:tcW w:w="1134" w:type="dxa"/>
          </w:tcPr>
          <w:p w:rsidR="001164BE" w:rsidRPr="00421991" w:rsidRDefault="001164BE" w:rsidP="009E22B3">
            <w:pPr>
              <w:pStyle w:val="Tabletext2"/>
              <w:spacing w:before="0" w:after="0"/>
              <w:rPr>
                <w:color w:val="auto"/>
              </w:rPr>
            </w:pPr>
            <w:r w:rsidRPr="00421991">
              <w:rPr>
                <w:rStyle w:val="BoldBody"/>
                <w:color w:val="auto"/>
              </w:rPr>
              <w:t>11%</w:t>
            </w:r>
          </w:p>
        </w:tc>
        <w:tc>
          <w:tcPr>
            <w:tcW w:w="1134" w:type="dxa"/>
          </w:tcPr>
          <w:p w:rsidR="001164BE" w:rsidRPr="00421991" w:rsidRDefault="001164BE" w:rsidP="009E22B3">
            <w:pPr>
              <w:pStyle w:val="Tabletext2"/>
              <w:spacing w:before="0" w:after="0"/>
              <w:rPr>
                <w:color w:val="auto"/>
              </w:rPr>
            </w:pPr>
            <w:r w:rsidRPr="00421991">
              <w:rPr>
                <w:rStyle w:val="BoldBody"/>
                <w:color w:val="auto"/>
              </w:rPr>
              <w:t>10%</w:t>
            </w:r>
          </w:p>
        </w:tc>
        <w:tc>
          <w:tcPr>
            <w:tcW w:w="1134" w:type="dxa"/>
          </w:tcPr>
          <w:p w:rsidR="001164BE" w:rsidRPr="00421991" w:rsidRDefault="001164BE" w:rsidP="009E22B3">
            <w:pPr>
              <w:pStyle w:val="Tabletext2"/>
              <w:spacing w:before="0" w:after="0"/>
              <w:rPr>
                <w:color w:val="auto"/>
              </w:rPr>
            </w:pPr>
            <w:r w:rsidRPr="00421991">
              <w:rPr>
                <w:rStyle w:val="BoldBody"/>
                <w:color w:val="auto"/>
              </w:rPr>
              <w:t>12%</w:t>
            </w:r>
          </w:p>
        </w:tc>
        <w:tc>
          <w:tcPr>
            <w:tcW w:w="1134" w:type="dxa"/>
          </w:tcPr>
          <w:p w:rsidR="001164BE" w:rsidRPr="00421991" w:rsidRDefault="001164BE" w:rsidP="009E22B3">
            <w:pPr>
              <w:pStyle w:val="Tabletext2"/>
              <w:spacing w:before="0" w:after="0"/>
              <w:rPr>
                <w:color w:val="auto"/>
              </w:rPr>
            </w:pPr>
            <w:r w:rsidRPr="00421991">
              <w:rPr>
                <w:rStyle w:val="BoldBody"/>
                <w:color w:val="auto"/>
              </w:rPr>
              <w:t>15%</w:t>
            </w:r>
          </w:p>
        </w:tc>
        <w:tc>
          <w:tcPr>
            <w:tcW w:w="1133" w:type="dxa"/>
          </w:tcPr>
          <w:p w:rsidR="001164BE" w:rsidRPr="00421991" w:rsidRDefault="001164BE" w:rsidP="009E22B3">
            <w:pPr>
              <w:pStyle w:val="Tabletext2"/>
              <w:spacing w:before="0" w:after="0"/>
              <w:rPr>
                <w:color w:val="auto"/>
              </w:rPr>
            </w:pPr>
            <w:r w:rsidRPr="00421991">
              <w:rPr>
                <w:rStyle w:val="BoldBody"/>
                <w:color w:val="auto"/>
              </w:rPr>
              <w:t>13%</w:t>
            </w:r>
          </w:p>
        </w:tc>
      </w:tr>
      <w:tr w:rsidR="009E22B3" w:rsidRPr="00421991" w:rsidTr="00F70F3C">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Food</w:t>
            </w:r>
          </w:p>
        </w:tc>
        <w:tc>
          <w:tcPr>
            <w:tcW w:w="1134" w:type="dxa"/>
          </w:tcPr>
          <w:p w:rsidR="001164BE" w:rsidRPr="00421991" w:rsidRDefault="001164BE" w:rsidP="009E22B3">
            <w:pPr>
              <w:pStyle w:val="Tabletext2"/>
              <w:spacing w:before="0" w:after="0"/>
              <w:rPr>
                <w:color w:val="auto"/>
              </w:rPr>
            </w:pPr>
            <w:r w:rsidRPr="00421991">
              <w:rPr>
                <w:color w:val="auto"/>
              </w:rPr>
              <w:t>13%</w:t>
            </w:r>
          </w:p>
        </w:tc>
        <w:tc>
          <w:tcPr>
            <w:tcW w:w="1134" w:type="dxa"/>
          </w:tcPr>
          <w:p w:rsidR="001164BE" w:rsidRPr="00421991" w:rsidRDefault="001164BE" w:rsidP="009E22B3">
            <w:pPr>
              <w:pStyle w:val="Tabletext2"/>
              <w:spacing w:before="0" w:after="0"/>
              <w:rPr>
                <w:color w:val="auto"/>
              </w:rPr>
            </w:pPr>
            <w:r w:rsidRPr="00421991">
              <w:rPr>
                <w:color w:val="auto"/>
              </w:rPr>
              <w:t>9%</w:t>
            </w:r>
          </w:p>
        </w:tc>
        <w:tc>
          <w:tcPr>
            <w:tcW w:w="1134" w:type="dxa"/>
          </w:tcPr>
          <w:p w:rsidR="001164BE" w:rsidRPr="00421991" w:rsidRDefault="001164BE" w:rsidP="009E22B3">
            <w:pPr>
              <w:pStyle w:val="Tabletext2"/>
              <w:spacing w:before="0" w:after="0"/>
              <w:rPr>
                <w:color w:val="auto"/>
              </w:rPr>
            </w:pPr>
            <w:r w:rsidRPr="00421991">
              <w:rPr>
                <w:color w:val="auto"/>
              </w:rPr>
              <w:t>16%</w:t>
            </w:r>
          </w:p>
        </w:tc>
        <w:tc>
          <w:tcPr>
            <w:tcW w:w="1134" w:type="dxa"/>
          </w:tcPr>
          <w:p w:rsidR="001164BE" w:rsidRPr="00421991" w:rsidRDefault="001164BE" w:rsidP="009E22B3">
            <w:pPr>
              <w:pStyle w:val="Tabletext2"/>
              <w:spacing w:before="0" w:after="0"/>
              <w:rPr>
                <w:color w:val="auto"/>
              </w:rPr>
            </w:pPr>
            <w:r w:rsidRPr="00421991">
              <w:rPr>
                <w:color w:val="auto"/>
              </w:rPr>
              <w:t>20%</w:t>
            </w:r>
          </w:p>
        </w:tc>
        <w:tc>
          <w:tcPr>
            <w:tcW w:w="1133" w:type="dxa"/>
          </w:tcPr>
          <w:p w:rsidR="001164BE" w:rsidRPr="00421991" w:rsidRDefault="001164BE" w:rsidP="009E22B3">
            <w:pPr>
              <w:pStyle w:val="Tabletext2"/>
              <w:spacing w:before="0" w:after="0"/>
              <w:rPr>
                <w:color w:val="auto"/>
              </w:rPr>
            </w:pPr>
            <w:r w:rsidRPr="00421991">
              <w:rPr>
                <w:color w:val="auto"/>
              </w:rPr>
              <w:t>17%</w:t>
            </w:r>
          </w:p>
        </w:tc>
      </w:tr>
      <w:tr w:rsidR="009E22B3" w:rsidRPr="00421991" w:rsidTr="00F70F3C">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Oil and fat (animal or vegetable)</w:t>
            </w:r>
          </w:p>
        </w:tc>
        <w:tc>
          <w:tcPr>
            <w:tcW w:w="1134" w:type="dxa"/>
          </w:tcPr>
          <w:p w:rsidR="001164BE" w:rsidRPr="00421991" w:rsidRDefault="001164BE" w:rsidP="009E22B3">
            <w:pPr>
              <w:pStyle w:val="Tabletext2"/>
              <w:spacing w:before="0" w:after="0"/>
              <w:rPr>
                <w:color w:val="auto"/>
              </w:rPr>
            </w:pPr>
            <w:r w:rsidRPr="00421991">
              <w:rPr>
                <w:color w:val="auto"/>
              </w:rPr>
              <w:t>7%</w:t>
            </w:r>
          </w:p>
        </w:tc>
        <w:tc>
          <w:tcPr>
            <w:tcW w:w="1134" w:type="dxa"/>
          </w:tcPr>
          <w:p w:rsidR="001164BE" w:rsidRPr="00421991" w:rsidRDefault="001164BE" w:rsidP="009E22B3">
            <w:pPr>
              <w:pStyle w:val="Tabletext2"/>
              <w:spacing w:before="0" w:after="0"/>
              <w:rPr>
                <w:color w:val="auto"/>
              </w:rPr>
            </w:pPr>
            <w:r w:rsidRPr="00421991">
              <w:rPr>
                <w:color w:val="auto"/>
              </w:rPr>
              <w:t>7%</w:t>
            </w:r>
          </w:p>
        </w:tc>
        <w:tc>
          <w:tcPr>
            <w:tcW w:w="1134" w:type="dxa"/>
          </w:tcPr>
          <w:p w:rsidR="001164BE" w:rsidRPr="00421991" w:rsidRDefault="001164BE" w:rsidP="009E22B3">
            <w:pPr>
              <w:pStyle w:val="Tabletext2"/>
              <w:spacing w:before="0" w:after="0"/>
              <w:rPr>
                <w:color w:val="auto"/>
              </w:rPr>
            </w:pPr>
            <w:r w:rsidRPr="00421991">
              <w:rPr>
                <w:color w:val="auto"/>
              </w:rPr>
              <w:t>10%</w:t>
            </w:r>
          </w:p>
        </w:tc>
        <w:tc>
          <w:tcPr>
            <w:tcW w:w="1134" w:type="dxa"/>
          </w:tcPr>
          <w:p w:rsidR="001164BE" w:rsidRPr="00421991" w:rsidRDefault="001164BE" w:rsidP="009E22B3">
            <w:pPr>
              <w:pStyle w:val="Tabletext2"/>
              <w:spacing w:before="0" w:after="0"/>
              <w:rPr>
                <w:color w:val="auto"/>
              </w:rPr>
            </w:pPr>
            <w:r w:rsidRPr="00421991">
              <w:rPr>
                <w:color w:val="auto"/>
              </w:rPr>
              <w:t>22%</w:t>
            </w:r>
          </w:p>
        </w:tc>
        <w:tc>
          <w:tcPr>
            <w:tcW w:w="1133" w:type="dxa"/>
          </w:tcPr>
          <w:p w:rsidR="001164BE" w:rsidRPr="00421991" w:rsidRDefault="001164BE" w:rsidP="009E22B3">
            <w:pPr>
              <w:pStyle w:val="Tabletext2"/>
              <w:spacing w:before="0" w:after="0"/>
              <w:rPr>
                <w:color w:val="auto"/>
              </w:rPr>
            </w:pPr>
            <w:r w:rsidRPr="00421991">
              <w:rPr>
                <w:color w:val="auto"/>
              </w:rPr>
              <w:t>16%</w:t>
            </w:r>
          </w:p>
        </w:tc>
      </w:tr>
      <w:tr w:rsidR="009E22B3" w:rsidRPr="00421991" w:rsidTr="00F70F3C">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Glass</w:t>
            </w:r>
          </w:p>
        </w:tc>
        <w:tc>
          <w:tcPr>
            <w:tcW w:w="1134" w:type="dxa"/>
          </w:tcPr>
          <w:p w:rsidR="001164BE" w:rsidRPr="00421991" w:rsidRDefault="001164BE" w:rsidP="009E22B3">
            <w:pPr>
              <w:pStyle w:val="Tabletext2"/>
              <w:spacing w:before="0" w:after="0"/>
              <w:rPr>
                <w:color w:val="auto"/>
              </w:rPr>
            </w:pPr>
            <w:r w:rsidRPr="00421991">
              <w:rPr>
                <w:color w:val="auto"/>
              </w:rPr>
              <w:t>12%</w:t>
            </w:r>
          </w:p>
        </w:tc>
        <w:tc>
          <w:tcPr>
            <w:tcW w:w="1134" w:type="dxa"/>
          </w:tcPr>
          <w:p w:rsidR="001164BE" w:rsidRPr="00421991" w:rsidRDefault="001164BE" w:rsidP="009E22B3">
            <w:pPr>
              <w:pStyle w:val="Tabletext2"/>
              <w:spacing w:before="0" w:after="0"/>
              <w:rPr>
                <w:color w:val="auto"/>
              </w:rPr>
            </w:pPr>
            <w:r w:rsidRPr="00421991">
              <w:rPr>
                <w:color w:val="auto"/>
              </w:rPr>
              <w:t>15%</w:t>
            </w:r>
          </w:p>
        </w:tc>
        <w:tc>
          <w:tcPr>
            <w:tcW w:w="1134" w:type="dxa"/>
          </w:tcPr>
          <w:p w:rsidR="001164BE" w:rsidRPr="00421991" w:rsidRDefault="001164BE" w:rsidP="009E22B3">
            <w:pPr>
              <w:pStyle w:val="Tabletext2"/>
              <w:spacing w:before="0" w:after="0"/>
              <w:rPr>
                <w:color w:val="auto"/>
              </w:rPr>
            </w:pPr>
            <w:r w:rsidRPr="00421991">
              <w:rPr>
                <w:color w:val="auto"/>
              </w:rPr>
              <w:t>23%</w:t>
            </w:r>
          </w:p>
        </w:tc>
        <w:tc>
          <w:tcPr>
            <w:tcW w:w="1134" w:type="dxa"/>
          </w:tcPr>
          <w:p w:rsidR="001164BE" w:rsidRPr="00421991" w:rsidRDefault="001164BE" w:rsidP="009E22B3">
            <w:pPr>
              <w:pStyle w:val="Tabletext2"/>
              <w:spacing w:before="0" w:after="0"/>
              <w:rPr>
                <w:color w:val="auto"/>
              </w:rPr>
            </w:pPr>
            <w:r w:rsidRPr="00421991">
              <w:rPr>
                <w:color w:val="auto"/>
              </w:rPr>
              <w:t>9%</w:t>
            </w:r>
          </w:p>
        </w:tc>
        <w:tc>
          <w:tcPr>
            <w:tcW w:w="1133" w:type="dxa"/>
          </w:tcPr>
          <w:p w:rsidR="001164BE" w:rsidRPr="00421991" w:rsidRDefault="001164BE" w:rsidP="009E22B3">
            <w:pPr>
              <w:pStyle w:val="Tabletext2"/>
              <w:spacing w:before="0" w:after="0"/>
              <w:rPr>
                <w:color w:val="auto"/>
              </w:rPr>
            </w:pPr>
            <w:r w:rsidRPr="00421991">
              <w:rPr>
                <w:color w:val="auto"/>
              </w:rPr>
              <w:t>12%</w:t>
            </w:r>
          </w:p>
        </w:tc>
      </w:tr>
      <w:tr w:rsidR="009E22B3" w:rsidRPr="00421991" w:rsidTr="00F70F3C">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Hot water, steam</w:t>
            </w:r>
          </w:p>
        </w:tc>
        <w:tc>
          <w:tcPr>
            <w:tcW w:w="1134" w:type="dxa"/>
          </w:tcPr>
          <w:p w:rsidR="001164BE" w:rsidRPr="00421991" w:rsidRDefault="001164BE" w:rsidP="009E22B3">
            <w:pPr>
              <w:pStyle w:val="Tabletext2"/>
              <w:spacing w:before="0" w:after="0"/>
              <w:rPr>
                <w:color w:val="auto"/>
              </w:rPr>
            </w:pPr>
            <w:r w:rsidRPr="00421991">
              <w:rPr>
                <w:color w:val="auto"/>
              </w:rPr>
              <w:t>7%</w:t>
            </w:r>
          </w:p>
        </w:tc>
        <w:tc>
          <w:tcPr>
            <w:tcW w:w="1134" w:type="dxa"/>
          </w:tcPr>
          <w:p w:rsidR="001164BE" w:rsidRPr="00421991" w:rsidRDefault="001164BE" w:rsidP="009E22B3">
            <w:pPr>
              <w:pStyle w:val="Tabletext2"/>
              <w:spacing w:before="0" w:after="0"/>
              <w:rPr>
                <w:color w:val="auto"/>
              </w:rPr>
            </w:pPr>
            <w:r w:rsidRPr="00421991">
              <w:rPr>
                <w:color w:val="auto"/>
              </w:rPr>
              <w:t>10%</w:t>
            </w:r>
          </w:p>
        </w:tc>
        <w:tc>
          <w:tcPr>
            <w:tcW w:w="1134" w:type="dxa"/>
          </w:tcPr>
          <w:p w:rsidR="001164BE" w:rsidRPr="00421991" w:rsidRDefault="001164BE" w:rsidP="009E22B3">
            <w:pPr>
              <w:pStyle w:val="Tabletext2"/>
              <w:spacing w:before="0" w:after="0"/>
              <w:rPr>
                <w:color w:val="auto"/>
              </w:rPr>
            </w:pPr>
            <w:r w:rsidRPr="00421991">
              <w:rPr>
                <w:color w:val="auto"/>
              </w:rPr>
              <w:t>7%</w:t>
            </w:r>
          </w:p>
        </w:tc>
        <w:tc>
          <w:tcPr>
            <w:tcW w:w="1134" w:type="dxa"/>
          </w:tcPr>
          <w:p w:rsidR="001164BE" w:rsidRPr="00421991" w:rsidRDefault="001164BE" w:rsidP="009E22B3">
            <w:pPr>
              <w:pStyle w:val="Tabletext2"/>
              <w:spacing w:before="0" w:after="0"/>
              <w:rPr>
                <w:color w:val="auto"/>
              </w:rPr>
            </w:pPr>
            <w:r w:rsidRPr="00421991">
              <w:rPr>
                <w:color w:val="auto"/>
              </w:rPr>
              <w:t>12%</w:t>
            </w:r>
          </w:p>
        </w:tc>
        <w:tc>
          <w:tcPr>
            <w:tcW w:w="1133" w:type="dxa"/>
          </w:tcPr>
          <w:p w:rsidR="001164BE" w:rsidRPr="00421991" w:rsidRDefault="001164BE" w:rsidP="009E22B3">
            <w:pPr>
              <w:pStyle w:val="Tabletext2"/>
              <w:spacing w:before="0" w:after="0"/>
              <w:rPr>
                <w:color w:val="auto"/>
              </w:rPr>
            </w:pPr>
            <w:r w:rsidRPr="00421991">
              <w:rPr>
                <w:color w:val="auto"/>
              </w:rPr>
              <w:t>10%</w:t>
            </w:r>
          </w:p>
        </w:tc>
      </w:tr>
      <w:tr w:rsidR="009E22B3" w:rsidRPr="00421991" w:rsidTr="00F70F3C">
        <w:trPr>
          <w:trHeight w:val="60"/>
        </w:trPr>
        <w:tc>
          <w:tcPr>
            <w:tcW w:w="4025" w:type="dxa"/>
            <w:vAlign w:val="center"/>
          </w:tcPr>
          <w:p w:rsidR="001164BE" w:rsidRPr="00421991" w:rsidRDefault="001164BE" w:rsidP="00767FA1">
            <w:pPr>
              <w:pStyle w:val="Tabletext"/>
              <w:spacing w:before="0" w:after="0"/>
              <w:rPr>
                <w:color w:val="auto"/>
              </w:rPr>
            </w:pPr>
            <w:r w:rsidRPr="00421991">
              <w:rPr>
                <w:rStyle w:val="BoldBody"/>
                <w:color w:val="auto"/>
              </w:rPr>
              <w:t>Animal, human and biological agencies</w:t>
            </w:r>
          </w:p>
        </w:tc>
        <w:tc>
          <w:tcPr>
            <w:tcW w:w="1134" w:type="dxa"/>
          </w:tcPr>
          <w:p w:rsidR="001164BE" w:rsidRPr="00421991" w:rsidRDefault="001164BE" w:rsidP="009E22B3">
            <w:pPr>
              <w:pStyle w:val="Tabletext2"/>
              <w:spacing w:before="0" w:after="0"/>
              <w:rPr>
                <w:color w:val="auto"/>
              </w:rPr>
            </w:pPr>
            <w:r w:rsidRPr="00421991">
              <w:rPr>
                <w:rStyle w:val="BoldBody"/>
                <w:color w:val="auto"/>
              </w:rPr>
              <w:t>8%</w:t>
            </w:r>
          </w:p>
        </w:tc>
        <w:tc>
          <w:tcPr>
            <w:tcW w:w="1134" w:type="dxa"/>
          </w:tcPr>
          <w:p w:rsidR="001164BE" w:rsidRPr="00421991" w:rsidRDefault="001164BE" w:rsidP="009E22B3">
            <w:pPr>
              <w:pStyle w:val="Tabletext2"/>
              <w:spacing w:before="0" w:after="0"/>
              <w:rPr>
                <w:color w:val="auto"/>
              </w:rPr>
            </w:pPr>
            <w:r w:rsidRPr="00421991">
              <w:rPr>
                <w:rStyle w:val="BoldBody"/>
                <w:color w:val="auto"/>
              </w:rPr>
              <w:t>6%</w:t>
            </w:r>
          </w:p>
        </w:tc>
        <w:tc>
          <w:tcPr>
            <w:tcW w:w="1134" w:type="dxa"/>
          </w:tcPr>
          <w:p w:rsidR="001164BE" w:rsidRPr="00421991" w:rsidRDefault="001164BE" w:rsidP="009E22B3">
            <w:pPr>
              <w:pStyle w:val="Tabletext2"/>
              <w:spacing w:before="0" w:after="0"/>
              <w:rPr>
                <w:color w:val="auto"/>
              </w:rPr>
            </w:pPr>
            <w:r w:rsidRPr="00421991">
              <w:rPr>
                <w:rStyle w:val="BoldBody"/>
                <w:color w:val="auto"/>
              </w:rPr>
              <w:t>11%</w:t>
            </w:r>
          </w:p>
        </w:tc>
        <w:tc>
          <w:tcPr>
            <w:tcW w:w="1134" w:type="dxa"/>
          </w:tcPr>
          <w:p w:rsidR="001164BE" w:rsidRPr="00421991" w:rsidRDefault="001164BE" w:rsidP="009E22B3">
            <w:pPr>
              <w:pStyle w:val="Tabletext2"/>
              <w:spacing w:before="0" w:after="0"/>
              <w:rPr>
                <w:color w:val="auto"/>
              </w:rPr>
            </w:pPr>
            <w:r w:rsidRPr="00421991">
              <w:rPr>
                <w:rStyle w:val="BoldBody"/>
                <w:color w:val="auto"/>
              </w:rPr>
              <w:t>5%</w:t>
            </w:r>
          </w:p>
        </w:tc>
        <w:tc>
          <w:tcPr>
            <w:tcW w:w="1133" w:type="dxa"/>
          </w:tcPr>
          <w:p w:rsidR="001164BE" w:rsidRPr="00421991" w:rsidRDefault="001164BE" w:rsidP="009E22B3">
            <w:pPr>
              <w:pStyle w:val="Tabletext2"/>
              <w:spacing w:before="0" w:after="0"/>
              <w:rPr>
                <w:color w:val="auto"/>
              </w:rPr>
            </w:pPr>
            <w:r w:rsidRPr="00421991">
              <w:rPr>
                <w:rStyle w:val="BoldBody"/>
                <w:color w:val="auto"/>
              </w:rPr>
              <w:t>7%</w:t>
            </w:r>
          </w:p>
        </w:tc>
      </w:tr>
      <w:tr w:rsidR="009E22B3" w:rsidRPr="00421991" w:rsidTr="00F70F3C">
        <w:trPr>
          <w:trHeight w:val="60"/>
        </w:trPr>
        <w:tc>
          <w:tcPr>
            <w:tcW w:w="4025" w:type="dxa"/>
            <w:vAlign w:val="center"/>
          </w:tcPr>
          <w:p w:rsidR="001164BE" w:rsidRPr="00421991" w:rsidRDefault="001164BE" w:rsidP="00767FA1">
            <w:pPr>
              <w:pStyle w:val="Tabletext1"/>
              <w:spacing w:before="0" w:after="0"/>
              <w:rPr>
                <w:color w:val="auto"/>
              </w:rPr>
            </w:pPr>
            <w:r w:rsidRPr="00421991">
              <w:rPr>
                <w:color w:val="auto"/>
              </w:rPr>
              <w:t>Other person</w:t>
            </w:r>
          </w:p>
        </w:tc>
        <w:tc>
          <w:tcPr>
            <w:tcW w:w="1134" w:type="dxa"/>
          </w:tcPr>
          <w:p w:rsidR="001164BE" w:rsidRPr="00421991" w:rsidRDefault="001164BE" w:rsidP="009E22B3">
            <w:pPr>
              <w:pStyle w:val="Tabletext2"/>
              <w:spacing w:before="0" w:after="0"/>
              <w:rPr>
                <w:color w:val="auto"/>
              </w:rPr>
            </w:pPr>
            <w:r w:rsidRPr="00421991">
              <w:rPr>
                <w:color w:val="auto"/>
              </w:rPr>
              <w:t>85%</w:t>
            </w:r>
          </w:p>
        </w:tc>
        <w:tc>
          <w:tcPr>
            <w:tcW w:w="1134" w:type="dxa"/>
          </w:tcPr>
          <w:p w:rsidR="001164BE" w:rsidRPr="00421991" w:rsidRDefault="001164BE" w:rsidP="009E22B3">
            <w:pPr>
              <w:pStyle w:val="Tabletext2"/>
              <w:spacing w:before="0" w:after="0"/>
              <w:rPr>
                <w:color w:val="auto"/>
              </w:rPr>
            </w:pPr>
            <w:r w:rsidRPr="00421991">
              <w:rPr>
                <w:color w:val="auto"/>
              </w:rPr>
              <w:t>77%</w:t>
            </w:r>
          </w:p>
        </w:tc>
        <w:tc>
          <w:tcPr>
            <w:tcW w:w="1134" w:type="dxa"/>
          </w:tcPr>
          <w:p w:rsidR="001164BE" w:rsidRPr="00421991" w:rsidRDefault="001164BE" w:rsidP="009E22B3">
            <w:pPr>
              <w:pStyle w:val="Tabletext2"/>
              <w:spacing w:before="0" w:after="0"/>
              <w:rPr>
                <w:color w:val="auto"/>
              </w:rPr>
            </w:pPr>
            <w:r w:rsidRPr="00421991">
              <w:rPr>
                <w:color w:val="auto"/>
              </w:rPr>
              <w:t>91%</w:t>
            </w:r>
          </w:p>
        </w:tc>
        <w:tc>
          <w:tcPr>
            <w:tcW w:w="1134" w:type="dxa"/>
          </w:tcPr>
          <w:p w:rsidR="001164BE" w:rsidRPr="00421991" w:rsidRDefault="001164BE" w:rsidP="009E22B3">
            <w:pPr>
              <w:pStyle w:val="Tabletext2"/>
              <w:spacing w:before="0" w:after="0"/>
              <w:rPr>
                <w:color w:val="auto"/>
              </w:rPr>
            </w:pPr>
            <w:r w:rsidRPr="00421991">
              <w:rPr>
                <w:color w:val="auto"/>
              </w:rPr>
              <w:t>66%</w:t>
            </w:r>
          </w:p>
        </w:tc>
        <w:tc>
          <w:tcPr>
            <w:tcW w:w="1133" w:type="dxa"/>
          </w:tcPr>
          <w:p w:rsidR="001164BE" w:rsidRPr="00421991" w:rsidRDefault="001164BE" w:rsidP="009E22B3">
            <w:pPr>
              <w:pStyle w:val="Tabletext2"/>
              <w:spacing w:before="0" w:after="0"/>
              <w:rPr>
                <w:color w:val="auto"/>
              </w:rPr>
            </w:pPr>
            <w:r w:rsidRPr="00421991">
              <w:rPr>
                <w:color w:val="auto"/>
              </w:rPr>
              <w:t>78%</w:t>
            </w:r>
          </w:p>
        </w:tc>
      </w:tr>
      <w:tr w:rsidR="009E22B3" w:rsidRPr="00421991" w:rsidTr="00F70F3C">
        <w:trPr>
          <w:trHeight w:val="60"/>
        </w:trPr>
        <w:tc>
          <w:tcPr>
            <w:tcW w:w="4025" w:type="dxa"/>
            <w:vAlign w:val="center"/>
          </w:tcPr>
          <w:p w:rsidR="001164BE" w:rsidRPr="00421991" w:rsidRDefault="001164BE" w:rsidP="00767FA1">
            <w:pPr>
              <w:pStyle w:val="Tabletext"/>
              <w:spacing w:before="0" w:after="0"/>
              <w:rPr>
                <w:color w:val="auto"/>
              </w:rPr>
            </w:pPr>
            <w:r w:rsidRPr="00421991">
              <w:rPr>
                <w:rStyle w:val="BoldBody"/>
                <w:color w:val="auto"/>
              </w:rPr>
              <w:t>Powered equipment, tools and appliances</w:t>
            </w:r>
          </w:p>
        </w:tc>
        <w:tc>
          <w:tcPr>
            <w:tcW w:w="1134" w:type="dxa"/>
          </w:tcPr>
          <w:p w:rsidR="001164BE" w:rsidRPr="00421991" w:rsidRDefault="001164BE" w:rsidP="009E22B3">
            <w:pPr>
              <w:pStyle w:val="Tabletext2"/>
              <w:spacing w:before="0" w:after="0"/>
              <w:rPr>
                <w:color w:val="auto"/>
              </w:rPr>
            </w:pPr>
            <w:r w:rsidRPr="00421991">
              <w:rPr>
                <w:rStyle w:val="BoldBody"/>
                <w:color w:val="auto"/>
              </w:rPr>
              <w:t>6%</w:t>
            </w:r>
          </w:p>
        </w:tc>
        <w:tc>
          <w:tcPr>
            <w:tcW w:w="1134" w:type="dxa"/>
          </w:tcPr>
          <w:p w:rsidR="001164BE" w:rsidRPr="00421991" w:rsidRDefault="001164BE" w:rsidP="009E22B3">
            <w:pPr>
              <w:pStyle w:val="Tabletext2"/>
              <w:spacing w:before="0" w:after="0"/>
              <w:rPr>
                <w:color w:val="auto"/>
              </w:rPr>
            </w:pPr>
            <w:r w:rsidRPr="00421991">
              <w:rPr>
                <w:rStyle w:val="BoldBody"/>
                <w:color w:val="auto"/>
              </w:rPr>
              <w:t>5%</w:t>
            </w:r>
          </w:p>
        </w:tc>
        <w:tc>
          <w:tcPr>
            <w:tcW w:w="1134" w:type="dxa"/>
          </w:tcPr>
          <w:p w:rsidR="001164BE" w:rsidRPr="00421991" w:rsidRDefault="001164BE" w:rsidP="009E22B3">
            <w:pPr>
              <w:pStyle w:val="Tabletext2"/>
              <w:spacing w:before="0" w:after="0"/>
              <w:rPr>
                <w:color w:val="auto"/>
              </w:rPr>
            </w:pPr>
            <w:r w:rsidRPr="00421991">
              <w:rPr>
                <w:rStyle w:val="BoldBody"/>
                <w:color w:val="auto"/>
              </w:rPr>
              <w:t>4%</w:t>
            </w:r>
          </w:p>
        </w:tc>
        <w:tc>
          <w:tcPr>
            <w:tcW w:w="1134" w:type="dxa"/>
          </w:tcPr>
          <w:p w:rsidR="001164BE" w:rsidRPr="00421991" w:rsidRDefault="001164BE" w:rsidP="009E22B3">
            <w:pPr>
              <w:pStyle w:val="Tabletext2"/>
              <w:spacing w:before="0" w:after="0"/>
              <w:rPr>
                <w:color w:val="auto"/>
              </w:rPr>
            </w:pPr>
            <w:r w:rsidRPr="00421991">
              <w:rPr>
                <w:rStyle w:val="BoldBody"/>
                <w:color w:val="auto"/>
              </w:rPr>
              <w:t>6%</w:t>
            </w:r>
          </w:p>
        </w:tc>
        <w:tc>
          <w:tcPr>
            <w:tcW w:w="1133" w:type="dxa"/>
          </w:tcPr>
          <w:p w:rsidR="001164BE" w:rsidRPr="00421991" w:rsidRDefault="001164BE" w:rsidP="009E22B3">
            <w:pPr>
              <w:pStyle w:val="Tabletext2"/>
              <w:spacing w:before="0" w:after="0"/>
              <w:rPr>
                <w:color w:val="auto"/>
              </w:rPr>
            </w:pPr>
            <w:r w:rsidRPr="00421991">
              <w:rPr>
                <w:rStyle w:val="BoldBody"/>
                <w:color w:val="auto"/>
              </w:rPr>
              <w:t>6%</w:t>
            </w:r>
          </w:p>
        </w:tc>
      </w:tr>
      <w:tr w:rsidR="009E22B3" w:rsidRPr="00421991" w:rsidTr="00F70F3C">
        <w:trPr>
          <w:trHeight w:val="60"/>
        </w:trPr>
        <w:tc>
          <w:tcPr>
            <w:tcW w:w="4025" w:type="dxa"/>
            <w:vAlign w:val="center"/>
          </w:tcPr>
          <w:p w:rsidR="001164BE" w:rsidRPr="00421991" w:rsidRDefault="001164BE" w:rsidP="00767FA1">
            <w:pPr>
              <w:pStyle w:val="Tabletext"/>
              <w:spacing w:before="0" w:after="0"/>
              <w:rPr>
                <w:color w:val="auto"/>
              </w:rPr>
            </w:pPr>
            <w:r w:rsidRPr="00421991">
              <w:rPr>
                <w:rStyle w:val="BoldBody"/>
                <w:color w:val="auto"/>
              </w:rPr>
              <w:t>Mobile plant and transport</w:t>
            </w:r>
          </w:p>
        </w:tc>
        <w:tc>
          <w:tcPr>
            <w:tcW w:w="1134" w:type="dxa"/>
          </w:tcPr>
          <w:p w:rsidR="001164BE" w:rsidRPr="00421991" w:rsidRDefault="001164BE" w:rsidP="009E22B3">
            <w:pPr>
              <w:pStyle w:val="Tabletext2"/>
              <w:spacing w:before="0" w:after="0"/>
              <w:rPr>
                <w:color w:val="auto"/>
              </w:rPr>
            </w:pPr>
            <w:r w:rsidRPr="00421991">
              <w:rPr>
                <w:rStyle w:val="BoldBody"/>
                <w:color w:val="auto"/>
              </w:rPr>
              <w:t>4%</w:t>
            </w:r>
          </w:p>
        </w:tc>
        <w:tc>
          <w:tcPr>
            <w:tcW w:w="1134" w:type="dxa"/>
          </w:tcPr>
          <w:p w:rsidR="001164BE" w:rsidRPr="00421991" w:rsidRDefault="001164BE" w:rsidP="009E22B3">
            <w:pPr>
              <w:pStyle w:val="Tabletext2"/>
              <w:spacing w:before="0" w:after="0"/>
              <w:rPr>
                <w:color w:val="auto"/>
              </w:rPr>
            </w:pPr>
            <w:r w:rsidRPr="00421991">
              <w:rPr>
                <w:rStyle w:val="BoldBody"/>
                <w:color w:val="auto"/>
              </w:rPr>
              <w:t>6%</w:t>
            </w:r>
          </w:p>
        </w:tc>
        <w:tc>
          <w:tcPr>
            <w:tcW w:w="1134" w:type="dxa"/>
          </w:tcPr>
          <w:p w:rsidR="001164BE" w:rsidRPr="00421991" w:rsidRDefault="001164BE" w:rsidP="009E22B3">
            <w:pPr>
              <w:pStyle w:val="Tabletext2"/>
              <w:spacing w:before="0" w:after="0"/>
              <w:rPr>
                <w:color w:val="auto"/>
              </w:rPr>
            </w:pPr>
            <w:r w:rsidRPr="00421991">
              <w:rPr>
                <w:rStyle w:val="BoldBody"/>
                <w:color w:val="auto"/>
              </w:rPr>
              <w:t>1%</w:t>
            </w:r>
          </w:p>
        </w:tc>
        <w:tc>
          <w:tcPr>
            <w:tcW w:w="1134" w:type="dxa"/>
          </w:tcPr>
          <w:p w:rsidR="001164BE" w:rsidRPr="00421991" w:rsidRDefault="001164BE" w:rsidP="009E22B3">
            <w:pPr>
              <w:pStyle w:val="Tabletext2"/>
              <w:spacing w:before="0" w:after="0"/>
              <w:rPr>
                <w:color w:val="auto"/>
              </w:rPr>
            </w:pPr>
            <w:r w:rsidRPr="00421991">
              <w:rPr>
                <w:rStyle w:val="BoldBody"/>
                <w:color w:val="auto"/>
              </w:rPr>
              <w:t>4%</w:t>
            </w:r>
          </w:p>
        </w:tc>
        <w:tc>
          <w:tcPr>
            <w:tcW w:w="1133" w:type="dxa"/>
          </w:tcPr>
          <w:p w:rsidR="001164BE" w:rsidRPr="00421991" w:rsidRDefault="001164BE" w:rsidP="009E22B3">
            <w:pPr>
              <w:pStyle w:val="Tabletext2"/>
              <w:spacing w:before="0" w:after="0"/>
              <w:rPr>
                <w:color w:val="auto"/>
              </w:rPr>
            </w:pPr>
            <w:r w:rsidRPr="00421991">
              <w:rPr>
                <w:rStyle w:val="BoldBody"/>
                <w:color w:val="auto"/>
              </w:rPr>
              <w:t>4%</w:t>
            </w:r>
          </w:p>
        </w:tc>
      </w:tr>
      <w:tr w:rsidR="009E22B3" w:rsidRPr="00421991" w:rsidTr="00F70F3C">
        <w:trPr>
          <w:trHeight w:val="60"/>
        </w:trPr>
        <w:tc>
          <w:tcPr>
            <w:tcW w:w="4025" w:type="dxa"/>
            <w:vAlign w:val="center"/>
          </w:tcPr>
          <w:p w:rsidR="001164BE" w:rsidRPr="00421991" w:rsidRDefault="001164BE" w:rsidP="00767FA1">
            <w:pPr>
              <w:pStyle w:val="Tabletext"/>
              <w:spacing w:before="0" w:after="0"/>
              <w:rPr>
                <w:color w:val="auto"/>
              </w:rPr>
            </w:pPr>
            <w:r w:rsidRPr="00421991">
              <w:rPr>
                <w:rStyle w:val="BoldBody"/>
                <w:color w:val="auto"/>
              </w:rPr>
              <w:t>Machinery and (mainly) fixed plant</w:t>
            </w:r>
          </w:p>
        </w:tc>
        <w:tc>
          <w:tcPr>
            <w:tcW w:w="1134" w:type="dxa"/>
          </w:tcPr>
          <w:p w:rsidR="001164BE" w:rsidRPr="00421991" w:rsidRDefault="001164BE" w:rsidP="009E22B3">
            <w:pPr>
              <w:pStyle w:val="Tabletext2"/>
              <w:spacing w:before="0" w:after="0"/>
              <w:rPr>
                <w:color w:val="auto"/>
              </w:rPr>
            </w:pPr>
            <w:r w:rsidRPr="00421991">
              <w:rPr>
                <w:rStyle w:val="BoldBody"/>
                <w:color w:val="auto"/>
              </w:rPr>
              <w:t>3%</w:t>
            </w:r>
          </w:p>
        </w:tc>
        <w:tc>
          <w:tcPr>
            <w:tcW w:w="1134" w:type="dxa"/>
          </w:tcPr>
          <w:p w:rsidR="001164BE" w:rsidRPr="00421991" w:rsidRDefault="001164BE" w:rsidP="009E22B3">
            <w:pPr>
              <w:pStyle w:val="Tabletext2"/>
              <w:spacing w:before="0" w:after="0"/>
              <w:rPr>
                <w:color w:val="auto"/>
              </w:rPr>
            </w:pPr>
            <w:r w:rsidRPr="00421991">
              <w:rPr>
                <w:rStyle w:val="BoldBody"/>
                <w:color w:val="auto"/>
              </w:rPr>
              <w:t>2%</w:t>
            </w:r>
          </w:p>
        </w:tc>
        <w:tc>
          <w:tcPr>
            <w:tcW w:w="1134" w:type="dxa"/>
          </w:tcPr>
          <w:p w:rsidR="001164BE" w:rsidRPr="00421991" w:rsidRDefault="001164BE" w:rsidP="009E22B3">
            <w:pPr>
              <w:pStyle w:val="Tabletext2"/>
              <w:spacing w:before="0" w:after="0"/>
              <w:rPr>
                <w:color w:val="auto"/>
              </w:rPr>
            </w:pPr>
            <w:r w:rsidRPr="00421991">
              <w:rPr>
                <w:rStyle w:val="BoldBody"/>
                <w:color w:val="auto"/>
              </w:rPr>
              <w:t>3%</w:t>
            </w:r>
          </w:p>
        </w:tc>
        <w:tc>
          <w:tcPr>
            <w:tcW w:w="1134" w:type="dxa"/>
          </w:tcPr>
          <w:p w:rsidR="001164BE" w:rsidRPr="00421991" w:rsidRDefault="001164BE" w:rsidP="009E22B3">
            <w:pPr>
              <w:pStyle w:val="Tabletext2"/>
              <w:spacing w:before="0" w:after="0"/>
              <w:rPr>
                <w:color w:val="auto"/>
              </w:rPr>
            </w:pPr>
            <w:r w:rsidRPr="00421991">
              <w:rPr>
                <w:rStyle w:val="BoldBody"/>
                <w:color w:val="auto"/>
              </w:rPr>
              <w:t>5%</w:t>
            </w:r>
          </w:p>
        </w:tc>
        <w:tc>
          <w:tcPr>
            <w:tcW w:w="1133" w:type="dxa"/>
          </w:tcPr>
          <w:p w:rsidR="001164BE" w:rsidRPr="00421991" w:rsidRDefault="001164BE" w:rsidP="009E22B3">
            <w:pPr>
              <w:pStyle w:val="Tabletext2"/>
              <w:spacing w:before="0" w:after="0"/>
              <w:rPr>
                <w:color w:val="auto"/>
              </w:rPr>
            </w:pPr>
            <w:r w:rsidRPr="00421991">
              <w:rPr>
                <w:rStyle w:val="BoldBody"/>
                <w:color w:val="auto"/>
              </w:rPr>
              <w:t>3%</w:t>
            </w:r>
          </w:p>
        </w:tc>
      </w:tr>
      <w:tr w:rsidR="009E22B3" w:rsidRPr="00421991" w:rsidTr="00F70F3C">
        <w:trPr>
          <w:trHeight w:val="60"/>
        </w:trPr>
        <w:tc>
          <w:tcPr>
            <w:tcW w:w="4025" w:type="dxa"/>
            <w:vAlign w:val="center"/>
          </w:tcPr>
          <w:p w:rsidR="001164BE" w:rsidRPr="00421991" w:rsidRDefault="001164BE" w:rsidP="00767FA1">
            <w:pPr>
              <w:pStyle w:val="Tabletext"/>
              <w:spacing w:before="0" w:after="0"/>
              <w:rPr>
                <w:color w:val="auto"/>
              </w:rPr>
            </w:pPr>
            <w:r w:rsidRPr="00421991">
              <w:rPr>
                <w:rStyle w:val="BoldBody"/>
                <w:color w:val="auto"/>
              </w:rPr>
              <w:t>Total</w:t>
            </w:r>
          </w:p>
        </w:tc>
        <w:tc>
          <w:tcPr>
            <w:tcW w:w="1134" w:type="dxa"/>
          </w:tcPr>
          <w:p w:rsidR="001164BE" w:rsidRPr="00421991" w:rsidRDefault="001164BE" w:rsidP="009E22B3">
            <w:pPr>
              <w:pStyle w:val="Tabletext2"/>
              <w:spacing w:before="0" w:after="0"/>
              <w:rPr>
                <w:color w:val="auto"/>
              </w:rPr>
            </w:pPr>
            <w:r w:rsidRPr="00421991">
              <w:rPr>
                <w:rStyle w:val="BoldBody"/>
                <w:color w:val="auto"/>
              </w:rPr>
              <w:t>100%</w:t>
            </w:r>
          </w:p>
        </w:tc>
        <w:tc>
          <w:tcPr>
            <w:tcW w:w="1134" w:type="dxa"/>
          </w:tcPr>
          <w:p w:rsidR="001164BE" w:rsidRPr="00421991" w:rsidRDefault="001164BE" w:rsidP="009E22B3">
            <w:pPr>
              <w:pStyle w:val="Tabletext2"/>
              <w:spacing w:before="0" w:after="0"/>
              <w:rPr>
                <w:color w:val="auto"/>
              </w:rPr>
            </w:pPr>
            <w:r w:rsidRPr="00421991">
              <w:rPr>
                <w:rStyle w:val="BoldBody"/>
                <w:color w:val="auto"/>
              </w:rPr>
              <w:t>100%</w:t>
            </w:r>
          </w:p>
        </w:tc>
        <w:tc>
          <w:tcPr>
            <w:tcW w:w="1134" w:type="dxa"/>
          </w:tcPr>
          <w:p w:rsidR="001164BE" w:rsidRPr="00421991" w:rsidRDefault="001164BE" w:rsidP="009E22B3">
            <w:pPr>
              <w:pStyle w:val="Tabletext2"/>
              <w:spacing w:before="0" w:after="0"/>
              <w:rPr>
                <w:color w:val="auto"/>
              </w:rPr>
            </w:pPr>
            <w:r w:rsidRPr="00421991">
              <w:rPr>
                <w:rStyle w:val="BoldBody"/>
                <w:color w:val="auto"/>
              </w:rPr>
              <w:t>100%</w:t>
            </w:r>
          </w:p>
        </w:tc>
        <w:tc>
          <w:tcPr>
            <w:tcW w:w="1134" w:type="dxa"/>
          </w:tcPr>
          <w:p w:rsidR="001164BE" w:rsidRPr="00421991" w:rsidRDefault="001164BE" w:rsidP="009E22B3">
            <w:pPr>
              <w:pStyle w:val="Tabletext2"/>
              <w:spacing w:before="0" w:after="0"/>
              <w:rPr>
                <w:color w:val="auto"/>
              </w:rPr>
            </w:pPr>
            <w:r w:rsidRPr="00421991">
              <w:rPr>
                <w:rStyle w:val="BoldBody"/>
                <w:color w:val="auto"/>
              </w:rPr>
              <w:t>100%</w:t>
            </w:r>
          </w:p>
        </w:tc>
        <w:tc>
          <w:tcPr>
            <w:tcW w:w="1133" w:type="dxa"/>
          </w:tcPr>
          <w:p w:rsidR="001164BE" w:rsidRPr="00421991" w:rsidRDefault="001164BE" w:rsidP="009E22B3">
            <w:pPr>
              <w:pStyle w:val="Tabletext2"/>
              <w:spacing w:before="0" w:after="0"/>
              <w:rPr>
                <w:color w:val="auto"/>
              </w:rPr>
            </w:pPr>
            <w:r w:rsidRPr="00421991">
              <w:rPr>
                <w:rStyle w:val="BoldBody"/>
                <w:color w:val="auto"/>
              </w:rPr>
              <w:t>100%</w:t>
            </w:r>
          </w:p>
        </w:tc>
      </w:tr>
    </w:tbl>
    <w:p w:rsidR="001164BE" w:rsidRPr="00421991" w:rsidRDefault="001164BE" w:rsidP="001164BE">
      <w:pPr>
        <w:pStyle w:val="FootnoteFiguresandtables"/>
        <w:rPr>
          <w:color w:val="auto"/>
        </w:rPr>
      </w:pPr>
      <w:r w:rsidRPr="00421991">
        <w:rPr>
          <w:color w:val="auto"/>
        </w:rPr>
        <w:t>Columns may not add up to 100% because the table outlines selected breakdown agencies of injury or disease.</w:t>
      </w:r>
    </w:p>
    <w:p w:rsidR="001164BE" w:rsidRPr="00421991" w:rsidRDefault="001164BE" w:rsidP="001164BE">
      <w:pPr>
        <w:pStyle w:val="FootnoteFiguresandtables"/>
        <w:rPr>
          <w:color w:val="auto"/>
        </w:rPr>
      </w:pPr>
      <w:r w:rsidRPr="00421991">
        <w:rPr>
          <w:color w:val="auto"/>
        </w:rPr>
        <w:t>Source: National Data Set for Compensation-Based Statistics.</w:t>
      </w:r>
    </w:p>
    <w:p w:rsidR="001164BE" w:rsidRPr="00421991" w:rsidRDefault="001164BE" w:rsidP="00DD2ECE">
      <w:pPr>
        <w:pStyle w:val="Heading3"/>
      </w:pPr>
      <w:bookmarkStart w:id="41" w:name="_Toc419453275"/>
      <w:bookmarkStart w:id="42" w:name="_Toc426441693"/>
      <w:r w:rsidRPr="00421991">
        <w:t>Breakdown agency of injuries and diseases by sex</w:t>
      </w:r>
      <w:bookmarkEnd w:id="41"/>
      <w:bookmarkEnd w:id="42"/>
    </w:p>
    <w:p w:rsidR="001164BE" w:rsidRPr="00421991" w:rsidRDefault="001164BE" w:rsidP="001164BE">
      <w:pPr>
        <w:pStyle w:val="TextBody"/>
        <w:rPr>
          <w:color w:val="auto"/>
        </w:rPr>
      </w:pPr>
      <w:r w:rsidRPr="00421991">
        <w:rPr>
          <w:color w:val="auto"/>
        </w:rPr>
        <w:t>A notably higher proportion of female employees’ serious claims involved environmental agencies (25% versus 16% for males). The most common environmental agency among female employees was wet, oily, or icy internal traffic and ground surfaces. A higher proportion of male employees’ serious claims involved non-powered handtools, appliances and equipment (35% versus 31% for females), and materials and substances (15% versus 12% for females).</w:t>
      </w:r>
    </w:p>
    <w:p w:rsidR="001164BE" w:rsidRPr="00421991" w:rsidRDefault="001164BE" w:rsidP="005062E3">
      <w:pPr>
        <w:pStyle w:val="Heading2"/>
      </w:pPr>
      <w:bookmarkStart w:id="43" w:name="_Toc426441694"/>
      <w:r w:rsidRPr="00421991">
        <w:t>Nature of injuries and diseases</w:t>
      </w:r>
      <w:bookmarkEnd w:id="43"/>
    </w:p>
    <w:p w:rsidR="001164BE" w:rsidRPr="00421991" w:rsidRDefault="001164BE" w:rsidP="00DD2ECE">
      <w:pPr>
        <w:pStyle w:val="Heading3"/>
      </w:pPr>
      <w:bookmarkStart w:id="44" w:name="_Toc419453277"/>
      <w:bookmarkStart w:id="45" w:name="_Toc426441695"/>
      <w:r w:rsidRPr="00421991">
        <w:t>Nature of injuries and diseases by industry division</w:t>
      </w:r>
      <w:bookmarkEnd w:id="44"/>
      <w:bookmarkEnd w:id="45"/>
    </w:p>
    <w:p w:rsidR="001164BE" w:rsidRPr="00421991" w:rsidRDefault="001164BE" w:rsidP="001164BE">
      <w:pPr>
        <w:pStyle w:val="TextBody"/>
        <w:rPr>
          <w:color w:val="auto"/>
        </w:rPr>
      </w:pPr>
      <w:r w:rsidRPr="00421991">
        <w:rPr>
          <w:color w:val="auto"/>
        </w:rPr>
        <w:t>Between 2010–11 and 2012–13, 92% of serious claims in the accommodation and food services industry arose from injury and musculoskeletal disorders, while 8% arose from diseases. Musculoskeletal disorders are a range of conditions that affect joints (arthropathies), spinal vertebrae and intervertebral discs (dorsopathies), the synovium, muscles, tendons and related tissues, soft tissues, and connective tissues.</w:t>
      </w:r>
    </w:p>
    <w:p w:rsidR="001164BE" w:rsidRPr="00421991" w:rsidRDefault="001164BE" w:rsidP="001164BE">
      <w:pPr>
        <w:pStyle w:val="TextBody"/>
        <w:rPr>
          <w:color w:val="auto"/>
        </w:rPr>
      </w:pPr>
      <w:r w:rsidRPr="00421991">
        <w:rPr>
          <w:color w:val="auto"/>
        </w:rPr>
        <w:t>The most common injury and musculoskeletal disorder was wounds, lacerations, amputations and internal organ damage, which led to 21% of serious claims. The most common disease in the industry was mental disorders, which led to 5% of serious claims.</w:t>
      </w:r>
    </w:p>
    <w:p w:rsidR="00B120A5" w:rsidRDefault="00B120A5">
      <w:pPr>
        <w:rPr>
          <w:b/>
        </w:rPr>
      </w:pPr>
      <w:r>
        <w:br w:type="page"/>
      </w:r>
    </w:p>
    <w:p w:rsidR="001164BE" w:rsidRPr="00421991" w:rsidRDefault="001164BE" w:rsidP="00DD2ECE">
      <w:pPr>
        <w:pStyle w:val="Heading3"/>
      </w:pPr>
      <w:bookmarkStart w:id="46" w:name="_Toc419453278"/>
      <w:bookmarkStart w:id="47" w:name="_Toc426441696"/>
      <w:r w:rsidRPr="00421991">
        <w:lastRenderedPageBreak/>
        <w:t>Nature of injuries and diseases by industry subdivision</w:t>
      </w:r>
      <w:bookmarkEnd w:id="46"/>
      <w:bookmarkEnd w:id="47"/>
    </w:p>
    <w:p w:rsidR="001164BE" w:rsidRPr="00421991" w:rsidRDefault="001164BE" w:rsidP="001164BE">
      <w:pPr>
        <w:pStyle w:val="TextBody"/>
        <w:rPr>
          <w:b/>
          <w:bCs/>
          <w:color w:val="auto"/>
        </w:rPr>
      </w:pPr>
      <w:r w:rsidRPr="00421991">
        <w:rPr>
          <w:color w:val="auto"/>
        </w:rPr>
        <w:t>Employees in the clubs, and pubs, taverns and bars subdivisions experienced the highest proportions of serious claims arising from mental disorders (8% in each subdivision versus the industry average of 5%), while employees in the cafes, restaurants and takeaway food services subdivision experienced the highest proportion of serious claims arising from burns (12% versus the industry average of 8%). Table 7 outlines the percentage of serious claims for each industry subdivision by nature of injury or disease for 2010–11 to 2012–13.</w:t>
      </w:r>
    </w:p>
    <w:p w:rsidR="001164BE" w:rsidRPr="00421991" w:rsidRDefault="001164BE" w:rsidP="001164BE">
      <w:pPr>
        <w:pStyle w:val="Tabletitle"/>
        <w:rPr>
          <w:color w:val="auto"/>
          <w:sz w:val="16"/>
          <w:szCs w:val="16"/>
        </w:rPr>
      </w:pPr>
      <w:r w:rsidRPr="00421991">
        <w:rPr>
          <w:color w:val="auto"/>
        </w:rPr>
        <w:t>Table 7: Serious claims in accommodation and food services industry: percentage of serious claims for each subdivision by nature of injury or disease, 2010–11 to 2012–13 combined</w:t>
      </w:r>
    </w:p>
    <w:tbl>
      <w:tblPr>
        <w:tblStyle w:val="TableGrid"/>
        <w:tblW w:w="0" w:type="auto"/>
        <w:tblLayout w:type="fixed"/>
        <w:tblLook w:val="0000" w:firstRow="0" w:lastRow="0" w:firstColumn="0" w:lastColumn="0" w:noHBand="0" w:noVBand="0"/>
        <w:tblCaption w:val="Table 7: Serious claims in accommodation and food services industry: percentage of serious claims for each subdivision by nature of injury or disease, 2010–11 to 2012–13 combined"/>
      </w:tblPr>
      <w:tblGrid>
        <w:gridCol w:w="4025"/>
        <w:gridCol w:w="1134"/>
        <w:gridCol w:w="1134"/>
        <w:gridCol w:w="1134"/>
        <w:gridCol w:w="1134"/>
        <w:gridCol w:w="1133"/>
      </w:tblGrid>
      <w:tr w:rsidR="00CF3859" w:rsidRPr="00421991" w:rsidTr="008D5510">
        <w:trPr>
          <w:trHeight w:val="1635"/>
          <w:tblHeader/>
        </w:trPr>
        <w:tc>
          <w:tcPr>
            <w:tcW w:w="4025" w:type="dxa"/>
            <w:vAlign w:val="center"/>
          </w:tcPr>
          <w:p w:rsidR="001164BE" w:rsidRPr="00421991" w:rsidRDefault="001164BE" w:rsidP="00767FA1">
            <w:pPr>
              <w:pStyle w:val="Tabletext"/>
              <w:spacing w:before="0" w:after="0"/>
              <w:rPr>
                <w:color w:val="auto"/>
              </w:rPr>
            </w:pPr>
            <w:r w:rsidRPr="00421991">
              <w:rPr>
                <w:rStyle w:val="BoldBody"/>
                <w:color w:val="auto"/>
              </w:rPr>
              <w:t>Nature of injury or disease</w:t>
            </w:r>
          </w:p>
        </w:tc>
        <w:tc>
          <w:tcPr>
            <w:tcW w:w="1134" w:type="dxa"/>
            <w:textDirection w:val="btLr"/>
            <w:vAlign w:val="center"/>
          </w:tcPr>
          <w:p w:rsidR="001164BE" w:rsidRPr="00421991" w:rsidRDefault="001164BE" w:rsidP="00767FA1">
            <w:pPr>
              <w:pStyle w:val="Tabletext2"/>
              <w:spacing w:before="0" w:after="0"/>
              <w:rPr>
                <w:color w:val="auto"/>
              </w:rPr>
            </w:pPr>
            <w:r w:rsidRPr="00421991">
              <w:rPr>
                <w:rStyle w:val="BoldBody"/>
                <w:color w:val="auto"/>
              </w:rPr>
              <w:t>Clubs</w:t>
            </w:r>
          </w:p>
        </w:tc>
        <w:tc>
          <w:tcPr>
            <w:tcW w:w="1134" w:type="dxa"/>
            <w:textDirection w:val="btLr"/>
            <w:vAlign w:val="center"/>
          </w:tcPr>
          <w:p w:rsidR="001164BE" w:rsidRPr="00421991" w:rsidRDefault="001164BE" w:rsidP="00767FA1">
            <w:pPr>
              <w:pStyle w:val="Tabletext2"/>
              <w:spacing w:before="0" w:after="0"/>
              <w:rPr>
                <w:color w:val="auto"/>
              </w:rPr>
            </w:pPr>
            <w:r w:rsidRPr="00421991">
              <w:rPr>
                <w:rStyle w:val="BoldBody"/>
                <w:color w:val="auto"/>
              </w:rPr>
              <w:t>Accommodation</w:t>
            </w:r>
          </w:p>
        </w:tc>
        <w:tc>
          <w:tcPr>
            <w:tcW w:w="1134" w:type="dxa"/>
            <w:textDirection w:val="btLr"/>
            <w:vAlign w:val="center"/>
          </w:tcPr>
          <w:p w:rsidR="001164BE" w:rsidRPr="00421991" w:rsidRDefault="001164BE" w:rsidP="00767FA1">
            <w:pPr>
              <w:pStyle w:val="Tabletext2"/>
              <w:spacing w:before="0" w:after="0"/>
              <w:rPr>
                <w:color w:val="auto"/>
              </w:rPr>
            </w:pPr>
            <w:r w:rsidRPr="00421991">
              <w:rPr>
                <w:rStyle w:val="BoldBody"/>
                <w:color w:val="auto"/>
              </w:rPr>
              <w:t>Pubs, taverns and bars</w:t>
            </w:r>
          </w:p>
        </w:tc>
        <w:tc>
          <w:tcPr>
            <w:tcW w:w="1134" w:type="dxa"/>
            <w:textDirection w:val="btLr"/>
            <w:vAlign w:val="center"/>
          </w:tcPr>
          <w:p w:rsidR="001164BE" w:rsidRPr="00421991" w:rsidRDefault="001164BE" w:rsidP="00767FA1">
            <w:pPr>
              <w:pStyle w:val="Tabletext2"/>
              <w:spacing w:before="0" w:after="0"/>
              <w:rPr>
                <w:color w:val="auto"/>
              </w:rPr>
            </w:pPr>
            <w:r w:rsidRPr="00421991">
              <w:rPr>
                <w:rStyle w:val="BoldBody"/>
                <w:color w:val="auto"/>
              </w:rPr>
              <w:t>Cafes, restaurants and takeaway food services</w:t>
            </w:r>
          </w:p>
        </w:tc>
        <w:tc>
          <w:tcPr>
            <w:tcW w:w="1133" w:type="dxa"/>
            <w:textDirection w:val="btLr"/>
            <w:vAlign w:val="center"/>
          </w:tcPr>
          <w:p w:rsidR="001164BE" w:rsidRPr="00421991" w:rsidRDefault="001164BE" w:rsidP="00767FA1">
            <w:pPr>
              <w:pStyle w:val="Tabletext2"/>
              <w:spacing w:before="0" w:after="0"/>
              <w:rPr>
                <w:color w:val="auto"/>
              </w:rPr>
            </w:pPr>
            <w:r w:rsidRPr="00421991">
              <w:rPr>
                <w:rStyle w:val="BoldBody"/>
                <w:color w:val="auto"/>
              </w:rPr>
              <w:t>Industry total</w:t>
            </w:r>
          </w:p>
        </w:tc>
      </w:tr>
      <w:tr w:rsidR="00CF3859" w:rsidRPr="00421991" w:rsidTr="00F70F3C">
        <w:trPr>
          <w:trHeight w:val="283"/>
        </w:trPr>
        <w:tc>
          <w:tcPr>
            <w:tcW w:w="4025" w:type="dxa"/>
            <w:vAlign w:val="center"/>
          </w:tcPr>
          <w:p w:rsidR="001164BE" w:rsidRPr="00421991" w:rsidRDefault="001164BE" w:rsidP="00767FA1">
            <w:pPr>
              <w:pStyle w:val="Tabletext"/>
              <w:spacing w:before="0" w:after="0"/>
              <w:rPr>
                <w:color w:val="auto"/>
              </w:rPr>
            </w:pPr>
            <w:r w:rsidRPr="00421991">
              <w:rPr>
                <w:color w:val="auto"/>
              </w:rPr>
              <w:t>Wounds, lacerations, amputations and internal organ damage</w:t>
            </w:r>
          </w:p>
        </w:tc>
        <w:tc>
          <w:tcPr>
            <w:tcW w:w="1134" w:type="dxa"/>
          </w:tcPr>
          <w:p w:rsidR="001164BE" w:rsidRPr="00421991" w:rsidRDefault="001164BE" w:rsidP="00767FA1">
            <w:pPr>
              <w:pStyle w:val="Tabletext2"/>
              <w:spacing w:before="0" w:after="0"/>
              <w:rPr>
                <w:color w:val="auto"/>
              </w:rPr>
            </w:pPr>
            <w:r w:rsidRPr="00421991">
              <w:rPr>
                <w:color w:val="auto"/>
              </w:rPr>
              <w:t>18%</w:t>
            </w:r>
          </w:p>
        </w:tc>
        <w:tc>
          <w:tcPr>
            <w:tcW w:w="1134" w:type="dxa"/>
          </w:tcPr>
          <w:p w:rsidR="001164BE" w:rsidRPr="00421991" w:rsidRDefault="001164BE" w:rsidP="00767FA1">
            <w:pPr>
              <w:pStyle w:val="Tabletext2"/>
              <w:spacing w:before="0" w:after="0"/>
              <w:rPr>
                <w:color w:val="auto"/>
              </w:rPr>
            </w:pPr>
            <w:r w:rsidRPr="00421991">
              <w:rPr>
                <w:color w:val="auto"/>
              </w:rPr>
              <w:t>18%</w:t>
            </w:r>
          </w:p>
        </w:tc>
        <w:tc>
          <w:tcPr>
            <w:tcW w:w="1134" w:type="dxa"/>
          </w:tcPr>
          <w:p w:rsidR="001164BE" w:rsidRPr="00421991" w:rsidRDefault="001164BE" w:rsidP="00767FA1">
            <w:pPr>
              <w:pStyle w:val="Tabletext2"/>
              <w:spacing w:before="0" w:after="0"/>
              <w:rPr>
                <w:color w:val="auto"/>
              </w:rPr>
            </w:pPr>
            <w:r w:rsidRPr="00421991">
              <w:rPr>
                <w:color w:val="auto"/>
              </w:rPr>
              <w:t>23%</w:t>
            </w:r>
          </w:p>
        </w:tc>
        <w:tc>
          <w:tcPr>
            <w:tcW w:w="1134" w:type="dxa"/>
          </w:tcPr>
          <w:p w:rsidR="001164BE" w:rsidRPr="00421991" w:rsidRDefault="001164BE" w:rsidP="00767FA1">
            <w:pPr>
              <w:pStyle w:val="Tabletext2"/>
              <w:spacing w:before="0" w:after="0"/>
              <w:rPr>
                <w:color w:val="auto"/>
              </w:rPr>
            </w:pPr>
            <w:r w:rsidRPr="00421991">
              <w:rPr>
                <w:color w:val="auto"/>
              </w:rPr>
              <w:t>24%</w:t>
            </w:r>
          </w:p>
        </w:tc>
        <w:tc>
          <w:tcPr>
            <w:tcW w:w="1133" w:type="dxa"/>
          </w:tcPr>
          <w:p w:rsidR="001164BE" w:rsidRPr="00421991" w:rsidRDefault="001164BE" w:rsidP="00767FA1">
            <w:pPr>
              <w:pStyle w:val="Tabletext2"/>
              <w:spacing w:before="0" w:after="0"/>
              <w:rPr>
                <w:color w:val="auto"/>
              </w:rPr>
            </w:pPr>
            <w:r w:rsidRPr="00421991">
              <w:rPr>
                <w:color w:val="auto"/>
              </w:rPr>
              <w:t>21%</w:t>
            </w:r>
          </w:p>
        </w:tc>
      </w:tr>
      <w:tr w:rsidR="00CF3859" w:rsidRPr="00421991" w:rsidTr="00F70F3C">
        <w:trPr>
          <w:trHeight w:val="283"/>
        </w:trPr>
        <w:tc>
          <w:tcPr>
            <w:tcW w:w="4025" w:type="dxa"/>
            <w:vAlign w:val="center"/>
          </w:tcPr>
          <w:p w:rsidR="001164BE" w:rsidRPr="00421991" w:rsidRDefault="001164BE" w:rsidP="00767FA1">
            <w:pPr>
              <w:pStyle w:val="Tabletext"/>
              <w:spacing w:before="0" w:after="0"/>
              <w:rPr>
                <w:color w:val="auto"/>
              </w:rPr>
            </w:pPr>
            <w:r w:rsidRPr="00421991">
              <w:rPr>
                <w:color w:val="auto"/>
              </w:rPr>
              <w:t>Trauma to muscles and tendons</w:t>
            </w:r>
          </w:p>
        </w:tc>
        <w:tc>
          <w:tcPr>
            <w:tcW w:w="1134" w:type="dxa"/>
          </w:tcPr>
          <w:p w:rsidR="001164BE" w:rsidRPr="00421991" w:rsidRDefault="001164BE" w:rsidP="00767FA1">
            <w:pPr>
              <w:pStyle w:val="Tabletext2"/>
              <w:spacing w:before="0" w:after="0"/>
              <w:rPr>
                <w:color w:val="auto"/>
              </w:rPr>
            </w:pPr>
            <w:r w:rsidRPr="00421991">
              <w:rPr>
                <w:color w:val="auto"/>
              </w:rPr>
              <w:t>18%</w:t>
            </w:r>
          </w:p>
        </w:tc>
        <w:tc>
          <w:tcPr>
            <w:tcW w:w="1134" w:type="dxa"/>
          </w:tcPr>
          <w:p w:rsidR="001164BE" w:rsidRPr="00421991" w:rsidRDefault="001164BE" w:rsidP="00767FA1">
            <w:pPr>
              <w:pStyle w:val="Tabletext2"/>
              <w:spacing w:before="0" w:after="0"/>
              <w:rPr>
                <w:color w:val="auto"/>
              </w:rPr>
            </w:pPr>
            <w:r w:rsidRPr="00421991">
              <w:rPr>
                <w:color w:val="auto"/>
              </w:rPr>
              <w:t>21%</w:t>
            </w:r>
          </w:p>
        </w:tc>
        <w:tc>
          <w:tcPr>
            <w:tcW w:w="1134" w:type="dxa"/>
          </w:tcPr>
          <w:p w:rsidR="001164BE" w:rsidRPr="00421991" w:rsidRDefault="001164BE" w:rsidP="00767FA1">
            <w:pPr>
              <w:pStyle w:val="Tabletext2"/>
              <w:spacing w:before="0" w:after="0"/>
              <w:rPr>
                <w:color w:val="auto"/>
              </w:rPr>
            </w:pPr>
            <w:r w:rsidRPr="00421991">
              <w:rPr>
                <w:color w:val="auto"/>
              </w:rPr>
              <w:t>18%</w:t>
            </w:r>
          </w:p>
        </w:tc>
        <w:tc>
          <w:tcPr>
            <w:tcW w:w="1134" w:type="dxa"/>
          </w:tcPr>
          <w:p w:rsidR="001164BE" w:rsidRPr="00421991" w:rsidRDefault="001164BE" w:rsidP="00767FA1">
            <w:pPr>
              <w:pStyle w:val="Tabletext2"/>
              <w:spacing w:before="0" w:after="0"/>
              <w:rPr>
                <w:color w:val="auto"/>
              </w:rPr>
            </w:pPr>
            <w:r w:rsidRPr="00421991">
              <w:rPr>
                <w:color w:val="auto"/>
              </w:rPr>
              <w:t>13%</w:t>
            </w:r>
          </w:p>
        </w:tc>
        <w:tc>
          <w:tcPr>
            <w:tcW w:w="1133" w:type="dxa"/>
          </w:tcPr>
          <w:p w:rsidR="001164BE" w:rsidRPr="00421991" w:rsidRDefault="001164BE" w:rsidP="00767FA1">
            <w:pPr>
              <w:pStyle w:val="Tabletext2"/>
              <w:spacing w:before="0" w:after="0"/>
              <w:rPr>
                <w:color w:val="auto"/>
              </w:rPr>
            </w:pPr>
            <w:r w:rsidRPr="00421991">
              <w:rPr>
                <w:color w:val="auto"/>
              </w:rPr>
              <w:t>16%</w:t>
            </w:r>
          </w:p>
        </w:tc>
      </w:tr>
      <w:tr w:rsidR="00CF3859" w:rsidRPr="00421991" w:rsidTr="00F70F3C">
        <w:trPr>
          <w:trHeight w:val="283"/>
        </w:trPr>
        <w:tc>
          <w:tcPr>
            <w:tcW w:w="4025" w:type="dxa"/>
            <w:vAlign w:val="center"/>
          </w:tcPr>
          <w:p w:rsidR="001164BE" w:rsidRPr="00421991" w:rsidRDefault="001164BE" w:rsidP="00767FA1">
            <w:pPr>
              <w:pStyle w:val="Tabletext"/>
              <w:spacing w:before="0" w:after="0"/>
              <w:rPr>
                <w:color w:val="auto"/>
              </w:rPr>
            </w:pPr>
            <w:r w:rsidRPr="00421991">
              <w:rPr>
                <w:color w:val="auto"/>
              </w:rPr>
              <w:t>Residual soft tissue disorders due to trauma</w:t>
            </w:r>
          </w:p>
        </w:tc>
        <w:tc>
          <w:tcPr>
            <w:tcW w:w="1134" w:type="dxa"/>
          </w:tcPr>
          <w:p w:rsidR="001164BE" w:rsidRPr="00421991" w:rsidRDefault="001164BE" w:rsidP="00767FA1">
            <w:pPr>
              <w:pStyle w:val="Tabletext2"/>
              <w:spacing w:before="0" w:after="0"/>
              <w:rPr>
                <w:color w:val="auto"/>
              </w:rPr>
            </w:pPr>
            <w:r w:rsidRPr="00421991">
              <w:rPr>
                <w:color w:val="auto"/>
              </w:rPr>
              <w:t>21%</w:t>
            </w:r>
          </w:p>
        </w:tc>
        <w:tc>
          <w:tcPr>
            <w:tcW w:w="1134" w:type="dxa"/>
          </w:tcPr>
          <w:p w:rsidR="001164BE" w:rsidRPr="00421991" w:rsidRDefault="001164BE" w:rsidP="00767FA1">
            <w:pPr>
              <w:pStyle w:val="Tabletext2"/>
              <w:spacing w:before="0" w:after="0"/>
              <w:rPr>
                <w:color w:val="auto"/>
              </w:rPr>
            </w:pPr>
            <w:r w:rsidRPr="00421991">
              <w:rPr>
                <w:color w:val="auto"/>
              </w:rPr>
              <w:t>18%</w:t>
            </w:r>
          </w:p>
        </w:tc>
        <w:tc>
          <w:tcPr>
            <w:tcW w:w="1134" w:type="dxa"/>
          </w:tcPr>
          <w:p w:rsidR="001164BE" w:rsidRPr="00421991" w:rsidRDefault="001164BE" w:rsidP="00767FA1">
            <w:pPr>
              <w:pStyle w:val="Tabletext2"/>
              <w:spacing w:before="0" w:after="0"/>
              <w:rPr>
                <w:color w:val="auto"/>
              </w:rPr>
            </w:pPr>
            <w:r w:rsidRPr="00421991">
              <w:rPr>
                <w:color w:val="auto"/>
              </w:rPr>
              <w:t>12%</w:t>
            </w:r>
          </w:p>
        </w:tc>
        <w:tc>
          <w:tcPr>
            <w:tcW w:w="1134" w:type="dxa"/>
          </w:tcPr>
          <w:p w:rsidR="001164BE" w:rsidRPr="00421991" w:rsidRDefault="001164BE" w:rsidP="00767FA1">
            <w:pPr>
              <w:pStyle w:val="Tabletext2"/>
              <w:spacing w:before="0" w:after="0"/>
              <w:rPr>
                <w:color w:val="auto"/>
              </w:rPr>
            </w:pPr>
            <w:r w:rsidRPr="00421991">
              <w:rPr>
                <w:color w:val="auto"/>
              </w:rPr>
              <w:t>15%</w:t>
            </w:r>
          </w:p>
        </w:tc>
        <w:tc>
          <w:tcPr>
            <w:tcW w:w="1133" w:type="dxa"/>
          </w:tcPr>
          <w:p w:rsidR="001164BE" w:rsidRPr="00421991" w:rsidRDefault="001164BE" w:rsidP="00767FA1">
            <w:pPr>
              <w:pStyle w:val="Tabletext2"/>
              <w:spacing w:before="0" w:after="0"/>
              <w:rPr>
                <w:color w:val="auto"/>
              </w:rPr>
            </w:pPr>
            <w:r w:rsidRPr="00421991">
              <w:rPr>
                <w:color w:val="auto"/>
              </w:rPr>
              <w:t>16%</w:t>
            </w:r>
          </w:p>
        </w:tc>
      </w:tr>
      <w:tr w:rsidR="00CF3859" w:rsidRPr="00421991" w:rsidTr="00F70F3C">
        <w:trPr>
          <w:trHeight w:val="283"/>
        </w:trPr>
        <w:tc>
          <w:tcPr>
            <w:tcW w:w="4025" w:type="dxa"/>
            <w:vAlign w:val="center"/>
          </w:tcPr>
          <w:p w:rsidR="001164BE" w:rsidRPr="00421991" w:rsidRDefault="001164BE" w:rsidP="00767FA1">
            <w:pPr>
              <w:pStyle w:val="Tabletext"/>
              <w:spacing w:before="0" w:after="0"/>
              <w:rPr>
                <w:color w:val="auto"/>
              </w:rPr>
            </w:pPr>
            <w:r w:rsidRPr="00421991">
              <w:rPr>
                <w:color w:val="auto"/>
              </w:rPr>
              <w:t>Trauma to joints and ligaments</w:t>
            </w:r>
          </w:p>
        </w:tc>
        <w:tc>
          <w:tcPr>
            <w:tcW w:w="1134" w:type="dxa"/>
          </w:tcPr>
          <w:p w:rsidR="001164BE" w:rsidRPr="00421991" w:rsidRDefault="001164BE" w:rsidP="00767FA1">
            <w:pPr>
              <w:pStyle w:val="Tabletext2"/>
              <w:spacing w:before="0" w:after="0"/>
              <w:rPr>
                <w:color w:val="auto"/>
              </w:rPr>
            </w:pPr>
            <w:r w:rsidRPr="00421991">
              <w:rPr>
                <w:color w:val="auto"/>
              </w:rPr>
              <w:t>9%</w:t>
            </w:r>
          </w:p>
        </w:tc>
        <w:tc>
          <w:tcPr>
            <w:tcW w:w="1134" w:type="dxa"/>
          </w:tcPr>
          <w:p w:rsidR="001164BE" w:rsidRPr="00421991" w:rsidRDefault="001164BE" w:rsidP="00767FA1">
            <w:pPr>
              <w:pStyle w:val="Tabletext2"/>
              <w:spacing w:before="0" w:after="0"/>
              <w:rPr>
                <w:color w:val="auto"/>
              </w:rPr>
            </w:pPr>
            <w:r w:rsidRPr="00421991">
              <w:rPr>
                <w:color w:val="auto"/>
              </w:rPr>
              <w:t>10%</w:t>
            </w:r>
          </w:p>
        </w:tc>
        <w:tc>
          <w:tcPr>
            <w:tcW w:w="1134" w:type="dxa"/>
          </w:tcPr>
          <w:p w:rsidR="001164BE" w:rsidRPr="00421991" w:rsidRDefault="001164BE" w:rsidP="00767FA1">
            <w:pPr>
              <w:pStyle w:val="Tabletext2"/>
              <w:spacing w:before="0" w:after="0"/>
              <w:rPr>
                <w:color w:val="auto"/>
              </w:rPr>
            </w:pPr>
            <w:r w:rsidRPr="00421991">
              <w:rPr>
                <w:color w:val="auto"/>
              </w:rPr>
              <w:t>8%</w:t>
            </w:r>
          </w:p>
        </w:tc>
        <w:tc>
          <w:tcPr>
            <w:tcW w:w="1134" w:type="dxa"/>
          </w:tcPr>
          <w:p w:rsidR="001164BE" w:rsidRPr="00421991" w:rsidRDefault="001164BE" w:rsidP="00767FA1">
            <w:pPr>
              <w:pStyle w:val="Tabletext2"/>
              <w:spacing w:before="0" w:after="0"/>
              <w:rPr>
                <w:color w:val="auto"/>
              </w:rPr>
            </w:pPr>
            <w:r w:rsidRPr="00421991">
              <w:rPr>
                <w:color w:val="auto"/>
              </w:rPr>
              <w:t>8%</w:t>
            </w:r>
          </w:p>
        </w:tc>
        <w:tc>
          <w:tcPr>
            <w:tcW w:w="1133" w:type="dxa"/>
          </w:tcPr>
          <w:p w:rsidR="001164BE" w:rsidRPr="00421991" w:rsidRDefault="001164BE" w:rsidP="00767FA1">
            <w:pPr>
              <w:pStyle w:val="Tabletext2"/>
              <w:spacing w:before="0" w:after="0"/>
              <w:rPr>
                <w:color w:val="auto"/>
              </w:rPr>
            </w:pPr>
            <w:r w:rsidRPr="00421991">
              <w:rPr>
                <w:color w:val="auto"/>
              </w:rPr>
              <w:t>9%</w:t>
            </w:r>
          </w:p>
        </w:tc>
      </w:tr>
      <w:tr w:rsidR="00CF3859" w:rsidRPr="00421991" w:rsidTr="00F70F3C">
        <w:trPr>
          <w:trHeight w:val="283"/>
        </w:trPr>
        <w:tc>
          <w:tcPr>
            <w:tcW w:w="4025" w:type="dxa"/>
            <w:vAlign w:val="center"/>
          </w:tcPr>
          <w:p w:rsidR="001164BE" w:rsidRPr="00421991" w:rsidRDefault="001164BE" w:rsidP="00767FA1">
            <w:pPr>
              <w:pStyle w:val="Tabletext"/>
              <w:spacing w:before="0" w:after="0"/>
              <w:rPr>
                <w:color w:val="auto"/>
              </w:rPr>
            </w:pPr>
            <w:r w:rsidRPr="00421991">
              <w:rPr>
                <w:color w:val="auto"/>
              </w:rPr>
              <w:t>Burn</w:t>
            </w:r>
          </w:p>
        </w:tc>
        <w:tc>
          <w:tcPr>
            <w:tcW w:w="1134" w:type="dxa"/>
          </w:tcPr>
          <w:p w:rsidR="001164BE" w:rsidRPr="00421991" w:rsidRDefault="001164BE" w:rsidP="00767FA1">
            <w:pPr>
              <w:pStyle w:val="Tabletext2"/>
              <w:spacing w:before="0" w:after="0"/>
              <w:rPr>
                <w:color w:val="auto"/>
              </w:rPr>
            </w:pPr>
            <w:r w:rsidRPr="00421991">
              <w:rPr>
                <w:color w:val="auto"/>
              </w:rPr>
              <w:t>5%</w:t>
            </w:r>
          </w:p>
        </w:tc>
        <w:tc>
          <w:tcPr>
            <w:tcW w:w="1134" w:type="dxa"/>
          </w:tcPr>
          <w:p w:rsidR="001164BE" w:rsidRPr="00421991" w:rsidRDefault="001164BE" w:rsidP="00767FA1">
            <w:pPr>
              <w:pStyle w:val="Tabletext2"/>
              <w:spacing w:before="0" w:after="0"/>
              <w:rPr>
                <w:color w:val="auto"/>
              </w:rPr>
            </w:pPr>
            <w:r w:rsidRPr="00421991">
              <w:rPr>
                <w:color w:val="auto"/>
              </w:rPr>
              <w:t>4%</w:t>
            </w:r>
          </w:p>
        </w:tc>
        <w:tc>
          <w:tcPr>
            <w:tcW w:w="1134" w:type="dxa"/>
          </w:tcPr>
          <w:p w:rsidR="001164BE" w:rsidRPr="00421991" w:rsidRDefault="001164BE" w:rsidP="00767FA1">
            <w:pPr>
              <w:pStyle w:val="Tabletext2"/>
              <w:spacing w:before="0" w:after="0"/>
              <w:rPr>
                <w:color w:val="auto"/>
              </w:rPr>
            </w:pPr>
            <w:r w:rsidRPr="00421991">
              <w:rPr>
                <w:color w:val="auto"/>
              </w:rPr>
              <w:t>6%</w:t>
            </w:r>
          </w:p>
        </w:tc>
        <w:tc>
          <w:tcPr>
            <w:tcW w:w="1134" w:type="dxa"/>
          </w:tcPr>
          <w:p w:rsidR="001164BE" w:rsidRPr="00421991" w:rsidRDefault="001164BE" w:rsidP="00767FA1">
            <w:pPr>
              <w:pStyle w:val="Tabletext2"/>
              <w:spacing w:before="0" w:after="0"/>
              <w:rPr>
                <w:color w:val="auto"/>
              </w:rPr>
            </w:pPr>
            <w:r w:rsidRPr="00421991">
              <w:rPr>
                <w:color w:val="auto"/>
              </w:rPr>
              <w:t>12%</w:t>
            </w:r>
          </w:p>
        </w:tc>
        <w:tc>
          <w:tcPr>
            <w:tcW w:w="1133" w:type="dxa"/>
          </w:tcPr>
          <w:p w:rsidR="001164BE" w:rsidRPr="00421991" w:rsidRDefault="001164BE" w:rsidP="00767FA1">
            <w:pPr>
              <w:pStyle w:val="Tabletext2"/>
              <w:spacing w:before="0" w:after="0"/>
              <w:rPr>
                <w:color w:val="auto"/>
              </w:rPr>
            </w:pPr>
            <w:r w:rsidRPr="00421991">
              <w:rPr>
                <w:color w:val="auto"/>
              </w:rPr>
              <w:t>8%</w:t>
            </w:r>
          </w:p>
        </w:tc>
      </w:tr>
      <w:tr w:rsidR="00CF3859" w:rsidRPr="00421991" w:rsidTr="00F70F3C">
        <w:trPr>
          <w:trHeight w:val="283"/>
        </w:trPr>
        <w:tc>
          <w:tcPr>
            <w:tcW w:w="4025" w:type="dxa"/>
            <w:vAlign w:val="center"/>
          </w:tcPr>
          <w:p w:rsidR="001164BE" w:rsidRPr="00421991" w:rsidRDefault="001164BE" w:rsidP="00767FA1">
            <w:pPr>
              <w:pStyle w:val="Tabletext"/>
              <w:spacing w:before="0" w:after="0"/>
              <w:rPr>
                <w:color w:val="auto"/>
              </w:rPr>
            </w:pPr>
            <w:r w:rsidRPr="00421991">
              <w:rPr>
                <w:color w:val="auto"/>
              </w:rPr>
              <w:t>Fractures</w:t>
            </w:r>
          </w:p>
        </w:tc>
        <w:tc>
          <w:tcPr>
            <w:tcW w:w="1134" w:type="dxa"/>
          </w:tcPr>
          <w:p w:rsidR="001164BE" w:rsidRPr="00421991" w:rsidRDefault="001164BE" w:rsidP="00767FA1">
            <w:pPr>
              <w:pStyle w:val="Tabletext2"/>
              <w:spacing w:before="0" w:after="0"/>
              <w:rPr>
                <w:color w:val="auto"/>
              </w:rPr>
            </w:pPr>
            <w:r w:rsidRPr="00421991">
              <w:rPr>
                <w:color w:val="auto"/>
              </w:rPr>
              <w:t>7%</w:t>
            </w:r>
          </w:p>
        </w:tc>
        <w:tc>
          <w:tcPr>
            <w:tcW w:w="1134" w:type="dxa"/>
          </w:tcPr>
          <w:p w:rsidR="001164BE" w:rsidRPr="00421991" w:rsidRDefault="001164BE" w:rsidP="00767FA1">
            <w:pPr>
              <w:pStyle w:val="Tabletext2"/>
              <w:spacing w:before="0" w:after="0"/>
              <w:rPr>
                <w:color w:val="auto"/>
              </w:rPr>
            </w:pPr>
            <w:r w:rsidRPr="00421991">
              <w:rPr>
                <w:color w:val="auto"/>
              </w:rPr>
              <w:t>8%</w:t>
            </w:r>
          </w:p>
        </w:tc>
        <w:tc>
          <w:tcPr>
            <w:tcW w:w="1134" w:type="dxa"/>
          </w:tcPr>
          <w:p w:rsidR="001164BE" w:rsidRPr="00421991" w:rsidRDefault="001164BE" w:rsidP="00767FA1">
            <w:pPr>
              <w:pStyle w:val="Tabletext2"/>
              <w:spacing w:before="0" w:after="0"/>
              <w:rPr>
                <w:color w:val="auto"/>
              </w:rPr>
            </w:pPr>
            <w:r w:rsidRPr="00421991">
              <w:rPr>
                <w:color w:val="auto"/>
              </w:rPr>
              <w:t>9%</w:t>
            </w:r>
          </w:p>
        </w:tc>
        <w:tc>
          <w:tcPr>
            <w:tcW w:w="1134" w:type="dxa"/>
          </w:tcPr>
          <w:p w:rsidR="001164BE" w:rsidRPr="00421991" w:rsidRDefault="001164BE" w:rsidP="00767FA1">
            <w:pPr>
              <w:pStyle w:val="Tabletext2"/>
              <w:spacing w:before="0" w:after="0"/>
              <w:rPr>
                <w:color w:val="auto"/>
              </w:rPr>
            </w:pPr>
            <w:r w:rsidRPr="00421991">
              <w:rPr>
                <w:color w:val="auto"/>
              </w:rPr>
              <w:t>8%</w:t>
            </w:r>
          </w:p>
        </w:tc>
        <w:tc>
          <w:tcPr>
            <w:tcW w:w="1133" w:type="dxa"/>
          </w:tcPr>
          <w:p w:rsidR="001164BE" w:rsidRPr="00421991" w:rsidRDefault="001164BE" w:rsidP="00767FA1">
            <w:pPr>
              <w:pStyle w:val="Tabletext2"/>
              <w:spacing w:before="0" w:after="0"/>
              <w:rPr>
                <w:color w:val="auto"/>
              </w:rPr>
            </w:pPr>
            <w:r w:rsidRPr="00421991">
              <w:rPr>
                <w:color w:val="auto"/>
              </w:rPr>
              <w:t>8%</w:t>
            </w:r>
          </w:p>
        </w:tc>
      </w:tr>
      <w:tr w:rsidR="00CF3859" w:rsidRPr="00421991" w:rsidTr="00F70F3C">
        <w:trPr>
          <w:trHeight w:val="283"/>
        </w:trPr>
        <w:tc>
          <w:tcPr>
            <w:tcW w:w="4025" w:type="dxa"/>
            <w:vAlign w:val="center"/>
          </w:tcPr>
          <w:p w:rsidR="001164BE" w:rsidRPr="00421991" w:rsidRDefault="001164BE" w:rsidP="00767FA1">
            <w:pPr>
              <w:pStyle w:val="Tabletext"/>
              <w:spacing w:before="0" w:after="0"/>
              <w:rPr>
                <w:color w:val="auto"/>
              </w:rPr>
            </w:pPr>
            <w:r w:rsidRPr="00421991">
              <w:rPr>
                <w:color w:val="auto"/>
              </w:rPr>
              <w:t>Mental disorders</w:t>
            </w:r>
          </w:p>
        </w:tc>
        <w:tc>
          <w:tcPr>
            <w:tcW w:w="1134" w:type="dxa"/>
          </w:tcPr>
          <w:p w:rsidR="001164BE" w:rsidRPr="00421991" w:rsidRDefault="001164BE" w:rsidP="00767FA1">
            <w:pPr>
              <w:pStyle w:val="Tabletext2"/>
              <w:spacing w:before="0" w:after="0"/>
              <w:rPr>
                <w:color w:val="auto"/>
              </w:rPr>
            </w:pPr>
            <w:r w:rsidRPr="00421991">
              <w:rPr>
                <w:color w:val="auto"/>
              </w:rPr>
              <w:t>8%</w:t>
            </w:r>
          </w:p>
        </w:tc>
        <w:tc>
          <w:tcPr>
            <w:tcW w:w="1134" w:type="dxa"/>
          </w:tcPr>
          <w:p w:rsidR="001164BE" w:rsidRPr="00421991" w:rsidRDefault="001164BE" w:rsidP="00767FA1">
            <w:pPr>
              <w:pStyle w:val="Tabletext2"/>
              <w:spacing w:before="0" w:after="0"/>
              <w:rPr>
                <w:color w:val="auto"/>
              </w:rPr>
            </w:pPr>
            <w:r w:rsidRPr="00421991">
              <w:rPr>
                <w:color w:val="auto"/>
              </w:rPr>
              <w:t>3%</w:t>
            </w:r>
          </w:p>
        </w:tc>
        <w:tc>
          <w:tcPr>
            <w:tcW w:w="1134" w:type="dxa"/>
          </w:tcPr>
          <w:p w:rsidR="001164BE" w:rsidRPr="00421991" w:rsidRDefault="001164BE" w:rsidP="00767FA1">
            <w:pPr>
              <w:pStyle w:val="Tabletext2"/>
              <w:spacing w:before="0" w:after="0"/>
              <w:rPr>
                <w:color w:val="auto"/>
              </w:rPr>
            </w:pPr>
            <w:r w:rsidRPr="00421991">
              <w:rPr>
                <w:color w:val="auto"/>
              </w:rPr>
              <w:t>8%</w:t>
            </w:r>
          </w:p>
        </w:tc>
        <w:tc>
          <w:tcPr>
            <w:tcW w:w="1134" w:type="dxa"/>
          </w:tcPr>
          <w:p w:rsidR="001164BE" w:rsidRPr="00421991" w:rsidRDefault="001164BE" w:rsidP="00767FA1">
            <w:pPr>
              <w:pStyle w:val="Tabletext2"/>
              <w:spacing w:before="0" w:after="0"/>
              <w:rPr>
                <w:color w:val="auto"/>
              </w:rPr>
            </w:pPr>
            <w:r w:rsidRPr="00421991">
              <w:rPr>
                <w:color w:val="auto"/>
              </w:rPr>
              <w:t>3%</w:t>
            </w:r>
          </w:p>
        </w:tc>
        <w:tc>
          <w:tcPr>
            <w:tcW w:w="1133" w:type="dxa"/>
          </w:tcPr>
          <w:p w:rsidR="001164BE" w:rsidRPr="00421991" w:rsidRDefault="001164BE" w:rsidP="00767FA1">
            <w:pPr>
              <w:pStyle w:val="Tabletext2"/>
              <w:spacing w:before="0" w:after="0"/>
              <w:rPr>
                <w:color w:val="auto"/>
              </w:rPr>
            </w:pPr>
            <w:r w:rsidRPr="00421991">
              <w:rPr>
                <w:color w:val="auto"/>
              </w:rPr>
              <w:t>5%</w:t>
            </w:r>
          </w:p>
        </w:tc>
      </w:tr>
      <w:tr w:rsidR="00CF3859" w:rsidRPr="00421991" w:rsidTr="00F70F3C">
        <w:trPr>
          <w:trHeight w:val="283"/>
        </w:trPr>
        <w:tc>
          <w:tcPr>
            <w:tcW w:w="4025" w:type="dxa"/>
            <w:vAlign w:val="center"/>
          </w:tcPr>
          <w:p w:rsidR="001164BE" w:rsidRPr="00421991" w:rsidRDefault="001164BE" w:rsidP="00767FA1">
            <w:pPr>
              <w:pStyle w:val="Tabletext"/>
              <w:spacing w:before="0" w:after="0"/>
              <w:rPr>
                <w:color w:val="auto"/>
              </w:rPr>
            </w:pPr>
            <w:r w:rsidRPr="00421991">
              <w:rPr>
                <w:rStyle w:val="BoldBody"/>
                <w:color w:val="auto"/>
              </w:rPr>
              <w:t>Total</w:t>
            </w:r>
          </w:p>
        </w:tc>
        <w:tc>
          <w:tcPr>
            <w:tcW w:w="1134" w:type="dxa"/>
          </w:tcPr>
          <w:p w:rsidR="001164BE" w:rsidRPr="00421991" w:rsidRDefault="001164BE" w:rsidP="00767FA1">
            <w:pPr>
              <w:pStyle w:val="Tabletext2"/>
              <w:spacing w:before="0" w:after="0"/>
              <w:rPr>
                <w:color w:val="auto"/>
              </w:rPr>
            </w:pPr>
            <w:r w:rsidRPr="00421991">
              <w:rPr>
                <w:rStyle w:val="BoldBody"/>
                <w:color w:val="auto"/>
              </w:rPr>
              <w:t>100%</w:t>
            </w:r>
          </w:p>
        </w:tc>
        <w:tc>
          <w:tcPr>
            <w:tcW w:w="1134" w:type="dxa"/>
          </w:tcPr>
          <w:p w:rsidR="001164BE" w:rsidRPr="00421991" w:rsidRDefault="001164BE" w:rsidP="00767FA1">
            <w:pPr>
              <w:pStyle w:val="Tabletext2"/>
              <w:spacing w:before="0" w:after="0"/>
              <w:rPr>
                <w:color w:val="auto"/>
              </w:rPr>
            </w:pPr>
            <w:r w:rsidRPr="00421991">
              <w:rPr>
                <w:rStyle w:val="BoldBody"/>
                <w:color w:val="auto"/>
              </w:rPr>
              <w:t>100%</w:t>
            </w:r>
          </w:p>
        </w:tc>
        <w:tc>
          <w:tcPr>
            <w:tcW w:w="1134" w:type="dxa"/>
          </w:tcPr>
          <w:p w:rsidR="001164BE" w:rsidRPr="00421991" w:rsidRDefault="001164BE" w:rsidP="00767FA1">
            <w:pPr>
              <w:pStyle w:val="Tabletext2"/>
              <w:spacing w:before="0" w:after="0"/>
              <w:rPr>
                <w:color w:val="auto"/>
              </w:rPr>
            </w:pPr>
            <w:r w:rsidRPr="00421991">
              <w:rPr>
                <w:rStyle w:val="BoldBody"/>
                <w:color w:val="auto"/>
              </w:rPr>
              <w:t>100%</w:t>
            </w:r>
          </w:p>
        </w:tc>
        <w:tc>
          <w:tcPr>
            <w:tcW w:w="1134" w:type="dxa"/>
          </w:tcPr>
          <w:p w:rsidR="001164BE" w:rsidRPr="00421991" w:rsidRDefault="001164BE" w:rsidP="00767FA1">
            <w:pPr>
              <w:pStyle w:val="Tabletext2"/>
              <w:spacing w:before="0" w:after="0"/>
              <w:rPr>
                <w:color w:val="auto"/>
              </w:rPr>
            </w:pPr>
            <w:r w:rsidRPr="00421991">
              <w:rPr>
                <w:rStyle w:val="BoldBody"/>
                <w:color w:val="auto"/>
              </w:rPr>
              <w:t>100%</w:t>
            </w:r>
          </w:p>
        </w:tc>
        <w:tc>
          <w:tcPr>
            <w:tcW w:w="1133" w:type="dxa"/>
          </w:tcPr>
          <w:p w:rsidR="001164BE" w:rsidRPr="00421991" w:rsidRDefault="001164BE" w:rsidP="00767FA1">
            <w:pPr>
              <w:pStyle w:val="Tabletext2"/>
              <w:spacing w:before="0" w:after="0"/>
              <w:rPr>
                <w:color w:val="auto"/>
              </w:rPr>
            </w:pPr>
            <w:r w:rsidRPr="00421991">
              <w:rPr>
                <w:rStyle w:val="BoldBody"/>
                <w:color w:val="auto"/>
              </w:rPr>
              <w:t>100%</w:t>
            </w:r>
          </w:p>
        </w:tc>
      </w:tr>
    </w:tbl>
    <w:p w:rsidR="001164BE" w:rsidRPr="00421991" w:rsidRDefault="001164BE" w:rsidP="001164BE">
      <w:pPr>
        <w:pStyle w:val="FootnoteFiguresandtables"/>
        <w:rPr>
          <w:color w:val="auto"/>
        </w:rPr>
      </w:pPr>
      <w:r w:rsidRPr="00421991">
        <w:rPr>
          <w:color w:val="auto"/>
        </w:rPr>
        <w:t>Columns may not add up to 100% because the table outlines selected injuries and diseases.</w:t>
      </w:r>
    </w:p>
    <w:p w:rsidR="001164BE" w:rsidRPr="00421991" w:rsidRDefault="001164BE" w:rsidP="001164BE">
      <w:pPr>
        <w:pStyle w:val="FootnoteFiguresandtables"/>
        <w:rPr>
          <w:color w:val="auto"/>
        </w:rPr>
      </w:pPr>
      <w:r w:rsidRPr="00421991">
        <w:rPr>
          <w:color w:val="auto"/>
        </w:rPr>
        <w:t>Source: National Data Set for Compensation-Based Statistics.</w:t>
      </w:r>
    </w:p>
    <w:p w:rsidR="001164BE" w:rsidRPr="00421991" w:rsidRDefault="001164BE" w:rsidP="00DD2ECE">
      <w:pPr>
        <w:pStyle w:val="Heading3"/>
      </w:pPr>
      <w:bookmarkStart w:id="48" w:name="_Toc419453279"/>
      <w:bookmarkStart w:id="49" w:name="_Toc426441697"/>
      <w:r w:rsidRPr="00421991">
        <w:t>Nature of injuries and diseases by sex</w:t>
      </w:r>
      <w:bookmarkEnd w:id="48"/>
      <w:bookmarkEnd w:id="49"/>
    </w:p>
    <w:p w:rsidR="001164BE" w:rsidRPr="00421991" w:rsidRDefault="001164BE" w:rsidP="001164BE">
      <w:pPr>
        <w:pStyle w:val="TextBody"/>
        <w:rPr>
          <w:color w:val="auto"/>
        </w:rPr>
      </w:pPr>
      <w:r w:rsidRPr="00421991">
        <w:rPr>
          <w:color w:val="auto"/>
        </w:rPr>
        <w:t>The proportion of serious claims involving mental disorders was twice as high among female employees as it was for male employees (6% for females versus 3% for males). A considerably higher proportion of male employees’ serious claims arose from wounds, lacerations, amputations and internal organ damage (26% for males versus 18% for females).</w:t>
      </w:r>
    </w:p>
    <w:p w:rsidR="001164BE" w:rsidRPr="00421991" w:rsidRDefault="001164BE" w:rsidP="00DD2ECE">
      <w:pPr>
        <w:pStyle w:val="Heading3"/>
      </w:pPr>
      <w:bookmarkStart w:id="50" w:name="_Toc419453280"/>
      <w:bookmarkStart w:id="51" w:name="_Toc426441698"/>
      <w:r w:rsidRPr="00421991">
        <w:t>Nature of injuries and diseases by age group</w:t>
      </w:r>
      <w:bookmarkEnd w:id="50"/>
      <w:bookmarkEnd w:id="51"/>
    </w:p>
    <w:p w:rsidR="001164BE" w:rsidRPr="00421991" w:rsidRDefault="001164BE" w:rsidP="001164BE">
      <w:pPr>
        <w:pStyle w:val="TextBody"/>
        <w:rPr>
          <w:color w:val="auto"/>
        </w:rPr>
      </w:pPr>
      <w:r w:rsidRPr="00421991">
        <w:rPr>
          <w:color w:val="auto"/>
        </w:rPr>
        <w:t>The proportion of serious claims that arose from burns was more than double the industry average among employees aged 15–19 years (20% versus the industry average of 8%). The proportion of serious claims involving mental disorders was lowest among employees aged 15–19 years (3%) and highest among employees aged 40–44 and 45–49 years (6% in each age group).</w:t>
      </w:r>
    </w:p>
    <w:p w:rsidR="001164BE" w:rsidRPr="00421991" w:rsidRDefault="001164BE" w:rsidP="005062E3">
      <w:pPr>
        <w:pStyle w:val="Heading2"/>
      </w:pPr>
      <w:bookmarkStart w:id="52" w:name="_Toc426441699"/>
      <w:r w:rsidRPr="00421991">
        <w:t>Bodily location of injuries and diseases</w:t>
      </w:r>
      <w:bookmarkEnd w:id="52"/>
    </w:p>
    <w:p w:rsidR="001164BE" w:rsidRPr="00421991" w:rsidRDefault="001164BE" w:rsidP="00DD2ECE">
      <w:pPr>
        <w:pStyle w:val="Heading3"/>
      </w:pPr>
      <w:bookmarkStart w:id="53" w:name="_Toc419453282"/>
      <w:bookmarkStart w:id="54" w:name="_Toc426441700"/>
      <w:r w:rsidRPr="00421991">
        <w:t>Bodily location of injuries and diseases by industry division</w:t>
      </w:r>
      <w:bookmarkEnd w:id="53"/>
      <w:bookmarkEnd w:id="54"/>
    </w:p>
    <w:p w:rsidR="001164BE" w:rsidRPr="00421991" w:rsidRDefault="001164BE" w:rsidP="001164BE">
      <w:pPr>
        <w:pStyle w:val="TextBody"/>
        <w:rPr>
          <w:color w:val="auto"/>
        </w:rPr>
      </w:pPr>
      <w:r w:rsidRPr="00421991">
        <w:rPr>
          <w:color w:val="auto"/>
        </w:rPr>
        <w:t>Between 2010–11 and 2012–13, the bodily location most commonly affected by injuries and diseases that led to serious claims was the hand, fingers and thumb, which accounted for almost a quarter (22%) of serious claims. The back accounted for 19% of serious claims in the accommodation and food services industry.</w:t>
      </w:r>
    </w:p>
    <w:p w:rsidR="001164BE" w:rsidRPr="00421991" w:rsidRDefault="001164BE" w:rsidP="00DD2ECE">
      <w:pPr>
        <w:pStyle w:val="Heading3"/>
      </w:pPr>
      <w:bookmarkStart w:id="55" w:name="_Toc419453283"/>
      <w:bookmarkStart w:id="56" w:name="_Toc426441701"/>
      <w:r w:rsidRPr="00421991">
        <w:t>Bodily location of injuries and diseases by industry subdivision</w:t>
      </w:r>
      <w:bookmarkEnd w:id="55"/>
      <w:bookmarkEnd w:id="56"/>
    </w:p>
    <w:p w:rsidR="001164BE" w:rsidRPr="00421991" w:rsidRDefault="001164BE" w:rsidP="001164BE">
      <w:pPr>
        <w:pStyle w:val="TextBody"/>
        <w:rPr>
          <w:color w:val="auto"/>
        </w:rPr>
      </w:pPr>
      <w:r w:rsidRPr="00421991">
        <w:rPr>
          <w:color w:val="auto"/>
        </w:rPr>
        <w:t>The subdivision that had the highest proportion of serious claims involving the hand, fingers and thumb was cafes, restaurants and takeaway food services (27%). The subdivision that had the highest proportion of serious claims involving the back was accommodation (25%). Employees in the clubs, and pubs, taverns and bars subdivisions experienced the highest proportions of serious claims involving the psychological system (8% in each subdivision). Table 8 outlines the percentage of serious claims for each industry subdivision by bodily location of injury or disease for 2010–11 to 2012–13.</w:t>
      </w:r>
    </w:p>
    <w:p w:rsidR="001164BE" w:rsidRPr="00421991" w:rsidRDefault="001164BE" w:rsidP="001164BE">
      <w:pPr>
        <w:pStyle w:val="Tabletitle"/>
        <w:rPr>
          <w:color w:val="auto"/>
        </w:rPr>
      </w:pPr>
      <w:r w:rsidRPr="00421991">
        <w:rPr>
          <w:color w:val="auto"/>
        </w:rPr>
        <w:lastRenderedPageBreak/>
        <w:t>Table 8: Serious claims in accommodation and food services industry: percentage of serious claims for each subdivision by bodily location of injury or disease, 2010–11 to 2012–13 combined</w:t>
      </w:r>
    </w:p>
    <w:tbl>
      <w:tblPr>
        <w:tblStyle w:val="TableGrid"/>
        <w:tblW w:w="0" w:type="auto"/>
        <w:tblLayout w:type="fixed"/>
        <w:tblLook w:val="0000" w:firstRow="0" w:lastRow="0" w:firstColumn="0" w:lastColumn="0" w:noHBand="0" w:noVBand="0"/>
        <w:tblCaption w:val="Table 8: Serious claims in accommodation and food services industry: percentage of serious claims for each subdivision by bodily location of injury or disease, 2010–11 to 2012–13 combined"/>
      </w:tblPr>
      <w:tblGrid>
        <w:gridCol w:w="4025"/>
        <w:gridCol w:w="1134"/>
        <w:gridCol w:w="1134"/>
        <w:gridCol w:w="1134"/>
        <w:gridCol w:w="1134"/>
        <w:gridCol w:w="1133"/>
      </w:tblGrid>
      <w:tr w:rsidR="00CF3859" w:rsidRPr="00421991" w:rsidTr="008D5510">
        <w:trPr>
          <w:trHeight w:val="1635"/>
          <w:tblHeader/>
        </w:trPr>
        <w:tc>
          <w:tcPr>
            <w:tcW w:w="4025" w:type="dxa"/>
            <w:vAlign w:val="center"/>
          </w:tcPr>
          <w:p w:rsidR="001164BE" w:rsidRPr="00421991" w:rsidRDefault="001164BE" w:rsidP="00CF3859">
            <w:pPr>
              <w:pStyle w:val="Tabletext"/>
              <w:spacing w:before="0" w:after="0"/>
              <w:rPr>
                <w:color w:val="auto"/>
              </w:rPr>
            </w:pPr>
            <w:r w:rsidRPr="00421991">
              <w:rPr>
                <w:rStyle w:val="BoldBody"/>
                <w:color w:val="auto"/>
              </w:rPr>
              <w:t>Bodily location of injury or disease</w:t>
            </w:r>
          </w:p>
        </w:tc>
        <w:tc>
          <w:tcPr>
            <w:tcW w:w="1134" w:type="dxa"/>
            <w:textDirection w:val="btLr"/>
            <w:vAlign w:val="center"/>
          </w:tcPr>
          <w:p w:rsidR="001164BE" w:rsidRPr="00421991" w:rsidRDefault="001164BE" w:rsidP="00CF3859">
            <w:pPr>
              <w:pStyle w:val="Tabletext2"/>
              <w:spacing w:before="0" w:after="0"/>
              <w:rPr>
                <w:color w:val="auto"/>
              </w:rPr>
            </w:pPr>
            <w:r w:rsidRPr="00421991">
              <w:rPr>
                <w:rStyle w:val="BoldBody"/>
                <w:color w:val="auto"/>
              </w:rPr>
              <w:t>Clubs</w:t>
            </w:r>
          </w:p>
        </w:tc>
        <w:tc>
          <w:tcPr>
            <w:tcW w:w="1134" w:type="dxa"/>
            <w:textDirection w:val="btLr"/>
            <w:vAlign w:val="center"/>
          </w:tcPr>
          <w:p w:rsidR="001164BE" w:rsidRPr="00421991" w:rsidRDefault="001164BE" w:rsidP="00CF3859">
            <w:pPr>
              <w:pStyle w:val="Tabletext2"/>
              <w:spacing w:before="0" w:after="0"/>
              <w:rPr>
                <w:color w:val="auto"/>
              </w:rPr>
            </w:pPr>
            <w:r w:rsidRPr="00421991">
              <w:rPr>
                <w:rStyle w:val="BoldBody"/>
                <w:color w:val="auto"/>
              </w:rPr>
              <w:t>Accommodation</w:t>
            </w:r>
          </w:p>
        </w:tc>
        <w:tc>
          <w:tcPr>
            <w:tcW w:w="1134" w:type="dxa"/>
            <w:textDirection w:val="btLr"/>
            <w:vAlign w:val="center"/>
          </w:tcPr>
          <w:p w:rsidR="001164BE" w:rsidRPr="00421991" w:rsidRDefault="001164BE" w:rsidP="00CF3859">
            <w:pPr>
              <w:pStyle w:val="Tabletext2"/>
              <w:spacing w:before="0" w:after="0"/>
              <w:rPr>
                <w:color w:val="auto"/>
              </w:rPr>
            </w:pPr>
            <w:r w:rsidRPr="00421991">
              <w:rPr>
                <w:rStyle w:val="BoldBody"/>
                <w:color w:val="auto"/>
              </w:rPr>
              <w:t>Pubs, taverns and bars</w:t>
            </w:r>
          </w:p>
        </w:tc>
        <w:tc>
          <w:tcPr>
            <w:tcW w:w="1134" w:type="dxa"/>
            <w:textDirection w:val="btLr"/>
            <w:vAlign w:val="center"/>
          </w:tcPr>
          <w:p w:rsidR="001164BE" w:rsidRPr="00421991" w:rsidRDefault="001164BE" w:rsidP="00CF3859">
            <w:pPr>
              <w:pStyle w:val="Tabletext2"/>
              <w:spacing w:before="0" w:after="0"/>
              <w:rPr>
                <w:color w:val="auto"/>
              </w:rPr>
            </w:pPr>
            <w:r w:rsidRPr="00421991">
              <w:rPr>
                <w:rStyle w:val="BoldBody"/>
                <w:color w:val="auto"/>
              </w:rPr>
              <w:t>Cafes, restaurants and takeaway food services</w:t>
            </w:r>
          </w:p>
        </w:tc>
        <w:tc>
          <w:tcPr>
            <w:tcW w:w="1133" w:type="dxa"/>
            <w:textDirection w:val="btLr"/>
            <w:vAlign w:val="center"/>
          </w:tcPr>
          <w:p w:rsidR="001164BE" w:rsidRPr="00421991" w:rsidRDefault="001164BE" w:rsidP="00CF3859">
            <w:pPr>
              <w:pStyle w:val="Tabletext2"/>
              <w:spacing w:before="0" w:after="0"/>
              <w:rPr>
                <w:color w:val="auto"/>
              </w:rPr>
            </w:pPr>
            <w:r w:rsidRPr="00421991">
              <w:rPr>
                <w:rStyle w:val="BoldBody"/>
                <w:color w:val="auto"/>
              </w:rPr>
              <w:t>Industry total</w:t>
            </w:r>
          </w:p>
        </w:tc>
      </w:tr>
      <w:tr w:rsidR="00CF3859" w:rsidRPr="00421991" w:rsidTr="00CF3859">
        <w:trPr>
          <w:trHeight w:val="60"/>
        </w:trPr>
        <w:tc>
          <w:tcPr>
            <w:tcW w:w="4025" w:type="dxa"/>
          </w:tcPr>
          <w:p w:rsidR="001164BE" w:rsidRPr="00421991" w:rsidRDefault="001164BE" w:rsidP="00CF3859">
            <w:pPr>
              <w:pStyle w:val="Tabletext"/>
              <w:spacing w:before="0" w:after="0"/>
              <w:rPr>
                <w:color w:val="auto"/>
              </w:rPr>
            </w:pPr>
            <w:r w:rsidRPr="00421991">
              <w:rPr>
                <w:color w:val="auto"/>
              </w:rPr>
              <w:t>Hand, fingers and thumb</w:t>
            </w:r>
          </w:p>
        </w:tc>
        <w:tc>
          <w:tcPr>
            <w:tcW w:w="1134" w:type="dxa"/>
          </w:tcPr>
          <w:p w:rsidR="001164BE" w:rsidRPr="00421991" w:rsidRDefault="001164BE" w:rsidP="00CF3859">
            <w:pPr>
              <w:pStyle w:val="Tabletext2"/>
              <w:spacing w:before="0" w:after="0"/>
              <w:rPr>
                <w:color w:val="auto"/>
              </w:rPr>
            </w:pPr>
            <w:r w:rsidRPr="00421991">
              <w:rPr>
                <w:color w:val="auto"/>
              </w:rPr>
              <w:t>18%</w:t>
            </w:r>
          </w:p>
        </w:tc>
        <w:tc>
          <w:tcPr>
            <w:tcW w:w="1134" w:type="dxa"/>
          </w:tcPr>
          <w:p w:rsidR="001164BE" w:rsidRPr="00421991" w:rsidRDefault="001164BE" w:rsidP="00CF3859">
            <w:pPr>
              <w:pStyle w:val="Tabletext2"/>
              <w:spacing w:before="0" w:after="0"/>
              <w:rPr>
                <w:color w:val="auto"/>
              </w:rPr>
            </w:pPr>
            <w:r w:rsidRPr="00421991">
              <w:rPr>
                <w:color w:val="auto"/>
              </w:rPr>
              <w:t>16%</w:t>
            </w:r>
          </w:p>
        </w:tc>
        <w:tc>
          <w:tcPr>
            <w:tcW w:w="1134" w:type="dxa"/>
          </w:tcPr>
          <w:p w:rsidR="001164BE" w:rsidRPr="00421991" w:rsidRDefault="001164BE" w:rsidP="00CF3859">
            <w:pPr>
              <w:pStyle w:val="Tabletext2"/>
              <w:spacing w:before="0" w:after="0"/>
              <w:rPr>
                <w:color w:val="auto"/>
              </w:rPr>
            </w:pPr>
            <w:r w:rsidRPr="00421991">
              <w:rPr>
                <w:color w:val="auto"/>
              </w:rPr>
              <w:t>23%</w:t>
            </w:r>
          </w:p>
        </w:tc>
        <w:tc>
          <w:tcPr>
            <w:tcW w:w="1134" w:type="dxa"/>
          </w:tcPr>
          <w:p w:rsidR="001164BE" w:rsidRPr="00421991" w:rsidRDefault="001164BE" w:rsidP="00CF3859">
            <w:pPr>
              <w:pStyle w:val="Tabletext2"/>
              <w:spacing w:before="0" w:after="0"/>
              <w:rPr>
                <w:color w:val="auto"/>
              </w:rPr>
            </w:pPr>
            <w:r w:rsidRPr="00421991">
              <w:rPr>
                <w:color w:val="auto"/>
              </w:rPr>
              <w:t>27%</w:t>
            </w:r>
          </w:p>
        </w:tc>
        <w:tc>
          <w:tcPr>
            <w:tcW w:w="1133" w:type="dxa"/>
          </w:tcPr>
          <w:p w:rsidR="001164BE" w:rsidRPr="00421991" w:rsidRDefault="001164BE" w:rsidP="00CF3859">
            <w:pPr>
              <w:pStyle w:val="Tabletext2"/>
              <w:spacing w:before="0" w:after="0"/>
              <w:rPr>
                <w:color w:val="auto"/>
              </w:rPr>
            </w:pPr>
            <w:r w:rsidRPr="00421991">
              <w:rPr>
                <w:color w:val="auto"/>
              </w:rPr>
              <w:t>22%</w:t>
            </w:r>
          </w:p>
        </w:tc>
      </w:tr>
      <w:tr w:rsidR="00CF3859" w:rsidRPr="00421991" w:rsidTr="00CF3859">
        <w:trPr>
          <w:trHeight w:val="60"/>
        </w:trPr>
        <w:tc>
          <w:tcPr>
            <w:tcW w:w="4025" w:type="dxa"/>
          </w:tcPr>
          <w:p w:rsidR="001164BE" w:rsidRPr="00421991" w:rsidRDefault="001164BE" w:rsidP="00CF3859">
            <w:pPr>
              <w:pStyle w:val="Tabletext"/>
              <w:spacing w:before="0" w:after="0"/>
              <w:rPr>
                <w:color w:val="auto"/>
              </w:rPr>
            </w:pPr>
            <w:r w:rsidRPr="00421991">
              <w:rPr>
                <w:color w:val="auto"/>
              </w:rPr>
              <w:t>Back - upper or lower</w:t>
            </w:r>
          </w:p>
        </w:tc>
        <w:tc>
          <w:tcPr>
            <w:tcW w:w="1134" w:type="dxa"/>
          </w:tcPr>
          <w:p w:rsidR="001164BE" w:rsidRPr="00421991" w:rsidRDefault="001164BE" w:rsidP="00CF3859">
            <w:pPr>
              <w:pStyle w:val="Tabletext2"/>
              <w:spacing w:before="0" w:after="0"/>
              <w:rPr>
                <w:color w:val="auto"/>
              </w:rPr>
            </w:pPr>
            <w:r w:rsidRPr="00421991">
              <w:rPr>
                <w:color w:val="auto"/>
              </w:rPr>
              <w:t>21%</w:t>
            </w:r>
          </w:p>
        </w:tc>
        <w:tc>
          <w:tcPr>
            <w:tcW w:w="1134" w:type="dxa"/>
          </w:tcPr>
          <w:p w:rsidR="001164BE" w:rsidRPr="00421991" w:rsidRDefault="001164BE" w:rsidP="00CF3859">
            <w:pPr>
              <w:pStyle w:val="Tabletext2"/>
              <w:spacing w:before="0" w:after="0"/>
              <w:rPr>
                <w:color w:val="auto"/>
              </w:rPr>
            </w:pPr>
            <w:r w:rsidRPr="00421991">
              <w:rPr>
                <w:color w:val="auto"/>
              </w:rPr>
              <w:t>25%</w:t>
            </w:r>
          </w:p>
        </w:tc>
        <w:tc>
          <w:tcPr>
            <w:tcW w:w="1134" w:type="dxa"/>
          </w:tcPr>
          <w:p w:rsidR="001164BE" w:rsidRPr="00421991" w:rsidRDefault="001164BE" w:rsidP="00CF3859">
            <w:pPr>
              <w:pStyle w:val="Tabletext2"/>
              <w:spacing w:before="0" w:after="0"/>
              <w:rPr>
                <w:color w:val="auto"/>
              </w:rPr>
            </w:pPr>
            <w:r w:rsidRPr="00421991">
              <w:rPr>
                <w:color w:val="auto"/>
              </w:rPr>
              <w:t>20%</w:t>
            </w:r>
          </w:p>
        </w:tc>
        <w:tc>
          <w:tcPr>
            <w:tcW w:w="1134" w:type="dxa"/>
          </w:tcPr>
          <w:p w:rsidR="001164BE" w:rsidRPr="00421991" w:rsidRDefault="001164BE" w:rsidP="00CF3859">
            <w:pPr>
              <w:pStyle w:val="Tabletext2"/>
              <w:spacing w:before="0" w:after="0"/>
              <w:rPr>
                <w:color w:val="auto"/>
              </w:rPr>
            </w:pPr>
            <w:r w:rsidRPr="00421991">
              <w:rPr>
                <w:color w:val="auto"/>
              </w:rPr>
              <w:t>16%</w:t>
            </w:r>
          </w:p>
        </w:tc>
        <w:tc>
          <w:tcPr>
            <w:tcW w:w="1133" w:type="dxa"/>
          </w:tcPr>
          <w:p w:rsidR="001164BE" w:rsidRPr="00421991" w:rsidRDefault="001164BE" w:rsidP="00CF3859">
            <w:pPr>
              <w:pStyle w:val="Tabletext2"/>
              <w:spacing w:before="0" w:after="0"/>
              <w:rPr>
                <w:color w:val="auto"/>
              </w:rPr>
            </w:pPr>
            <w:r w:rsidRPr="00421991">
              <w:rPr>
                <w:color w:val="auto"/>
              </w:rPr>
              <w:t>19%</w:t>
            </w:r>
          </w:p>
        </w:tc>
      </w:tr>
      <w:tr w:rsidR="00CF3859" w:rsidRPr="00421991" w:rsidTr="00CF3859">
        <w:trPr>
          <w:trHeight w:val="60"/>
        </w:trPr>
        <w:tc>
          <w:tcPr>
            <w:tcW w:w="4025" w:type="dxa"/>
          </w:tcPr>
          <w:p w:rsidR="001164BE" w:rsidRPr="00421991" w:rsidRDefault="001164BE" w:rsidP="00CF3859">
            <w:pPr>
              <w:pStyle w:val="Tabletext"/>
              <w:spacing w:before="0" w:after="0"/>
              <w:rPr>
                <w:color w:val="auto"/>
              </w:rPr>
            </w:pPr>
            <w:r w:rsidRPr="00421991">
              <w:rPr>
                <w:color w:val="auto"/>
              </w:rPr>
              <w:t>Knee</w:t>
            </w:r>
          </w:p>
        </w:tc>
        <w:tc>
          <w:tcPr>
            <w:tcW w:w="1134" w:type="dxa"/>
          </w:tcPr>
          <w:p w:rsidR="001164BE" w:rsidRPr="00421991" w:rsidRDefault="001164BE" w:rsidP="00CF3859">
            <w:pPr>
              <w:pStyle w:val="Tabletext2"/>
              <w:spacing w:before="0" w:after="0"/>
              <w:rPr>
                <w:color w:val="auto"/>
              </w:rPr>
            </w:pPr>
            <w:r w:rsidRPr="00421991">
              <w:rPr>
                <w:color w:val="auto"/>
              </w:rPr>
              <w:t>10%</w:t>
            </w:r>
          </w:p>
        </w:tc>
        <w:tc>
          <w:tcPr>
            <w:tcW w:w="1134" w:type="dxa"/>
          </w:tcPr>
          <w:p w:rsidR="001164BE" w:rsidRPr="00421991" w:rsidRDefault="001164BE" w:rsidP="00CF3859">
            <w:pPr>
              <w:pStyle w:val="Tabletext2"/>
              <w:spacing w:before="0" w:after="0"/>
              <w:rPr>
                <w:color w:val="auto"/>
              </w:rPr>
            </w:pPr>
            <w:r w:rsidRPr="00421991">
              <w:rPr>
                <w:color w:val="auto"/>
              </w:rPr>
              <w:t>8%</w:t>
            </w:r>
          </w:p>
        </w:tc>
        <w:tc>
          <w:tcPr>
            <w:tcW w:w="1134" w:type="dxa"/>
          </w:tcPr>
          <w:p w:rsidR="001164BE" w:rsidRPr="00421991" w:rsidRDefault="001164BE" w:rsidP="00CF3859">
            <w:pPr>
              <w:pStyle w:val="Tabletext2"/>
              <w:spacing w:before="0" w:after="0"/>
              <w:rPr>
                <w:color w:val="auto"/>
              </w:rPr>
            </w:pPr>
            <w:r w:rsidRPr="00421991">
              <w:rPr>
                <w:color w:val="auto"/>
              </w:rPr>
              <w:t>8%</w:t>
            </w:r>
          </w:p>
        </w:tc>
        <w:tc>
          <w:tcPr>
            <w:tcW w:w="1134" w:type="dxa"/>
          </w:tcPr>
          <w:p w:rsidR="001164BE" w:rsidRPr="00421991" w:rsidRDefault="001164BE" w:rsidP="00CF3859">
            <w:pPr>
              <w:pStyle w:val="Tabletext2"/>
              <w:spacing w:before="0" w:after="0"/>
              <w:rPr>
                <w:color w:val="auto"/>
              </w:rPr>
            </w:pPr>
            <w:r w:rsidRPr="00421991">
              <w:rPr>
                <w:color w:val="auto"/>
              </w:rPr>
              <w:t>8%</w:t>
            </w:r>
          </w:p>
        </w:tc>
        <w:tc>
          <w:tcPr>
            <w:tcW w:w="1133" w:type="dxa"/>
          </w:tcPr>
          <w:p w:rsidR="001164BE" w:rsidRPr="00421991" w:rsidRDefault="001164BE" w:rsidP="00CF3859">
            <w:pPr>
              <w:pStyle w:val="Tabletext2"/>
              <w:spacing w:before="0" w:after="0"/>
              <w:rPr>
                <w:color w:val="auto"/>
              </w:rPr>
            </w:pPr>
            <w:r w:rsidRPr="00421991">
              <w:rPr>
                <w:color w:val="auto"/>
              </w:rPr>
              <w:t>8%</w:t>
            </w:r>
          </w:p>
        </w:tc>
      </w:tr>
      <w:tr w:rsidR="00CF3859" w:rsidRPr="00421991" w:rsidTr="00CF3859">
        <w:trPr>
          <w:trHeight w:val="60"/>
        </w:trPr>
        <w:tc>
          <w:tcPr>
            <w:tcW w:w="4025" w:type="dxa"/>
          </w:tcPr>
          <w:p w:rsidR="001164BE" w:rsidRPr="00421991" w:rsidRDefault="001164BE" w:rsidP="00CF3859">
            <w:pPr>
              <w:pStyle w:val="Tabletext"/>
              <w:spacing w:before="0" w:after="0"/>
              <w:rPr>
                <w:color w:val="auto"/>
              </w:rPr>
            </w:pPr>
            <w:r w:rsidRPr="00421991">
              <w:rPr>
                <w:color w:val="auto"/>
              </w:rPr>
              <w:t>Shoulder</w:t>
            </w:r>
          </w:p>
        </w:tc>
        <w:tc>
          <w:tcPr>
            <w:tcW w:w="1134" w:type="dxa"/>
          </w:tcPr>
          <w:p w:rsidR="001164BE" w:rsidRPr="00421991" w:rsidRDefault="001164BE" w:rsidP="00CF3859">
            <w:pPr>
              <w:pStyle w:val="Tabletext2"/>
              <w:spacing w:before="0" w:after="0"/>
              <w:rPr>
                <w:color w:val="auto"/>
              </w:rPr>
            </w:pPr>
            <w:r w:rsidRPr="00421991">
              <w:rPr>
                <w:color w:val="auto"/>
              </w:rPr>
              <w:t>10%</w:t>
            </w:r>
          </w:p>
        </w:tc>
        <w:tc>
          <w:tcPr>
            <w:tcW w:w="1134" w:type="dxa"/>
          </w:tcPr>
          <w:p w:rsidR="001164BE" w:rsidRPr="00421991" w:rsidRDefault="001164BE" w:rsidP="00CF3859">
            <w:pPr>
              <w:pStyle w:val="Tabletext2"/>
              <w:spacing w:before="0" w:after="0"/>
              <w:rPr>
                <w:color w:val="auto"/>
              </w:rPr>
            </w:pPr>
            <w:r w:rsidRPr="00421991">
              <w:rPr>
                <w:color w:val="auto"/>
              </w:rPr>
              <w:t>9%</w:t>
            </w:r>
          </w:p>
        </w:tc>
        <w:tc>
          <w:tcPr>
            <w:tcW w:w="1134" w:type="dxa"/>
          </w:tcPr>
          <w:p w:rsidR="001164BE" w:rsidRPr="00421991" w:rsidRDefault="001164BE" w:rsidP="00CF3859">
            <w:pPr>
              <w:pStyle w:val="Tabletext2"/>
              <w:spacing w:before="0" w:after="0"/>
              <w:rPr>
                <w:color w:val="auto"/>
              </w:rPr>
            </w:pPr>
            <w:r w:rsidRPr="00421991">
              <w:rPr>
                <w:color w:val="auto"/>
              </w:rPr>
              <w:t>6%</w:t>
            </w:r>
          </w:p>
        </w:tc>
        <w:tc>
          <w:tcPr>
            <w:tcW w:w="1134" w:type="dxa"/>
          </w:tcPr>
          <w:p w:rsidR="001164BE" w:rsidRPr="00421991" w:rsidRDefault="001164BE" w:rsidP="00CF3859">
            <w:pPr>
              <w:pStyle w:val="Tabletext2"/>
              <w:spacing w:before="0" w:after="0"/>
              <w:rPr>
                <w:color w:val="auto"/>
              </w:rPr>
            </w:pPr>
            <w:r w:rsidRPr="00421991">
              <w:rPr>
                <w:color w:val="auto"/>
              </w:rPr>
              <w:t>7%</w:t>
            </w:r>
          </w:p>
        </w:tc>
        <w:tc>
          <w:tcPr>
            <w:tcW w:w="1133" w:type="dxa"/>
          </w:tcPr>
          <w:p w:rsidR="001164BE" w:rsidRPr="00421991" w:rsidRDefault="001164BE" w:rsidP="00CF3859">
            <w:pPr>
              <w:pStyle w:val="Tabletext2"/>
              <w:spacing w:before="0" w:after="0"/>
              <w:rPr>
                <w:color w:val="auto"/>
              </w:rPr>
            </w:pPr>
            <w:r w:rsidRPr="00421991">
              <w:rPr>
                <w:color w:val="auto"/>
              </w:rPr>
              <w:t>8%</w:t>
            </w:r>
          </w:p>
        </w:tc>
      </w:tr>
      <w:tr w:rsidR="00CF3859" w:rsidRPr="00421991" w:rsidTr="00CF3859">
        <w:trPr>
          <w:trHeight w:val="60"/>
        </w:trPr>
        <w:tc>
          <w:tcPr>
            <w:tcW w:w="4025" w:type="dxa"/>
          </w:tcPr>
          <w:p w:rsidR="001164BE" w:rsidRPr="00421991" w:rsidRDefault="001164BE" w:rsidP="00CF3859">
            <w:pPr>
              <w:pStyle w:val="Tabletext"/>
              <w:spacing w:before="0" w:after="0"/>
              <w:rPr>
                <w:color w:val="auto"/>
              </w:rPr>
            </w:pPr>
            <w:r w:rsidRPr="00421991">
              <w:rPr>
                <w:color w:val="auto"/>
              </w:rPr>
              <w:t>Wrist</w:t>
            </w:r>
          </w:p>
        </w:tc>
        <w:tc>
          <w:tcPr>
            <w:tcW w:w="1134" w:type="dxa"/>
          </w:tcPr>
          <w:p w:rsidR="001164BE" w:rsidRPr="00421991" w:rsidRDefault="001164BE" w:rsidP="00CF3859">
            <w:pPr>
              <w:pStyle w:val="Tabletext2"/>
              <w:spacing w:before="0" w:after="0"/>
              <w:rPr>
                <w:color w:val="auto"/>
              </w:rPr>
            </w:pPr>
            <w:r w:rsidRPr="00421991">
              <w:rPr>
                <w:color w:val="auto"/>
              </w:rPr>
              <w:t>5%</w:t>
            </w:r>
          </w:p>
        </w:tc>
        <w:tc>
          <w:tcPr>
            <w:tcW w:w="1134" w:type="dxa"/>
          </w:tcPr>
          <w:p w:rsidR="001164BE" w:rsidRPr="00421991" w:rsidRDefault="001164BE" w:rsidP="00CF3859">
            <w:pPr>
              <w:pStyle w:val="Tabletext2"/>
              <w:spacing w:before="0" w:after="0"/>
              <w:rPr>
                <w:color w:val="auto"/>
              </w:rPr>
            </w:pPr>
            <w:r w:rsidRPr="00421991">
              <w:rPr>
                <w:color w:val="auto"/>
              </w:rPr>
              <w:t>6%</w:t>
            </w:r>
          </w:p>
        </w:tc>
        <w:tc>
          <w:tcPr>
            <w:tcW w:w="1134" w:type="dxa"/>
          </w:tcPr>
          <w:p w:rsidR="001164BE" w:rsidRPr="00421991" w:rsidRDefault="001164BE" w:rsidP="00CF3859">
            <w:pPr>
              <w:pStyle w:val="Tabletext2"/>
              <w:spacing w:before="0" w:after="0"/>
              <w:rPr>
                <w:color w:val="auto"/>
              </w:rPr>
            </w:pPr>
            <w:r w:rsidRPr="00421991">
              <w:rPr>
                <w:color w:val="auto"/>
              </w:rPr>
              <w:t>6%</w:t>
            </w:r>
          </w:p>
        </w:tc>
        <w:tc>
          <w:tcPr>
            <w:tcW w:w="1134" w:type="dxa"/>
          </w:tcPr>
          <w:p w:rsidR="001164BE" w:rsidRPr="00421991" w:rsidRDefault="001164BE" w:rsidP="00CF3859">
            <w:pPr>
              <w:pStyle w:val="Tabletext2"/>
              <w:spacing w:before="0" w:after="0"/>
              <w:rPr>
                <w:color w:val="auto"/>
              </w:rPr>
            </w:pPr>
            <w:r w:rsidRPr="00421991">
              <w:rPr>
                <w:color w:val="auto"/>
              </w:rPr>
              <w:t>7%</w:t>
            </w:r>
          </w:p>
        </w:tc>
        <w:tc>
          <w:tcPr>
            <w:tcW w:w="1133" w:type="dxa"/>
          </w:tcPr>
          <w:p w:rsidR="001164BE" w:rsidRPr="00421991" w:rsidRDefault="001164BE" w:rsidP="00CF3859">
            <w:pPr>
              <w:pStyle w:val="Tabletext2"/>
              <w:spacing w:before="0" w:after="0"/>
              <w:rPr>
                <w:color w:val="auto"/>
              </w:rPr>
            </w:pPr>
            <w:r w:rsidRPr="00421991">
              <w:rPr>
                <w:color w:val="auto"/>
              </w:rPr>
              <w:t>6%</w:t>
            </w:r>
          </w:p>
        </w:tc>
      </w:tr>
      <w:tr w:rsidR="00CF3859" w:rsidRPr="00421991" w:rsidTr="00CF3859">
        <w:trPr>
          <w:trHeight w:val="60"/>
        </w:trPr>
        <w:tc>
          <w:tcPr>
            <w:tcW w:w="4025" w:type="dxa"/>
          </w:tcPr>
          <w:p w:rsidR="001164BE" w:rsidRPr="00421991" w:rsidRDefault="001164BE" w:rsidP="00CF3859">
            <w:pPr>
              <w:pStyle w:val="Tabletext"/>
              <w:spacing w:before="0" w:after="0"/>
              <w:rPr>
                <w:color w:val="auto"/>
              </w:rPr>
            </w:pPr>
            <w:r w:rsidRPr="00421991">
              <w:rPr>
                <w:color w:val="auto"/>
              </w:rPr>
              <w:t>Psychological system</w:t>
            </w:r>
          </w:p>
        </w:tc>
        <w:tc>
          <w:tcPr>
            <w:tcW w:w="1134" w:type="dxa"/>
          </w:tcPr>
          <w:p w:rsidR="001164BE" w:rsidRPr="00421991" w:rsidRDefault="001164BE" w:rsidP="00CF3859">
            <w:pPr>
              <w:pStyle w:val="Tabletext2"/>
              <w:spacing w:before="0" w:after="0"/>
              <w:rPr>
                <w:color w:val="auto"/>
              </w:rPr>
            </w:pPr>
            <w:r w:rsidRPr="00421991">
              <w:rPr>
                <w:color w:val="auto"/>
              </w:rPr>
              <w:t>8%</w:t>
            </w:r>
          </w:p>
        </w:tc>
        <w:tc>
          <w:tcPr>
            <w:tcW w:w="1134" w:type="dxa"/>
          </w:tcPr>
          <w:p w:rsidR="001164BE" w:rsidRPr="00421991" w:rsidRDefault="001164BE" w:rsidP="00CF3859">
            <w:pPr>
              <w:pStyle w:val="Tabletext2"/>
              <w:spacing w:before="0" w:after="0"/>
              <w:rPr>
                <w:color w:val="auto"/>
              </w:rPr>
            </w:pPr>
            <w:r w:rsidRPr="00421991">
              <w:rPr>
                <w:color w:val="auto"/>
              </w:rPr>
              <w:t>3%</w:t>
            </w:r>
          </w:p>
        </w:tc>
        <w:tc>
          <w:tcPr>
            <w:tcW w:w="1134" w:type="dxa"/>
          </w:tcPr>
          <w:p w:rsidR="001164BE" w:rsidRPr="00421991" w:rsidRDefault="001164BE" w:rsidP="00CF3859">
            <w:pPr>
              <w:pStyle w:val="Tabletext2"/>
              <w:spacing w:before="0" w:after="0"/>
              <w:rPr>
                <w:color w:val="auto"/>
              </w:rPr>
            </w:pPr>
            <w:r w:rsidRPr="00421991">
              <w:rPr>
                <w:color w:val="auto"/>
              </w:rPr>
              <w:t>8%</w:t>
            </w:r>
          </w:p>
        </w:tc>
        <w:tc>
          <w:tcPr>
            <w:tcW w:w="1134" w:type="dxa"/>
          </w:tcPr>
          <w:p w:rsidR="001164BE" w:rsidRPr="00421991" w:rsidRDefault="001164BE" w:rsidP="00CF3859">
            <w:pPr>
              <w:pStyle w:val="Tabletext2"/>
              <w:spacing w:before="0" w:after="0"/>
              <w:rPr>
                <w:color w:val="auto"/>
              </w:rPr>
            </w:pPr>
            <w:r w:rsidRPr="00421991">
              <w:rPr>
                <w:color w:val="auto"/>
              </w:rPr>
              <w:t>3%</w:t>
            </w:r>
          </w:p>
        </w:tc>
        <w:tc>
          <w:tcPr>
            <w:tcW w:w="1133" w:type="dxa"/>
          </w:tcPr>
          <w:p w:rsidR="001164BE" w:rsidRPr="00421991" w:rsidRDefault="001164BE" w:rsidP="00CF3859">
            <w:pPr>
              <w:pStyle w:val="Tabletext2"/>
              <w:spacing w:before="0" w:after="0"/>
              <w:rPr>
                <w:color w:val="auto"/>
              </w:rPr>
            </w:pPr>
            <w:r w:rsidRPr="00421991">
              <w:rPr>
                <w:color w:val="auto"/>
              </w:rPr>
              <w:t>5%</w:t>
            </w:r>
          </w:p>
        </w:tc>
      </w:tr>
      <w:tr w:rsidR="00CF3859" w:rsidRPr="00421991" w:rsidTr="00CF3859">
        <w:trPr>
          <w:trHeight w:val="60"/>
        </w:trPr>
        <w:tc>
          <w:tcPr>
            <w:tcW w:w="4025" w:type="dxa"/>
          </w:tcPr>
          <w:p w:rsidR="001164BE" w:rsidRPr="00421991" w:rsidRDefault="001164BE" w:rsidP="00CF3859">
            <w:pPr>
              <w:pStyle w:val="Tabletext"/>
              <w:spacing w:before="0" w:after="0"/>
              <w:rPr>
                <w:color w:val="auto"/>
              </w:rPr>
            </w:pPr>
            <w:r w:rsidRPr="00421991">
              <w:rPr>
                <w:color w:val="auto"/>
              </w:rPr>
              <w:t>Ankle</w:t>
            </w:r>
          </w:p>
        </w:tc>
        <w:tc>
          <w:tcPr>
            <w:tcW w:w="1134" w:type="dxa"/>
          </w:tcPr>
          <w:p w:rsidR="001164BE" w:rsidRPr="00421991" w:rsidRDefault="001164BE" w:rsidP="00CF3859">
            <w:pPr>
              <w:pStyle w:val="Tabletext2"/>
              <w:spacing w:before="0" w:after="0"/>
              <w:rPr>
                <w:color w:val="auto"/>
              </w:rPr>
            </w:pPr>
            <w:r w:rsidRPr="00421991">
              <w:rPr>
                <w:color w:val="auto"/>
              </w:rPr>
              <w:t>4%</w:t>
            </w:r>
          </w:p>
        </w:tc>
        <w:tc>
          <w:tcPr>
            <w:tcW w:w="1134" w:type="dxa"/>
          </w:tcPr>
          <w:p w:rsidR="001164BE" w:rsidRPr="00421991" w:rsidRDefault="001164BE" w:rsidP="00CF3859">
            <w:pPr>
              <w:pStyle w:val="Tabletext2"/>
              <w:spacing w:before="0" w:after="0"/>
              <w:rPr>
                <w:color w:val="auto"/>
              </w:rPr>
            </w:pPr>
            <w:r w:rsidRPr="00421991">
              <w:rPr>
                <w:color w:val="auto"/>
              </w:rPr>
              <w:t>5%</w:t>
            </w:r>
          </w:p>
        </w:tc>
        <w:tc>
          <w:tcPr>
            <w:tcW w:w="1134" w:type="dxa"/>
          </w:tcPr>
          <w:p w:rsidR="001164BE" w:rsidRPr="00421991" w:rsidRDefault="001164BE" w:rsidP="00CF3859">
            <w:pPr>
              <w:pStyle w:val="Tabletext2"/>
              <w:spacing w:before="0" w:after="0"/>
              <w:rPr>
                <w:color w:val="auto"/>
              </w:rPr>
            </w:pPr>
            <w:r w:rsidRPr="00421991">
              <w:rPr>
                <w:color w:val="auto"/>
              </w:rPr>
              <w:t>4%</w:t>
            </w:r>
          </w:p>
        </w:tc>
        <w:tc>
          <w:tcPr>
            <w:tcW w:w="1134" w:type="dxa"/>
          </w:tcPr>
          <w:p w:rsidR="001164BE" w:rsidRPr="00421991" w:rsidRDefault="001164BE" w:rsidP="00CF3859">
            <w:pPr>
              <w:pStyle w:val="Tabletext2"/>
              <w:spacing w:before="0" w:after="0"/>
              <w:rPr>
                <w:color w:val="auto"/>
              </w:rPr>
            </w:pPr>
            <w:r w:rsidRPr="00421991">
              <w:rPr>
                <w:color w:val="auto"/>
              </w:rPr>
              <w:t>4%</w:t>
            </w:r>
          </w:p>
        </w:tc>
        <w:tc>
          <w:tcPr>
            <w:tcW w:w="1133" w:type="dxa"/>
          </w:tcPr>
          <w:p w:rsidR="001164BE" w:rsidRPr="00421991" w:rsidRDefault="001164BE" w:rsidP="00CF3859">
            <w:pPr>
              <w:pStyle w:val="Tabletext2"/>
              <w:spacing w:before="0" w:after="0"/>
              <w:rPr>
                <w:color w:val="auto"/>
              </w:rPr>
            </w:pPr>
            <w:r w:rsidRPr="00421991">
              <w:rPr>
                <w:color w:val="auto"/>
              </w:rPr>
              <w:t>4%</w:t>
            </w:r>
          </w:p>
        </w:tc>
      </w:tr>
      <w:tr w:rsidR="00CF3859" w:rsidRPr="00421991" w:rsidTr="00CF3859">
        <w:trPr>
          <w:trHeight w:val="60"/>
        </w:trPr>
        <w:tc>
          <w:tcPr>
            <w:tcW w:w="4025" w:type="dxa"/>
          </w:tcPr>
          <w:p w:rsidR="001164BE" w:rsidRPr="00421991" w:rsidRDefault="001164BE" w:rsidP="00CF3859">
            <w:pPr>
              <w:pStyle w:val="Tabletext"/>
              <w:spacing w:before="0" w:after="0"/>
              <w:rPr>
                <w:color w:val="auto"/>
              </w:rPr>
            </w:pPr>
            <w:r w:rsidRPr="00421991">
              <w:rPr>
                <w:color w:val="auto"/>
              </w:rPr>
              <w:t>Foot and toes</w:t>
            </w:r>
          </w:p>
        </w:tc>
        <w:tc>
          <w:tcPr>
            <w:tcW w:w="1134" w:type="dxa"/>
          </w:tcPr>
          <w:p w:rsidR="001164BE" w:rsidRPr="00421991" w:rsidRDefault="001164BE" w:rsidP="00CF3859">
            <w:pPr>
              <w:pStyle w:val="Tabletext2"/>
              <w:spacing w:before="0" w:after="0"/>
              <w:rPr>
                <w:color w:val="auto"/>
              </w:rPr>
            </w:pPr>
            <w:r w:rsidRPr="00421991">
              <w:rPr>
                <w:color w:val="auto"/>
              </w:rPr>
              <w:t>3%</w:t>
            </w:r>
          </w:p>
        </w:tc>
        <w:tc>
          <w:tcPr>
            <w:tcW w:w="1134" w:type="dxa"/>
          </w:tcPr>
          <w:p w:rsidR="001164BE" w:rsidRPr="00421991" w:rsidRDefault="001164BE" w:rsidP="00CF3859">
            <w:pPr>
              <w:pStyle w:val="Tabletext2"/>
              <w:spacing w:before="0" w:after="0"/>
              <w:rPr>
                <w:color w:val="auto"/>
              </w:rPr>
            </w:pPr>
            <w:r w:rsidRPr="00421991">
              <w:rPr>
                <w:color w:val="auto"/>
              </w:rPr>
              <w:t>4%</w:t>
            </w:r>
          </w:p>
        </w:tc>
        <w:tc>
          <w:tcPr>
            <w:tcW w:w="1134" w:type="dxa"/>
          </w:tcPr>
          <w:p w:rsidR="001164BE" w:rsidRPr="00421991" w:rsidRDefault="001164BE" w:rsidP="00CF3859">
            <w:pPr>
              <w:pStyle w:val="Tabletext2"/>
              <w:spacing w:before="0" w:after="0"/>
              <w:rPr>
                <w:color w:val="auto"/>
              </w:rPr>
            </w:pPr>
            <w:r w:rsidRPr="00421991">
              <w:rPr>
                <w:color w:val="auto"/>
              </w:rPr>
              <w:t>5%</w:t>
            </w:r>
          </w:p>
        </w:tc>
        <w:tc>
          <w:tcPr>
            <w:tcW w:w="1134" w:type="dxa"/>
          </w:tcPr>
          <w:p w:rsidR="001164BE" w:rsidRPr="00421991" w:rsidRDefault="001164BE" w:rsidP="00CF3859">
            <w:pPr>
              <w:pStyle w:val="Tabletext2"/>
              <w:spacing w:before="0" w:after="0"/>
              <w:rPr>
                <w:color w:val="auto"/>
              </w:rPr>
            </w:pPr>
            <w:r w:rsidRPr="00421991">
              <w:rPr>
                <w:color w:val="auto"/>
              </w:rPr>
              <w:t>4%</w:t>
            </w:r>
          </w:p>
        </w:tc>
        <w:tc>
          <w:tcPr>
            <w:tcW w:w="1133" w:type="dxa"/>
          </w:tcPr>
          <w:p w:rsidR="001164BE" w:rsidRPr="00421991" w:rsidRDefault="001164BE" w:rsidP="00CF3859">
            <w:pPr>
              <w:pStyle w:val="Tabletext2"/>
              <w:spacing w:before="0" w:after="0"/>
              <w:rPr>
                <w:color w:val="auto"/>
              </w:rPr>
            </w:pPr>
            <w:r w:rsidRPr="00421991">
              <w:rPr>
                <w:color w:val="auto"/>
              </w:rPr>
              <w:t>4%</w:t>
            </w:r>
          </w:p>
        </w:tc>
      </w:tr>
      <w:tr w:rsidR="00CF3859" w:rsidRPr="00421991" w:rsidTr="00CF3859">
        <w:trPr>
          <w:trHeight w:val="60"/>
        </w:trPr>
        <w:tc>
          <w:tcPr>
            <w:tcW w:w="4025" w:type="dxa"/>
          </w:tcPr>
          <w:p w:rsidR="001164BE" w:rsidRPr="00421991" w:rsidRDefault="001164BE" w:rsidP="00CF3859">
            <w:pPr>
              <w:pStyle w:val="Tabletext"/>
              <w:spacing w:before="0" w:after="0"/>
              <w:rPr>
                <w:color w:val="auto"/>
              </w:rPr>
            </w:pPr>
            <w:r w:rsidRPr="00421991">
              <w:rPr>
                <w:color w:val="auto"/>
              </w:rPr>
              <w:t>Elbow</w:t>
            </w:r>
          </w:p>
        </w:tc>
        <w:tc>
          <w:tcPr>
            <w:tcW w:w="1134" w:type="dxa"/>
          </w:tcPr>
          <w:p w:rsidR="001164BE" w:rsidRPr="00421991" w:rsidRDefault="001164BE" w:rsidP="00CF3859">
            <w:pPr>
              <w:pStyle w:val="Tabletext2"/>
              <w:spacing w:before="0" w:after="0"/>
              <w:rPr>
                <w:color w:val="auto"/>
              </w:rPr>
            </w:pPr>
            <w:r w:rsidRPr="00421991">
              <w:rPr>
                <w:color w:val="auto"/>
              </w:rPr>
              <w:t>2%</w:t>
            </w:r>
          </w:p>
        </w:tc>
        <w:tc>
          <w:tcPr>
            <w:tcW w:w="1134" w:type="dxa"/>
          </w:tcPr>
          <w:p w:rsidR="001164BE" w:rsidRPr="00421991" w:rsidRDefault="001164BE" w:rsidP="00CF3859">
            <w:pPr>
              <w:pStyle w:val="Tabletext2"/>
              <w:spacing w:before="0" w:after="0"/>
              <w:rPr>
                <w:color w:val="auto"/>
              </w:rPr>
            </w:pPr>
            <w:r w:rsidRPr="00421991">
              <w:rPr>
                <w:color w:val="auto"/>
              </w:rPr>
              <w:t>3%</w:t>
            </w:r>
          </w:p>
        </w:tc>
        <w:tc>
          <w:tcPr>
            <w:tcW w:w="1134" w:type="dxa"/>
          </w:tcPr>
          <w:p w:rsidR="001164BE" w:rsidRPr="00421991" w:rsidRDefault="001164BE" w:rsidP="00CF3859">
            <w:pPr>
              <w:pStyle w:val="Tabletext2"/>
              <w:spacing w:before="0" w:after="0"/>
              <w:rPr>
                <w:color w:val="auto"/>
              </w:rPr>
            </w:pPr>
            <w:r w:rsidRPr="00421991">
              <w:rPr>
                <w:color w:val="auto"/>
              </w:rPr>
              <w:t>2%</w:t>
            </w:r>
          </w:p>
        </w:tc>
        <w:tc>
          <w:tcPr>
            <w:tcW w:w="1134" w:type="dxa"/>
          </w:tcPr>
          <w:p w:rsidR="001164BE" w:rsidRPr="00421991" w:rsidRDefault="001164BE" w:rsidP="00CF3859">
            <w:pPr>
              <w:pStyle w:val="Tabletext2"/>
              <w:spacing w:before="0" w:after="0"/>
              <w:rPr>
                <w:color w:val="auto"/>
              </w:rPr>
            </w:pPr>
            <w:r w:rsidRPr="00421991">
              <w:rPr>
                <w:color w:val="auto"/>
              </w:rPr>
              <w:t>3%</w:t>
            </w:r>
          </w:p>
        </w:tc>
        <w:tc>
          <w:tcPr>
            <w:tcW w:w="1133" w:type="dxa"/>
          </w:tcPr>
          <w:p w:rsidR="001164BE" w:rsidRPr="00421991" w:rsidRDefault="001164BE" w:rsidP="00CF3859">
            <w:pPr>
              <w:pStyle w:val="Tabletext2"/>
              <w:spacing w:before="0" w:after="0"/>
              <w:rPr>
                <w:color w:val="auto"/>
              </w:rPr>
            </w:pPr>
            <w:r w:rsidRPr="00421991">
              <w:rPr>
                <w:color w:val="auto"/>
              </w:rPr>
              <w:t>2%</w:t>
            </w:r>
          </w:p>
        </w:tc>
      </w:tr>
      <w:tr w:rsidR="00CF3859" w:rsidRPr="00421991" w:rsidTr="00CF3859">
        <w:trPr>
          <w:trHeight w:val="60"/>
        </w:trPr>
        <w:tc>
          <w:tcPr>
            <w:tcW w:w="4025" w:type="dxa"/>
          </w:tcPr>
          <w:p w:rsidR="001164BE" w:rsidRPr="00421991" w:rsidRDefault="001164BE" w:rsidP="00CF3859">
            <w:pPr>
              <w:pStyle w:val="Tabletext"/>
              <w:spacing w:before="0" w:after="0"/>
              <w:rPr>
                <w:color w:val="auto"/>
              </w:rPr>
            </w:pPr>
            <w:r w:rsidRPr="00421991">
              <w:rPr>
                <w:color w:val="auto"/>
              </w:rPr>
              <w:t>Forearm</w:t>
            </w:r>
          </w:p>
        </w:tc>
        <w:tc>
          <w:tcPr>
            <w:tcW w:w="1134" w:type="dxa"/>
          </w:tcPr>
          <w:p w:rsidR="001164BE" w:rsidRPr="00421991" w:rsidRDefault="001164BE" w:rsidP="00CF3859">
            <w:pPr>
              <w:pStyle w:val="Tabletext2"/>
              <w:spacing w:before="0" w:after="0"/>
              <w:rPr>
                <w:color w:val="auto"/>
              </w:rPr>
            </w:pPr>
            <w:r w:rsidRPr="00421991">
              <w:rPr>
                <w:color w:val="auto"/>
              </w:rPr>
              <w:t>1%</w:t>
            </w:r>
          </w:p>
        </w:tc>
        <w:tc>
          <w:tcPr>
            <w:tcW w:w="1134" w:type="dxa"/>
          </w:tcPr>
          <w:p w:rsidR="001164BE" w:rsidRPr="00421991" w:rsidRDefault="001164BE" w:rsidP="00CF3859">
            <w:pPr>
              <w:pStyle w:val="Tabletext2"/>
              <w:spacing w:before="0" w:after="0"/>
              <w:rPr>
                <w:color w:val="auto"/>
              </w:rPr>
            </w:pPr>
            <w:r w:rsidRPr="00421991">
              <w:rPr>
                <w:color w:val="auto"/>
              </w:rPr>
              <w:t>2%</w:t>
            </w:r>
          </w:p>
        </w:tc>
        <w:tc>
          <w:tcPr>
            <w:tcW w:w="1134" w:type="dxa"/>
          </w:tcPr>
          <w:p w:rsidR="001164BE" w:rsidRPr="00421991" w:rsidRDefault="001164BE" w:rsidP="00CF3859">
            <w:pPr>
              <w:pStyle w:val="Tabletext2"/>
              <w:spacing w:before="0" w:after="0"/>
              <w:rPr>
                <w:color w:val="auto"/>
              </w:rPr>
            </w:pPr>
            <w:r w:rsidRPr="00421991">
              <w:rPr>
                <w:color w:val="auto"/>
              </w:rPr>
              <w:t>2%</w:t>
            </w:r>
          </w:p>
        </w:tc>
        <w:tc>
          <w:tcPr>
            <w:tcW w:w="1134" w:type="dxa"/>
          </w:tcPr>
          <w:p w:rsidR="001164BE" w:rsidRPr="00421991" w:rsidRDefault="001164BE" w:rsidP="00CF3859">
            <w:pPr>
              <w:pStyle w:val="Tabletext2"/>
              <w:spacing w:before="0" w:after="0"/>
              <w:rPr>
                <w:color w:val="auto"/>
              </w:rPr>
            </w:pPr>
            <w:r w:rsidRPr="00421991">
              <w:rPr>
                <w:color w:val="auto"/>
              </w:rPr>
              <w:t>3%</w:t>
            </w:r>
          </w:p>
        </w:tc>
        <w:tc>
          <w:tcPr>
            <w:tcW w:w="1133" w:type="dxa"/>
          </w:tcPr>
          <w:p w:rsidR="001164BE" w:rsidRPr="00421991" w:rsidRDefault="001164BE" w:rsidP="00CF3859">
            <w:pPr>
              <w:pStyle w:val="Tabletext2"/>
              <w:spacing w:before="0" w:after="0"/>
              <w:rPr>
                <w:color w:val="auto"/>
              </w:rPr>
            </w:pPr>
            <w:r w:rsidRPr="00421991">
              <w:rPr>
                <w:color w:val="auto"/>
              </w:rPr>
              <w:t>2%</w:t>
            </w:r>
          </w:p>
        </w:tc>
      </w:tr>
      <w:tr w:rsidR="00CF3859" w:rsidRPr="00421991" w:rsidTr="00CF3859">
        <w:trPr>
          <w:trHeight w:val="60"/>
        </w:trPr>
        <w:tc>
          <w:tcPr>
            <w:tcW w:w="4025" w:type="dxa"/>
          </w:tcPr>
          <w:p w:rsidR="001164BE" w:rsidRPr="00421991" w:rsidRDefault="001164BE" w:rsidP="00CF3859">
            <w:pPr>
              <w:pStyle w:val="Tabletext"/>
              <w:spacing w:before="0" w:after="0"/>
              <w:rPr>
                <w:color w:val="auto"/>
              </w:rPr>
            </w:pPr>
            <w:r w:rsidRPr="00421991">
              <w:rPr>
                <w:color w:val="auto"/>
              </w:rPr>
              <w:t>Abdomen and pelvic region</w:t>
            </w:r>
          </w:p>
        </w:tc>
        <w:tc>
          <w:tcPr>
            <w:tcW w:w="1134" w:type="dxa"/>
          </w:tcPr>
          <w:p w:rsidR="001164BE" w:rsidRPr="00421991" w:rsidRDefault="001164BE" w:rsidP="00CF3859">
            <w:pPr>
              <w:pStyle w:val="Tabletext2"/>
              <w:spacing w:before="0" w:after="0"/>
              <w:rPr>
                <w:color w:val="auto"/>
              </w:rPr>
            </w:pPr>
            <w:r w:rsidRPr="00421991">
              <w:rPr>
                <w:color w:val="auto"/>
              </w:rPr>
              <w:t>2%</w:t>
            </w:r>
          </w:p>
        </w:tc>
        <w:tc>
          <w:tcPr>
            <w:tcW w:w="1134" w:type="dxa"/>
          </w:tcPr>
          <w:p w:rsidR="001164BE" w:rsidRPr="00421991" w:rsidRDefault="001164BE" w:rsidP="00CF3859">
            <w:pPr>
              <w:pStyle w:val="Tabletext2"/>
              <w:spacing w:before="0" w:after="0"/>
              <w:rPr>
                <w:color w:val="auto"/>
              </w:rPr>
            </w:pPr>
            <w:r w:rsidRPr="00421991">
              <w:rPr>
                <w:color w:val="auto"/>
              </w:rPr>
              <w:t>2%</w:t>
            </w:r>
          </w:p>
        </w:tc>
        <w:tc>
          <w:tcPr>
            <w:tcW w:w="1134" w:type="dxa"/>
          </w:tcPr>
          <w:p w:rsidR="001164BE" w:rsidRPr="00421991" w:rsidRDefault="001164BE" w:rsidP="00CF3859">
            <w:pPr>
              <w:pStyle w:val="Tabletext2"/>
              <w:spacing w:before="0" w:after="0"/>
              <w:rPr>
                <w:color w:val="auto"/>
              </w:rPr>
            </w:pPr>
            <w:r w:rsidRPr="00421991">
              <w:rPr>
                <w:color w:val="auto"/>
              </w:rPr>
              <w:t>2%</w:t>
            </w:r>
          </w:p>
        </w:tc>
        <w:tc>
          <w:tcPr>
            <w:tcW w:w="1134" w:type="dxa"/>
          </w:tcPr>
          <w:p w:rsidR="001164BE" w:rsidRPr="00421991" w:rsidRDefault="001164BE" w:rsidP="00CF3859">
            <w:pPr>
              <w:pStyle w:val="Tabletext2"/>
              <w:spacing w:before="0" w:after="0"/>
              <w:rPr>
                <w:color w:val="auto"/>
              </w:rPr>
            </w:pPr>
            <w:r w:rsidRPr="00421991">
              <w:rPr>
                <w:color w:val="auto"/>
              </w:rPr>
              <w:t>1%</w:t>
            </w:r>
          </w:p>
        </w:tc>
        <w:tc>
          <w:tcPr>
            <w:tcW w:w="1133" w:type="dxa"/>
          </w:tcPr>
          <w:p w:rsidR="001164BE" w:rsidRPr="00421991" w:rsidRDefault="001164BE" w:rsidP="00CF3859">
            <w:pPr>
              <w:pStyle w:val="Tabletext2"/>
              <w:spacing w:before="0" w:after="0"/>
              <w:rPr>
                <w:color w:val="auto"/>
              </w:rPr>
            </w:pPr>
            <w:r w:rsidRPr="00421991">
              <w:rPr>
                <w:color w:val="auto"/>
              </w:rPr>
              <w:t>2%</w:t>
            </w:r>
          </w:p>
        </w:tc>
      </w:tr>
      <w:tr w:rsidR="00CF3859" w:rsidRPr="00421991" w:rsidTr="00CF3859">
        <w:trPr>
          <w:trHeight w:val="60"/>
        </w:trPr>
        <w:tc>
          <w:tcPr>
            <w:tcW w:w="4025" w:type="dxa"/>
          </w:tcPr>
          <w:p w:rsidR="001164BE" w:rsidRPr="00421991" w:rsidRDefault="001164BE" w:rsidP="00CF3859">
            <w:pPr>
              <w:pStyle w:val="Tabletext"/>
              <w:spacing w:before="0" w:after="0"/>
              <w:rPr>
                <w:color w:val="auto"/>
              </w:rPr>
            </w:pPr>
            <w:r w:rsidRPr="00421991">
              <w:rPr>
                <w:color w:val="auto"/>
              </w:rPr>
              <w:t>Lower leg</w:t>
            </w:r>
          </w:p>
        </w:tc>
        <w:tc>
          <w:tcPr>
            <w:tcW w:w="1134" w:type="dxa"/>
          </w:tcPr>
          <w:p w:rsidR="001164BE" w:rsidRPr="00421991" w:rsidRDefault="001164BE" w:rsidP="00CF3859">
            <w:pPr>
              <w:pStyle w:val="Tabletext2"/>
              <w:spacing w:before="0" w:after="0"/>
              <w:rPr>
                <w:color w:val="auto"/>
              </w:rPr>
            </w:pPr>
            <w:r w:rsidRPr="00421991">
              <w:rPr>
                <w:color w:val="auto"/>
              </w:rPr>
              <w:t>2%</w:t>
            </w:r>
          </w:p>
        </w:tc>
        <w:tc>
          <w:tcPr>
            <w:tcW w:w="1134" w:type="dxa"/>
          </w:tcPr>
          <w:p w:rsidR="001164BE" w:rsidRPr="00421991" w:rsidRDefault="001164BE" w:rsidP="00CF3859">
            <w:pPr>
              <w:pStyle w:val="Tabletext2"/>
              <w:spacing w:before="0" w:after="0"/>
              <w:rPr>
                <w:color w:val="auto"/>
              </w:rPr>
            </w:pPr>
            <w:r w:rsidRPr="00421991">
              <w:rPr>
                <w:color w:val="auto"/>
              </w:rPr>
              <w:t>2%</w:t>
            </w:r>
          </w:p>
        </w:tc>
        <w:tc>
          <w:tcPr>
            <w:tcW w:w="1134" w:type="dxa"/>
          </w:tcPr>
          <w:p w:rsidR="001164BE" w:rsidRPr="00421991" w:rsidRDefault="001164BE" w:rsidP="00CF3859">
            <w:pPr>
              <w:pStyle w:val="Tabletext2"/>
              <w:spacing w:before="0" w:after="0"/>
              <w:rPr>
                <w:color w:val="auto"/>
              </w:rPr>
            </w:pPr>
            <w:r w:rsidRPr="00421991">
              <w:rPr>
                <w:color w:val="auto"/>
              </w:rPr>
              <w:t>2%</w:t>
            </w:r>
          </w:p>
        </w:tc>
        <w:tc>
          <w:tcPr>
            <w:tcW w:w="1134" w:type="dxa"/>
          </w:tcPr>
          <w:p w:rsidR="001164BE" w:rsidRPr="00421991" w:rsidRDefault="001164BE" w:rsidP="00CF3859">
            <w:pPr>
              <w:pStyle w:val="Tabletext2"/>
              <w:spacing w:before="0" w:after="0"/>
              <w:rPr>
                <w:color w:val="auto"/>
              </w:rPr>
            </w:pPr>
            <w:r w:rsidRPr="00421991">
              <w:rPr>
                <w:color w:val="auto"/>
              </w:rPr>
              <w:t>1%</w:t>
            </w:r>
          </w:p>
        </w:tc>
        <w:tc>
          <w:tcPr>
            <w:tcW w:w="1133" w:type="dxa"/>
          </w:tcPr>
          <w:p w:rsidR="001164BE" w:rsidRPr="00421991" w:rsidRDefault="001164BE" w:rsidP="00CF3859">
            <w:pPr>
              <w:pStyle w:val="Tabletext2"/>
              <w:spacing w:before="0" w:after="0"/>
              <w:rPr>
                <w:color w:val="auto"/>
              </w:rPr>
            </w:pPr>
            <w:r w:rsidRPr="00421991">
              <w:rPr>
                <w:color w:val="auto"/>
              </w:rPr>
              <w:t>2%</w:t>
            </w:r>
          </w:p>
        </w:tc>
      </w:tr>
      <w:tr w:rsidR="00CF3859" w:rsidRPr="00421991" w:rsidTr="00CF3859">
        <w:trPr>
          <w:trHeight w:val="60"/>
        </w:trPr>
        <w:tc>
          <w:tcPr>
            <w:tcW w:w="4025" w:type="dxa"/>
          </w:tcPr>
          <w:p w:rsidR="001164BE" w:rsidRPr="00421991" w:rsidRDefault="001164BE" w:rsidP="00CF3859">
            <w:pPr>
              <w:pStyle w:val="Tabletext"/>
              <w:spacing w:before="0" w:after="0"/>
              <w:rPr>
                <w:color w:val="auto"/>
              </w:rPr>
            </w:pPr>
            <w:r w:rsidRPr="00421991">
              <w:rPr>
                <w:color w:val="auto"/>
              </w:rPr>
              <w:t>Neck</w:t>
            </w:r>
          </w:p>
        </w:tc>
        <w:tc>
          <w:tcPr>
            <w:tcW w:w="1134" w:type="dxa"/>
          </w:tcPr>
          <w:p w:rsidR="001164BE" w:rsidRPr="00421991" w:rsidRDefault="001164BE" w:rsidP="00CF3859">
            <w:pPr>
              <w:pStyle w:val="Tabletext2"/>
              <w:spacing w:before="0" w:after="0"/>
              <w:rPr>
                <w:color w:val="auto"/>
              </w:rPr>
            </w:pPr>
            <w:r w:rsidRPr="00421991">
              <w:rPr>
                <w:color w:val="auto"/>
              </w:rPr>
              <w:t>1%</w:t>
            </w:r>
          </w:p>
        </w:tc>
        <w:tc>
          <w:tcPr>
            <w:tcW w:w="1134" w:type="dxa"/>
          </w:tcPr>
          <w:p w:rsidR="001164BE" w:rsidRPr="00421991" w:rsidRDefault="001164BE" w:rsidP="00CF3859">
            <w:pPr>
              <w:pStyle w:val="Tabletext2"/>
              <w:spacing w:before="0" w:after="0"/>
              <w:rPr>
                <w:color w:val="auto"/>
              </w:rPr>
            </w:pPr>
            <w:r w:rsidRPr="00421991">
              <w:rPr>
                <w:color w:val="auto"/>
              </w:rPr>
              <w:t>1%</w:t>
            </w:r>
          </w:p>
        </w:tc>
        <w:tc>
          <w:tcPr>
            <w:tcW w:w="1134" w:type="dxa"/>
          </w:tcPr>
          <w:p w:rsidR="001164BE" w:rsidRPr="00421991" w:rsidRDefault="001164BE" w:rsidP="00CF3859">
            <w:pPr>
              <w:pStyle w:val="Tabletext2"/>
              <w:spacing w:before="0" w:after="0"/>
              <w:rPr>
                <w:color w:val="auto"/>
              </w:rPr>
            </w:pPr>
            <w:r w:rsidRPr="00421991">
              <w:rPr>
                <w:color w:val="auto"/>
              </w:rPr>
              <w:t>1%</w:t>
            </w:r>
          </w:p>
        </w:tc>
        <w:tc>
          <w:tcPr>
            <w:tcW w:w="1134" w:type="dxa"/>
          </w:tcPr>
          <w:p w:rsidR="001164BE" w:rsidRPr="00421991" w:rsidRDefault="001164BE" w:rsidP="00CF3859">
            <w:pPr>
              <w:pStyle w:val="Tabletext2"/>
              <w:spacing w:before="0" w:after="0"/>
              <w:rPr>
                <w:color w:val="auto"/>
              </w:rPr>
            </w:pPr>
            <w:r w:rsidRPr="00421991">
              <w:rPr>
                <w:color w:val="auto"/>
              </w:rPr>
              <w:t>1%</w:t>
            </w:r>
          </w:p>
        </w:tc>
        <w:tc>
          <w:tcPr>
            <w:tcW w:w="1133" w:type="dxa"/>
          </w:tcPr>
          <w:p w:rsidR="001164BE" w:rsidRPr="00421991" w:rsidRDefault="001164BE" w:rsidP="00CF3859">
            <w:pPr>
              <w:pStyle w:val="Tabletext2"/>
              <w:spacing w:before="0" w:after="0"/>
              <w:rPr>
                <w:color w:val="auto"/>
              </w:rPr>
            </w:pPr>
            <w:r w:rsidRPr="00421991">
              <w:rPr>
                <w:color w:val="auto"/>
              </w:rPr>
              <w:t>1%</w:t>
            </w:r>
          </w:p>
        </w:tc>
      </w:tr>
      <w:tr w:rsidR="00CF3859" w:rsidRPr="00421991" w:rsidTr="00CF3859">
        <w:trPr>
          <w:trHeight w:val="60"/>
        </w:trPr>
        <w:tc>
          <w:tcPr>
            <w:tcW w:w="4025" w:type="dxa"/>
          </w:tcPr>
          <w:p w:rsidR="001164BE" w:rsidRPr="00421991" w:rsidRDefault="001164BE" w:rsidP="00CF3859">
            <w:pPr>
              <w:pStyle w:val="Tabletext"/>
              <w:spacing w:before="0" w:after="0"/>
              <w:rPr>
                <w:color w:val="auto"/>
              </w:rPr>
            </w:pPr>
            <w:r w:rsidRPr="00421991">
              <w:rPr>
                <w:color w:val="auto"/>
              </w:rPr>
              <w:t>Chest (thorax)</w:t>
            </w:r>
          </w:p>
        </w:tc>
        <w:tc>
          <w:tcPr>
            <w:tcW w:w="1134" w:type="dxa"/>
          </w:tcPr>
          <w:p w:rsidR="001164BE" w:rsidRPr="00421991" w:rsidRDefault="001164BE" w:rsidP="00CF3859">
            <w:pPr>
              <w:pStyle w:val="Tabletext2"/>
              <w:spacing w:before="0" w:after="0"/>
              <w:rPr>
                <w:color w:val="auto"/>
              </w:rPr>
            </w:pPr>
            <w:r w:rsidRPr="00421991">
              <w:rPr>
                <w:color w:val="auto"/>
              </w:rPr>
              <w:t>1%</w:t>
            </w:r>
          </w:p>
        </w:tc>
        <w:tc>
          <w:tcPr>
            <w:tcW w:w="1134" w:type="dxa"/>
          </w:tcPr>
          <w:p w:rsidR="001164BE" w:rsidRPr="00421991" w:rsidRDefault="001164BE" w:rsidP="00CF3859">
            <w:pPr>
              <w:pStyle w:val="Tabletext2"/>
              <w:spacing w:before="0" w:after="0"/>
              <w:rPr>
                <w:color w:val="auto"/>
              </w:rPr>
            </w:pPr>
            <w:r w:rsidRPr="00421991">
              <w:rPr>
                <w:color w:val="auto"/>
              </w:rPr>
              <w:t>2%</w:t>
            </w:r>
          </w:p>
        </w:tc>
        <w:tc>
          <w:tcPr>
            <w:tcW w:w="1134" w:type="dxa"/>
          </w:tcPr>
          <w:p w:rsidR="001164BE" w:rsidRPr="00421991" w:rsidRDefault="001164BE" w:rsidP="00CF3859">
            <w:pPr>
              <w:pStyle w:val="Tabletext2"/>
              <w:spacing w:before="0" w:after="0"/>
              <w:rPr>
                <w:color w:val="auto"/>
              </w:rPr>
            </w:pPr>
            <w:r w:rsidRPr="00421991">
              <w:rPr>
                <w:color w:val="auto"/>
              </w:rPr>
              <w:t>1%</w:t>
            </w:r>
          </w:p>
        </w:tc>
        <w:tc>
          <w:tcPr>
            <w:tcW w:w="1134" w:type="dxa"/>
          </w:tcPr>
          <w:p w:rsidR="001164BE" w:rsidRPr="00421991" w:rsidRDefault="001164BE" w:rsidP="00CF3859">
            <w:pPr>
              <w:pStyle w:val="Tabletext2"/>
              <w:spacing w:before="0" w:after="0"/>
              <w:rPr>
                <w:color w:val="auto"/>
              </w:rPr>
            </w:pPr>
            <w:r w:rsidRPr="00421991">
              <w:rPr>
                <w:color w:val="auto"/>
              </w:rPr>
              <w:t>1%</w:t>
            </w:r>
          </w:p>
        </w:tc>
        <w:tc>
          <w:tcPr>
            <w:tcW w:w="1133" w:type="dxa"/>
          </w:tcPr>
          <w:p w:rsidR="001164BE" w:rsidRPr="00421991" w:rsidRDefault="001164BE" w:rsidP="00CF3859">
            <w:pPr>
              <w:pStyle w:val="Tabletext2"/>
              <w:spacing w:before="0" w:after="0"/>
              <w:rPr>
                <w:color w:val="auto"/>
              </w:rPr>
            </w:pPr>
            <w:r w:rsidRPr="00421991">
              <w:rPr>
                <w:color w:val="auto"/>
              </w:rPr>
              <w:t>1%</w:t>
            </w:r>
          </w:p>
        </w:tc>
      </w:tr>
      <w:tr w:rsidR="00CF3859" w:rsidRPr="00421991" w:rsidTr="00CF3859">
        <w:trPr>
          <w:trHeight w:val="60"/>
        </w:trPr>
        <w:tc>
          <w:tcPr>
            <w:tcW w:w="4025" w:type="dxa"/>
          </w:tcPr>
          <w:p w:rsidR="001164BE" w:rsidRPr="00421991" w:rsidRDefault="001164BE" w:rsidP="00CF3859">
            <w:pPr>
              <w:pStyle w:val="Tabletext"/>
              <w:spacing w:before="0" w:after="0"/>
              <w:rPr>
                <w:color w:val="auto"/>
              </w:rPr>
            </w:pPr>
            <w:r w:rsidRPr="00421991">
              <w:rPr>
                <w:rStyle w:val="BoldBody"/>
                <w:color w:val="auto"/>
              </w:rPr>
              <w:t>Total</w:t>
            </w:r>
          </w:p>
        </w:tc>
        <w:tc>
          <w:tcPr>
            <w:tcW w:w="1134" w:type="dxa"/>
          </w:tcPr>
          <w:p w:rsidR="001164BE" w:rsidRPr="00421991" w:rsidRDefault="001164BE" w:rsidP="00CF3859">
            <w:pPr>
              <w:pStyle w:val="Tabletext2"/>
              <w:spacing w:before="0" w:after="0"/>
              <w:rPr>
                <w:color w:val="auto"/>
              </w:rPr>
            </w:pPr>
            <w:r w:rsidRPr="00421991">
              <w:rPr>
                <w:rStyle w:val="BoldBody"/>
                <w:color w:val="auto"/>
              </w:rPr>
              <w:t>100%</w:t>
            </w:r>
          </w:p>
        </w:tc>
        <w:tc>
          <w:tcPr>
            <w:tcW w:w="1134" w:type="dxa"/>
          </w:tcPr>
          <w:p w:rsidR="001164BE" w:rsidRPr="00421991" w:rsidRDefault="001164BE" w:rsidP="00CF3859">
            <w:pPr>
              <w:pStyle w:val="Tabletext2"/>
              <w:spacing w:before="0" w:after="0"/>
              <w:rPr>
                <w:color w:val="auto"/>
              </w:rPr>
            </w:pPr>
            <w:r w:rsidRPr="00421991">
              <w:rPr>
                <w:rStyle w:val="BoldBody"/>
                <w:color w:val="auto"/>
              </w:rPr>
              <w:t>100%</w:t>
            </w:r>
          </w:p>
        </w:tc>
        <w:tc>
          <w:tcPr>
            <w:tcW w:w="1134" w:type="dxa"/>
          </w:tcPr>
          <w:p w:rsidR="001164BE" w:rsidRPr="00421991" w:rsidRDefault="001164BE" w:rsidP="00CF3859">
            <w:pPr>
              <w:pStyle w:val="Tabletext2"/>
              <w:spacing w:before="0" w:after="0"/>
              <w:rPr>
                <w:color w:val="auto"/>
              </w:rPr>
            </w:pPr>
            <w:r w:rsidRPr="00421991">
              <w:rPr>
                <w:rStyle w:val="BoldBody"/>
                <w:color w:val="auto"/>
              </w:rPr>
              <w:t>100%</w:t>
            </w:r>
          </w:p>
        </w:tc>
        <w:tc>
          <w:tcPr>
            <w:tcW w:w="1134" w:type="dxa"/>
          </w:tcPr>
          <w:p w:rsidR="001164BE" w:rsidRPr="00421991" w:rsidRDefault="001164BE" w:rsidP="00CF3859">
            <w:pPr>
              <w:pStyle w:val="Tabletext2"/>
              <w:spacing w:before="0" w:after="0"/>
              <w:rPr>
                <w:color w:val="auto"/>
              </w:rPr>
            </w:pPr>
            <w:r w:rsidRPr="00421991">
              <w:rPr>
                <w:rStyle w:val="BoldBody"/>
                <w:color w:val="auto"/>
              </w:rPr>
              <w:t>100%</w:t>
            </w:r>
          </w:p>
        </w:tc>
        <w:tc>
          <w:tcPr>
            <w:tcW w:w="1133" w:type="dxa"/>
          </w:tcPr>
          <w:p w:rsidR="001164BE" w:rsidRPr="00421991" w:rsidRDefault="001164BE" w:rsidP="00CF3859">
            <w:pPr>
              <w:pStyle w:val="Tabletext2"/>
              <w:spacing w:before="0" w:after="0"/>
              <w:rPr>
                <w:color w:val="auto"/>
              </w:rPr>
            </w:pPr>
            <w:r w:rsidRPr="00421991">
              <w:rPr>
                <w:rStyle w:val="BoldBody"/>
                <w:color w:val="auto"/>
              </w:rPr>
              <w:t>100%</w:t>
            </w:r>
          </w:p>
        </w:tc>
      </w:tr>
    </w:tbl>
    <w:p w:rsidR="001164BE" w:rsidRPr="00421991" w:rsidRDefault="001164BE" w:rsidP="001164BE">
      <w:pPr>
        <w:pStyle w:val="FootnoteFiguresandtables"/>
        <w:rPr>
          <w:color w:val="auto"/>
        </w:rPr>
      </w:pPr>
      <w:r w:rsidRPr="00421991">
        <w:rPr>
          <w:color w:val="auto"/>
        </w:rPr>
        <w:t>Columns may not add up to 100% because the table outlines selected bodily locations of injury or disease.</w:t>
      </w:r>
    </w:p>
    <w:p w:rsidR="001164BE" w:rsidRPr="00421991" w:rsidRDefault="001164BE" w:rsidP="001164BE">
      <w:pPr>
        <w:pStyle w:val="FootnoteFiguresandtables"/>
        <w:rPr>
          <w:color w:val="auto"/>
        </w:rPr>
      </w:pPr>
      <w:r w:rsidRPr="00421991">
        <w:rPr>
          <w:color w:val="auto"/>
        </w:rPr>
        <w:t>Source: National Data Set for Compensation-Based Statistics.</w:t>
      </w:r>
    </w:p>
    <w:p w:rsidR="001164BE" w:rsidRPr="00421991" w:rsidRDefault="001164BE" w:rsidP="00DD2ECE">
      <w:pPr>
        <w:pStyle w:val="Heading3"/>
      </w:pPr>
      <w:bookmarkStart w:id="57" w:name="_Toc419453284"/>
      <w:bookmarkStart w:id="58" w:name="_Toc426441702"/>
      <w:r w:rsidRPr="00421991">
        <w:t>Bodily location of injuries and diseases by age group</w:t>
      </w:r>
      <w:bookmarkEnd w:id="57"/>
      <w:bookmarkEnd w:id="58"/>
    </w:p>
    <w:p w:rsidR="001164BE" w:rsidRPr="00421991" w:rsidRDefault="001164BE" w:rsidP="001164BE">
      <w:pPr>
        <w:pStyle w:val="TextBody"/>
        <w:rPr>
          <w:color w:val="auto"/>
        </w:rPr>
      </w:pPr>
      <w:r w:rsidRPr="00421991">
        <w:rPr>
          <w:color w:val="auto"/>
        </w:rPr>
        <w:t>Compared with older employees, younger employees who made serious claims were more likely to have sustained injuries and diseases to the hand, fingers and thumb. The proportion of serious claims involving this body part increased as age group declined from 9% of employees aged 60–64 years to 36% of employees aged 15–19 years.</w:t>
      </w:r>
    </w:p>
    <w:p w:rsidR="001164BE" w:rsidRPr="00421991" w:rsidRDefault="001164BE" w:rsidP="001164BE">
      <w:pPr>
        <w:pStyle w:val="TextBody"/>
        <w:rPr>
          <w:color w:val="auto"/>
        </w:rPr>
      </w:pPr>
      <w:r w:rsidRPr="00421991">
        <w:rPr>
          <w:color w:val="auto"/>
        </w:rPr>
        <w:t>Compared with younger employees, older employees who made serious claims were more likely to have sustained injuries and diseases to the knee and shoulder. The proportions of serious claims involving these body parts increased as age group increased.</w:t>
      </w:r>
    </w:p>
    <w:p w:rsidR="001164BE" w:rsidRPr="00421991" w:rsidRDefault="001164BE" w:rsidP="001164BE">
      <w:pPr>
        <w:pStyle w:val="TextBody"/>
        <w:rPr>
          <w:color w:val="auto"/>
        </w:rPr>
      </w:pPr>
      <w:r w:rsidRPr="00421991">
        <w:rPr>
          <w:color w:val="auto"/>
        </w:rPr>
        <w:t>Back-related serious claims were least common among employees aged 15–19 years (12%) and most common among employees aged 35–39 years (25%). Table 9 outlines the percentage of serious claims for each age group by bodily location of injury or disease for 2010–11 to 2012–13.</w:t>
      </w:r>
    </w:p>
    <w:p w:rsidR="001164BE" w:rsidRPr="00421991" w:rsidRDefault="001164BE" w:rsidP="001164BE">
      <w:pPr>
        <w:pStyle w:val="Tabletitle"/>
        <w:rPr>
          <w:color w:val="auto"/>
        </w:rPr>
      </w:pPr>
      <w:r w:rsidRPr="00421991">
        <w:rPr>
          <w:color w:val="auto"/>
        </w:rPr>
        <w:t>Table 9: Serious claims in accommodation and food services industry: percentage of serious claims for each age group by bodily location of injury or disease, 2010–11 to 2012–13 combined</w:t>
      </w:r>
    </w:p>
    <w:tbl>
      <w:tblPr>
        <w:tblStyle w:val="TableGrid"/>
        <w:tblW w:w="9748" w:type="dxa"/>
        <w:tblLayout w:type="fixed"/>
        <w:tblLook w:val="0000" w:firstRow="0" w:lastRow="0" w:firstColumn="0" w:lastColumn="0" w:noHBand="0" w:noVBand="0"/>
        <w:tblCaption w:val="Table 9: Serious claims in accommodation and food services industry: percentage of serious claims for each age group by bodily location of injury or disease, 2010–11 to 2012–13 combined"/>
      </w:tblPr>
      <w:tblGrid>
        <w:gridCol w:w="2268"/>
        <w:gridCol w:w="680"/>
        <w:gridCol w:w="680"/>
        <w:gridCol w:w="680"/>
        <w:gridCol w:w="680"/>
        <w:gridCol w:w="680"/>
        <w:gridCol w:w="680"/>
        <w:gridCol w:w="680"/>
        <w:gridCol w:w="680"/>
        <w:gridCol w:w="680"/>
        <w:gridCol w:w="680"/>
        <w:gridCol w:w="680"/>
      </w:tblGrid>
      <w:tr w:rsidR="00CF3859" w:rsidRPr="00421991" w:rsidTr="008D5510">
        <w:trPr>
          <w:trHeight w:val="60"/>
          <w:tblHeader/>
        </w:trPr>
        <w:tc>
          <w:tcPr>
            <w:tcW w:w="2268" w:type="dxa"/>
            <w:vAlign w:val="center"/>
          </w:tcPr>
          <w:p w:rsidR="001164BE" w:rsidRPr="00421991" w:rsidRDefault="001164BE" w:rsidP="00767FA1">
            <w:pPr>
              <w:pStyle w:val="Tabletext"/>
              <w:spacing w:before="0" w:after="0"/>
              <w:rPr>
                <w:color w:val="auto"/>
              </w:rPr>
            </w:pPr>
            <w:r w:rsidRPr="00421991">
              <w:rPr>
                <w:rStyle w:val="BoldBody"/>
                <w:color w:val="auto"/>
              </w:rPr>
              <w:t>Bodily location of injury or disease</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15-19</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20-24</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25-29</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30-34</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35-39</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40-44</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45-49</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50-54</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55-59</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60-64</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65+</w:t>
            </w:r>
          </w:p>
        </w:tc>
      </w:tr>
      <w:tr w:rsidR="00CF3859" w:rsidRPr="00421991" w:rsidTr="00767FA1">
        <w:trPr>
          <w:trHeight w:val="60"/>
        </w:trPr>
        <w:tc>
          <w:tcPr>
            <w:tcW w:w="2268" w:type="dxa"/>
            <w:vAlign w:val="center"/>
          </w:tcPr>
          <w:p w:rsidR="001164BE" w:rsidRPr="00421991" w:rsidRDefault="001164BE" w:rsidP="00767FA1">
            <w:pPr>
              <w:pStyle w:val="Tabletext"/>
              <w:spacing w:before="0" w:after="0"/>
              <w:rPr>
                <w:color w:val="auto"/>
              </w:rPr>
            </w:pPr>
            <w:r w:rsidRPr="00421991">
              <w:rPr>
                <w:color w:val="auto"/>
              </w:rPr>
              <w:t>Hand, fingers and thumb</w:t>
            </w:r>
          </w:p>
        </w:tc>
        <w:tc>
          <w:tcPr>
            <w:tcW w:w="680" w:type="dxa"/>
            <w:vAlign w:val="center"/>
          </w:tcPr>
          <w:p w:rsidR="001164BE" w:rsidRPr="00421991" w:rsidRDefault="001164BE" w:rsidP="00767FA1">
            <w:pPr>
              <w:pStyle w:val="Tabletext2"/>
              <w:spacing w:before="0" w:after="0"/>
              <w:rPr>
                <w:color w:val="auto"/>
              </w:rPr>
            </w:pPr>
            <w:r w:rsidRPr="00421991">
              <w:rPr>
                <w:color w:val="auto"/>
              </w:rPr>
              <w:t>36%</w:t>
            </w:r>
          </w:p>
        </w:tc>
        <w:tc>
          <w:tcPr>
            <w:tcW w:w="680" w:type="dxa"/>
            <w:vAlign w:val="center"/>
          </w:tcPr>
          <w:p w:rsidR="001164BE" w:rsidRPr="00421991" w:rsidRDefault="001164BE" w:rsidP="00767FA1">
            <w:pPr>
              <w:pStyle w:val="Tabletext2"/>
              <w:spacing w:before="0" w:after="0"/>
              <w:rPr>
                <w:color w:val="auto"/>
              </w:rPr>
            </w:pPr>
            <w:r w:rsidRPr="00421991">
              <w:rPr>
                <w:color w:val="auto"/>
              </w:rPr>
              <w:t>31%</w:t>
            </w:r>
          </w:p>
        </w:tc>
        <w:tc>
          <w:tcPr>
            <w:tcW w:w="680" w:type="dxa"/>
            <w:vAlign w:val="center"/>
          </w:tcPr>
          <w:p w:rsidR="001164BE" w:rsidRPr="00421991" w:rsidRDefault="001164BE" w:rsidP="00767FA1">
            <w:pPr>
              <w:pStyle w:val="Tabletext2"/>
              <w:spacing w:before="0" w:after="0"/>
              <w:rPr>
                <w:color w:val="auto"/>
              </w:rPr>
            </w:pPr>
            <w:r w:rsidRPr="00421991">
              <w:rPr>
                <w:color w:val="auto"/>
              </w:rPr>
              <w:t>30%</w:t>
            </w:r>
          </w:p>
        </w:tc>
        <w:tc>
          <w:tcPr>
            <w:tcW w:w="680" w:type="dxa"/>
            <w:vAlign w:val="center"/>
          </w:tcPr>
          <w:p w:rsidR="001164BE" w:rsidRPr="00421991" w:rsidRDefault="001164BE" w:rsidP="00767FA1">
            <w:pPr>
              <w:pStyle w:val="Tabletext2"/>
              <w:spacing w:before="0" w:after="0"/>
              <w:rPr>
                <w:color w:val="auto"/>
              </w:rPr>
            </w:pPr>
            <w:r w:rsidRPr="00421991">
              <w:rPr>
                <w:color w:val="auto"/>
              </w:rPr>
              <w:t>23%</w:t>
            </w:r>
          </w:p>
        </w:tc>
        <w:tc>
          <w:tcPr>
            <w:tcW w:w="680" w:type="dxa"/>
            <w:vAlign w:val="center"/>
          </w:tcPr>
          <w:p w:rsidR="001164BE" w:rsidRPr="00421991" w:rsidRDefault="001164BE" w:rsidP="00767FA1">
            <w:pPr>
              <w:pStyle w:val="Tabletext2"/>
              <w:spacing w:before="0" w:after="0"/>
              <w:rPr>
                <w:color w:val="auto"/>
              </w:rPr>
            </w:pPr>
            <w:r w:rsidRPr="00421991">
              <w:rPr>
                <w:color w:val="auto"/>
              </w:rPr>
              <w:t>19%</w:t>
            </w:r>
          </w:p>
        </w:tc>
        <w:tc>
          <w:tcPr>
            <w:tcW w:w="680" w:type="dxa"/>
            <w:vAlign w:val="center"/>
          </w:tcPr>
          <w:p w:rsidR="001164BE" w:rsidRPr="00421991" w:rsidRDefault="001164BE" w:rsidP="00767FA1">
            <w:pPr>
              <w:pStyle w:val="Tabletext2"/>
              <w:spacing w:before="0" w:after="0"/>
              <w:rPr>
                <w:color w:val="auto"/>
              </w:rPr>
            </w:pPr>
            <w:r w:rsidRPr="00421991">
              <w:rPr>
                <w:color w:val="auto"/>
              </w:rPr>
              <w:t>16%</w:t>
            </w:r>
          </w:p>
        </w:tc>
        <w:tc>
          <w:tcPr>
            <w:tcW w:w="680" w:type="dxa"/>
            <w:vAlign w:val="center"/>
          </w:tcPr>
          <w:p w:rsidR="001164BE" w:rsidRPr="00421991" w:rsidRDefault="001164BE" w:rsidP="00767FA1">
            <w:pPr>
              <w:pStyle w:val="Tabletext2"/>
              <w:spacing w:before="0" w:after="0"/>
              <w:rPr>
                <w:color w:val="auto"/>
              </w:rPr>
            </w:pPr>
            <w:r w:rsidRPr="00421991">
              <w:rPr>
                <w:color w:val="auto"/>
              </w:rPr>
              <w:t>14%</w:t>
            </w:r>
          </w:p>
        </w:tc>
        <w:tc>
          <w:tcPr>
            <w:tcW w:w="680" w:type="dxa"/>
            <w:vAlign w:val="center"/>
          </w:tcPr>
          <w:p w:rsidR="001164BE" w:rsidRPr="00421991" w:rsidRDefault="001164BE" w:rsidP="00767FA1">
            <w:pPr>
              <w:pStyle w:val="Tabletext2"/>
              <w:spacing w:before="0" w:after="0"/>
              <w:rPr>
                <w:color w:val="auto"/>
              </w:rPr>
            </w:pPr>
            <w:r w:rsidRPr="00421991">
              <w:rPr>
                <w:color w:val="auto"/>
              </w:rPr>
              <w:t>12%</w:t>
            </w:r>
          </w:p>
        </w:tc>
        <w:tc>
          <w:tcPr>
            <w:tcW w:w="680" w:type="dxa"/>
            <w:vAlign w:val="center"/>
          </w:tcPr>
          <w:p w:rsidR="001164BE" w:rsidRPr="00421991" w:rsidRDefault="001164BE" w:rsidP="00767FA1">
            <w:pPr>
              <w:pStyle w:val="Tabletext2"/>
              <w:spacing w:before="0" w:after="0"/>
              <w:rPr>
                <w:color w:val="auto"/>
              </w:rPr>
            </w:pPr>
            <w:r w:rsidRPr="00421991">
              <w:rPr>
                <w:color w:val="auto"/>
              </w:rPr>
              <w:t>11%</w:t>
            </w:r>
          </w:p>
        </w:tc>
        <w:tc>
          <w:tcPr>
            <w:tcW w:w="680" w:type="dxa"/>
            <w:vAlign w:val="center"/>
          </w:tcPr>
          <w:p w:rsidR="001164BE" w:rsidRPr="00421991" w:rsidRDefault="001164BE" w:rsidP="00767FA1">
            <w:pPr>
              <w:pStyle w:val="Tabletext2"/>
              <w:spacing w:before="0" w:after="0"/>
              <w:rPr>
                <w:color w:val="auto"/>
              </w:rPr>
            </w:pPr>
            <w:r w:rsidRPr="00421991">
              <w:rPr>
                <w:color w:val="auto"/>
              </w:rPr>
              <w:t>9%</w:t>
            </w:r>
          </w:p>
        </w:tc>
        <w:tc>
          <w:tcPr>
            <w:tcW w:w="680" w:type="dxa"/>
            <w:vAlign w:val="center"/>
          </w:tcPr>
          <w:p w:rsidR="001164BE" w:rsidRPr="00421991" w:rsidRDefault="001164BE" w:rsidP="00767FA1">
            <w:pPr>
              <w:pStyle w:val="Tabletext2"/>
              <w:spacing w:before="0" w:after="0"/>
              <w:rPr>
                <w:color w:val="auto"/>
              </w:rPr>
            </w:pPr>
            <w:r w:rsidRPr="00421991">
              <w:rPr>
                <w:color w:val="auto"/>
              </w:rPr>
              <w:t>14%</w:t>
            </w:r>
          </w:p>
        </w:tc>
      </w:tr>
      <w:tr w:rsidR="00CF3859" w:rsidRPr="00421991" w:rsidTr="00767FA1">
        <w:trPr>
          <w:trHeight w:val="60"/>
        </w:trPr>
        <w:tc>
          <w:tcPr>
            <w:tcW w:w="2268" w:type="dxa"/>
            <w:vAlign w:val="center"/>
          </w:tcPr>
          <w:p w:rsidR="001164BE" w:rsidRPr="00421991" w:rsidRDefault="001164BE" w:rsidP="00767FA1">
            <w:pPr>
              <w:pStyle w:val="Tabletext"/>
              <w:spacing w:before="0" w:after="0"/>
              <w:rPr>
                <w:color w:val="auto"/>
              </w:rPr>
            </w:pPr>
            <w:r w:rsidRPr="00421991">
              <w:rPr>
                <w:color w:val="auto"/>
              </w:rPr>
              <w:t>Back - upper or lower</w:t>
            </w:r>
          </w:p>
        </w:tc>
        <w:tc>
          <w:tcPr>
            <w:tcW w:w="680" w:type="dxa"/>
            <w:vAlign w:val="center"/>
          </w:tcPr>
          <w:p w:rsidR="001164BE" w:rsidRPr="00421991" w:rsidRDefault="001164BE" w:rsidP="00767FA1">
            <w:pPr>
              <w:pStyle w:val="Tabletext2"/>
              <w:spacing w:before="0" w:after="0"/>
              <w:rPr>
                <w:color w:val="auto"/>
              </w:rPr>
            </w:pPr>
            <w:r w:rsidRPr="00421991">
              <w:rPr>
                <w:color w:val="auto"/>
              </w:rPr>
              <w:t>12%</w:t>
            </w:r>
          </w:p>
        </w:tc>
        <w:tc>
          <w:tcPr>
            <w:tcW w:w="680" w:type="dxa"/>
            <w:vAlign w:val="center"/>
          </w:tcPr>
          <w:p w:rsidR="001164BE" w:rsidRPr="00421991" w:rsidRDefault="001164BE" w:rsidP="00767FA1">
            <w:pPr>
              <w:pStyle w:val="Tabletext2"/>
              <w:spacing w:before="0" w:after="0"/>
              <w:rPr>
                <w:color w:val="auto"/>
              </w:rPr>
            </w:pPr>
            <w:r w:rsidRPr="00421991">
              <w:rPr>
                <w:color w:val="auto"/>
              </w:rPr>
              <w:t>17%</w:t>
            </w:r>
          </w:p>
        </w:tc>
        <w:tc>
          <w:tcPr>
            <w:tcW w:w="680" w:type="dxa"/>
            <w:vAlign w:val="center"/>
          </w:tcPr>
          <w:p w:rsidR="001164BE" w:rsidRPr="00421991" w:rsidRDefault="001164BE" w:rsidP="00767FA1">
            <w:pPr>
              <w:pStyle w:val="Tabletext2"/>
              <w:spacing w:before="0" w:after="0"/>
              <w:rPr>
                <w:color w:val="auto"/>
              </w:rPr>
            </w:pPr>
            <w:r w:rsidRPr="00421991">
              <w:rPr>
                <w:color w:val="auto"/>
              </w:rPr>
              <w:t>20%</w:t>
            </w:r>
          </w:p>
        </w:tc>
        <w:tc>
          <w:tcPr>
            <w:tcW w:w="680" w:type="dxa"/>
            <w:vAlign w:val="center"/>
          </w:tcPr>
          <w:p w:rsidR="001164BE" w:rsidRPr="00421991" w:rsidRDefault="001164BE" w:rsidP="00767FA1">
            <w:pPr>
              <w:pStyle w:val="Tabletext2"/>
              <w:spacing w:before="0" w:after="0"/>
              <w:rPr>
                <w:color w:val="auto"/>
              </w:rPr>
            </w:pPr>
            <w:r w:rsidRPr="00421991">
              <w:rPr>
                <w:color w:val="auto"/>
              </w:rPr>
              <w:t>22%</w:t>
            </w:r>
          </w:p>
        </w:tc>
        <w:tc>
          <w:tcPr>
            <w:tcW w:w="680" w:type="dxa"/>
            <w:vAlign w:val="center"/>
          </w:tcPr>
          <w:p w:rsidR="001164BE" w:rsidRPr="00421991" w:rsidRDefault="001164BE" w:rsidP="00767FA1">
            <w:pPr>
              <w:pStyle w:val="Tabletext2"/>
              <w:spacing w:before="0" w:after="0"/>
              <w:rPr>
                <w:color w:val="auto"/>
              </w:rPr>
            </w:pPr>
            <w:r w:rsidRPr="00421991">
              <w:rPr>
                <w:color w:val="auto"/>
              </w:rPr>
              <w:t>25%</w:t>
            </w:r>
          </w:p>
        </w:tc>
        <w:tc>
          <w:tcPr>
            <w:tcW w:w="680" w:type="dxa"/>
            <w:vAlign w:val="center"/>
          </w:tcPr>
          <w:p w:rsidR="001164BE" w:rsidRPr="00421991" w:rsidRDefault="001164BE" w:rsidP="00767FA1">
            <w:pPr>
              <w:pStyle w:val="Tabletext2"/>
              <w:spacing w:before="0" w:after="0"/>
              <w:rPr>
                <w:color w:val="auto"/>
              </w:rPr>
            </w:pPr>
            <w:r w:rsidRPr="00421991">
              <w:rPr>
                <w:color w:val="auto"/>
              </w:rPr>
              <w:t>23%</w:t>
            </w:r>
          </w:p>
        </w:tc>
        <w:tc>
          <w:tcPr>
            <w:tcW w:w="680" w:type="dxa"/>
            <w:vAlign w:val="center"/>
          </w:tcPr>
          <w:p w:rsidR="001164BE" w:rsidRPr="00421991" w:rsidRDefault="001164BE" w:rsidP="00767FA1">
            <w:pPr>
              <w:pStyle w:val="Tabletext2"/>
              <w:spacing w:before="0" w:after="0"/>
              <w:rPr>
                <w:color w:val="auto"/>
              </w:rPr>
            </w:pPr>
            <w:r w:rsidRPr="00421991">
              <w:rPr>
                <w:color w:val="auto"/>
              </w:rPr>
              <w:t>22%</w:t>
            </w:r>
          </w:p>
        </w:tc>
        <w:tc>
          <w:tcPr>
            <w:tcW w:w="680" w:type="dxa"/>
            <w:vAlign w:val="center"/>
          </w:tcPr>
          <w:p w:rsidR="001164BE" w:rsidRPr="00421991" w:rsidRDefault="001164BE" w:rsidP="00767FA1">
            <w:pPr>
              <w:pStyle w:val="Tabletext2"/>
              <w:spacing w:before="0" w:after="0"/>
              <w:rPr>
                <w:color w:val="auto"/>
              </w:rPr>
            </w:pPr>
            <w:r w:rsidRPr="00421991">
              <w:rPr>
                <w:color w:val="auto"/>
              </w:rPr>
              <w:t>20%</w:t>
            </w:r>
          </w:p>
        </w:tc>
        <w:tc>
          <w:tcPr>
            <w:tcW w:w="680" w:type="dxa"/>
            <w:vAlign w:val="center"/>
          </w:tcPr>
          <w:p w:rsidR="001164BE" w:rsidRPr="00421991" w:rsidRDefault="001164BE" w:rsidP="00767FA1">
            <w:pPr>
              <w:pStyle w:val="Tabletext2"/>
              <w:spacing w:before="0" w:after="0"/>
              <w:rPr>
                <w:color w:val="auto"/>
              </w:rPr>
            </w:pPr>
            <w:r w:rsidRPr="00421991">
              <w:rPr>
                <w:color w:val="auto"/>
              </w:rPr>
              <w:t>19%</w:t>
            </w:r>
          </w:p>
        </w:tc>
        <w:tc>
          <w:tcPr>
            <w:tcW w:w="680" w:type="dxa"/>
            <w:vAlign w:val="center"/>
          </w:tcPr>
          <w:p w:rsidR="001164BE" w:rsidRPr="00421991" w:rsidRDefault="001164BE" w:rsidP="00767FA1">
            <w:pPr>
              <w:pStyle w:val="Tabletext2"/>
              <w:spacing w:before="0" w:after="0"/>
              <w:rPr>
                <w:color w:val="auto"/>
              </w:rPr>
            </w:pPr>
            <w:r w:rsidRPr="00421991">
              <w:rPr>
                <w:color w:val="auto"/>
              </w:rPr>
              <w:t>21%</w:t>
            </w:r>
          </w:p>
        </w:tc>
        <w:tc>
          <w:tcPr>
            <w:tcW w:w="680" w:type="dxa"/>
            <w:vAlign w:val="center"/>
          </w:tcPr>
          <w:p w:rsidR="001164BE" w:rsidRPr="00421991" w:rsidRDefault="001164BE" w:rsidP="00767FA1">
            <w:pPr>
              <w:pStyle w:val="Tabletext2"/>
              <w:spacing w:before="0" w:after="0"/>
              <w:rPr>
                <w:color w:val="auto"/>
              </w:rPr>
            </w:pPr>
            <w:r w:rsidRPr="00421991">
              <w:rPr>
                <w:color w:val="auto"/>
              </w:rPr>
              <w:t>13%</w:t>
            </w:r>
          </w:p>
        </w:tc>
      </w:tr>
      <w:tr w:rsidR="00CF3859" w:rsidRPr="00421991" w:rsidTr="00767FA1">
        <w:trPr>
          <w:trHeight w:val="60"/>
        </w:trPr>
        <w:tc>
          <w:tcPr>
            <w:tcW w:w="2268" w:type="dxa"/>
            <w:vAlign w:val="center"/>
          </w:tcPr>
          <w:p w:rsidR="001164BE" w:rsidRPr="00421991" w:rsidRDefault="001164BE" w:rsidP="00767FA1">
            <w:pPr>
              <w:pStyle w:val="Tabletext"/>
              <w:spacing w:before="0" w:after="0"/>
              <w:rPr>
                <w:color w:val="auto"/>
              </w:rPr>
            </w:pPr>
            <w:r w:rsidRPr="00421991">
              <w:rPr>
                <w:color w:val="auto"/>
              </w:rPr>
              <w:t>Knee</w:t>
            </w:r>
          </w:p>
        </w:tc>
        <w:tc>
          <w:tcPr>
            <w:tcW w:w="680" w:type="dxa"/>
            <w:vAlign w:val="center"/>
          </w:tcPr>
          <w:p w:rsidR="001164BE" w:rsidRPr="00421991" w:rsidRDefault="001164BE" w:rsidP="00767FA1">
            <w:pPr>
              <w:pStyle w:val="Tabletext2"/>
              <w:spacing w:before="0" w:after="0"/>
              <w:rPr>
                <w:color w:val="auto"/>
              </w:rPr>
            </w:pPr>
            <w:r w:rsidRPr="00421991">
              <w:rPr>
                <w:color w:val="auto"/>
              </w:rPr>
              <w:t>8%</w:t>
            </w:r>
          </w:p>
        </w:tc>
        <w:tc>
          <w:tcPr>
            <w:tcW w:w="680" w:type="dxa"/>
            <w:vAlign w:val="center"/>
          </w:tcPr>
          <w:p w:rsidR="001164BE" w:rsidRPr="00421991" w:rsidRDefault="001164BE" w:rsidP="00767FA1">
            <w:pPr>
              <w:pStyle w:val="Tabletext2"/>
              <w:spacing w:before="0" w:after="0"/>
              <w:rPr>
                <w:color w:val="auto"/>
              </w:rPr>
            </w:pPr>
            <w:r w:rsidRPr="00421991">
              <w:rPr>
                <w:color w:val="auto"/>
              </w:rPr>
              <w:t>7%</w:t>
            </w:r>
          </w:p>
        </w:tc>
        <w:tc>
          <w:tcPr>
            <w:tcW w:w="680" w:type="dxa"/>
            <w:vAlign w:val="center"/>
          </w:tcPr>
          <w:p w:rsidR="001164BE" w:rsidRPr="00421991" w:rsidRDefault="001164BE" w:rsidP="00767FA1">
            <w:pPr>
              <w:pStyle w:val="Tabletext2"/>
              <w:spacing w:before="0" w:after="0"/>
              <w:rPr>
                <w:color w:val="auto"/>
              </w:rPr>
            </w:pPr>
            <w:r w:rsidRPr="00421991">
              <w:rPr>
                <w:color w:val="auto"/>
              </w:rPr>
              <w:t>6%</w:t>
            </w:r>
          </w:p>
        </w:tc>
        <w:tc>
          <w:tcPr>
            <w:tcW w:w="680" w:type="dxa"/>
            <w:vAlign w:val="center"/>
          </w:tcPr>
          <w:p w:rsidR="001164BE" w:rsidRPr="00421991" w:rsidRDefault="001164BE" w:rsidP="00767FA1">
            <w:pPr>
              <w:pStyle w:val="Tabletext2"/>
              <w:spacing w:before="0" w:after="0"/>
              <w:rPr>
                <w:color w:val="auto"/>
              </w:rPr>
            </w:pPr>
            <w:r w:rsidRPr="00421991">
              <w:rPr>
                <w:color w:val="auto"/>
              </w:rPr>
              <w:t>8%</w:t>
            </w:r>
          </w:p>
        </w:tc>
        <w:tc>
          <w:tcPr>
            <w:tcW w:w="680" w:type="dxa"/>
            <w:vAlign w:val="center"/>
          </w:tcPr>
          <w:p w:rsidR="001164BE" w:rsidRPr="00421991" w:rsidRDefault="001164BE" w:rsidP="00767FA1">
            <w:pPr>
              <w:pStyle w:val="Tabletext2"/>
              <w:spacing w:before="0" w:after="0"/>
              <w:rPr>
                <w:color w:val="auto"/>
              </w:rPr>
            </w:pPr>
            <w:r w:rsidRPr="00421991">
              <w:rPr>
                <w:color w:val="auto"/>
              </w:rPr>
              <w:t>7%</w:t>
            </w:r>
          </w:p>
        </w:tc>
        <w:tc>
          <w:tcPr>
            <w:tcW w:w="680" w:type="dxa"/>
            <w:vAlign w:val="center"/>
          </w:tcPr>
          <w:p w:rsidR="001164BE" w:rsidRPr="00421991" w:rsidRDefault="001164BE" w:rsidP="00767FA1">
            <w:pPr>
              <w:pStyle w:val="Tabletext2"/>
              <w:spacing w:before="0" w:after="0"/>
              <w:rPr>
                <w:color w:val="auto"/>
              </w:rPr>
            </w:pPr>
            <w:r w:rsidRPr="00421991">
              <w:rPr>
                <w:color w:val="auto"/>
              </w:rPr>
              <w:t>9%</w:t>
            </w:r>
          </w:p>
        </w:tc>
        <w:tc>
          <w:tcPr>
            <w:tcW w:w="680" w:type="dxa"/>
            <w:vAlign w:val="center"/>
          </w:tcPr>
          <w:p w:rsidR="001164BE" w:rsidRPr="00421991" w:rsidRDefault="001164BE" w:rsidP="00767FA1">
            <w:pPr>
              <w:pStyle w:val="Tabletext2"/>
              <w:spacing w:before="0" w:after="0"/>
              <w:rPr>
                <w:color w:val="auto"/>
              </w:rPr>
            </w:pPr>
            <w:r w:rsidRPr="00421991">
              <w:rPr>
                <w:color w:val="auto"/>
              </w:rPr>
              <w:t>9%</w:t>
            </w:r>
          </w:p>
        </w:tc>
        <w:tc>
          <w:tcPr>
            <w:tcW w:w="680" w:type="dxa"/>
            <w:vAlign w:val="center"/>
          </w:tcPr>
          <w:p w:rsidR="001164BE" w:rsidRPr="00421991" w:rsidRDefault="001164BE" w:rsidP="00767FA1">
            <w:pPr>
              <w:pStyle w:val="Tabletext2"/>
              <w:spacing w:before="0" w:after="0"/>
              <w:rPr>
                <w:color w:val="auto"/>
              </w:rPr>
            </w:pPr>
            <w:r w:rsidRPr="00421991">
              <w:rPr>
                <w:color w:val="auto"/>
              </w:rPr>
              <w:t>10%</w:t>
            </w:r>
          </w:p>
        </w:tc>
        <w:tc>
          <w:tcPr>
            <w:tcW w:w="680" w:type="dxa"/>
            <w:vAlign w:val="center"/>
          </w:tcPr>
          <w:p w:rsidR="001164BE" w:rsidRPr="00421991" w:rsidRDefault="001164BE" w:rsidP="00767FA1">
            <w:pPr>
              <w:pStyle w:val="Tabletext2"/>
              <w:spacing w:before="0" w:after="0"/>
              <w:rPr>
                <w:color w:val="auto"/>
              </w:rPr>
            </w:pPr>
            <w:r w:rsidRPr="00421991">
              <w:rPr>
                <w:color w:val="auto"/>
              </w:rPr>
              <w:t>10%</w:t>
            </w:r>
          </w:p>
        </w:tc>
        <w:tc>
          <w:tcPr>
            <w:tcW w:w="680" w:type="dxa"/>
            <w:vAlign w:val="center"/>
          </w:tcPr>
          <w:p w:rsidR="001164BE" w:rsidRPr="00421991" w:rsidRDefault="001164BE" w:rsidP="00767FA1">
            <w:pPr>
              <w:pStyle w:val="Tabletext2"/>
              <w:spacing w:before="0" w:after="0"/>
              <w:rPr>
                <w:color w:val="auto"/>
              </w:rPr>
            </w:pPr>
            <w:r w:rsidRPr="00421991">
              <w:rPr>
                <w:color w:val="auto"/>
              </w:rPr>
              <w:t>11%</w:t>
            </w:r>
          </w:p>
        </w:tc>
        <w:tc>
          <w:tcPr>
            <w:tcW w:w="680" w:type="dxa"/>
            <w:vAlign w:val="center"/>
          </w:tcPr>
          <w:p w:rsidR="001164BE" w:rsidRPr="00421991" w:rsidRDefault="001164BE" w:rsidP="00767FA1">
            <w:pPr>
              <w:pStyle w:val="Tabletext2"/>
              <w:spacing w:before="0" w:after="0"/>
              <w:rPr>
                <w:color w:val="auto"/>
              </w:rPr>
            </w:pPr>
            <w:r w:rsidRPr="00421991">
              <w:rPr>
                <w:color w:val="auto"/>
              </w:rPr>
              <w:t>11%</w:t>
            </w:r>
          </w:p>
        </w:tc>
      </w:tr>
      <w:tr w:rsidR="00CF3859" w:rsidRPr="00421991" w:rsidTr="00767FA1">
        <w:trPr>
          <w:trHeight w:val="60"/>
        </w:trPr>
        <w:tc>
          <w:tcPr>
            <w:tcW w:w="2268" w:type="dxa"/>
            <w:vAlign w:val="center"/>
          </w:tcPr>
          <w:p w:rsidR="001164BE" w:rsidRPr="00421991" w:rsidRDefault="001164BE" w:rsidP="00767FA1">
            <w:pPr>
              <w:pStyle w:val="Tabletext"/>
              <w:spacing w:before="0" w:after="0"/>
              <w:rPr>
                <w:color w:val="auto"/>
              </w:rPr>
            </w:pPr>
            <w:r w:rsidRPr="00421991">
              <w:rPr>
                <w:color w:val="auto"/>
              </w:rPr>
              <w:t>Shoulder</w:t>
            </w:r>
          </w:p>
        </w:tc>
        <w:tc>
          <w:tcPr>
            <w:tcW w:w="680" w:type="dxa"/>
            <w:vAlign w:val="center"/>
          </w:tcPr>
          <w:p w:rsidR="001164BE" w:rsidRPr="00421991" w:rsidRDefault="001164BE" w:rsidP="00767FA1">
            <w:pPr>
              <w:pStyle w:val="Tabletext2"/>
              <w:spacing w:before="0" w:after="0"/>
              <w:rPr>
                <w:color w:val="auto"/>
              </w:rPr>
            </w:pPr>
            <w:r w:rsidRPr="00421991">
              <w:rPr>
                <w:color w:val="auto"/>
              </w:rPr>
              <w:t>3%</w:t>
            </w:r>
          </w:p>
        </w:tc>
        <w:tc>
          <w:tcPr>
            <w:tcW w:w="680" w:type="dxa"/>
            <w:vAlign w:val="center"/>
          </w:tcPr>
          <w:p w:rsidR="001164BE" w:rsidRPr="00421991" w:rsidRDefault="001164BE" w:rsidP="00767FA1">
            <w:pPr>
              <w:pStyle w:val="Tabletext2"/>
              <w:spacing w:before="0" w:after="0"/>
              <w:rPr>
                <w:color w:val="auto"/>
              </w:rPr>
            </w:pPr>
            <w:r w:rsidRPr="00421991">
              <w:rPr>
                <w:color w:val="auto"/>
              </w:rPr>
              <w:t>5%</w:t>
            </w:r>
          </w:p>
        </w:tc>
        <w:tc>
          <w:tcPr>
            <w:tcW w:w="680" w:type="dxa"/>
            <w:vAlign w:val="center"/>
          </w:tcPr>
          <w:p w:rsidR="001164BE" w:rsidRPr="00421991" w:rsidRDefault="001164BE" w:rsidP="00767FA1">
            <w:pPr>
              <w:pStyle w:val="Tabletext2"/>
              <w:spacing w:before="0" w:after="0"/>
              <w:rPr>
                <w:color w:val="auto"/>
              </w:rPr>
            </w:pPr>
            <w:r w:rsidRPr="00421991">
              <w:rPr>
                <w:color w:val="auto"/>
              </w:rPr>
              <w:t>5%</w:t>
            </w:r>
          </w:p>
        </w:tc>
        <w:tc>
          <w:tcPr>
            <w:tcW w:w="680" w:type="dxa"/>
            <w:vAlign w:val="center"/>
          </w:tcPr>
          <w:p w:rsidR="001164BE" w:rsidRPr="00421991" w:rsidRDefault="001164BE" w:rsidP="00767FA1">
            <w:pPr>
              <w:pStyle w:val="Tabletext2"/>
              <w:spacing w:before="0" w:after="0"/>
              <w:rPr>
                <w:color w:val="auto"/>
              </w:rPr>
            </w:pPr>
            <w:r w:rsidRPr="00421991">
              <w:rPr>
                <w:color w:val="auto"/>
              </w:rPr>
              <w:t>6%</w:t>
            </w:r>
          </w:p>
        </w:tc>
        <w:tc>
          <w:tcPr>
            <w:tcW w:w="680" w:type="dxa"/>
            <w:vAlign w:val="center"/>
          </w:tcPr>
          <w:p w:rsidR="001164BE" w:rsidRPr="00421991" w:rsidRDefault="001164BE" w:rsidP="00767FA1">
            <w:pPr>
              <w:pStyle w:val="Tabletext2"/>
              <w:spacing w:before="0" w:after="0"/>
              <w:rPr>
                <w:color w:val="auto"/>
              </w:rPr>
            </w:pPr>
            <w:r w:rsidRPr="00421991">
              <w:rPr>
                <w:color w:val="auto"/>
              </w:rPr>
              <w:t>8%</w:t>
            </w:r>
          </w:p>
        </w:tc>
        <w:tc>
          <w:tcPr>
            <w:tcW w:w="680" w:type="dxa"/>
            <w:vAlign w:val="center"/>
          </w:tcPr>
          <w:p w:rsidR="001164BE" w:rsidRPr="00421991" w:rsidRDefault="001164BE" w:rsidP="00767FA1">
            <w:pPr>
              <w:pStyle w:val="Tabletext2"/>
              <w:spacing w:before="0" w:after="0"/>
              <w:rPr>
                <w:color w:val="auto"/>
              </w:rPr>
            </w:pPr>
            <w:r w:rsidRPr="00421991">
              <w:rPr>
                <w:color w:val="auto"/>
              </w:rPr>
              <w:t>9%</w:t>
            </w:r>
          </w:p>
        </w:tc>
        <w:tc>
          <w:tcPr>
            <w:tcW w:w="680" w:type="dxa"/>
            <w:vAlign w:val="center"/>
          </w:tcPr>
          <w:p w:rsidR="001164BE" w:rsidRPr="00421991" w:rsidRDefault="001164BE" w:rsidP="00767FA1">
            <w:pPr>
              <w:pStyle w:val="Tabletext2"/>
              <w:spacing w:before="0" w:after="0"/>
              <w:rPr>
                <w:color w:val="auto"/>
              </w:rPr>
            </w:pPr>
            <w:r w:rsidRPr="00421991">
              <w:rPr>
                <w:color w:val="auto"/>
              </w:rPr>
              <w:t>11%</w:t>
            </w:r>
          </w:p>
        </w:tc>
        <w:tc>
          <w:tcPr>
            <w:tcW w:w="680" w:type="dxa"/>
            <w:vAlign w:val="center"/>
          </w:tcPr>
          <w:p w:rsidR="001164BE" w:rsidRPr="00421991" w:rsidRDefault="001164BE" w:rsidP="00767FA1">
            <w:pPr>
              <w:pStyle w:val="Tabletext2"/>
              <w:spacing w:before="0" w:after="0"/>
              <w:rPr>
                <w:color w:val="auto"/>
              </w:rPr>
            </w:pPr>
            <w:r w:rsidRPr="00421991">
              <w:rPr>
                <w:color w:val="auto"/>
              </w:rPr>
              <w:t>12%</w:t>
            </w:r>
          </w:p>
        </w:tc>
        <w:tc>
          <w:tcPr>
            <w:tcW w:w="680" w:type="dxa"/>
            <w:vAlign w:val="center"/>
          </w:tcPr>
          <w:p w:rsidR="001164BE" w:rsidRPr="00421991" w:rsidRDefault="001164BE" w:rsidP="00767FA1">
            <w:pPr>
              <w:pStyle w:val="Tabletext2"/>
              <w:spacing w:before="0" w:after="0"/>
              <w:rPr>
                <w:color w:val="auto"/>
              </w:rPr>
            </w:pPr>
            <w:r w:rsidRPr="00421991">
              <w:rPr>
                <w:color w:val="auto"/>
              </w:rPr>
              <w:t>13%</w:t>
            </w:r>
          </w:p>
        </w:tc>
        <w:tc>
          <w:tcPr>
            <w:tcW w:w="680" w:type="dxa"/>
            <w:vAlign w:val="center"/>
          </w:tcPr>
          <w:p w:rsidR="001164BE" w:rsidRPr="00421991" w:rsidRDefault="001164BE" w:rsidP="00767FA1">
            <w:pPr>
              <w:pStyle w:val="Tabletext2"/>
              <w:spacing w:before="0" w:after="0"/>
              <w:rPr>
                <w:color w:val="auto"/>
              </w:rPr>
            </w:pPr>
            <w:r w:rsidRPr="00421991">
              <w:rPr>
                <w:color w:val="auto"/>
              </w:rPr>
              <w:t>12%</w:t>
            </w:r>
          </w:p>
        </w:tc>
        <w:tc>
          <w:tcPr>
            <w:tcW w:w="680" w:type="dxa"/>
            <w:vAlign w:val="center"/>
          </w:tcPr>
          <w:p w:rsidR="001164BE" w:rsidRPr="00421991" w:rsidRDefault="001164BE" w:rsidP="00767FA1">
            <w:pPr>
              <w:pStyle w:val="Tabletext2"/>
              <w:spacing w:before="0" w:after="0"/>
              <w:rPr>
                <w:color w:val="auto"/>
              </w:rPr>
            </w:pPr>
            <w:r w:rsidRPr="00421991">
              <w:rPr>
                <w:color w:val="auto"/>
              </w:rPr>
              <w:t>12%</w:t>
            </w:r>
          </w:p>
        </w:tc>
      </w:tr>
      <w:tr w:rsidR="00CF3859" w:rsidRPr="00421991" w:rsidTr="00767FA1">
        <w:trPr>
          <w:trHeight w:val="60"/>
        </w:trPr>
        <w:tc>
          <w:tcPr>
            <w:tcW w:w="2268" w:type="dxa"/>
            <w:vAlign w:val="center"/>
          </w:tcPr>
          <w:p w:rsidR="001164BE" w:rsidRPr="00421991" w:rsidRDefault="001164BE" w:rsidP="00767FA1">
            <w:pPr>
              <w:pStyle w:val="Tabletext"/>
              <w:spacing w:before="0" w:after="0"/>
              <w:rPr>
                <w:color w:val="auto"/>
              </w:rPr>
            </w:pPr>
            <w:r w:rsidRPr="00421991">
              <w:rPr>
                <w:rStyle w:val="BoldBody"/>
                <w:color w:val="auto"/>
              </w:rPr>
              <w:t>Total</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100%</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100%</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100%</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100%</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100%</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100%</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100%</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100%</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100%</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100%</w:t>
            </w:r>
          </w:p>
        </w:tc>
        <w:tc>
          <w:tcPr>
            <w:tcW w:w="680" w:type="dxa"/>
            <w:vAlign w:val="center"/>
          </w:tcPr>
          <w:p w:rsidR="001164BE" w:rsidRPr="00421991" w:rsidRDefault="001164BE" w:rsidP="00767FA1">
            <w:pPr>
              <w:pStyle w:val="Tabletext2"/>
              <w:spacing w:before="0" w:after="0"/>
              <w:rPr>
                <w:color w:val="auto"/>
              </w:rPr>
            </w:pPr>
            <w:r w:rsidRPr="00421991">
              <w:rPr>
                <w:rStyle w:val="BoldBody"/>
                <w:color w:val="auto"/>
              </w:rPr>
              <w:t>100%</w:t>
            </w:r>
          </w:p>
        </w:tc>
      </w:tr>
    </w:tbl>
    <w:p w:rsidR="001164BE" w:rsidRPr="00421991" w:rsidRDefault="001164BE" w:rsidP="001164BE">
      <w:pPr>
        <w:pStyle w:val="FootnoteFiguresandtables"/>
        <w:rPr>
          <w:color w:val="auto"/>
        </w:rPr>
      </w:pPr>
      <w:r w:rsidRPr="00421991">
        <w:rPr>
          <w:color w:val="auto"/>
        </w:rPr>
        <w:t>Columns may not add up to 100% because the table outlines selected bodily locations of injury or disease.</w:t>
      </w:r>
    </w:p>
    <w:p w:rsidR="001164BE" w:rsidRPr="00421991" w:rsidRDefault="001164BE" w:rsidP="001164BE">
      <w:pPr>
        <w:pStyle w:val="FootnoteFiguresandtables"/>
        <w:rPr>
          <w:color w:val="auto"/>
        </w:rPr>
      </w:pPr>
      <w:r w:rsidRPr="00421991">
        <w:rPr>
          <w:color w:val="auto"/>
        </w:rPr>
        <w:t>Source: National Data Set for Compensation-Based Statistics.</w:t>
      </w:r>
    </w:p>
    <w:p w:rsidR="00B120A5" w:rsidRDefault="00B120A5">
      <w:pPr>
        <w:rPr>
          <w:b/>
          <w:sz w:val="28"/>
          <w:szCs w:val="28"/>
        </w:rPr>
      </w:pPr>
      <w:r>
        <w:br w:type="page"/>
      </w:r>
    </w:p>
    <w:p w:rsidR="001164BE" w:rsidRPr="00421991" w:rsidRDefault="001164BE" w:rsidP="005062E3">
      <w:pPr>
        <w:pStyle w:val="Heading2"/>
        <w:rPr>
          <w:bCs/>
          <w:sz w:val="20"/>
          <w:szCs w:val="20"/>
        </w:rPr>
      </w:pPr>
      <w:bookmarkStart w:id="59" w:name="_Toc426441703"/>
      <w:r w:rsidRPr="00421991">
        <w:lastRenderedPageBreak/>
        <w:t>Time lost from work and compensation paid</w:t>
      </w:r>
      <w:bookmarkEnd w:id="59"/>
    </w:p>
    <w:p w:rsidR="001164BE" w:rsidRPr="00421991" w:rsidRDefault="001164BE" w:rsidP="001164BE">
      <w:pPr>
        <w:pStyle w:val="TextBody"/>
        <w:rPr>
          <w:color w:val="auto"/>
        </w:rPr>
      </w:pPr>
      <w:r w:rsidRPr="00421991">
        <w:rPr>
          <w:color w:val="auto"/>
        </w:rPr>
        <w:t>In this section, the statistics on time lost from work and compensation paid are for 2011–12 because they are the most recent, non-preliminary data. Data for the preliminary year (2012–13) are not presented because serious claims for that period are likely to be open and claimants may accrue more time off work and compensation payments in subsequent years. The median is used as the measure of central tendency because long-term claims that involve lengthy periods of time lost from work or high amounts of compensation would significantly skew an arithmetic mean.</w:t>
      </w:r>
    </w:p>
    <w:p w:rsidR="001164BE" w:rsidRPr="00421991" w:rsidRDefault="001164BE" w:rsidP="00DD2ECE">
      <w:pPr>
        <w:pStyle w:val="Heading3"/>
        <w:rPr>
          <w:bCs/>
          <w:szCs w:val="20"/>
        </w:rPr>
      </w:pPr>
      <w:bookmarkStart w:id="60" w:name="_Toc419453286"/>
      <w:bookmarkStart w:id="61" w:name="_Toc426441704"/>
      <w:r w:rsidRPr="00421991">
        <w:t>Time lost from work and compensation paid by industry division</w:t>
      </w:r>
      <w:bookmarkEnd w:id="60"/>
      <w:bookmarkEnd w:id="61"/>
    </w:p>
    <w:p w:rsidR="001164BE" w:rsidRPr="00421991" w:rsidRDefault="001164BE" w:rsidP="001164BE">
      <w:pPr>
        <w:pStyle w:val="TextBody"/>
        <w:rPr>
          <w:color w:val="auto"/>
        </w:rPr>
      </w:pPr>
      <w:r w:rsidRPr="00421991">
        <w:rPr>
          <w:color w:val="auto"/>
        </w:rPr>
        <w:t>In 2011–12, the median time lost and median compensation paid in the accommodation and food services industry were considerably lower than they were for all Australian employees. The median time lost for a serious claim in the accommodation and food services industry was 4.0 weeks, which is 1.4 weeks lower than the median time lost for all Australian employees (5.4 weeks). The median compensation paid for a serious claim in the accommodation and food services industry was $4 700, which is almost half the median compensation paid for all Australian employees ($8 900).</w:t>
      </w:r>
    </w:p>
    <w:p w:rsidR="001164BE" w:rsidRPr="00421991" w:rsidRDefault="001164BE" w:rsidP="001164BE">
      <w:pPr>
        <w:pStyle w:val="TextBody"/>
        <w:rPr>
          <w:color w:val="auto"/>
        </w:rPr>
      </w:pPr>
      <w:r w:rsidRPr="00421991">
        <w:rPr>
          <w:color w:val="auto"/>
        </w:rPr>
        <w:t>Although claims arising from mental stress accounted for only 4% of serious claims in 2011–12, the mechanism had the highest median time lost of 13.9 weeks and the highest median compensation paid of $15 100. Serious claims arising from body stressing, which led to the highest number of serious claims in the industry, led to the second-highest median time lost and median compensation paid of 6.2 weeks and $7 700 respectively. Serious claims arising from heat, electricity and other environmental factors had the lowest median time lost of 1.8 weeks and the lowest median compensation paid of $1 400.</w:t>
      </w:r>
    </w:p>
    <w:p w:rsidR="001164BE" w:rsidRPr="00421991" w:rsidRDefault="001164BE" w:rsidP="00DD2ECE">
      <w:pPr>
        <w:pStyle w:val="Heading3"/>
        <w:rPr>
          <w:bCs/>
          <w:szCs w:val="20"/>
        </w:rPr>
      </w:pPr>
      <w:bookmarkStart w:id="62" w:name="_Toc419453287"/>
      <w:bookmarkStart w:id="63" w:name="_Toc426441705"/>
      <w:r w:rsidRPr="00421991">
        <w:t>Time lost from work and compensation paid by industry subdivision</w:t>
      </w:r>
      <w:bookmarkEnd w:id="62"/>
      <w:bookmarkEnd w:id="63"/>
    </w:p>
    <w:p w:rsidR="001164BE" w:rsidRPr="00421991" w:rsidRDefault="001164BE" w:rsidP="001164BE">
      <w:pPr>
        <w:pStyle w:val="TextBody"/>
        <w:rPr>
          <w:color w:val="auto"/>
        </w:rPr>
      </w:pPr>
      <w:r w:rsidRPr="00421991">
        <w:rPr>
          <w:color w:val="auto"/>
        </w:rPr>
        <w:t>The clubs subdivision had the lowest median time lost (3.6 weeks) and the lowest median compensation paid ($4 300) in 2011–12. The highest median time lost occurred in the accommodation, and cafes, restaurants and takeaway food services subdivisions (4.2 weeks each). The highest median compensation paid occurred in the pubs, taverns and bars subdivision ($5 000).</w:t>
      </w:r>
    </w:p>
    <w:p w:rsidR="001164BE" w:rsidRPr="00421991" w:rsidRDefault="001164BE" w:rsidP="00DD2ECE">
      <w:pPr>
        <w:pStyle w:val="Heading3"/>
        <w:rPr>
          <w:bCs/>
          <w:szCs w:val="20"/>
        </w:rPr>
      </w:pPr>
      <w:bookmarkStart w:id="64" w:name="_Toc419453288"/>
      <w:bookmarkStart w:id="65" w:name="_Toc426441706"/>
      <w:r w:rsidRPr="00421991">
        <w:t>Time lost from work and compensation paid by sex</w:t>
      </w:r>
      <w:bookmarkEnd w:id="64"/>
      <w:bookmarkEnd w:id="65"/>
    </w:p>
    <w:p w:rsidR="001164BE" w:rsidRPr="00421991" w:rsidRDefault="001164BE" w:rsidP="001164BE">
      <w:pPr>
        <w:pStyle w:val="TextBody"/>
        <w:rPr>
          <w:color w:val="auto"/>
        </w:rPr>
      </w:pPr>
      <w:r w:rsidRPr="00421991">
        <w:rPr>
          <w:color w:val="auto"/>
        </w:rPr>
        <w:t>The median time lost among male employees was 3.6 weeks, while it was 31% higher among female employees at 4.7 weeks.  Likewise, the median compensation paid to male employees was $4 500, while it was 13% higher among female employees at $5 100. This was largely because, compared with male employees, a higher proportion of serious claims among female employees arose from mental stress, body stressing, and falls, trips and slips of a person (Table 4) and the three mechanisms were associated with the lengthiest absences and highest costs out of the eight mechanisms of injury or disease.</w:t>
      </w:r>
    </w:p>
    <w:p w:rsidR="001164BE" w:rsidRPr="00421991" w:rsidRDefault="001164BE" w:rsidP="00DD2ECE">
      <w:pPr>
        <w:pStyle w:val="Heading3"/>
        <w:rPr>
          <w:bCs/>
          <w:szCs w:val="20"/>
        </w:rPr>
      </w:pPr>
      <w:bookmarkStart w:id="66" w:name="_Toc419453289"/>
      <w:bookmarkStart w:id="67" w:name="_Toc426441707"/>
      <w:r w:rsidRPr="00421991">
        <w:t>Time lost from work and compensation paid by age group</w:t>
      </w:r>
      <w:bookmarkEnd w:id="66"/>
      <w:bookmarkEnd w:id="67"/>
    </w:p>
    <w:p w:rsidR="001164BE" w:rsidRPr="00421991" w:rsidRDefault="001164BE" w:rsidP="001164BE">
      <w:pPr>
        <w:pStyle w:val="TextBody"/>
        <w:rPr>
          <w:color w:val="auto"/>
        </w:rPr>
      </w:pPr>
      <w:r w:rsidRPr="00421991">
        <w:rPr>
          <w:color w:val="auto"/>
        </w:rPr>
        <w:t>The median time lost increased with age group from a low of 2.0 weeks for employees aged 15–19 years to a high of 9.1 weeks for employees aged 65 years and above. Similarly, the median compensation paid increased with age group from a low of $1 300 for employees aged 15–19 years to a high of $11 200 for employees aged 65 years and above. This pattern was partly due to differences in the mechanisms that led to serious claims among younger and older employees.</w:t>
      </w:r>
    </w:p>
    <w:p w:rsidR="001164BE" w:rsidRPr="00421991" w:rsidRDefault="001164BE" w:rsidP="001164BE">
      <w:pPr>
        <w:pStyle w:val="TextBody"/>
        <w:rPr>
          <w:color w:val="auto"/>
        </w:rPr>
      </w:pPr>
      <w:r w:rsidRPr="00421991">
        <w:rPr>
          <w:color w:val="auto"/>
          <w:spacing w:val="-1"/>
        </w:rPr>
        <w:t>The proportion of body stressing injuries and diseases increased with age group (Table 5) and this mechanism was associated with the second-highest median time lost and median compensation paid. In addition, the proportions of compensated injuries and diseases arising from hitting objects with a part of the body, and heat, electricity and other environmental factors were relatively low among older employees (Table 5) and these mechanisms were associated with the lowest median time lost and median compensation paid. Table 10 outlines the median time lost and median compensation paid by selected characteristics for 2011–12.</w:t>
      </w:r>
    </w:p>
    <w:p w:rsidR="00B120A5" w:rsidRDefault="00B120A5">
      <w:pPr>
        <w:rPr>
          <w:rFonts w:eastAsiaTheme="minorHAnsi"/>
          <w:b/>
          <w:bCs/>
          <w:kern w:val="0"/>
          <w:sz w:val="20"/>
          <w:szCs w:val="20"/>
          <w:lang w:val="en-GB" w:eastAsia="en-US"/>
        </w:rPr>
      </w:pPr>
      <w:r>
        <w:br w:type="page"/>
      </w:r>
    </w:p>
    <w:p w:rsidR="001164BE" w:rsidRPr="00421991" w:rsidRDefault="001164BE" w:rsidP="001164BE">
      <w:pPr>
        <w:pStyle w:val="Tabletitle1"/>
        <w:rPr>
          <w:color w:val="auto"/>
        </w:rPr>
      </w:pPr>
      <w:r w:rsidRPr="00421991">
        <w:rPr>
          <w:color w:val="auto"/>
        </w:rPr>
        <w:lastRenderedPageBreak/>
        <w:t>Table 10: Serious claims in accommodation and food services industry: median time lost (weeks) and median compensation paid by selected characteristics, 2011–12</w:t>
      </w:r>
    </w:p>
    <w:tbl>
      <w:tblPr>
        <w:tblStyle w:val="TableGrid"/>
        <w:tblW w:w="0" w:type="auto"/>
        <w:tblLayout w:type="fixed"/>
        <w:tblLook w:val="0000" w:firstRow="0" w:lastRow="0" w:firstColumn="0" w:lastColumn="0" w:noHBand="0" w:noVBand="0"/>
        <w:tblCaption w:val="Table 10: Serious claims in accommodation and food services industry: median time lost (weeks) and median compensation paid by selected characteristics, 2011–12"/>
      </w:tblPr>
      <w:tblGrid>
        <w:gridCol w:w="4611"/>
        <w:gridCol w:w="2532"/>
        <w:gridCol w:w="2531"/>
      </w:tblGrid>
      <w:tr w:rsidR="00767FA1" w:rsidRPr="00421991" w:rsidTr="008D5510">
        <w:trPr>
          <w:trHeight w:val="20"/>
          <w:tblHeader/>
        </w:trPr>
        <w:tc>
          <w:tcPr>
            <w:tcW w:w="4611" w:type="dxa"/>
          </w:tcPr>
          <w:p w:rsidR="001164BE" w:rsidRPr="00421991" w:rsidRDefault="001164BE" w:rsidP="00F0346E">
            <w:pPr>
              <w:pStyle w:val="Tabletext"/>
              <w:spacing w:before="0" w:after="0"/>
              <w:rPr>
                <w:color w:val="auto"/>
              </w:rPr>
            </w:pPr>
            <w:r w:rsidRPr="00421991">
              <w:rPr>
                <w:rStyle w:val="BoldBody"/>
                <w:color w:val="auto"/>
              </w:rPr>
              <w:t>Selected characteristics</w:t>
            </w:r>
          </w:p>
        </w:tc>
        <w:tc>
          <w:tcPr>
            <w:tcW w:w="2532" w:type="dxa"/>
            <w:vAlign w:val="center"/>
          </w:tcPr>
          <w:p w:rsidR="001164BE" w:rsidRPr="00421991" w:rsidRDefault="001164BE" w:rsidP="00F0346E">
            <w:pPr>
              <w:pStyle w:val="Tabletext2"/>
              <w:spacing w:before="0" w:after="0"/>
              <w:rPr>
                <w:color w:val="auto"/>
              </w:rPr>
            </w:pPr>
          </w:p>
        </w:tc>
        <w:tc>
          <w:tcPr>
            <w:tcW w:w="2531" w:type="dxa"/>
            <w:vAlign w:val="center"/>
          </w:tcPr>
          <w:p w:rsidR="001164BE" w:rsidRPr="00421991" w:rsidRDefault="001164BE" w:rsidP="00F0346E">
            <w:pPr>
              <w:pStyle w:val="Tabletext2"/>
              <w:spacing w:before="0" w:after="0"/>
              <w:rPr>
                <w:color w:val="auto"/>
              </w:rPr>
            </w:pPr>
          </w:p>
        </w:tc>
      </w:tr>
      <w:tr w:rsidR="008D5510" w:rsidRPr="00421991" w:rsidTr="008D5510">
        <w:trPr>
          <w:trHeight w:val="20"/>
          <w:tblHeader/>
        </w:trPr>
        <w:tc>
          <w:tcPr>
            <w:tcW w:w="4611" w:type="dxa"/>
          </w:tcPr>
          <w:p w:rsidR="008D5510" w:rsidRPr="00421991" w:rsidRDefault="008D5510" w:rsidP="00F0346E">
            <w:pPr>
              <w:pStyle w:val="Tabletext"/>
              <w:spacing w:before="0" w:after="0"/>
              <w:rPr>
                <w:color w:val="auto"/>
              </w:rPr>
            </w:pPr>
            <w:r w:rsidRPr="00421991">
              <w:rPr>
                <w:rStyle w:val="BoldBody"/>
                <w:color w:val="auto"/>
              </w:rPr>
              <w:t>Industry division</w:t>
            </w:r>
          </w:p>
        </w:tc>
        <w:tc>
          <w:tcPr>
            <w:tcW w:w="2532" w:type="dxa"/>
            <w:vAlign w:val="center"/>
          </w:tcPr>
          <w:p w:rsidR="008D5510" w:rsidRPr="00421991" w:rsidRDefault="008D5510" w:rsidP="00F0444C">
            <w:pPr>
              <w:pStyle w:val="Tabletext2"/>
              <w:spacing w:before="0" w:after="0"/>
              <w:rPr>
                <w:color w:val="auto"/>
              </w:rPr>
            </w:pPr>
            <w:r w:rsidRPr="00421991">
              <w:rPr>
                <w:rStyle w:val="BoldBody"/>
                <w:color w:val="auto"/>
              </w:rPr>
              <w:t>Median time lost (weeks)</w:t>
            </w:r>
          </w:p>
        </w:tc>
        <w:tc>
          <w:tcPr>
            <w:tcW w:w="2531" w:type="dxa"/>
            <w:vAlign w:val="center"/>
          </w:tcPr>
          <w:p w:rsidR="008D5510" w:rsidRPr="00421991" w:rsidRDefault="008D5510" w:rsidP="00F0444C">
            <w:pPr>
              <w:pStyle w:val="Tabletext2"/>
              <w:spacing w:before="0" w:after="0"/>
              <w:rPr>
                <w:color w:val="auto"/>
              </w:rPr>
            </w:pPr>
            <w:r w:rsidRPr="00421991">
              <w:rPr>
                <w:rStyle w:val="BoldBody"/>
                <w:color w:val="auto"/>
              </w:rPr>
              <w:t>Median compensation paid</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Accommodation and food services industry</w:t>
            </w:r>
          </w:p>
        </w:tc>
        <w:tc>
          <w:tcPr>
            <w:tcW w:w="2532" w:type="dxa"/>
            <w:vAlign w:val="center"/>
          </w:tcPr>
          <w:p w:rsidR="008D5510" w:rsidRPr="00421991" w:rsidRDefault="008D5510" w:rsidP="00F0346E">
            <w:pPr>
              <w:pStyle w:val="Tabletext2"/>
              <w:spacing w:before="0" w:after="0"/>
              <w:rPr>
                <w:color w:val="auto"/>
              </w:rPr>
            </w:pPr>
            <w:r w:rsidRPr="00421991">
              <w:rPr>
                <w:color w:val="auto"/>
              </w:rPr>
              <w:t>4.0</w:t>
            </w:r>
          </w:p>
        </w:tc>
        <w:tc>
          <w:tcPr>
            <w:tcW w:w="2531" w:type="dxa"/>
            <w:vAlign w:val="center"/>
          </w:tcPr>
          <w:p w:rsidR="008D5510" w:rsidRPr="00421991" w:rsidRDefault="008D5510" w:rsidP="00F0346E">
            <w:pPr>
              <w:pStyle w:val="Tabletext2"/>
              <w:spacing w:before="0" w:after="0"/>
              <w:rPr>
                <w:color w:val="auto"/>
              </w:rPr>
            </w:pPr>
            <w:r w:rsidRPr="00421991">
              <w:rPr>
                <w:color w:val="auto"/>
              </w:rPr>
              <w:t>$4 700</w:t>
            </w:r>
          </w:p>
        </w:tc>
      </w:tr>
      <w:tr w:rsidR="008D5510" w:rsidRPr="00421991" w:rsidTr="00F0346E">
        <w:trPr>
          <w:trHeight w:val="20"/>
        </w:trPr>
        <w:tc>
          <w:tcPr>
            <w:tcW w:w="4611" w:type="dxa"/>
          </w:tcPr>
          <w:p w:rsidR="008D5510" w:rsidRPr="00421991" w:rsidRDefault="008D5510" w:rsidP="00F0346E">
            <w:pPr>
              <w:pStyle w:val="Tabletext"/>
              <w:spacing w:before="0" w:after="0"/>
              <w:rPr>
                <w:color w:val="auto"/>
              </w:rPr>
            </w:pPr>
            <w:r w:rsidRPr="00421991">
              <w:rPr>
                <w:rStyle w:val="BoldBody"/>
                <w:color w:val="auto"/>
              </w:rPr>
              <w:t>Industry subdivision</w:t>
            </w:r>
          </w:p>
        </w:tc>
        <w:tc>
          <w:tcPr>
            <w:tcW w:w="2532" w:type="dxa"/>
            <w:vAlign w:val="center"/>
          </w:tcPr>
          <w:p w:rsidR="008D5510" w:rsidRPr="00421991" w:rsidRDefault="008D5510" w:rsidP="00F0346E">
            <w:pPr>
              <w:pStyle w:val="NoParagraphStyle"/>
              <w:spacing w:line="240" w:lineRule="auto"/>
              <w:jc w:val="center"/>
              <w:textAlignment w:val="auto"/>
              <w:rPr>
                <w:rFonts w:ascii="Arial" w:hAnsi="Arial" w:cs="Arial"/>
                <w:color w:val="auto"/>
                <w:sz w:val="18"/>
                <w:szCs w:val="18"/>
                <w:lang w:val="en-AU"/>
              </w:rPr>
            </w:pPr>
          </w:p>
        </w:tc>
        <w:tc>
          <w:tcPr>
            <w:tcW w:w="2531" w:type="dxa"/>
            <w:vAlign w:val="center"/>
          </w:tcPr>
          <w:p w:rsidR="008D5510" w:rsidRPr="00421991" w:rsidRDefault="008D5510" w:rsidP="00F0346E">
            <w:pPr>
              <w:pStyle w:val="NoParagraphStyle"/>
              <w:spacing w:line="240" w:lineRule="auto"/>
              <w:jc w:val="center"/>
              <w:textAlignment w:val="auto"/>
              <w:rPr>
                <w:rFonts w:ascii="Arial" w:hAnsi="Arial" w:cs="Arial"/>
                <w:color w:val="auto"/>
                <w:sz w:val="18"/>
                <w:szCs w:val="18"/>
                <w:lang w:val="en-AU"/>
              </w:rPr>
            </w:pP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Pubs, taverns and bars</w:t>
            </w:r>
          </w:p>
        </w:tc>
        <w:tc>
          <w:tcPr>
            <w:tcW w:w="2532" w:type="dxa"/>
            <w:vAlign w:val="center"/>
          </w:tcPr>
          <w:p w:rsidR="008D5510" w:rsidRPr="00421991" w:rsidRDefault="008D5510" w:rsidP="00F0346E">
            <w:pPr>
              <w:pStyle w:val="Tabletext2"/>
              <w:spacing w:before="0" w:after="0"/>
              <w:rPr>
                <w:color w:val="auto"/>
              </w:rPr>
            </w:pPr>
            <w:r w:rsidRPr="00421991">
              <w:rPr>
                <w:color w:val="auto"/>
              </w:rPr>
              <w:t>3.8</w:t>
            </w:r>
          </w:p>
        </w:tc>
        <w:tc>
          <w:tcPr>
            <w:tcW w:w="2531" w:type="dxa"/>
            <w:vAlign w:val="center"/>
          </w:tcPr>
          <w:p w:rsidR="008D5510" w:rsidRPr="00421991" w:rsidRDefault="008D5510" w:rsidP="00F0346E">
            <w:pPr>
              <w:pStyle w:val="Tabletext2"/>
              <w:spacing w:before="0" w:after="0"/>
              <w:rPr>
                <w:color w:val="auto"/>
              </w:rPr>
            </w:pPr>
            <w:r w:rsidRPr="00421991">
              <w:rPr>
                <w:color w:val="auto"/>
              </w:rPr>
              <w:t>$5 000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Accommodation</w:t>
            </w:r>
          </w:p>
        </w:tc>
        <w:tc>
          <w:tcPr>
            <w:tcW w:w="2532" w:type="dxa"/>
            <w:vAlign w:val="center"/>
          </w:tcPr>
          <w:p w:rsidR="008D5510" w:rsidRPr="00421991" w:rsidRDefault="008D5510" w:rsidP="00F0346E">
            <w:pPr>
              <w:pStyle w:val="Tabletext2"/>
              <w:spacing w:before="0" w:after="0"/>
              <w:rPr>
                <w:color w:val="auto"/>
              </w:rPr>
            </w:pPr>
            <w:r w:rsidRPr="00421991">
              <w:rPr>
                <w:color w:val="auto"/>
              </w:rPr>
              <w:t>4.2</w:t>
            </w:r>
          </w:p>
        </w:tc>
        <w:tc>
          <w:tcPr>
            <w:tcW w:w="2531" w:type="dxa"/>
            <w:vAlign w:val="center"/>
          </w:tcPr>
          <w:p w:rsidR="008D5510" w:rsidRPr="00421991" w:rsidRDefault="008D5510" w:rsidP="00F0346E">
            <w:pPr>
              <w:pStyle w:val="Tabletext2"/>
              <w:spacing w:before="0" w:after="0"/>
              <w:rPr>
                <w:color w:val="auto"/>
              </w:rPr>
            </w:pPr>
            <w:r w:rsidRPr="00421991">
              <w:rPr>
                <w:color w:val="auto"/>
              </w:rPr>
              <w:t>$4 900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Cafes, restaurants and takeaway food services</w:t>
            </w:r>
          </w:p>
        </w:tc>
        <w:tc>
          <w:tcPr>
            <w:tcW w:w="2532" w:type="dxa"/>
            <w:vAlign w:val="center"/>
          </w:tcPr>
          <w:p w:rsidR="008D5510" w:rsidRPr="00421991" w:rsidRDefault="008D5510" w:rsidP="00F0346E">
            <w:pPr>
              <w:pStyle w:val="Tabletext2"/>
              <w:spacing w:before="0" w:after="0"/>
              <w:rPr>
                <w:color w:val="auto"/>
              </w:rPr>
            </w:pPr>
            <w:r w:rsidRPr="00421991">
              <w:rPr>
                <w:color w:val="auto"/>
              </w:rPr>
              <w:t>4.2</w:t>
            </w:r>
          </w:p>
        </w:tc>
        <w:tc>
          <w:tcPr>
            <w:tcW w:w="2531" w:type="dxa"/>
            <w:vAlign w:val="center"/>
          </w:tcPr>
          <w:p w:rsidR="008D5510" w:rsidRPr="00421991" w:rsidRDefault="008D5510" w:rsidP="00F0346E">
            <w:pPr>
              <w:pStyle w:val="Tabletext2"/>
              <w:spacing w:before="0" w:after="0"/>
              <w:rPr>
                <w:color w:val="auto"/>
              </w:rPr>
            </w:pPr>
            <w:r w:rsidRPr="00421991">
              <w:rPr>
                <w:color w:val="auto"/>
              </w:rPr>
              <w:t>$4 700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Clubs</w:t>
            </w:r>
          </w:p>
        </w:tc>
        <w:tc>
          <w:tcPr>
            <w:tcW w:w="2532" w:type="dxa"/>
            <w:vAlign w:val="center"/>
          </w:tcPr>
          <w:p w:rsidR="008D5510" w:rsidRPr="00421991" w:rsidRDefault="008D5510" w:rsidP="00F0346E">
            <w:pPr>
              <w:pStyle w:val="Tabletext2"/>
              <w:spacing w:before="0" w:after="0"/>
              <w:rPr>
                <w:color w:val="auto"/>
              </w:rPr>
            </w:pPr>
            <w:r w:rsidRPr="00421991">
              <w:rPr>
                <w:color w:val="auto"/>
              </w:rPr>
              <w:t>3.6</w:t>
            </w:r>
          </w:p>
        </w:tc>
        <w:tc>
          <w:tcPr>
            <w:tcW w:w="2531" w:type="dxa"/>
            <w:vAlign w:val="center"/>
          </w:tcPr>
          <w:p w:rsidR="008D5510" w:rsidRPr="00421991" w:rsidRDefault="008D5510" w:rsidP="00F0346E">
            <w:pPr>
              <w:pStyle w:val="Tabletext2"/>
              <w:spacing w:before="0" w:after="0"/>
              <w:rPr>
                <w:color w:val="auto"/>
              </w:rPr>
            </w:pPr>
            <w:r w:rsidRPr="00421991">
              <w:rPr>
                <w:color w:val="auto"/>
              </w:rPr>
              <w:t>$4 300</w:t>
            </w:r>
          </w:p>
        </w:tc>
      </w:tr>
      <w:tr w:rsidR="008D5510" w:rsidRPr="00421991" w:rsidTr="00F0346E">
        <w:trPr>
          <w:trHeight w:val="20"/>
        </w:trPr>
        <w:tc>
          <w:tcPr>
            <w:tcW w:w="4611" w:type="dxa"/>
          </w:tcPr>
          <w:p w:rsidR="008D5510" w:rsidRPr="00421991" w:rsidRDefault="008D5510" w:rsidP="00F0346E">
            <w:pPr>
              <w:pStyle w:val="Tabletext"/>
              <w:spacing w:before="0" w:after="0"/>
              <w:rPr>
                <w:color w:val="auto"/>
              </w:rPr>
            </w:pPr>
            <w:r w:rsidRPr="00421991">
              <w:rPr>
                <w:rStyle w:val="BoldBody"/>
                <w:color w:val="auto"/>
              </w:rPr>
              <w:t>Sex</w:t>
            </w:r>
          </w:p>
        </w:tc>
        <w:tc>
          <w:tcPr>
            <w:tcW w:w="2532" w:type="dxa"/>
            <w:vAlign w:val="center"/>
          </w:tcPr>
          <w:p w:rsidR="008D5510" w:rsidRPr="00421991" w:rsidRDefault="008D5510" w:rsidP="00F0346E">
            <w:pPr>
              <w:pStyle w:val="NoParagraphStyle"/>
              <w:spacing w:line="240" w:lineRule="auto"/>
              <w:jc w:val="center"/>
              <w:textAlignment w:val="auto"/>
              <w:rPr>
                <w:rFonts w:ascii="Arial" w:hAnsi="Arial" w:cs="Arial"/>
                <w:color w:val="auto"/>
                <w:sz w:val="18"/>
                <w:szCs w:val="18"/>
                <w:lang w:val="en-AU"/>
              </w:rPr>
            </w:pPr>
          </w:p>
        </w:tc>
        <w:tc>
          <w:tcPr>
            <w:tcW w:w="2531" w:type="dxa"/>
            <w:vAlign w:val="center"/>
          </w:tcPr>
          <w:p w:rsidR="008D5510" w:rsidRPr="00421991" w:rsidRDefault="008D5510" w:rsidP="00F0346E">
            <w:pPr>
              <w:pStyle w:val="NoParagraphStyle"/>
              <w:spacing w:line="240" w:lineRule="auto"/>
              <w:jc w:val="center"/>
              <w:textAlignment w:val="auto"/>
              <w:rPr>
                <w:rFonts w:ascii="Arial" w:hAnsi="Arial" w:cs="Arial"/>
                <w:color w:val="auto"/>
                <w:sz w:val="18"/>
                <w:szCs w:val="18"/>
                <w:lang w:val="en-AU"/>
              </w:rPr>
            </w:pP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Female</w:t>
            </w:r>
          </w:p>
        </w:tc>
        <w:tc>
          <w:tcPr>
            <w:tcW w:w="2532" w:type="dxa"/>
            <w:vAlign w:val="center"/>
          </w:tcPr>
          <w:p w:rsidR="008D5510" w:rsidRPr="00421991" w:rsidRDefault="008D5510" w:rsidP="00F0346E">
            <w:pPr>
              <w:pStyle w:val="Tabletext2"/>
              <w:spacing w:before="0" w:after="0"/>
              <w:rPr>
                <w:color w:val="auto"/>
              </w:rPr>
            </w:pPr>
            <w:r w:rsidRPr="00421991">
              <w:rPr>
                <w:color w:val="auto"/>
              </w:rPr>
              <w:t>4.7</w:t>
            </w:r>
          </w:p>
        </w:tc>
        <w:tc>
          <w:tcPr>
            <w:tcW w:w="2531" w:type="dxa"/>
            <w:vAlign w:val="center"/>
          </w:tcPr>
          <w:p w:rsidR="008D5510" w:rsidRPr="00421991" w:rsidRDefault="008D5510" w:rsidP="00F0346E">
            <w:pPr>
              <w:pStyle w:val="Tabletext2"/>
              <w:spacing w:before="0" w:after="0"/>
              <w:rPr>
                <w:color w:val="auto"/>
              </w:rPr>
            </w:pPr>
            <w:r w:rsidRPr="00421991">
              <w:rPr>
                <w:color w:val="auto"/>
              </w:rPr>
              <w:t>$5 100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Male</w:t>
            </w:r>
          </w:p>
        </w:tc>
        <w:tc>
          <w:tcPr>
            <w:tcW w:w="2532" w:type="dxa"/>
            <w:vAlign w:val="center"/>
          </w:tcPr>
          <w:p w:rsidR="008D5510" w:rsidRPr="00421991" w:rsidRDefault="008D5510" w:rsidP="00F0346E">
            <w:pPr>
              <w:pStyle w:val="Tabletext2"/>
              <w:spacing w:before="0" w:after="0"/>
              <w:rPr>
                <w:color w:val="auto"/>
              </w:rPr>
            </w:pPr>
            <w:r w:rsidRPr="00421991">
              <w:rPr>
                <w:color w:val="auto"/>
              </w:rPr>
              <w:t>3.6</w:t>
            </w:r>
          </w:p>
        </w:tc>
        <w:tc>
          <w:tcPr>
            <w:tcW w:w="2531" w:type="dxa"/>
            <w:vAlign w:val="center"/>
          </w:tcPr>
          <w:p w:rsidR="008D5510" w:rsidRPr="00421991" w:rsidRDefault="008D5510" w:rsidP="00F0346E">
            <w:pPr>
              <w:pStyle w:val="Tabletext2"/>
              <w:spacing w:before="0" w:after="0"/>
              <w:rPr>
                <w:color w:val="auto"/>
              </w:rPr>
            </w:pPr>
            <w:r w:rsidRPr="00421991">
              <w:rPr>
                <w:color w:val="auto"/>
              </w:rPr>
              <w:t>$4 500</w:t>
            </w:r>
          </w:p>
        </w:tc>
      </w:tr>
      <w:tr w:rsidR="008D5510" w:rsidRPr="00421991" w:rsidTr="00F0346E">
        <w:trPr>
          <w:trHeight w:val="20"/>
        </w:trPr>
        <w:tc>
          <w:tcPr>
            <w:tcW w:w="4611" w:type="dxa"/>
          </w:tcPr>
          <w:p w:rsidR="008D5510" w:rsidRPr="00421991" w:rsidRDefault="008D5510" w:rsidP="00F0346E">
            <w:pPr>
              <w:pStyle w:val="Tabletext"/>
              <w:spacing w:before="0" w:after="0"/>
              <w:rPr>
                <w:color w:val="auto"/>
              </w:rPr>
            </w:pPr>
            <w:r w:rsidRPr="00421991">
              <w:rPr>
                <w:rStyle w:val="BoldBody"/>
                <w:color w:val="auto"/>
              </w:rPr>
              <w:t>Age group</w:t>
            </w:r>
          </w:p>
        </w:tc>
        <w:tc>
          <w:tcPr>
            <w:tcW w:w="2532" w:type="dxa"/>
            <w:vAlign w:val="center"/>
          </w:tcPr>
          <w:p w:rsidR="008D5510" w:rsidRPr="00421991" w:rsidRDefault="008D5510" w:rsidP="00F0346E">
            <w:pPr>
              <w:pStyle w:val="NoParagraphStyle"/>
              <w:spacing w:line="240" w:lineRule="auto"/>
              <w:jc w:val="center"/>
              <w:textAlignment w:val="auto"/>
              <w:rPr>
                <w:rFonts w:ascii="Arial" w:hAnsi="Arial" w:cs="Arial"/>
                <w:color w:val="auto"/>
                <w:sz w:val="18"/>
                <w:szCs w:val="18"/>
                <w:lang w:val="en-AU"/>
              </w:rPr>
            </w:pPr>
          </w:p>
        </w:tc>
        <w:tc>
          <w:tcPr>
            <w:tcW w:w="2531" w:type="dxa"/>
            <w:vAlign w:val="center"/>
          </w:tcPr>
          <w:p w:rsidR="008D5510" w:rsidRPr="00421991" w:rsidRDefault="008D5510" w:rsidP="00F0346E">
            <w:pPr>
              <w:pStyle w:val="NoParagraphStyle"/>
              <w:spacing w:line="240" w:lineRule="auto"/>
              <w:jc w:val="center"/>
              <w:textAlignment w:val="auto"/>
              <w:rPr>
                <w:rFonts w:ascii="Arial" w:hAnsi="Arial" w:cs="Arial"/>
                <w:color w:val="auto"/>
                <w:sz w:val="18"/>
                <w:szCs w:val="18"/>
                <w:lang w:val="en-AU"/>
              </w:rPr>
            </w:pP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15–19 years</w:t>
            </w:r>
          </w:p>
        </w:tc>
        <w:tc>
          <w:tcPr>
            <w:tcW w:w="2532" w:type="dxa"/>
            <w:vAlign w:val="center"/>
          </w:tcPr>
          <w:p w:rsidR="008D5510" w:rsidRPr="00421991" w:rsidRDefault="008D5510" w:rsidP="00F0346E">
            <w:pPr>
              <w:pStyle w:val="Tabletext2"/>
              <w:spacing w:before="0" w:after="0"/>
              <w:rPr>
                <w:color w:val="auto"/>
              </w:rPr>
            </w:pPr>
            <w:r w:rsidRPr="00421991">
              <w:rPr>
                <w:color w:val="auto"/>
              </w:rPr>
              <w:t>2.0</w:t>
            </w:r>
          </w:p>
        </w:tc>
        <w:tc>
          <w:tcPr>
            <w:tcW w:w="2531" w:type="dxa"/>
            <w:vAlign w:val="center"/>
          </w:tcPr>
          <w:p w:rsidR="008D5510" w:rsidRPr="00421991" w:rsidRDefault="008D5510" w:rsidP="00F0346E">
            <w:pPr>
              <w:pStyle w:val="Tabletext2"/>
              <w:spacing w:before="0" w:after="0"/>
              <w:rPr>
                <w:color w:val="auto"/>
              </w:rPr>
            </w:pPr>
            <w:r w:rsidRPr="00421991">
              <w:rPr>
                <w:color w:val="auto"/>
              </w:rPr>
              <w:t>$1 300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20–24 years</w:t>
            </w:r>
          </w:p>
        </w:tc>
        <w:tc>
          <w:tcPr>
            <w:tcW w:w="2532" w:type="dxa"/>
            <w:vAlign w:val="center"/>
          </w:tcPr>
          <w:p w:rsidR="008D5510" w:rsidRPr="00421991" w:rsidRDefault="008D5510" w:rsidP="00F0346E">
            <w:pPr>
              <w:pStyle w:val="Tabletext2"/>
              <w:spacing w:before="0" w:after="0"/>
              <w:rPr>
                <w:color w:val="auto"/>
              </w:rPr>
            </w:pPr>
            <w:r w:rsidRPr="00421991">
              <w:rPr>
                <w:color w:val="auto"/>
              </w:rPr>
              <w:t>3.0</w:t>
            </w:r>
          </w:p>
        </w:tc>
        <w:tc>
          <w:tcPr>
            <w:tcW w:w="2531" w:type="dxa"/>
            <w:vAlign w:val="center"/>
          </w:tcPr>
          <w:p w:rsidR="008D5510" w:rsidRPr="00421991" w:rsidRDefault="008D5510" w:rsidP="00F0346E">
            <w:pPr>
              <w:pStyle w:val="Tabletext2"/>
              <w:spacing w:before="0" w:after="0"/>
              <w:rPr>
                <w:color w:val="auto"/>
              </w:rPr>
            </w:pPr>
            <w:r w:rsidRPr="00421991">
              <w:rPr>
                <w:color w:val="auto"/>
              </w:rPr>
              <w:t>$2 900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25–29 years</w:t>
            </w:r>
          </w:p>
        </w:tc>
        <w:tc>
          <w:tcPr>
            <w:tcW w:w="2532" w:type="dxa"/>
            <w:vAlign w:val="center"/>
          </w:tcPr>
          <w:p w:rsidR="008D5510" w:rsidRPr="00421991" w:rsidRDefault="008D5510" w:rsidP="00F0346E">
            <w:pPr>
              <w:pStyle w:val="Tabletext2"/>
              <w:spacing w:before="0" w:after="0"/>
              <w:rPr>
                <w:color w:val="auto"/>
              </w:rPr>
            </w:pPr>
            <w:r w:rsidRPr="00421991">
              <w:rPr>
                <w:color w:val="auto"/>
              </w:rPr>
              <w:t>3.2</w:t>
            </w:r>
          </w:p>
        </w:tc>
        <w:tc>
          <w:tcPr>
            <w:tcW w:w="2531" w:type="dxa"/>
            <w:vAlign w:val="center"/>
          </w:tcPr>
          <w:p w:rsidR="008D5510" w:rsidRPr="00421991" w:rsidRDefault="008D5510" w:rsidP="00F0346E">
            <w:pPr>
              <w:pStyle w:val="Tabletext2"/>
              <w:spacing w:before="0" w:after="0"/>
              <w:rPr>
                <w:color w:val="auto"/>
              </w:rPr>
            </w:pPr>
            <w:r w:rsidRPr="00421991">
              <w:rPr>
                <w:color w:val="auto"/>
              </w:rPr>
              <w:t>$4 000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30–34 years</w:t>
            </w:r>
          </w:p>
        </w:tc>
        <w:tc>
          <w:tcPr>
            <w:tcW w:w="2532" w:type="dxa"/>
            <w:vAlign w:val="center"/>
          </w:tcPr>
          <w:p w:rsidR="008D5510" w:rsidRPr="00421991" w:rsidRDefault="008D5510" w:rsidP="00F0346E">
            <w:pPr>
              <w:pStyle w:val="Tabletext2"/>
              <w:spacing w:before="0" w:after="0"/>
              <w:rPr>
                <w:color w:val="auto"/>
              </w:rPr>
            </w:pPr>
            <w:r w:rsidRPr="00421991">
              <w:rPr>
                <w:color w:val="auto"/>
              </w:rPr>
              <w:t>4.0</w:t>
            </w:r>
          </w:p>
        </w:tc>
        <w:tc>
          <w:tcPr>
            <w:tcW w:w="2531" w:type="dxa"/>
            <w:vAlign w:val="center"/>
          </w:tcPr>
          <w:p w:rsidR="008D5510" w:rsidRPr="00421991" w:rsidRDefault="008D5510" w:rsidP="00F0346E">
            <w:pPr>
              <w:pStyle w:val="Tabletext2"/>
              <w:spacing w:before="0" w:after="0"/>
              <w:rPr>
                <w:color w:val="auto"/>
              </w:rPr>
            </w:pPr>
            <w:r w:rsidRPr="00421991">
              <w:rPr>
                <w:color w:val="auto"/>
              </w:rPr>
              <w:t>$4 800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35-39 years</w:t>
            </w:r>
          </w:p>
        </w:tc>
        <w:tc>
          <w:tcPr>
            <w:tcW w:w="2532" w:type="dxa"/>
            <w:vAlign w:val="center"/>
          </w:tcPr>
          <w:p w:rsidR="008D5510" w:rsidRPr="00421991" w:rsidRDefault="008D5510" w:rsidP="00F0346E">
            <w:pPr>
              <w:pStyle w:val="Tabletext2"/>
              <w:spacing w:before="0" w:after="0"/>
              <w:rPr>
                <w:color w:val="auto"/>
              </w:rPr>
            </w:pPr>
            <w:r w:rsidRPr="00421991">
              <w:rPr>
                <w:color w:val="auto"/>
              </w:rPr>
              <w:t>4.2</w:t>
            </w:r>
          </w:p>
        </w:tc>
        <w:tc>
          <w:tcPr>
            <w:tcW w:w="2531" w:type="dxa"/>
            <w:vAlign w:val="center"/>
          </w:tcPr>
          <w:p w:rsidR="008D5510" w:rsidRPr="00421991" w:rsidRDefault="008D5510" w:rsidP="00F0346E">
            <w:pPr>
              <w:pStyle w:val="Tabletext2"/>
              <w:spacing w:before="0" w:after="0"/>
              <w:rPr>
                <w:color w:val="auto"/>
              </w:rPr>
            </w:pPr>
            <w:r w:rsidRPr="00421991">
              <w:rPr>
                <w:color w:val="auto"/>
              </w:rPr>
              <w:t>$5 800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40–44 years</w:t>
            </w:r>
          </w:p>
        </w:tc>
        <w:tc>
          <w:tcPr>
            <w:tcW w:w="2532" w:type="dxa"/>
            <w:vAlign w:val="center"/>
          </w:tcPr>
          <w:p w:rsidR="008D5510" w:rsidRPr="00421991" w:rsidRDefault="008D5510" w:rsidP="00F0346E">
            <w:pPr>
              <w:pStyle w:val="Tabletext2"/>
              <w:spacing w:before="0" w:after="0"/>
              <w:rPr>
                <w:color w:val="auto"/>
              </w:rPr>
            </w:pPr>
            <w:r w:rsidRPr="00421991">
              <w:rPr>
                <w:color w:val="auto"/>
              </w:rPr>
              <w:t>5.5</w:t>
            </w:r>
          </w:p>
        </w:tc>
        <w:tc>
          <w:tcPr>
            <w:tcW w:w="2531" w:type="dxa"/>
            <w:vAlign w:val="center"/>
          </w:tcPr>
          <w:p w:rsidR="008D5510" w:rsidRPr="00421991" w:rsidRDefault="008D5510" w:rsidP="00F0346E">
            <w:pPr>
              <w:pStyle w:val="Tabletext2"/>
              <w:spacing w:before="0" w:after="0"/>
              <w:rPr>
                <w:color w:val="auto"/>
              </w:rPr>
            </w:pPr>
            <w:r w:rsidRPr="00421991">
              <w:rPr>
                <w:color w:val="auto"/>
              </w:rPr>
              <w:t>$6 400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45–49 years</w:t>
            </w:r>
          </w:p>
        </w:tc>
        <w:tc>
          <w:tcPr>
            <w:tcW w:w="2532" w:type="dxa"/>
            <w:vAlign w:val="center"/>
          </w:tcPr>
          <w:p w:rsidR="008D5510" w:rsidRPr="00421991" w:rsidRDefault="008D5510" w:rsidP="00F0346E">
            <w:pPr>
              <w:pStyle w:val="Tabletext2"/>
              <w:spacing w:before="0" w:after="0"/>
              <w:rPr>
                <w:color w:val="auto"/>
              </w:rPr>
            </w:pPr>
            <w:r w:rsidRPr="00421991">
              <w:rPr>
                <w:color w:val="auto"/>
              </w:rPr>
              <w:t>6.8</w:t>
            </w:r>
          </w:p>
        </w:tc>
        <w:tc>
          <w:tcPr>
            <w:tcW w:w="2531" w:type="dxa"/>
            <w:vAlign w:val="center"/>
          </w:tcPr>
          <w:p w:rsidR="008D5510" w:rsidRPr="00421991" w:rsidRDefault="008D5510" w:rsidP="00F0346E">
            <w:pPr>
              <w:pStyle w:val="Tabletext2"/>
              <w:spacing w:before="0" w:after="0"/>
              <w:rPr>
                <w:color w:val="auto"/>
              </w:rPr>
            </w:pPr>
            <w:r w:rsidRPr="00421991">
              <w:rPr>
                <w:color w:val="auto"/>
              </w:rPr>
              <w:t>$8 600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50–54 years</w:t>
            </w:r>
          </w:p>
        </w:tc>
        <w:tc>
          <w:tcPr>
            <w:tcW w:w="2532" w:type="dxa"/>
            <w:vAlign w:val="center"/>
          </w:tcPr>
          <w:p w:rsidR="008D5510" w:rsidRPr="00421991" w:rsidRDefault="008D5510" w:rsidP="00F0346E">
            <w:pPr>
              <w:pStyle w:val="Tabletext2"/>
              <w:spacing w:before="0" w:after="0"/>
              <w:rPr>
                <w:color w:val="auto"/>
              </w:rPr>
            </w:pPr>
            <w:r w:rsidRPr="00421991">
              <w:rPr>
                <w:color w:val="auto"/>
              </w:rPr>
              <w:t>7.2</w:t>
            </w:r>
          </w:p>
        </w:tc>
        <w:tc>
          <w:tcPr>
            <w:tcW w:w="2531" w:type="dxa"/>
            <w:vAlign w:val="center"/>
          </w:tcPr>
          <w:p w:rsidR="008D5510" w:rsidRPr="00421991" w:rsidRDefault="008D5510" w:rsidP="00F0346E">
            <w:pPr>
              <w:pStyle w:val="Tabletext2"/>
              <w:spacing w:before="0" w:after="0"/>
              <w:rPr>
                <w:color w:val="auto"/>
              </w:rPr>
            </w:pPr>
            <w:r w:rsidRPr="00421991">
              <w:rPr>
                <w:color w:val="auto"/>
              </w:rPr>
              <w:t>$8 800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55–59 years</w:t>
            </w:r>
          </w:p>
        </w:tc>
        <w:tc>
          <w:tcPr>
            <w:tcW w:w="2532" w:type="dxa"/>
            <w:vAlign w:val="center"/>
          </w:tcPr>
          <w:p w:rsidR="008D5510" w:rsidRPr="00421991" w:rsidRDefault="008D5510" w:rsidP="00F0346E">
            <w:pPr>
              <w:pStyle w:val="Tabletext2"/>
              <w:spacing w:before="0" w:after="0"/>
              <w:rPr>
                <w:color w:val="auto"/>
              </w:rPr>
            </w:pPr>
            <w:r w:rsidRPr="00421991">
              <w:rPr>
                <w:color w:val="auto"/>
              </w:rPr>
              <w:t>6.5</w:t>
            </w:r>
          </w:p>
        </w:tc>
        <w:tc>
          <w:tcPr>
            <w:tcW w:w="2531" w:type="dxa"/>
            <w:vAlign w:val="center"/>
          </w:tcPr>
          <w:p w:rsidR="008D5510" w:rsidRPr="00421991" w:rsidRDefault="008D5510" w:rsidP="00F0346E">
            <w:pPr>
              <w:pStyle w:val="Tabletext2"/>
              <w:spacing w:before="0" w:after="0"/>
              <w:rPr>
                <w:color w:val="auto"/>
              </w:rPr>
            </w:pPr>
            <w:r w:rsidRPr="00421991">
              <w:rPr>
                <w:color w:val="auto"/>
              </w:rPr>
              <w:t>$8 700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60–64 years</w:t>
            </w:r>
          </w:p>
        </w:tc>
        <w:tc>
          <w:tcPr>
            <w:tcW w:w="2532" w:type="dxa"/>
            <w:vAlign w:val="center"/>
          </w:tcPr>
          <w:p w:rsidR="008D5510" w:rsidRPr="00421991" w:rsidRDefault="008D5510" w:rsidP="00F0346E">
            <w:pPr>
              <w:pStyle w:val="Tabletext2"/>
              <w:spacing w:before="0" w:after="0"/>
              <w:rPr>
                <w:color w:val="auto"/>
              </w:rPr>
            </w:pPr>
            <w:r w:rsidRPr="00421991">
              <w:rPr>
                <w:color w:val="auto"/>
              </w:rPr>
              <w:t>5.8</w:t>
            </w:r>
          </w:p>
        </w:tc>
        <w:tc>
          <w:tcPr>
            <w:tcW w:w="2531" w:type="dxa"/>
            <w:vAlign w:val="center"/>
          </w:tcPr>
          <w:p w:rsidR="008D5510" w:rsidRPr="00421991" w:rsidRDefault="008D5510" w:rsidP="00F0346E">
            <w:pPr>
              <w:pStyle w:val="Tabletext2"/>
              <w:spacing w:before="0" w:after="0"/>
              <w:rPr>
                <w:color w:val="auto"/>
              </w:rPr>
            </w:pPr>
            <w:r w:rsidRPr="00421991">
              <w:rPr>
                <w:color w:val="auto"/>
              </w:rPr>
              <w:t>$7 800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65 years and above</w:t>
            </w:r>
          </w:p>
        </w:tc>
        <w:tc>
          <w:tcPr>
            <w:tcW w:w="2532" w:type="dxa"/>
            <w:vAlign w:val="center"/>
          </w:tcPr>
          <w:p w:rsidR="008D5510" w:rsidRPr="00421991" w:rsidRDefault="008D5510" w:rsidP="00F0346E">
            <w:pPr>
              <w:pStyle w:val="Tabletext2"/>
              <w:spacing w:before="0" w:after="0"/>
              <w:rPr>
                <w:color w:val="auto"/>
              </w:rPr>
            </w:pPr>
            <w:r w:rsidRPr="00421991">
              <w:rPr>
                <w:color w:val="auto"/>
              </w:rPr>
              <w:t>9.1</w:t>
            </w:r>
          </w:p>
        </w:tc>
        <w:tc>
          <w:tcPr>
            <w:tcW w:w="2531" w:type="dxa"/>
            <w:vAlign w:val="center"/>
          </w:tcPr>
          <w:p w:rsidR="008D5510" w:rsidRPr="00421991" w:rsidRDefault="008D5510" w:rsidP="00F0346E">
            <w:pPr>
              <w:pStyle w:val="Tabletext2"/>
              <w:spacing w:before="0" w:after="0"/>
              <w:rPr>
                <w:color w:val="auto"/>
              </w:rPr>
            </w:pPr>
            <w:r w:rsidRPr="00421991">
              <w:rPr>
                <w:color w:val="auto"/>
              </w:rPr>
              <w:t>$11 200</w:t>
            </w:r>
          </w:p>
        </w:tc>
      </w:tr>
      <w:tr w:rsidR="008D5510" w:rsidRPr="00421991" w:rsidTr="00F0346E">
        <w:trPr>
          <w:trHeight w:val="20"/>
        </w:trPr>
        <w:tc>
          <w:tcPr>
            <w:tcW w:w="4611" w:type="dxa"/>
          </w:tcPr>
          <w:p w:rsidR="008D5510" w:rsidRPr="00421991" w:rsidRDefault="008D5510" w:rsidP="00F0346E">
            <w:pPr>
              <w:pStyle w:val="Tabletext"/>
              <w:spacing w:before="0" w:after="0"/>
              <w:rPr>
                <w:color w:val="auto"/>
              </w:rPr>
            </w:pPr>
            <w:r w:rsidRPr="00421991">
              <w:rPr>
                <w:rStyle w:val="BoldBody"/>
                <w:color w:val="auto"/>
              </w:rPr>
              <w:t>Mechanism of injury or disease</w:t>
            </w:r>
          </w:p>
        </w:tc>
        <w:tc>
          <w:tcPr>
            <w:tcW w:w="2532" w:type="dxa"/>
            <w:vAlign w:val="center"/>
          </w:tcPr>
          <w:p w:rsidR="008D5510" w:rsidRPr="00421991" w:rsidRDefault="008D5510" w:rsidP="00F0346E">
            <w:pPr>
              <w:pStyle w:val="NoParagraphStyle"/>
              <w:spacing w:line="240" w:lineRule="auto"/>
              <w:jc w:val="center"/>
              <w:textAlignment w:val="auto"/>
              <w:rPr>
                <w:rFonts w:ascii="Arial" w:hAnsi="Arial" w:cs="Arial"/>
                <w:color w:val="auto"/>
                <w:sz w:val="18"/>
                <w:szCs w:val="18"/>
                <w:lang w:val="en-AU"/>
              </w:rPr>
            </w:pPr>
          </w:p>
        </w:tc>
        <w:tc>
          <w:tcPr>
            <w:tcW w:w="2531" w:type="dxa"/>
            <w:vAlign w:val="center"/>
          </w:tcPr>
          <w:p w:rsidR="008D5510" w:rsidRPr="00421991" w:rsidRDefault="008D5510" w:rsidP="00F0346E">
            <w:pPr>
              <w:pStyle w:val="NoParagraphStyle"/>
              <w:spacing w:line="240" w:lineRule="auto"/>
              <w:jc w:val="center"/>
              <w:textAlignment w:val="auto"/>
              <w:rPr>
                <w:rFonts w:ascii="Arial" w:hAnsi="Arial" w:cs="Arial"/>
                <w:color w:val="auto"/>
                <w:sz w:val="18"/>
                <w:szCs w:val="18"/>
                <w:lang w:val="en-AU"/>
              </w:rPr>
            </w:pP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Mental stress</w:t>
            </w:r>
          </w:p>
        </w:tc>
        <w:tc>
          <w:tcPr>
            <w:tcW w:w="2532" w:type="dxa"/>
            <w:vAlign w:val="center"/>
          </w:tcPr>
          <w:p w:rsidR="008D5510" w:rsidRPr="00421991" w:rsidRDefault="008D5510" w:rsidP="00F0346E">
            <w:pPr>
              <w:pStyle w:val="Tabletext2"/>
              <w:spacing w:before="0" w:after="0"/>
              <w:rPr>
                <w:color w:val="auto"/>
              </w:rPr>
            </w:pPr>
            <w:r w:rsidRPr="00421991">
              <w:rPr>
                <w:color w:val="auto"/>
              </w:rPr>
              <w:t>13.9</w:t>
            </w:r>
          </w:p>
        </w:tc>
        <w:tc>
          <w:tcPr>
            <w:tcW w:w="2531" w:type="dxa"/>
            <w:vAlign w:val="center"/>
          </w:tcPr>
          <w:p w:rsidR="008D5510" w:rsidRPr="00421991" w:rsidRDefault="008D5510" w:rsidP="00F0346E">
            <w:pPr>
              <w:pStyle w:val="Tabletext2"/>
              <w:spacing w:before="0" w:after="0"/>
              <w:rPr>
                <w:color w:val="auto"/>
              </w:rPr>
            </w:pPr>
            <w:r w:rsidRPr="00421991">
              <w:rPr>
                <w:color w:val="auto"/>
              </w:rPr>
              <w:t>$15 100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Body stressing</w:t>
            </w:r>
          </w:p>
        </w:tc>
        <w:tc>
          <w:tcPr>
            <w:tcW w:w="2532" w:type="dxa"/>
            <w:vAlign w:val="center"/>
          </w:tcPr>
          <w:p w:rsidR="008D5510" w:rsidRPr="00421991" w:rsidRDefault="008D5510" w:rsidP="00F0346E">
            <w:pPr>
              <w:pStyle w:val="Tabletext2"/>
              <w:spacing w:before="0" w:after="0"/>
              <w:rPr>
                <w:color w:val="auto"/>
              </w:rPr>
            </w:pPr>
            <w:r w:rsidRPr="00421991">
              <w:rPr>
                <w:color w:val="auto"/>
              </w:rPr>
              <w:t>6.2</w:t>
            </w:r>
          </w:p>
        </w:tc>
        <w:tc>
          <w:tcPr>
            <w:tcW w:w="2531" w:type="dxa"/>
            <w:vAlign w:val="center"/>
          </w:tcPr>
          <w:p w:rsidR="008D5510" w:rsidRPr="00421991" w:rsidRDefault="008D5510" w:rsidP="00F0346E">
            <w:pPr>
              <w:pStyle w:val="Tabletext2"/>
              <w:spacing w:before="0" w:after="0"/>
              <w:rPr>
                <w:color w:val="auto"/>
              </w:rPr>
            </w:pPr>
            <w:r w:rsidRPr="00421991">
              <w:rPr>
                <w:color w:val="auto"/>
              </w:rPr>
              <w:t>$7 700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Falls, trips and slips of a person</w:t>
            </w:r>
          </w:p>
        </w:tc>
        <w:tc>
          <w:tcPr>
            <w:tcW w:w="2532" w:type="dxa"/>
            <w:vAlign w:val="center"/>
          </w:tcPr>
          <w:p w:rsidR="008D5510" w:rsidRPr="00421991" w:rsidRDefault="008D5510" w:rsidP="00F0346E">
            <w:pPr>
              <w:pStyle w:val="Tabletext2"/>
              <w:spacing w:before="0" w:after="0"/>
              <w:rPr>
                <w:color w:val="auto"/>
              </w:rPr>
            </w:pPr>
            <w:r w:rsidRPr="00421991">
              <w:rPr>
                <w:color w:val="auto"/>
              </w:rPr>
              <w:t>5.1</w:t>
            </w:r>
          </w:p>
        </w:tc>
        <w:tc>
          <w:tcPr>
            <w:tcW w:w="2531" w:type="dxa"/>
            <w:vAlign w:val="center"/>
          </w:tcPr>
          <w:p w:rsidR="008D5510" w:rsidRPr="00421991" w:rsidRDefault="008D5510" w:rsidP="00F0346E">
            <w:pPr>
              <w:pStyle w:val="Tabletext2"/>
              <w:spacing w:before="0" w:after="0"/>
              <w:rPr>
                <w:color w:val="auto"/>
              </w:rPr>
            </w:pPr>
            <w:r w:rsidRPr="00421991">
              <w:rPr>
                <w:color w:val="auto"/>
              </w:rPr>
              <w:t>$5 100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Vehicle incidents and other</w:t>
            </w:r>
          </w:p>
        </w:tc>
        <w:tc>
          <w:tcPr>
            <w:tcW w:w="2532" w:type="dxa"/>
            <w:vAlign w:val="center"/>
          </w:tcPr>
          <w:p w:rsidR="008D5510" w:rsidRPr="00421991" w:rsidRDefault="008D5510" w:rsidP="00F0346E">
            <w:pPr>
              <w:pStyle w:val="Tabletext2"/>
              <w:spacing w:before="0" w:after="0"/>
              <w:rPr>
                <w:color w:val="auto"/>
              </w:rPr>
            </w:pPr>
            <w:r w:rsidRPr="00421991">
              <w:rPr>
                <w:color w:val="auto"/>
              </w:rPr>
              <w:t>4.8</w:t>
            </w:r>
          </w:p>
        </w:tc>
        <w:tc>
          <w:tcPr>
            <w:tcW w:w="2531" w:type="dxa"/>
            <w:vAlign w:val="center"/>
          </w:tcPr>
          <w:p w:rsidR="008D5510" w:rsidRPr="00421991" w:rsidRDefault="008D5510" w:rsidP="00F0346E">
            <w:pPr>
              <w:pStyle w:val="Tabletext2"/>
              <w:spacing w:before="0" w:after="0"/>
              <w:rPr>
                <w:color w:val="auto"/>
              </w:rPr>
            </w:pPr>
            <w:r w:rsidRPr="00421991">
              <w:rPr>
                <w:color w:val="auto"/>
              </w:rPr>
              <w:t>$5 800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Being hit by moving objects</w:t>
            </w:r>
          </w:p>
        </w:tc>
        <w:tc>
          <w:tcPr>
            <w:tcW w:w="2532" w:type="dxa"/>
            <w:vAlign w:val="center"/>
          </w:tcPr>
          <w:p w:rsidR="008D5510" w:rsidRPr="00421991" w:rsidRDefault="008D5510" w:rsidP="00F0346E">
            <w:pPr>
              <w:pStyle w:val="Tabletext2"/>
              <w:spacing w:before="0" w:after="0"/>
              <w:rPr>
                <w:color w:val="auto"/>
              </w:rPr>
            </w:pPr>
            <w:r w:rsidRPr="00421991">
              <w:rPr>
                <w:color w:val="auto"/>
              </w:rPr>
              <w:t>2.8</w:t>
            </w:r>
          </w:p>
        </w:tc>
        <w:tc>
          <w:tcPr>
            <w:tcW w:w="2531" w:type="dxa"/>
            <w:vAlign w:val="center"/>
          </w:tcPr>
          <w:p w:rsidR="008D5510" w:rsidRPr="00421991" w:rsidRDefault="008D5510" w:rsidP="00F0346E">
            <w:pPr>
              <w:pStyle w:val="Tabletext2"/>
              <w:spacing w:before="0" w:after="0"/>
              <w:rPr>
                <w:color w:val="auto"/>
              </w:rPr>
            </w:pPr>
            <w:r w:rsidRPr="00421991">
              <w:rPr>
                <w:color w:val="auto"/>
              </w:rPr>
              <w:t>$3 500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Chemicals and other substances</w:t>
            </w:r>
          </w:p>
        </w:tc>
        <w:tc>
          <w:tcPr>
            <w:tcW w:w="2532" w:type="dxa"/>
            <w:vAlign w:val="center"/>
          </w:tcPr>
          <w:p w:rsidR="008D5510" w:rsidRPr="00421991" w:rsidRDefault="008D5510" w:rsidP="00F0346E">
            <w:pPr>
              <w:pStyle w:val="Tabletext2"/>
              <w:spacing w:before="0" w:after="0"/>
              <w:rPr>
                <w:color w:val="auto"/>
              </w:rPr>
            </w:pPr>
            <w:r w:rsidRPr="00421991">
              <w:rPr>
                <w:color w:val="auto"/>
              </w:rPr>
              <w:t>2.6</w:t>
            </w:r>
          </w:p>
        </w:tc>
        <w:tc>
          <w:tcPr>
            <w:tcW w:w="2531" w:type="dxa"/>
            <w:vAlign w:val="center"/>
          </w:tcPr>
          <w:p w:rsidR="008D5510" w:rsidRPr="00421991" w:rsidRDefault="008D5510" w:rsidP="00F0346E">
            <w:pPr>
              <w:pStyle w:val="Tabletext2"/>
              <w:spacing w:before="0" w:after="0"/>
              <w:rPr>
                <w:color w:val="auto"/>
              </w:rPr>
            </w:pPr>
            <w:r w:rsidRPr="00421991">
              <w:rPr>
                <w:color w:val="auto"/>
              </w:rPr>
              <w:t>$3 000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Hitting objects with a part of the body</w:t>
            </w:r>
          </w:p>
        </w:tc>
        <w:tc>
          <w:tcPr>
            <w:tcW w:w="2532" w:type="dxa"/>
            <w:vAlign w:val="center"/>
          </w:tcPr>
          <w:p w:rsidR="008D5510" w:rsidRPr="00421991" w:rsidRDefault="008D5510" w:rsidP="00F0346E">
            <w:pPr>
              <w:pStyle w:val="Tabletext2"/>
              <w:spacing w:before="0" w:after="0"/>
              <w:rPr>
                <w:color w:val="auto"/>
              </w:rPr>
            </w:pPr>
            <w:r w:rsidRPr="00421991">
              <w:rPr>
                <w:color w:val="auto"/>
              </w:rPr>
              <w:t>2.0</w:t>
            </w:r>
          </w:p>
        </w:tc>
        <w:tc>
          <w:tcPr>
            <w:tcW w:w="2531" w:type="dxa"/>
            <w:vAlign w:val="center"/>
          </w:tcPr>
          <w:p w:rsidR="008D5510" w:rsidRPr="00421991" w:rsidRDefault="008D5510" w:rsidP="00F0346E">
            <w:pPr>
              <w:pStyle w:val="Tabletext2"/>
              <w:spacing w:before="0" w:after="0"/>
              <w:rPr>
                <w:color w:val="auto"/>
              </w:rPr>
            </w:pPr>
            <w:r w:rsidRPr="00421991">
              <w:rPr>
                <w:color w:val="auto"/>
              </w:rPr>
              <w:t>$2 000</w:t>
            </w:r>
          </w:p>
        </w:tc>
      </w:tr>
      <w:tr w:rsidR="008D5510" w:rsidRPr="00421991" w:rsidTr="00F0346E">
        <w:trPr>
          <w:trHeight w:val="20"/>
        </w:trPr>
        <w:tc>
          <w:tcPr>
            <w:tcW w:w="4611" w:type="dxa"/>
          </w:tcPr>
          <w:p w:rsidR="008D5510" w:rsidRPr="00421991" w:rsidRDefault="008D5510" w:rsidP="00F0346E">
            <w:pPr>
              <w:pStyle w:val="Tabletext1"/>
              <w:spacing w:before="0" w:after="0"/>
              <w:rPr>
                <w:color w:val="auto"/>
              </w:rPr>
            </w:pPr>
            <w:r w:rsidRPr="00421991">
              <w:rPr>
                <w:color w:val="auto"/>
              </w:rPr>
              <w:t>Heat, electricity and other environmental factors</w:t>
            </w:r>
          </w:p>
        </w:tc>
        <w:tc>
          <w:tcPr>
            <w:tcW w:w="2532" w:type="dxa"/>
            <w:vAlign w:val="center"/>
          </w:tcPr>
          <w:p w:rsidR="008D5510" w:rsidRPr="00421991" w:rsidRDefault="008D5510" w:rsidP="00F0346E">
            <w:pPr>
              <w:pStyle w:val="Tabletext2"/>
              <w:spacing w:before="0" w:after="0"/>
              <w:rPr>
                <w:color w:val="auto"/>
              </w:rPr>
            </w:pPr>
            <w:r w:rsidRPr="00421991">
              <w:rPr>
                <w:color w:val="auto"/>
              </w:rPr>
              <w:t>1.8</w:t>
            </w:r>
          </w:p>
        </w:tc>
        <w:tc>
          <w:tcPr>
            <w:tcW w:w="2531" w:type="dxa"/>
            <w:vAlign w:val="center"/>
          </w:tcPr>
          <w:p w:rsidR="008D5510" w:rsidRPr="00421991" w:rsidRDefault="008D5510" w:rsidP="00F0346E">
            <w:pPr>
              <w:pStyle w:val="Tabletext2"/>
              <w:spacing w:before="0" w:after="0"/>
              <w:rPr>
                <w:color w:val="auto"/>
              </w:rPr>
            </w:pPr>
            <w:r w:rsidRPr="00421991">
              <w:rPr>
                <w:color w:val="auto"/>
              </w:rPr>
              <w:t>$1 400</w:t>
            </w:r>
          </w:p>
        </w:tc>
      </w:tr>
    </w:tbl>
    <w:p w:rsidR="001164BE" w:rsidRPr="00421991" w:rsidRDefault="001164BE" w:rsidP="001164BE">
      <w:pPr>
        <w:pStyle w:val="FootnoteFiguresandtables"/>
        <w:spacing w:before="57"/>
        <w:rPr>
          <w:color w:val="auto"/>
        </w:rPr>
      </w:pPr>
      <w:r w:rsidRPr="00421991">
        <w:rPr>
          <w:color w:val="auto"/>
        </w:rPr>
        <w:t>Source: National Data Set for Compensation-Based Statistics.</w:t>
      </w:r>
    </w:p>
    <w:p w:rsidR="001164BE" w:rsidRPr="00421991" w:rsidRDefault="001164BE" w:rsidP="00DD2ECE">
      <w:pPr>
        <w:pStyle w:val="Heading3"/>
      </w:pPr>
      <w:bookmarkStart w:id="68" w:name="_Toc419453290"/>
      <w:bookmarkStart w:id="69" w:name="_Toc426441708"/>
      <w:r w:rsidRPr="00421991">
        <w:t>Number of weeks off work by mechanism of injury or disease</w:t>
      </w:r>
      <w:bookmarkEnd w:id="68"/>
      <w:bookmarkEnd w:id="69"/>
    </w:p>
    <w:p w:rsidR="001164BE" w:rsidRPr="00421991" w:rsidRDefault="001164BE" w:rsidP="001164BE">
      <w:pPr>
        <w:pStyle w:val="TextBody"/>
        <w:rPr>
          <w:color w:val="auto"/>
        </w:rPr>
      </w:pPr>
      <w:r w:rsidRPr="00421991">
        <w:rPr>
          <w:color w:val="auto"/>
        </w:rPr>
        <w:t>The mechanism of injury or disease had a strong influence on the amount of time taken off work. In 2011–12, serious claims arising from mental stress were associated with the lengthiest absence from work and this was most pronounced in the proportion of claimants who were absent from work for 52 weeks or more. Although 8% of all serious claims involved an absence of 52 weeks or more, 18% of serious claims arising from mental stress involved an absence of the same period.</w:t>
      </w:r>
    </w:p>
    <w:p w:rsidR="001164BE" w:rsidRPr="00421991" w:rsidRDefault="001164BE" w:rsidP="001164BE">
      <w:pPr>
        <w:pStyle w:val="TextBody"/>
        <w:rPr>
          <w:color w:val="auto"/>
        </w:rPr>
      </w:pPr>
      <w:r w:rsidRPr="00421991">
        <w:rPr>
          <w:color w:val="auto"/>
        </w:rPr>
        <w:t>Serious claims arising from body stressing were associated with the second-highest absence from work after mental stress. Compared with all serious claims, a lower proportion of body stressing claims involved the relatively short absence of 1 to 5 weeks (48% versus 58% for all serious claims) and a higher proportion involved the relatively lengthy absence of 6 weeks or more.</w:t>
      </w:r>
    </w:p>
    <w:p w:rsidR="001164BE" w:rsidRPr="00421991" w:rsidRDefault="001164BE" w:rsidP="001164BE">
      <w:pPr>
        <w:pStyle w:val="TextBody"/>
        <w:rPr>
          <w:color w:val="auto"/>
        </w:rPr>
      </w:pPr>
      <w:r w:rsidRPr="00421991">
        <w:rPr>
          <w:color w:val="auto"/>
        </w:rPr>
        <w:t>Serious claims arising from heat, electricity and other environmental factors involved the shortest absence periods and this was most pronounced in the higher proportion of claimants who were absent for the relatively short period of 1 to 5 weeks (88% versus 58% for all serious claims). Table 11 outlines the percentage of serious claims for each mechanism of injury or disease by absence period from work for 2011–12.</w:t>
      </w:r>
    </w:p>
    <w:p w:rsidR="00B120A5" w:rsidRDefault="00B120A5">
      <w:pPr>
        <w:rPr>
          <w:rFonts w:eastAsiaTheme="minorHAnsi"/>
          <w:b/>
          <w:bCs/>
          <w:kern w:val="0"/>
          <w:sz w:val="20"/>
          <w:szCs w:val="20"/>
          <w:lang w:val="en-GB" w:eastAsia="en-US"/>
        </w:rPr>
      </w:pPr>
      <w:r>
        <w:br w:type="page"/>
      </w:r>
    </w:p>
    <w:p w:rsidR="001164BE" w:rsidRPr="00421991" w:rsidRDefault="001164BE" w:rsidP="001164BE">
      <w:pPr>
        <w:pStyle w:val="Tabletitle1"/>
        <w:rPr>
          <w:color w:val="auto"/>
        </w:rPr>
      </w:pPr>
      <w:r w:rsidRPr="00421991">
        <w:rPr>
          <w:color w:val="auto"/>
        </w:rPr>
        <w:lastRenderedPageBreak/>
        <w:t xml:space="preserve">Table 11: Serious claims in accommodation and food services </w:t>
      </w:r>
      <w:r w:rsidR="00F0346E">
        <w:rPr>
          <w:color w:val="auto"/>
        </w:rPr>
        <w:t xml:space="preserve">industry: percentage of serious </w:t>
      </w:r>
      <w:r w:rsidRPr="00421991">
        <w:rPr>
          <w:color w:val="auto"/>
        </w:rPr>
        <w:t>claims for each mechanism of injury or disease by absence period from work, 2011–12</w:t>
      </w:r>
    </w:p>
    <w:tbl>
      <w:tblPr>
        <w:tblStyle w:val="TableGrid"/>
        <w:tblW w:w="9744" w:type="dxa"/>
        <w:tblLayout w:type="fixed"/>
        <w:tblLook w:val="0000" w:firstRow="0" w:lastRow="0" w:firstColumn="0" w:lastColumn="0" w:noHBand="0" w:noVBand="0"/>
        <w:tblCaption w:val="Table 11: Serious claims in accommodation and food services industry: percentage of serious claims for each mechanism of injury or disease by absence period from work, 2011–12"/>
      </w:tblPr>
      <w:tblGrid>
        <w:gridCol w:w="4644"/>
        <w:gridCol w:w="850"/>
        <w:gridCol w:w="850"/>
        <w:gridCol w:w="850"/>
        <w:gridCol w:w="850"/>
        <w:gridCol w:w="850"/>
        <w:gridCol w:w="850"/>
      </w:tblGrid>
      <w:tr w:rsidR="00F0346E" w:rsidRPr="00421991" w:rsidTr="008D5510">
        <w:trPr>
          <w:trHeight w:val="60"/>
          <w:tblHeader/>
        </w:trPr>
        <w:tc>
          <w:tcPr>
            <w:tcW w:w="4644" w:type="dxa"/>
            <w:vAlign w:val="center"/>
          </w:tcPr>
          <w:p w:rsidR="001164BE" w:rsidRPr="00421991" w:rsidRDefault="001164BE" w:rsidP="00F0346E">
            <w:pPr>
              <w:pStyle w:val="Tabletext"/>
              <w:spacing w:before="0" w:after="0"/>
              <w:rPr>
                <w:color w:val="auto"/>
              </w:rPr>
            </w:pPr>
            <w:r w:rsidRPr="00421991">
              <w:rPr>
                <w:rStyle w:val="BoldBody"/>
                <w:color w:val="auto"/>
              </w:rPr>
              <w:t>Mechanism of injury or disease</w:t>
            </w:r>
          </w:p>
        </w:tc>
        <w:tc>
          <w:tcPr>
            <w:tcW w:w="850" w:type="dxa"/>
            <w:vAlign w:val="center"/>
          </w:tcPr>
          <w:p w:rsidR="001164BE" w:rsidRPr="00421991" w:rsidRDefault="001164BE" w:rsidP="00F0346E">
            <w:pPr>
              <w:pStyle w:val="Tabletext2"/>
              <w:spacing w:before="0" w:after="0"/>
              <w:rPr>
                <w:color w:val="auto"/>
              </w:rPr>
            </w:pPr>
            <w:r w:rsidRPr="00421991">
              <w:rPr>
                <w:rStyle w:val="BoldBody"/>
                <w:color w:val="auto"/>
              </w:rPr>
              <w:t>1-5 weeks</w:t>
            </w:r>
          </w:p>
        </w:tc>
        <w:tc>
          <w:tcPr>
            <w:tcW w:w="850" w:type="dxa"/>
            <w:vAlign w:val="center"/>
          </w:tcPr>
          <w:p w:rsidR="001164BE" w:rsidRPr="00421991" w:rsidRDefault="001164BE" w:rsidP="00F0346E">
            <w:pPr>
              <w:pStyle w:val="Tabletext2"/>
              <w:spacing w:before="0" w:after="0"/>
              <w:rPr>
                <w:color w:val="auto"/>
              </w:rPr>
            </w:pPr>
            <w:r w:rsidRPr="00421991">
              <w:rPr>
                <w:rStyle w:val="BoldBody"/>
                <w:color w:val="auto"/>
              </w:rPr>
              <w:t>6-11 weeks</w:t>
            </w:r>
          </w:p>
        </w:tc>
        <w:tc>
          <w:tcPr>
            <w:tcW w:w="850" w:type="dxa"/>
            <w:vAlign w:val="center"/>
          </w:tcPr>
          <w:p w:rsidR="001164BE" w:rsidRPr="00421991" w:rsidRDefault="001164BE" w:rsidP="00F0346E">
            <w:pPr>
              <w:pStyle w:val="Tabletext2"/>
              <w:spacing w:before="0" w:after="0"/>
              <w:rPr>
                <w:color w:val="auto"/>
              </w:rPr>
            </w:pPr>
            <w:r w:rsidRPr="00421991">
              <w:rPr>
                <w:rStyle w:val="BoldBody"/>
                <w:color w:val="auto"/>
              </w:rPr>
              <w:t>12-25 weeks</w:t>
            </w:r>
          </w:p>
        </w:tc>
        <w:tc>
          <w:tcPr>
            <w:tcW w:w="850" w:type="dxa"/>
            <w:vAlign w:val="center"/>
          </w:tcPr>
          <w:p w:rsidR="001164BE" w:rsidRPr="00421991" w:rsidRDefault="001164BE" w:rsidP="00F0346E">
            <w:pPr>
              <w:pStyle w:val="Tabletext2"/>
              <w:spacing w:before="0" w:after="0"/>
              <w:rPr>
                <w:color w:val="auto"/>
              </w:rPr>
            </w:pPr>
            <w:r w:rsidRPr="00421991">
              <w:rPr>
                <w:rStyle w:val="BoldBody"/>
                <w:color w:val="auto"/>
              </w:rPr>
              <w:t>26-51 weeks</w:t>
            </w:r>
          </w:p>
        </w:tc>
        <w:tc>
          <w:tcPr>
            <w:tcW w:w="850" w:type="dxa"/>
            <w:vAlign w:val="center"/>
          </w:tcPr>
          <w:p w:rsidR="001164BE" w:rsidRPr="00421991" w:rsidRDefault="001164BE" w:rsidP="00F0346E">
            <w:pPr>
              <w:pStyle w:val="Tabletext2"/>
              <w:spacing w:before="0" w:after="0"/>
              <w:rPr>
                <w:color w:val="auto"/>
              </w:rPr>
            </w:pPr>
            <w:r w:rsidRPr="00421991">
              <w:rPr>
                <w:rStyle w:val="BoldBody"/>
                <w:color w:val="auto"/>
              </w:rPr>
              <w:t>52+ weeks</w:t>
            </w:r>
          </w:p>
        </w:tc>
        <w:tc>
          <w:tcPr>
            <w:tcW w:w="850" w:type="dxa"/>
            <w:vAlign w:val="center"/>
          </w:tcPr>
          <w:p w:rsidR="001164BE" w:rsidRPr="00421991" w:rsidRDefault="001164BE" w:rsidP="00F0346E">
            <w:pPr>
              <w:pStyle w:val="Tabletext2"/>
              <w:spacing w:before="0" w:after="0"/>
              <w:rPr>
                <w:color w:val="auto"/>
              </w:rPr>
            </w:pPr>
            <w:r w:rsidRPr="00421991">
              <w:rPr>
                <w:rStyle w:val="BoldBody"/>
                <w:color w:val="auto"/>
              </w:rPr>
              <w:t>Total</w:t>
            </w:r>
          </w:p>
        </w:tc>
      </w:tr>
      <w:tr w:rsidR="00F0346E" w:rsidRPr="00421991" w:rsidTr="00F0346E">
        <w:trPr>
          <w:trHeight w:val="60"/>
        </w:trPr>
        <w:tc>
          <w:tcPr>
            <w:tcW w:w="4644" w:type="dxa"/>
          </w:tcPr>
          <w:p w:rsidR="001164BE" w:rsidRPr="00421991" w:rsidRDefault="001164BE" w:rsidP="00F0346E">
            <w:pPr>
              <w:pStyle w:val="Tabletext"/>
              <w:spacing w:before="0" w:after="0"/>
              <w:rPr>
                <w:color w:val="auto"/>
              </w:rPr>
            </w:pPr>
            <w:r w:rsidRPr="00421991">
              <w:rPr>
                <w:color w:val="auto"/>
              </w:rPr>
              <w:t>Body stressing</w:t>
            </w:r>
          </w:p>
        </w:tc>
        <w:tc>
          <w:tcPr>
            <w:tcW w:w="850" w:type="dxa"/>
            <w:vAlign w:val="center"/>
          </w:tcPr>
          <w:p w:rsidR="001164BE" w:rsidRPr="00421991" w:rsidRDefault="001164BE" w:rsidP="00F0346E">
            <w:pPr>
              <w:pStyle w:val="Tabletext2"/>
              <w:spacing w:before="0" w:after="0"/>
              <w:rPr>
                <w:color w:val="auto"/>
              </w:rPr>
            </w:pPr>
            <w:r w:rsidRPr="00421991">
              <w:rPr>
                <w:color w:val="auto"/>
              </w:rPr>
              <w:t>48%</w:t>
            </w:r>
          </w:p>
        </w:tc>
        <w:tc>
          <w:tcPr>
            <w:tcW w:w="850" w:type="dxa"/>
            <w:vAlign w:val="center"/>
          </w:tcPr>
          <w:p w:rsidR="001164BE" w:rsidRPr="00421991" w:rsidRDefault="001164BE" w:rsidP="00F0346E">
            <w:pPr>
              <w:pStyle w:val="Tabletext2"/>
              <w:spacing w:before="0" w:after="0"/>
              <w:rPr>
                <w:color w:val="auto"/>
              </w:rPr>
            </w:pPr>
            <w:r w:rsidRPr="00421991">
              <w:rPr>
                <w:color w:val="auto"/>
              </w:rPr>
              <w:t>17%</w:t>
            </w:r>
          </w:p>
        </w:tc>
        <w:tc>
          <w:tcPr>
            <w:tcW w:w="850" w:type="dxa"/>
            <w:vAlign w:val="center"/>
          </w:tcPr>
          <w:p w:rsidR="001164BE" w:rsidRPr="00421991" w:rsidRDefault="001164BE" w:rsidP="00F0346E">
            <w:pPr>
              <w:pStyle w:val="Tabletext2"/>
              <w:spacing w:before="0" w:after="0"/>
              <w:rPr>
                <w:color w:val="auto"/>
              </w:rPr>
            </w:pPr>
            <w:r w:rsidRPr="00421991">
              <w:rPr>
                <w:color w:val="auto"/>
              </w:rPr>
              <w:t>13%</w:t>
            </w:r>
          </w:p>
        </w:tc>
        <w:tc>
          <w:tcPr>
            <w:tcW w:w="850" w:type="dxa"/>
            <w:vAlign w:val="center"/>
          </w:tcPr>
          <w:p w:rsidR="001164BE" w:rsidRPr="00421991" w:rsidRDefault="001164BE" w:rsidP="00F0346E">
            <w:pPr>
              <w:pStyle w:val="Tabletext2"/>
              <w:spacing w:before="0" w:after="0"/>
              <w:rPr>
                <w:color w:val="auto"/>
              </w:rPr>
            </w:pPr>
            <w:r w:rsidRPr="00421991">
              <w:rPr>
                <w:color w:val="auto"/>
              </w:rPr>
              <w:t>10%</w:t>
            </w:r>
          </w:p>
        </w:tc>
        <w:tc>
          <w:tcPr>
            <w:tcW w:w="850" w:type="dxa"/>
            <w:vAlign w:val="center"/>
          </w:tcPr>
          <w:p w:rsidR="001164BE" w:rsidRPr="00421991" w:rsidRDefault="001164BE" w:rsidP="00F0346E">
            <w:pPr>
              <w:pStyle w:val="Tabletext2"/>
              <w:spacing w:before="0" w:after="0"/>
              <w:rPr>
                <w:color w:val="auto"/>
              </w:rPr>
            </w:pPr>
            <w:r w:rsidRPr="00421991">
              <w:rPr>
                <w:color w:val="auto"/>
              </w:rPr>
              <w:t>11%</w:t>
            </w:r>
          </w:p>
        </w:tc>
        <w:tc>
          <w:tcPr>
            <w:tcW w:w="850" w:type="dxa"/>
            <w:vAlign w:val="center"/>
          </w:tcPr>
          <w:p w:rsidR="001164BE" w:rsidRPr="00421991" w:rsidRDefault="001164BE" w:rsidP="00F0346E">
            <w:pPr>
              <w:pStyle w:val="Tabletext2"/>
              <w:spacing w:before="0" w:after="0"/>
              <w:rPr>
                <w:color w:val="auto"/>
              </w:rPr>
            </w:pPr>
            <w:r w:rsidRPr="00421991">
              <w:rPr>
                <w:color w:val="auto"/>
              </w:rPr>
              <w:t>100%</w:t>
            </w:r>
          </w:p>
        </w:tc>
      </w:tr>
      <w:tr w:rsidR="00F0346E" w:rsidRPr="00421991" w:rsidTr="00F0346E">
        <w:trPr>
          <w:trHeight w:val="60"/>
        </w:trPr>
        <w:tc>
          <w:tcPr>
            <w:tcW w:w="4644" w:type="dxa"/>
          </w:tcPr>
          <w:p w:rsidR="001164BE" w:rsidRPr="00421991" w:rsidRDefault="001164BE" w:rsidP="00F0346E">
            <w:pPr>
              <w:pStyle w:val="Tabletext"/>
              <w:spacing w:before="0" w:after="0"/>
              <w:rPr>
                <w:color w:val="auto"/>
              </w:rPr>
            </w:pPr>
            <w:r w:rsidRPr="00421991">
              <w:rPr>
                <w:color w:val="auto"/>
              </w:rPr>
              <w:t>Falls, trips and slips of a person</w:t>
            </w:r>
          </w:p>
        </w:tc>
        <w:tc>
          <w:tcPr>
            <w:tcW w:w="850" w:type="dxa"/>
            <w:vAlign w:val="center"/>
          </w:tcPr>
          <w:p w:rsidR="001164BE" w:rsidRPr="00421991" w:rsidRDefault="001164BE" w:rsidP="00F0346E">
            <w:pPr>
              <w:pStyle w:val="Tabletext2"/>
              <w:spacing w:before="0" w:after="0"/>
              <w:rPr>
                <w:color w:val="auto"/>
              </w:rPr>
            </w:pPr>
            <w:r w:rsidRPr="00421991">
              <w:rPr>
                <w:color w:val="auto"/>
              </w:rPr>
              <w:t>53%</w:t>
            </w:r>
          </w:p>
        </w:tc>
        <w:tc>
          <w:tcPr>
            <w:tcW w:w="850" w:type="dxa"/>
            <w:vAlign w:val="center"/>
          </w:tcPr>
          <w:p w:rsidR="001164BE" w:rsidRPr="00421991" w:rsidRDefault="001164BE" w:rsidP="00F0346E">
            <w:pPr>
              <w:pStyle w:val="Tabletext2"/>
              <w:spacing w:before="0" w:after="0"/>
              <w:rPr>
                <w:color w:val="auto"/>
              </w:rPr>
            </w:pPr>
            <w:r w:rsidRPr="00421991">
              <w:rPr>
                <w:color w:val="auto"/>
              </w:rPr>
              <w:t>17%</w:t>
            </w:r>
          </w:p>
        </w:tc>
        <w:tc>
          <w:tcPr>
            <w:tcW w:w="850" w:type="dxa"/>
            <w:vAlign w:val="center"/>
          </w:tcPr>
          <w:p w:rsidR="001164BE" w:rsidRPr="00421991" w:rsidRDefault="001164BE" w:rsidP="00F0346E">
            <w:pPr>
              <w:pStyle w:val="Tabletext2"/>
              <w:spacing w:before="0" w:after="0"/>
              <w:rPr>
                <w:color w:val="auto"/>
              </w:rPr>
            </w:pPr>
            <w:r w:rsidRPr="00421991">
              <w:rPr>
                <w:color w:val="auto"/>
              </w:rPr>
              <w:t>14%</w:t>
            </w:r>
          </w:p>
        </w:tc>
        <w:tc>
          <w:tcPr>
            <w:tcW w:w="850" w:type="dxa"/>
            <w:vAlign w:val="center"/>
          </w:tcPr>
          <w:p w:rsidR="001164BE" w:rsidRPr="00421991" w:rsidRDefault="001164BE" w:rsidP="00F0346E">
            <w:pPr>
              <w:pStyle w:val="Tabletext2"/>
              <w:spacing w:before="0" w:after="0"/>
              <w:rPr>
                <w:color w:val="auto"/>
              </w:rPr>
            </w:pPr>
            <w:r w:rsidRPr="00421991">
              <w:rPr>
                <w:color w:val="auto"/>
              </w:rPr>
              <w:t>8%</w:t>
            </w:r>
          </w:p>
        </w:tc>
        <w:tc>
          <w:tcPr>
            <w:tcW w:w="850" w:type="dxa"/>
            <w:vAlign w:val="center"/>
          </w:tcPr>
          <w:p w:rsidR="001164BE" w:rsidRPr="00421991" w:rsidRDefault="001164BE" w:rsidP="00F0346E">
            <w:pPr>
              <w:pStyle w:val="Tabletext2"/>
              <w:spacing w:before="0" w:after="0"/>
              <w:rPr>
                <w:color w:val="auto"/>
              </w:rPr>
            </w:pPr>
            <w:r w:rsidRPr="00421991">
              <w:rPr>
                <w:color w:val="auto"/>
              </w:rPr>
              <w:t>8%</w:t>
            </w:r>
          </w:p>
        </w:tc>
        <w:tc>
          <w:tcPr>
            <w:tcW w:w="850" w:type="dxa"/>
            <w:vAlign w:val="center"/>
          </w:tcPr>
          <w:p w:rsidR="001164BE" w:rsidRPr="00421991" w:rsidRDefault="001164BE" w:rsidP="00F0346E">
            <w:pPr>
              <w:pStyle w:val="Tabletext2"/>
              <w:spacing w:before="0" w:after="0"/>
              <w:rPr>
                <w:color w:val="auto"/>
              </w:rPr>
            </w:pPr>
            <w:r w:rsidRPr="00421991">
              <w:rPr>
                <w:color w:val="auto"/>
              </w:rPr>
              <w:t>100%</w:t>
            </w:r>
          </w:p>
        </w:tc>
      </w:tr>
      <w:tr w:rsidR="00F0346E" w:rsidRPr="00421991" w:rsidTr="00F0346E">
        <w:trPr>
          <w:trHeight w:val="60"/>
        </w:trPr>
        <w:tc>
          <w:tcPr>
            <w:tcW w:w="4644" w:type="dxa"/>
          </w:tcPr>
          <w:p w:rsidR="001164BE" w:rsidRPr="00421991" w:rsidRDefault="001164BE" w:rsidP="00F0346E">
            <w:pPr>
              <w:pStyle w:val="Tabletext"/>
              <w:spacing w:before="0" w:after="0"/>
              <w:rPr>
                <w:color w:val="auto"/>
              </w:rPr>
            </w:pPr>
            <w:r w:rsidRPr="00421991">
              <w:rPr>
                <w:color w:val="auto"/>
              </w:rPr>
              <w:t>Hitting objects with a part of the body</w:t>
            </w:r>
          </w:p>
        </w:tc>
        <w:tc>
          <w:tcPr>
            <w:tcW w:w="850" w:type="dxa"/>
            <w:vAlign w:val="center"/>
          </w:tcPr>
          <w:p w:rsidR="001164BE" w:rsidRPr="00421991" w:rsidRDefault="001164BE" w:rsidP="00F0346E">
            <w:pPr>
              <w:pStyle w:val="Tabletext2"/>
              <w:spacing w:before="0" w:after="0"/>
              <w:rPr>
                <w:color w:val="auto"/>
              </w:rPr>
            </w:pPr>
            <w:r w:rsidRPr="00421991">
              <w:rPr>
                <w:color w:val="auto"/>
              </w:rPr>
              <w:t>78%</w:t>
            </w:r>
          </w:p>
        </w:tc>
        <w:tc>
          <w:tcPr>
            <w:tcW w:w="850" w:type="dxa"/>
            <w:vAlign w:val="center"/>
          </w:tcPr>
          <w:p w:rsidR="001164BE" w:rsidRPr="00421991" w:rsidRDefault="001164BE" w:rsidP="00F0346E">
            <w:pPr>
              <w:pStyle w:val="Tabletext2"/>
              <w:spacing w:before="0" w:after="0"/>
              <w:rPr>
                <w:color w:val="auto"/>
              </w:rPr>
            </w:pPr>
            <w:r w:rsidRPr="00421991">
              <w:rPr>
                <w:color w:val="auto"/>
              </w:rPr>
              <w:t>13%</w:t>
            </w:r>
          </w:p>
        </w:tc>
        <w:tc>
          <w:tcPr>
            <w:tcW w:w="850" w:type="dxa"/>
            <w:vAlign w:val="center"/>
          </w:tcPr>
          <w:p w:rsidR="001164BE" w:rsidRPr="00421991" w:rsidRDefault="001164BE" w:rsidP="00F0346E">
            <w:pPr>
              <w:pStyle w:val="Tabletext2"/>
              <w:spacing w:before="0" w:after="0"/>
              <w:rPr>
                <w:color w:val="auto"/>
              </w:rPr>
            </w:pPr>
            <w:r w:rsidRPr="00421991">
              <w:rPr>
                <w:color w:val="auto"/>
              </w:rPr>
              <w:t>6%</w:t>
            </w:r>
          </w:p>
        </w:tc>
        <w:tc>
          <w:tcPr>
            <w:tcW w:w="850" w:type="dxa"/>
            <w:vAlign w:val="center"/>
          </w:tcPr>
          <w:p w:rsidR="001164BE" w:rsidRPr="00421991" w:rsidRDefault="001164BE" w:rsidP="00F0346E">
            <w:pPr>
              <w:pStyle w:val="Tabletext2"/>
              <w:spacing w:before="0" w:after="0"/>
              <w:rPr>
                <w:color w:val="auto"/>
              </w:rPr>
            </w:pPr>
            <w:r w:rsidRPr="00421991">
              <w:rPr>
                <w:color w:val="auto"/>
              </w:rPr>
              <w:t>2%</w:t>
            </w:r>
          </w:p>
        </w:tc>
        <w:tc>
          <w:tcPr>
            <w:tcW w:w="850" w:type="dxa"/>
            <w:vAlign w:val="center"/>
          </w:tcPr>
          <w:p w:rsidR="001164BE" w:rsidRPr="00421991" w:rsidRDefault="001164BE" w:rsidP="00F0346E">
            <w:pPr>
              <w:pStyle w:val="Tabletext2"/>
              <w:spacing w:before="0" w:after="0"/>
              <w:rPr>
                <w:color w:val="auto"/>
              </w:rPr>
            </w:pPr>
            <w:r w:rsidRPr="00421991">
              <w:rPr>
                <w:color w:val="auto"/>
              </w:rPr>
              <w:t>2%</w:t>
            </w:r>
          </w:p>
        </w:tc>
        <w:tc>
          <w:tcPr>
            <w:tcW w:w="850" w:type="dxa"/>
            <w:vAlign w:val="center"/>
          </w:tcPr>
          <w:p w:rsidR="001164BE" w:rsidRPr="00421991" w:rsidRDefault="001164BE" w:rsidP="00F0346E">
            <w:pPr>
              <w:pStyle w:val="Tabletext2"/>
              <w:spacing w:before="0" w:after="0"/>
              <w:rPr>
                <w:color w:val="auto"/>
              </w:rPr>
            </w:pPr>
            <w:r w:rsidRPr="00421991">
              <w:rPr>
                <w:color w:val="auto"/>
              </w:rPr>
              <w:t>100%</w:t>
            </w:r>
          </w:p>
        </w:tc>
      </w:tr>
      <w:tr w:rsidR="00F0346E" w:rsidRPr="00421991" w:rsidTr="00F0346E">
        <w:trPr>
          <w:trHeight w:val="60"/>
        </w:trPr>
        <w:tc>
          <w:tcPr>
            <w:tcW w:w="4644" w:type="dxa"/>
          </w:tcPr>
          <w:p w:rsidR="001164BE" w:rsidRPr="00421991" w:rsidRDefault="001164BE" w:rsidP="00F0346E">
            <w:pPr>
              <w:pStyle w:val="Tabletext"/>
              <w:spacing w:before="0" w:after="0"/>
              <w:rPr>
                <w:color w:val="auto"/>
              </w:rPr>
            </w:pPr>
            <w:r w:rsidRPr="00421991">
              <w:rPr>
                <w:color w:val="auto"/>
              </w:rPr>
              <w:t>Being hit by moving objects</w:t>
            </w:r>
          </w:p>
        </w:tc>
        <w:tc>
          <w:tcPr>
            <w:tcW w:w="850" w:type="dxa"/>
            <w:vAlign w:val="center"/>
          </w:tcPr>
          <w:p w:rsidR="001164BE" w:rsidRPr="00421991" w:rsidRDefault="001164BE" w:rsidP="00F0346E">
            <w:pPr>
              <w:pStyle w:val="Tabletext2"/>
              <w:spacing w:before="0" w:after="0"/>
              <w:rPr>
                <w:color w:val="auto"/>
              </w:rPr>
            </w:pPr>
            <w:r w:rsidRPr="00421991">
              <w:rPr>
                <w:color w:val="auto"/>
              </w:rPr>
              <w:t>68%</w:t>
            </w:r>
          </w:p>
        </w:tc>
        <w:tc>
          <w:tcPr>
            <w:tcW w:w="850" w:type="dxa"/>
            <w:vAlign w:val="center"/>
          </w:tcPr>
          <w:p w:rsidR="001164BE" w:rsidRPr="00421991" w:rsidRDefault="001164BE" w:rsidP="00F0346E">
            <w:pPr>
              <w:pStyle w:val="Tabletext2"/>
              <w:spacing w:before="0" w:after="0"/>
              <w:rPr>
                <w:color w:val="auto"/>
              </w:rPr>
            </w:pPr>
            <w:r w:rsidRPr="00421991">
              <w:rPr>
                <w:color w:val="auto"/>
              </w:rPr>
              <w:t>15%</w:t>
            </w:r>
          </w:p>
        </w:tc>
        <w:tc>
          <w:tcPr>
            <w:tcW w:w="850" w:type="dxa"/>
            <w:vAlign w:val="center"/>
          </w:tcPr>
          <w:p w:rsidR="001164BE" w:rsidRPr="00421991" w:rsidRDefault="001164BE" w:rsidP="00F0346E">
            <w:pPr>
              <w:pStyle w:val="Tabletext2"/>
              <w:spacing w:before="0" w:after="0"/>
              <w:rPr>
                <w:color w:val="auto"/>
              </w:rPr>
            </w:pPr>
            <w:r w:rsidRPr="00421991">
              <w:rPr>
                <w:color w:val="auto"/>
              </w:rPr>
              <w:t>8%</w:t>
            </w:r>
          </w:p>
        </w:tc>
        <w:tc>
          <w:tcPr>
            <w:tcW w:w="850" w:type="dxa"/>
            <w:vAlign w:val="center"/>
          </w:tcPr>
          <w:p w:rsidR="001164BE" w:rsidRPr="00421991" w:rsidRDefault="001164BE" w:rsidP="00F0346E">
            <w:pPr>
              <w:pStyle w:val="Tabletext2"/>
              <w:spacing w:before="0" w:after="0"/>
              <w:rPr>
                <w:color w:val="auto"/>
              </w:rPr>
            </w:pPr>
            <w:r w:rsidRPr="00421991">
              <w:rPr>
                <w:color w:val="auto"/>
              </w:rPr>
              <w:t>4%</w:t>
            </w:r>
          </w:p>
        </w:tc>
        <w:tc>
          <w:tcPr>
            <w:tcW w:w="850" w:type="dxa"/>
            <w:vAlign w:val="center"/>
          </w:tcPr>
          <w:p w:rsidR="001164BE" w:rsidRPr="00421991" w:rsidRDefault="001164BE" w:rsidP="00F0346E">
            <w:pPr>
              <w:pStyle w:val="Tabletext2"/>
              <w:spacing w:before="0" w:after="0"/>
              <w:rPr>
                <w:color w:val="auto"/>
              </w:rPr>
            </w:pPr>
            <w:r w:rsidRPr="00421991">
              <w:rPr>
                <w:color w:val="auto"/>
              </w:rPr>
              <w:t>5%</w:t>
            </w:r>
          </w:p>
        </w:tc>
        <w:tc>
          <w:tcPr>
            <w:tcW w:w="850" w:type="dxa"/>
            <w:vAlign w:val="center"/>
          </w:tcPr>
          <w:p w:rsidR="001164BE" w:rsidRPr="00421991" w:rsidRDefault="001164BE" w:rsidP="00F0346E">
            <w:pPr>
              <w:pStyle w:val="Tabletext2"/>
              <w:spacing w:before="0" w:after="0"/>
              <w:rPr>
                <w:color w:val="auto"/>
              </w:rPr>
            </w:pPr>
            <w:r w:rsidRPr="00421991">
              <w:rPr>
                <w:color w:val="auto"/>
              </w:rPr>
              <w:t>100%</w:t>
            </w:r>
          </w:p>
        </w:tc>
      </w:tr>
      <w:tr w:rsidR="00F0346E" w:rsidRPr="00421991" w:rsidTr="00F0346E">
        <w:trPr>
          <w:trHeight w:val="219"/>
        </w:trPr>
        <w:tc>
          <w:tcPr>
            <w:tcW w:w="4644" w:type="dxa"/>
          </w:tcPr>
          <w:p w:rsidR="001164BE" w:rsidRPr="00421991" w:rsidRDefault="001164BE" w:rsidP="00F0346E">
            <w:pPr>
              <w:pStyle w:val="Tabletext"/>
              <w:spacing w:before="0" w:after="0"/>
              <w:rPr>
                <w:color w:val="auto"/>
              </w:rPr>
            </w:pPr>
            <w:r w:rsidRPr="00421991">
              <w:rPr>
                <w:color w:val="auto"/>
              </w:rPr>
              <w:t>Heat, electricity and other environmental factors</w:t>
            </w:r>
          </w:p>
        </w:tc>
        <w:tc>
          <w:tcPr>
            <w:tcW w:w="850" w:type="dxa"/>
            <w:vAlign w:val="center"/>
          </w:tcPr>
          <w:p w:rsidR="001164BE" w:rsidRPr="00421991" w:rsidRDefault="001164BE" w:rsidP="00F0346E">
            <w:pPr>
              <w:pStyle w:val="Tabletext2"/>
              <w:spacing w:before="0" w:after="0"/>
              <w:rPr>
                <w:color w:val="auto"/>
              </w:rPr>
            </w:pPr>
            <w:r w:rsidRPr="00421991">
              <w:rPr>
                <w:color w:val="auto"/>
              </w:rPr>
              <w:t>88%</w:t>
            </w:r>
          </w:p>
        </w:tc>
        <w:tc>
          <w:tcPr>
            <w:tcW w:w="850" w:type="dxa"/>
            <w:vAlign w:val="center"/>
          </w:tcPr>
          <w:p w:rsidR="001164BE" w:rsidRPr="00421991" w:rsidRDefault="001164BE" w:rsidP="00F0346E">
            <w:pPr>
              <w:pStyle w:val="Tabletext2"/>
              <w:spacing w:before="0" w:after="0"/>
              <w:rPr>
                <w:color w:val="auto"/>
              </w:rPr>
            </w:pPr>
            <w:r w:rsidRPr="00421991">
              <w:rPr>
                <w:color w:val="auto"/>
              </w:rPr>
              <w:t>7%</w:t>
            </w:r>
          </w:p>
        </w:tc>
        <w:tc>
          <w:tcPr>
            <w:tcW w:w="850" w:type="dxa"/>
            <w:vAlign w:val="center"/>
          </w:tcPr>
          <w:p w:rsidR="001164BE" w:rsidRPr="00421991" w:rsidRDefault="001164BE" w:rsidP="00F0346E">
            <w:pPr>
              <w:pStyle w:val="Tabletext2"/>
              <w:spacing w:before="0" w:after="0"/>
              <w:rPr>
                <w:color w:val="auto"/>
              </w:rPr>
            </w:pPr>
            <w:r w:rsidRPr="00421991">
              <w:rPr>
                <w:color w:val="auto"/>
              </w:rPr>
              <w:t>2%</w:t>
            </w:r>
          </w:p>
        </w:tc>
        <w:tc>
          <w:tcPr>
            <w:tcW w:w="850" w:type="dxa"/>
            <w:vAlign w:val="center"/>
          </w:tcPr>
          <w:p w:rsidR="001164BE" w:rsidRPr="00421991" w:rsidRDefault="001164BE" w:rsidP="00F0346E">
            <w:pPr>
              <w:pStyle w:val="Tabletext2"/>
              <w:spacing w:before="0" w:after="0"/>
              <w:rPr>
                <w:color w:val="auto"/>
              </w:rPr>
            </w:pPr>
            <w:r w:rsidRPr="00421991">
              <w:rPr>
                <w:color w:val="auto"/>
              </w:rPr>
              <w:t>1%</w:t>
            </w:r>
          </w:p>
        </w:tc>
        <w:tc>
          <w:tcPr>
            <w:tcW w:w="850" w:type="dxa"/>
            <w:vAlign w:val="center"/>
          </w:tcPr>
          <w:p w:rsidR="001164BE" w:rsidRPr="00421991" w:rsidRDefault="001164BE" w:rsidP="00F0346E">
            <w:pPr>
              <w:pStyle w:val="Tabletext2"/>
              <w:spacing w:before="0" w:after="0"/>
              <w:rPr>
                <w:color w:val="auto"/>
              </w:rPr>
            </w:pPr>
            <w:r w:rsidRPr="00421991">
              <w:rPr>
                <w:color w:val="auto"/>
              </w:rPr>
              <w:t>2%</w:t>
            </w:r>
          </w:p>
        </w:tc>
        <w:tc>
          <w:tcPr>
            <w:tcW w:w="850" w:type="dxa"/>
            <w:vAlign w:val="center"/>
          </w:tcPr>
          <w:p w:rsidR="001164BE" w:rsidRPr="00421991" w:rsidRDefault="001164BE" w:rsidP="00F0346E">
            <w:pPr>
              <w:pStyle w:val="Tabletext2"/>
              <w:spacing w:before="0" w:after="0"/>
              <w:rPr>
                <w:color w:val="auto"/>
              </w:rPr>
            </w:pPr>
            <w:r w:rsidRPr="00421991">
              <w:rPr>
                <w:color w:val="auto"/>
              </w:rPr>
              <w:t>100%</w:t>
            </w:r>
          </w:p>
        </w:tc>
      </w:tr>
      <w:tr w:rsidR="00F0346E" w:rsidRPr="00421991" w:rsidTr="00F0346E">
        <w:trPr>
          <w:trHeight w:val="60"/>
        </w:trPr>
        <w:tc>
          <w:tcPr>
            <w:tcW w:w="4644" w:type="dxa"/>
          </w:tcPr>
          <w:p w:rsidR="001164BE" w:rsidRPr="00421991" w:rsidRDefault="001164BE" w:rsidP="00F0346E">
            <w:pPr>
              <w:pStyle w:val="Tabletext"/>
              <w:spacing w:before="0" w:after="0"/>
              <w:rPr>
                <w:color w:val="auto"/>
              </w:rPr>
            </w:pPr>
            <w:r w:rsidRPr="00421991">
              <w:rPr>
                <w:color w:val="auto"/>
              </w:rPr>
              <w:t>Vehicle incidents and other</w:t>
            </w:r>
          </w:p>
        </w:tc>
        <w:tc>
          <w:tcPr>
            <w:tcW w:w="850" w:type="dxa"/>
            <w:vAlign w:val="center"/>
          </w:tcPr>
          <w:p w:rsidR="001164BE" w:rsidRPr="00421991" w:rsidRDefault="001164BE" w:rsidP="00F0346E">
            <w:pPr>
              <w:pStyle w:val="Tabletext2"/>
              <w:spacing w:before="0" w:after="0"/>
              <w:rPr>
                <w:color w:val="auto"/>
              </w:rPr>
            </w:pPr>
            <w:r w:rsidRPr="00421991">
              <w:rPr>
                <w:color w:val="auto"/>
              </w:rPr>
              <w:t>54%</w:t>
            </w:r>
          </w:p>
        </w:tc>
        <w:tc>
          <w:tcPr>
            <w:tcW w:w="850" w:type="dxa"/>
            <w:vAlign w:val="center"/>
          </w:tcPr>
          <w:p w:rsidR="001164BE" w:rsidRPr="00421991" w:rsidRDefault="001164BE" w:rsidP="00F0346E">
            <w:pPr>
              <w:pStyle w:val="Tabletext2"/>
              <w:spacing w:before="0" w:after="0"/>
              <w:rPr>
                <w:color w:val="auto"/>
              </w:rPr>
            </w:pPr>
            <w:r w:rsidRPr="00421991">
              <w:rPr>
                <w:color w:val="auto"/>
              </w:rPr>
              <w:t>14%</w:t>
            </w:r>
          </w:p>
        </w:tc>
        <w:tc>
          <w:tcPr>
            <w:tcW w:w="850" w:type="dxa"/>
            <w:vAlign w:val="center"/>
          </w:tcPr>
          <w:p w:rsidR="001164BE" w:rsidRPr="00421991" w:rsidRDefault="001164BE" w:rsidP="00F0346E">
            <w:pPr>
              <w:pStyle w:val="Tabletext2"/>
              <w:spacing w:before="0" w:after="0"/>
              <w:rPr>
                <w:color w:val="auto"/>
              </w:rPr>
            </w:pPr>
            <w:r w:rsidRPr="00421991">
              <w:rPr>
                <w:color w:val="auto"/>
              </w:rPr>
              <w:t>15%</w:t>
            </w:r>
          </w:p>
        </w:tc>
        <w:tc>
          <w:tcPr>
            <w:tcW w:w="850" w:type="dxa"/>
            <w:vAlign w:val="center"/>
          </w:tcPr>
          <w:p w:rsidR="001164BE" w:rsidRPr="00421991" w:rsidRDefault="001164BE" w:rsidP="00F0346E">
            <w:pPr>
              <w:pStyle w:val="Tabletext2"/>
              <w:spacing w:before="0" w:after="0"/>
              <w:rPr>
                <w:color w:val="auto"/>
              </w:rPr>
            </w:pPr>
            <w:r w:rsidRPr="00421991">
              <w:rPr>
                <w:color w:val="auto"/>
              </w:rPr>
              <w:t>7%</w:t>
            </w:r>
          </w:p>
        </w:tc>
        <w:tc>
          <w:tcPr>
            <w:tcW w:w="850" w:type="dxa"/>
            <w:vAlign w:val="center"/>
          </w:tcPr>
          <w:p w:rsidR="001164BE" w:rsidRPr="00421991" w:rsidRDefault="001164BE" w:rsidP="00F0346E">
            <w:pPr>
              <w:pStyle w:val="Tabletext2"/>
              <w:spacing w:before="0" w:after="0"/>
              <w:rPr>
                <w:color w:val="auto"/>
              </w:rPr>
            </w:pPr>
            <w:r w:rsidRPr="00421991">
              <w:rPr>
                <w:color w:val="auto"/>
              </w:rPr>
              <w:t>9%</w:t>
            </w:r>
          </w:p>
        </w:tc>
        <w:tc>
          <w:tcPr>
            <w:tcW w:w="850" w:type="dxa"/>
            <w:vAlign w:val="center"/>
          </w:tcPr>
          <w:p w:rsidR="001164BE" w:rsidRPr="00421991" w:rsidRDefault="001164BE" w:rsidP="00F0346E">
            <w:pPr>
              <w:pStyle w:val="Tabletext2"/>
              <w:spacing w:before="0" w:after="0"/>
              <w:rPr>
                <w:color w:val="auto"/>
              </w:rPr>
            </w:pPr>
            <w:r w:rsidRPr="00421991">
              <w:rPr>
                <w:color w:val="auto"/>
              </w:rPr>
              <w:t>100%</w:t>
            </w:r>
          </w:p>
        </w:tc>
      </w:tr>
      <w:tr w:rsidR="00F0346E" w:rsidRPr="00421991" w:rsidTr="00F0346E">
        <w:trPr>
          <w:trHeight w:val="60"/>
        </w:trPr>
        <w:tc>
          <w:tcPr>
            <w:tcW w:w="4644" w:type="dxa"/>
          </w:tcPr>
          <w:p w:rsidR="001164BE" w:rsidRPr="00421991" w:rsidRDefault="001164BE" w:rsidP="00F0346E">
            <w:pPr>
              <w:pStyle w:val="Tabletext"/>
              <w:spacing w:before="0" w:after="0"/>
              <w:rPr>
                <w:color w:val="auto"/>
              </w:rPr>
            </w:pPr>
            <w:r w:rsidRPr="00421991">
              <w:rPr>
                <w:color w:val="auto"/>
              </w:rPr>
              <w:t>Mental stress</w:t>
            </w:r>
          </w:p>
        </w:tc>
        <w:tc>
          <w:tcPr>
            <w:tcW w:w="850" w:type="dxa"/>
            <w:vAlign w:val="center"/>
          </w:tcPr>
          <w:p w:rsidR="001164BE" w:rsidRPr="00421991" w:rsidRDefault="001164BE" w:rsidP="00F0346E">
            <w:pPr>
              <w:pStyle w:val="Tabletext2"/>
              <w:spacing w:before="0" w:after="0"/>
              <w:rPr>
                <w:color w:val="auto"/>
              </w:rPr>
            </w:pPr>
            <w:r w:rsidRPr="00421991">
              <w:rPr>
                <w:color w:val="auto"/>
              </w:rPr>
              <w:t>31%</w:t>
            </w:r>
          </w:p>
        </w:tc>
        <w:tc>
          <w:tcPr>
            <w:tcW w:w="850" w:type="dxa"/>
            <w:vAlign w:val="center"/>
          </w:tcPr>
          <w:p w:rsidR="001164BE" w:rsidRPr="00421991" w:rsidRDefault="001164BE" w:rsidP="00F0346E">
            <w:pPr>
              <w:pStyle w:val="Tabletext2"/>
              <w:spacing w:before="0" w:after="0"/>
              <w:rPr>
                <w:color w:val="auto"/>
              </w:rPr>
            </w:pPr>
            <w:r w:rsidRPr="00421991">
              <w:rPr>
                <w:color w:val="auto"/>
              </w:rPr>
              <w:t>16%</w:t>
            </w:r>
          </w:p>
        </w:tc>
        <w:tc>
          <w:tcPr>
            <w:tcW w:w="850" w:type="dxa"/>
            <w:vAlign w:val="center"/>
          </w:tcPr>
          <w:p w:rsidR="001164BE" w:rsidRPr="00421991" w:rsidRDefault="001164BE" w:rsidP="00F0346E">
            <w:pPr>
              <w:pStyle w:val="Tabletext2"/>
              <w:spacing w:before="0" w:after="0"/>
              <w:rPr>
                <w:color w:val="auto"/>
              </w:rPr>
            </w:pPr>
            <w:r w:rsidRPr="00421991">
              <w:rPr>
                <w:color w:val="auto"/>
              </w:rPr>
              <w:t>16%</w:t>
            </w:r>
          </w:p>
        </w:tc>
        <w:tc>
          <w:tcPr>
            <w:tcW w:w="850" w:type="dxa"/>
            <w:vAlign w:val="center"/>
          </w:tcPr>
          <w:p w:rsidR="001164BE" w:rsidRPr="00421991" w:rsidRDefault="001164BE" w:rsidP="00F0346E">
            <w:pPr>
              <w:pStyle w:val="Tabletext2"/>
              <w:spacing w:before="0" w:after="0"/>
              <w:rPr>
                <w:color w:val="auto"/>
              </w:rPr>
            </w:pPr>
            <w:r w:rsidRPr="00421991">
              <w:rPr>
                <w:color w:val="auto"/>
              </w:rPr>
              <w:t>19%</w:t>
            </w:r>
          </w:p>
        </w:tc>
        <w:tc>
          <w:tcPr>
            <w:tcW w:w="850" w:type="dxa"/>
            <w:vAlign w:val="center"/>
          </w:tcPr>
          <w:p w:rsidR="001164BE" w:rsidRPr="00421991" w:rsidRDefault="001164BE" w:rsidP="00F0346E">
            <w:pPr>
              <w:pStyle w:val="Tabletext2"/>
              <w:spacing w:before="0" w:after="0"/>
              <w:rPr>
                <w:color w:val="auto"/>
              </w:rPr>
            </w:pPr>
            <w:r w:rsidRPr="00421991">
              <w:rPr>
                <w:color w:val="auto"/>
              </w:rPr>
              <w:t>18%</w:t>
            </w:r>
          </w:p>
        </w:tc>
        <w:tc>
          <w:tcPr>
            <w:tcW w:w="850" w:type="dxa"/>
            <w:vAlign w:val="center"/>
          </w:tcPr>
          <w:p w:rsidR="001164BE" w:rsidRPr="00421991" w:rsidRDefault="001164BE" w:rsidP="00F0346E">
            <w:pPr>
              <w:pStyle w:val="Tabletext2"/>
              <w:spacing w:before="0" w:after="0"/>
              <w:rPr>
                <w:color w:val="auto"/>
              </w:rPr>
            </w:pPr>
            <w:r w:rsidRPr="00421991">
              <w:rPr>
                <w:color w:val="auto"/>
              </w:rPr>
              <w:t>100%</w:t>
            </w:r>
          </w:p>
        </w:tc>
      </w:tr>
      <w:tr w:rsidR="00F0346E" w:rsidRPr="00421991" w:rsidTr="00F0346E">
        <w:trPr>
          <w:trHeight w:val="60"/>
        </w:trPr>
        <w:tc>
          <w:tcPr>
            <w:tcW w:w="4644" w:type="dxa"/>
          </w:tcPr>
          <w:p w:rsidR="001164BE" w:rsidRPr="00421991" w:rsidRDefault="001164BE" w:rsidP="00F0346E">
            <w:pPr>
              <w:pStyle w:val="Tabletext"/>
              <w:spacing w:before="0" w:after="0"/>
              <w:rPr>
                <w:color w:val="auto"/>
              </w:rPr>
            </w:pPr>
            <w:r w:rsidRPr="00421991">
              <w:rPr>
                <w:color w:val="auto"/>
              </w:rPr>
              <w:t>Chemicals and other substances</w:t>
            </w:r>
          </w:p>
        </w:tc>
        <w:tc>
          <w:tcPr>
            <w:tcW w:w="850" w:type="dxa"/>
            <w:vAlign w:val="center"/>
          </w:tcPr>
          <w:p w:rsidR="001164BE" w:rsidRPr="00421991" w:rsidRDefault="001164BE" w:rsidP="00F0346E">
            <w:pPr>
              <w:pStyle w:val="Tabletext2"/>
              <w:spacing w:before="0" w:after="0"/>
              <w:rPr>
                <w:color w:val="auto"/>
              </w:rPr>
            </w:pPr>
            <w:r w:rsidRPr="00421991">
              <w:rPr>
                <w:color w:val="auto"/>
              </w:rPr>
              <w:t>70%</w:t>
            </w:r>
          </w:p>
        </w:tc>
        <w:tc>
          <w:tcPr>
            <w:tcW w:w="850" w:type="dxa"/>
            <w:vAlign w:val="center"/>
          </w:tcPr>
          <w:p w:rsidR="001164BE" w:rsidRPr="00421991" w:rsidRDefault="001164BE" w:rsidP="00F0346E">
            <w:pPr>
              <w:pStyle w:val="Tabletext2"/>
              <w:spacing w:before="0" w:after="0"/>
              <w:rPr>
                <w:color w:val="auto"/>
              </w:rPr>
            </w:pPr>
            <w:r w:rsidRPr="00421991">
              <w:rPr>
                <w:color w:val="auto"/>
              </w:rPr>
              <w:t>10%</w:t>
            </w:r>
          </w:p>
        </w:tc>
        <w:tc>
          <w:tcPr>
            <w:tcW w:w="850" w:type="dxa"/>
            <w:vAlign w:val="center"/>
          </w:tcPr>
          <w:p w:rsidR="001164BE" w:rsidRPr="00421991" w:rsidRDefault="001164BE" w:rsidP="00F0346E">
            <w:pPr>
              <w:pStyle w:val="Tabletext2"/>
              <w:spacing w:before="0" w:after="0"/>
              <w:rPr>
                <w:color w:val="auto"/>
              </w:rPr>
            </w:pPr>
            <w:r w:rsidRPr="00421991">
              <w:rPr>
                <w:color w:val="auto"/>
              </w:rPr>
              <w:t>11%</w:t>
            </w:r>
          </w:p>
        </w:tc>
        <w:tc>
          <w:tcPr>
            <w:tcW w:w="850" w:type="dxa"/>
            <w:vAlign w:val="center"/>
          </w:tcPr>
          <w:p w:rsidR="001164BE" w:rsidRPr="00421991" w:rsidRDefault="001164BE" w:rsidP="00F0346E">
            <w:pPr>
              <w:pStyle w:val="Tabletext2"/>
              <w:spacing w:before="0" w:after="0"/>
              <w:rPr>
                <w:color w:val="auto"/>
              </w:rPr>
            </w:pPr>
            <w:r w:rsidRPr="00421991">
              <w:rPr>
                <w:color w:val="auto"/>
              </w:rPr>
              <w:t>5%</w:t>
            </w:r>
          </w:p>
        </w:tc>
        <w:tc>
          <w:tcPr>
            <w:tcW w:w="850" w:type="dxa"/>
            <w:vAlign w:val="center"/>
          </w:tcPr>
          <w:p w:rsidR="001164BE" w:rsidRPr="00421991" w:rsidRDefault="001164BE" w:rsidP="00F0346E">
            <w:pPr>
              <w:pStyle w:val="Tabletext2"/>
              <w:spacing w:before="0" w:after="0"/>
              <w:rPr>
                <w:color w:val="auto"/>
              </w:rPr>
            </w:pPr>
            <w:r w:rsidRPr="00421991">
              <w:rPr>
                <w:color w:val="auto"/>
              </w:rPr>
              <w:t>3%</w:t>
            </w:r>
          </w:p>
        </w:tc>
        <w:tc>
          <w:tcPr>
            <w:tcW w:w="850" w:type="dxa"/>
            <w:vAlign w:val="center"/>
          </w:tcPr>
          <w:p w:rsidR="001164BE" w:rsidRPr="00421991" w:rsidRDefault="001164BE" w:rsidP="00F0346E">
            <w:pPr>
              <w:pStyle w:val="Tabletext2"/>
              <w:spacing w:before="0" w:after="0"/>
              <w:rPr>
                <w:color w:val="auto"/>
              </w:rPr>
            </w:pPr>
            <w:r w:rsidRPr="00421991">
              <w:rPr>
                <w:color w:val="auto"/>
              </w:rPr>
              <w:t>100%</w:t>
            </w:r>
          </w:p>
        </w:tc>
      </w:tr>
      <w:tr w:rsidR="00F0346E" w:rsidRPr="00421991" w:rsidTr="00F0346E">
        <w:trPr>
          <w:trHeight w:val="60"/>
        </w:trPr>
        <w:tc>
          <w:tcPr>
            <w:tcW w:w="4644" w:type="dxa"/>
          </w:tcPr>
          <w:p w:rsidR="001164BE" w:rsidRPr="00421991" w:rsidRDefault="001164BE" w:rsidP="00F0346E">
            <w:pPr>
              <w:pStyle w:val="Tabletext"/>
              <w:spacing w:before="0" w:after="0"/>
              <w:rPr>
                <w:color w:val="auto"/>
              </w:rPr>
            </w:pPr>
            <w:r w:rsidRPr="00421991">
              <w:rPr>
                <w:rStyle w:val="BoldBody"/>
                <w:color w:val="auto"/>
              </w:rPr>
              <w:t>Total</w:t>
            </w:r>
          </w:p>
        </w:tc>
        <w:tc>
          <w:tcPr>
            <w:tcW w:w="850" w:type="dxa"/>
            <w:vAlign w:val="center"/>
          </w:tcPr>
          <w:p w:rsidR="001164BE" w:rsidRPr="00421991" w:rsidRDefault="001164BE" w:rsidP="00F0346E">
            <w:pPr>
              <w:pStyle w:val="Tabletext2"/>
              <w:spacing w:before="0" w:after="0"/>
              <w:rPr>
                <w:color w:val="auto"/>
              </w:rPr>
            </w:pPr>
            <w:r w:rsidRPr="00421991">
              <w:rPr>
                <w:rStyle w:val="BoldBody"/>
                <w:color w:val="auto"/>
              </w:rPr>
              <w:t>58%</w:t>
            </w:r>
          </w:p>
        </w:tc>
        <w:tc>
          <w:tcPr>
            <w:tcW w:w="850" w:type="dxa"/>
            <w:vAlign w:val="center"/>
          </w:tcPr>
          <w:p w:rsidR="001164BE" w:rsidRPr="00421991" w:rsidRDefault="001164BE" w:rsidP="00F0346E">
            <w:pPr>
              <w:pStyle w:val="Tabletext2"/>
              <w:spacing w:before="0" w:after="0"/>
              <w:rPr>
                <w:color w:val="auto"/>
              </w:rPr>
            </w:pPr>
            <w:r w:rsidRPr="00421991">
              <w:rPr>
                <w:rStyle w:val="BoldBody"/>
                <w:color w:val="auto"/>
              </w:rPr>
              <w:t>15%</w:t>
            </w:r>
          </w:p>
        </w:tc>
        <w:tc>
          <w:tcPr>
            <w:tcW w:w="850" w:type="dxa"/>
            <w:vAlign w:val="center"/>
          </w:tcPr>
          <w:p w:rsidR="001164BE" w:rsidRPr="00421991" w:rsidRDefault="001164BE" w:rsidP="00F0346E">
            <w:pPr>
              <w:pStyle w:val="Tabletext2"/>
              <w:spacing w:before="0" w:after="0"/>
              <w:rPr>
                <w:color w:val="auto"/>
              </w:rPr>
            </w:pPr>
            <w:r w:rsidRPr="00421991">
              <w:rPr>
                <w:rStyle w:val="BoldBody"/>
                <w:color w:val="auto"/>
              </w:rPr>
              <w:t>11%</w:t>
            </w:r>
          </w:p>
        </w:tc>
        <w:tc>
          <w:tcPr>
            <w:tcW w:w="850" w:type="dxa"/>
            <w:vAlign w:val="center"/>
          </w:tcPr>
          <w:p w:rsidR="001164BE" w:rsidRPr="00421991" w:rsidRDefault="001164BE" w:rsidP="00F0346E">
            <w:pPr>
              <w:pStyle w:val="Tabletext2"/>
              <w:spacing w:before="0" w:after="0"/>
              <w:rPr>
                <w:color w:val="auto"/>
              </w:rPr>
            </w:pPr>
            <w:r w:rsidRPr="00421991">
              <w:rPr>
                <w:rStyle w:val="BoldBody"/>
                <w:color w:val="auto"/>
              </w:rPr>
              <w:t>7%</w:t>
            </w:r>
          </w:p>
        </w:tc>
        <w:tc>
          <w:tcPr>
            <w:tcW w:w="850" w:type="dxa"/>
            <w:vAlign w:val="center"/>
          </w:tcPr>
          <w:p w:rsidR="001164BE" w:rsidRPr="00421991" w:rsidRDefault="001164BE" w:rsidP="00F0346E">
            <w:pPr>
              <w:pStyle w:val="Tabletext2"/>
              <w:spacing w:before="0" w:after="0"/>
              <w:rPr>
                <w:color w:val="auto"/>
              </w:rPr>
            </w:pPr>
            <w:r w:rsidRPr="00421991">
              <w:rPr>
                <w:rStyle w:val="BoldBody"/>
                <w:color w:val="auto"/>
              </w:rPr>
              <w:t>8%</w:t>
            </w:r>
          </w:p>
        </w:tc>
        <w:tc>
          <w:tcPr>
            <w:tcW w:w="850" w:type="dxa"/>
            <w:vAlign w:val="center"/>
          </w:tcPr>
          <w:p w:rsidR="001164BE" w:rsidRPr="00421991" w:rsidRDefault="001164BE" w:rsidP="00F0346E">
            <w:pPr>
              <w:pStyle w:val="Tabletext2"/>
              <w:spacing w:before="0" w:after="0"/>
              <w:rPr>
                <w:color w:val="auto"/>
              </w:rPr>
            </w:pPr>
            <w:r w:rsidRPr="00421991">
              <w:rPr>
                <w:rStyle w:val="BoldBody"/>
                <w:color w:val="auto"/>
              </w:rPr>
              <w:t>100%</w:t>
            </w:r>
          </w:p>
        </w:tc>
      </w:tr>
    </w:tbl>
    <w:p w:rsidR="001164BE" w:rsidRPr="00421991" w:rsidRDefault="001164BE" w:rsidP="001164BE">
      <w:pPr>
        <w:pStyle w:val="FootnoteFiguresandtables"/>
        <w:rPr>
          <w:color w:val="auto"/>
        </w:rPr>
      </w:pPr>
      <w:r w:rsidRPr="00421991">
        <w:rPr>
          <w:color w:val="auto"/>
        </w:rPr>
        <w:t>Table excludes absences of less than one week as they fall outside the scope of serious claims.</w:t>
      </w:r>
    </w:p>
    <w:p w:rsidR="001164BE" w:rsidRPr="00421991" w:rsidRDefault="001164BE" w:rsidP="001164BE">
      <w:pPr>
        <w:pStyle w:val="FootnoteFiguresandtables"/>
        <w:rPr>
          <w:color w:val="auto"/>
        </w:rPr>
      </w:pPr>
      <w:r w:rsidRPr="00421991">
        <w:rPr>
          <w:color w:val="auto"/>
        </w:rPr>
        <w:t>Source: National Data Set for Compensation-Based Statistics.</w:t>
      </w:r>
    </w:p>
    <w:p w:rsidR="005062E3" w:rsidRDefault="005062E3">
      <w:pPr>
        <w:rPr>
          <w:b/>
          <w:sz w:val="32"/>
          <w:szCs w:val="44"/>
        </w:rPr>
      </w:pPr>
      <w:r>
        <w:br w:type="page"/>
      </w:r>
    </w:p>
    <w:p w:rsidR="001164BE" w:rsidRPr="00421991" w:rsidRDefault="001164BE" w:rsidP="002E1ECA">
      <w:pPr>
        <w:pStyle w:val="Heading1"/>
      </w:pPr>
      <w:bookmarkStart w:id="70" w:name="_Toc426441709"/>
      <w:r w:rsidRPr="00421991">
        <w:lastRenderedPageBreak/>
        <w:t>Work-Related Injuries Survey</w:t>
      </w:r>
      <w:bookmarkEnd w:id="70"/>
    </w:p>
    <w:p w:rsidR="001164BE" w:rsidRPr="00421991" w:rsidRDefault="001164BE" w:rsidP="001164BE">
      <w:pPr>
        <w:pStyle w:val="TextBody"/>
        <w:rPr>
          <w:color w:val="auto"/>
        </w:rPr>
      </w:pPr>
      <w:r w:rsidRPr="00421991">
        <w:rPr>
          <w:color w:val="auto"/>
        </w:rPr>
        <w:t>While the workers’ compensation statistics in the previous chapter provide valuable information on the characteristics of compensated work-related injuries and diseases and their changes over time, these data do not capture information about employees who do not lodge claims for workers’ compensation, nor do they provide information about workers who are ineligible for workers’ compensation. In order to bridge this information gap, Safe Work Australia partially funded the Work-Related Injuries Survey (WRIS), which sampled people aged 15 years and above who had engaged in work in the preceding 12 months. The survey was administered by the ABS and the results were weighted to reflect the Australian population.</w:t>
      </w:r>
    </w:p>
    <w:p w:rsidR="001164BE" w:rsidRPr="00421991" w:rsidRDefault="001164BE" w:rsidP="001164BE">
      <w:pPr>
        <w:pStyle w:val="TextBody"/>
        <w:rPr>
          <w:color w:val="auto"/>
        </w:rPr>
      </w:pPr>
      <w:r w:rsidRPr="00421991">
        <w:rPr>
          <w:color w:val="auto"/>
        </w:rPr>
        <w:t>Since the WRIS is a survey, which relies on respondents’ personal recollections of work-related injuries and diseases, the data are not directly comparable to workers’ compensation data, which are based on work-related injuries and diseases that have been assessed by medical practitioners. The primary purpose of presenting findings from the WRIS is to provide a more detailed account of injuries and diseases in the accommodation and food services industry, which are based on a more diverse group of workers than those captured by workers’ compensation data.</w:t>
      </w:r>
    </w:p>
    <w:p w:rsidR="001164BE" w:rsidRPr="00421991" w:rsidRDefault="001164BE" w:rsidP="005062E3">
      <w:pPr>
        <w:pStyle w:val="Heading2"/>
      </w:pPr>
      <w:bookmarkStart w:id="71" w:name="_Toc426441710"/>
      <w:r w:rsidRPr="00421991">
        <w:t>Survey results by industry division</w:t>
      </w:r>
      <w:bookmarkEnd w:id="71"/>
    </w:p>
    <w:p w:rsidR="001164BE" w:rsidRPr="00421991" w:rsidRDefault="001164BE" w:rsidP="001164BE">
      <w:pPr>
        <w:pStyle w:val="TextBody"/>
        <w:rPr>
          <w:color w:val="auto"/>
        </w:rPr>
      </w:pPr>
      <w:r w:rsidRPr="00421991">
        <w:rPr>
          <w:color w:val="auto"/>
        </w:rPr>
        <w:t xml:space="preserve">In 2013–14, the number of accommodation and food services workers who experienced an injury or disease was 44 250, which represents 8% of the total number of workers who experienced an injury or disease in Australia. The industry recorded an incidence rate of 58.6 injuries and diseases per 1 000 workers, which is 38% higher than the incidence rate for all Australian workers (42.6 injuries and diseases per 1 000 workers). </w:t>
      </w:r>
    </w:p>
    <w:p w:rsidR="001164BE" w:rsidRPr="00421991" w:rsidRDefault="001164BE" w:rsidP="001164BE">
      <w:pPr>
        <w:pStyle w:val="TextBody"/>
        <w:rPr>
          <w:color w:val="auto"/>
        </w:rPr>
      </w:pPr>
      <w:r w:rsidRPr="00421991">
        <w:rPr>
          <w:color w:val="auto"/>
        </w:rPr>
        <w:t>Out of the 19 Australian industries, the accommodation and food services industry had the fifth-highest incidence rate of injuries and diseases. Figure 7 shows incidence rates by industry for 2013–14.</w:t>
      </w:r>
    </w:p>
    <w:p w:rsidR="001164BE" w:rsidRPr="00421991" w:rsidRDefault="001164BE" w:rsidP="001164BE">
      <w:pPr>
        <w:pStyle w:val="Figuretitle"/>
        <w:rPr>
          <w:color w:val="auto"/>
        </w:rPr>
      </w:pPr>
      <w:r w:rsidRPr="00421991">
        <w:rPr>
          <w:color w:val="auto"/>
        </w:rPr>
        <w:t>Figure 7: Work-Related Injuries Survey: incidence rates by industry, 2013–14</w:t>
      </w:r>
    </w:p>
    <w:p w:rsidR="00767FA1" w:rsidRDefault="00767FA1" w:rsidP="001164BE">
      <w:pPr>
        <w:pStyle w:val="FootnoteFiguresandtables"/>
        <w:rPr>
          <w:color w:val="auto"/>
        </w:rPr>
      </w:pPr>
      <w:r>
        <w:rPr>
          <w:noProof/>
          <w:lang w:val="en-AU" w:eastAsia="en-AU"/>
        </w:rPr>
        <w:drawing>
          <wp:inline distT="0" distB="0" distL="0" distR="0" wp14:anchorId="3D2D0902" wp14:editId="03BF61AE">
            <wp:extent cx="5400000" cy="3600000"/>
            <wp:effectExtent l="0" t="0" r="10795" b="19685"/>
            <wp:docPr id="10" name="Chart 10" title="Figure 7: Work-Related Injuries Survey: incidence rates by industry, 2013–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164BE" w:rsidRPr="00421991" w:rsidRDefault="001164BE" w:rsidP="001164BE">
      <w:pPr>
        <w:pStyle w:val="FootnoteFiguresandtables"/>
        <w:rPr>
          <w:color w:val="auto"/>
        </w:rPr>
      </w:pPr>
      <w:r w:rsidRPr="00421991">
        <w:rPr>
          <w:color w:val="auto"/>
        </w:rPr>
        <w:t>*—Estimate has a relative standard error between 25% and 50% and should be used with caution.</w:t>
      </w:r>
    </w:p>
    <w:p w:rsidR="001164BE" w:rsidRPr="00421991" w:rsidRDefault="001164BE" w:rsidP="001164BE">
      <w:pPr>
        <w:pStyle w:val="FootnoteFiguresandtables"/>
        <w:rPr>
          <w:color w:val="auto"/>
        </w:rPr>
      </w:pPr>
      <w:r w:rsidRPr="00421991">
        <w:rPr>
          <w:color w:val="auto"/>
        </w:rPr>
        <w:t>Source: Australian Bureau of Statistics 2014b.</w:t>
      </w:r>
    </w:p>
    <w:p w:rsidR="00767FA1" w:rsidRDefault="00767FA1">
      <w:pPr>
        <w:rPr>
          <w:b/>
          <w:sz w:val="28"/>
          <w:szCs w:val="28"/>
        </w:rPr>
      </w:pPr>
      <w:r>
        <w:br w:type="page"/>
      </w:r>
    </w:p>
    <w:p w:rsidR="001164BE" w:rsidRPr="00421991" w:rsidRDefault="001164BE" w:rsidP="005062E3">
      <w:pPr>
        <w:pStyle w:val="Heading2"/>
      </w:pPr>
      <w:bookmarkStart w:id="72" w:name="_Toc426441711"/>
      <w:r w:rsidRPr="00421991">
        <w:lastRenderedPageBreak/>
        <w:t>Survey results by sex</w:t>
      </w:r>
      <w:bookmarkEnd w:id="72"/>
    </w:p>
    <w:p w:rsidR="001164BE" w:rsidRPr="00421991" w:rsidRDefault="001164BE" w:rsidP="001164BE">
      <w:pPr>
        <w:pStyle w:val="TextBody"/>
        <w:rPr>
          <w:color w:val="auto"/>
        </w:rPr>
      </w:pPr>
      <w:r w:rsidRPr="00421991">
        <w:rPr>
          <w:color w:val="auto"/>
        </w:rPr>
        <w:t>The incidence rate among male workers in the accommodation and food services industry was 51.0 injuries and diseases per 1 000 workers, while it was 26% higher among female workers at 64.4 injuries and diseases per 1 000 workers. Figure 8 shows incidence rates for female and male workers in 2013–14.</w:t>
      </w:r>
    </w:p>
    <w:p w:rsidR="001164BE" w:rsidRPr="00421991" w:rsidRDefault="001164BE" w:rsidP="001164BE">
      <w:pPr>
        <w:pStyle w:val="Figuretitle"/>
        <w:rPr>
          <w:color w:val="auto"/>
        </w:rPr>
      </w:pPr>
      <w:r w:rsidRPr="00421991">
        <w:rPr>
          <w:color w:val="auto"/>
        </w:rPr>
        <w:t>Figure 8: Work-Related Injuries Survey: incidence rates in the accommodation and food services industry by sex, 2013–14</w:t>
      </w:r>
    </w:p>
    <w:p w:rsidR="001164BE" w:rsidRPr="00421991" w:rsidRDefault="00767FA1" w:rsidP="001164BE">
      <w:pPr>
        <w:pStyle w:val="TextBody"/>
        <w:rPr>
          <w:color w:val="auto"/>
        </w:rPr>
      </w:pPr>
      <w:r>
        <w:rPr>
          <w:noProof/>
          <w:lang w:val="en-AU" w:eastAsia="en-AU"/>
        </w:rPr>
        <w:drawing>
          <wp:inline distT="0" distB="0" distL="0" distR="0" wp14:anchorId="6012FC6B" wp14:editId="536A7527">
            <wp:extent cx="5400000" cy="3600000"/>
            <wp:effectExtent l="0" t="0" r="10795" b="19685"/>
            <wp:docPr id="11" name="Chart 11" title="Figure 8: Work-Related Injuries Survey: incidence rates in the accommodation and food services industry by sex, 2013–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164BE" w:rsidRPr="00421991" w:rsidRDefault="001164BE" w:rsidP="001164BE">
      <w:pPr>
        <w:pStyle w:val="FootnoteFiguresandtables"/>
        <w:rPr>
          <w:color w:val="auto"/>
        </w:rPr>
      </w:pPr>
      <w:r w:rsidRPr="00421991">
        <w:rPr>
          <w:color w:val="auto"/>
        </w:rPr>
        <w:t>Source: Australian Bureau of Statistics 2014b.</w:t>
      </w:r>
    </w:p>
    <w:p w:rsidR="001164BE" w:rsidRPr="00421991" w:rsidRDefault="001164BE" w:rsidP="001164BE">
      <w:pPr>
        <w:pStyle w:val="TextBody"/>
        <w:rPr>
          <w:color w:val="auto"/>
          <w:sz w:val="16"/>
          <w:szCs w:val="16"/>
        </w:rPr>
      </w:pPr>
      <w:r w:rsidRPr="00421991">
        <w:rPr>
          <w:color w:val="auto"/>
        </w:rPr>
        <w:t>Compared with female workers in other industries, female workers in the accommodation and food services industry had the second-highest incidence rate after female workers in the transport, postal and warehousing industry (85.7</w:t>
      </w:r>
      <w:r w:rsidRPr="00421991">
        <w:rPr>
          <w:color w:val="auto"/>
          <w:vertAlign w:val="superscript"/>
        </w:rPr>
        <w:footnoteReference w:id="1"/>
      </w:r>
      <w:r w:rsidRPr="00421991">
        <w:rPr>
          <w:color w:val="auto"/>
        </w:rPr>
        <w:t xml:space="preserve"> injuries and diseases per 1 000 workers).</w:t>
      </w:r>
    </w:p>
    <w:p w:rsidR="001164BE" w:rsidRPr="00421991" w:rsidRDefault="001164BE" w:rsidP="005062E3">
      <w:pPr>
        <w:pStyle w:val="Heading2"/>
      </w:pPr>
      <w:bookmarkStart w:id="73" w:name="_Toc426441712"/>
      <w:r w:rsidRPr="00421991">
        <w:t>Survey results by selected characteristics</w:t>
      </w:r>
      <w:bookmarkEnd w:id="73"/>
    </w:p>
    <w:p w:rsidR="001164BE" w:rsidRPr="00421991" w:rsidRDefault="001164BE" w:rsidP="001164BE">
      <w:pPr>
        <w:pStyle w:val="TextBody"/>
        <w:rPr>
          <w:color w:val="auto"/>
        </w:rPr>
      </w:pPr>
      <w:r w:rsidRPr="00421991">
        <w:rPr>
          <w:color w:val="auto"/>
        </w:rPr>
        <w:t>Of the 44 250 accommodation and food services workers who were injured or ill in 2013–14:</w:t>
      </w:r>
    </w:p>
    <w:p w:rsidR="001164BE" w:rsidRPr="00421991" w:rsidRDefault="001164BE" w:rsidP="009F629A">
      <w:pPr>
        <w:pStyle w:val="TextBody"/>
        <w:numPr>
          <w:ilvl w:val="0"/>
          <w:numId w:val="11"/>
        </w:numPr>
        <w:rPr>
          <w:color w:val="auto"/>
        </w:rPr>
      </w:pPr>
      <w:r w:rsidRPr="00421991">
        <w:rPr>
          <w:color w:val="auto"/>
        </w:rPr>
        <w:t>91% experienced the injury or illness in the workplace, while the remainder were either travelling on business, travelling to or from work, or on lunchtime or break activities.</w:t>
      </w:r>
    </w:p>
    <w:p w:rsidR="001164BE" w:rsidRPr="00421991" w:rsidRDefault="001164BE" w:rsidP="009F629A">
      <w:pPr>
        <w:pStyle w:val="TextBody"/>
        <w:numPr>
          <w:ilvl w:val="0"/>
          <w:numId w:val="11"/>
        </w:numPr>
        <w:rPr>
          <w:color w:val="auto"/>
        </w:rPr>
      </w:pPr>
      <w:r w:rsidRPr="00421991">
        <w:rPr>
          <w:color w:val="auto"/>
        </w:rPr>
        <w:t>97% reported the injury or illness to someone in the workplace.</w:t>
      </w:r>
    </w:p>
    <w:p w:rsidR="001164BE" w:rsidRPr="00421991" w:rsidRDefault="001164BE" w:rsidP="009F629A">
      <w:pPr>
        <w:pStyle w:val="TextBody"/>
        <w:numPr>
          <w:ilvl w:val="0"/>
          <w:numId w:val="11"/>
        </w:numPr>
        <w:rPr>
          <w:color w:val="auto"/>
        </w:rPr>
      </w:pPr>
      <w:r w:rsidRPr="00421991">
        <w:rPr>
          <w:color w:val="auto"/>
        </w:rPr>
        <w:t>53%* did not lose a day or shift from work, while the remainder lost at least a day or shift from work.</w:t>
      </w:r>
    </w:p>
    <w:p w:rsidR="001164BE" w:rsidRPr="00421991" w:rsidRDefault="001164BE" w:rsidP="009F629A">
      <w:pPr>
        <w:pStyle w:val="TextBody"/>
        <w:numPr>
          <w:ilvl w:val="0"/>
          <w:numId w:val="11"/>
        </w:numPr>
        <w:rPr>
          <w:color w:val="auto"/>
        </w:rPr>
      </w:pPr>
      <w:r w:rsidRPr="00421991">
        <w:rPr>
          <w:color w:val="auto"/>
        </w:rPr>
        <w:t>42% received some form of financial assistance (e.g. workers’ compensation, sick leave, etc.).</w:t>
      </w:r>
    </w:p>
    <w:p w:rsidR="001164BE" w:rsidRPr="00421991" w:rsidRDefault="001164BE" w:rsidP="009F629A">
      <w:pPr>
        <w:pStyle w:val="TextBody"/>
        <w:numPr>
          <w:ilvl w:val="0"/>
          <w:numId w:val="11"/>
        </w:numPr>
        <w:rPr>
          <w:color w:val="auto"/>
        </w:rPr>
      </w:pPr>
      <w:r w:rsidRPr="00421991">
        <w:rPr>
          <w:color w:val="auto"/>
        </w:rPr>
        <w:t>72%* did not apply for workers’ compensation. Of these, the majority (59%*) did not apply for workers’ compensation because they considered the injury or disease to be minor.</w:t>
      </w:r>
    </w:p>
    <w:p w:rsidR="005062E3" w:rsidRDefault="005062E3">
      <w:pPr>
        <w:rPr>
          <w:b/>
          <w:sz w:val="32"/>
          <w:szCs w:val="44"/>
        </w:rPr>
      </w:pPr>
      <w:r>
        <w:br w:type="page"/>
      </w:r>
    </w:p>
    <w:p w:rsidR="001164BE" w:rsidRPr="00421991" w:rsidRDefault="001164BE" w:rsidP="002E1ECA">
      <w:pPr>
        <w:pStyle w:val="Heading1"/>
      </w:pPr>
      <w:bookmarkStart w:id="74" w:name="_Toc426441713"/>
      <w:r w:rsidRPr="00421991">
        <w:lastRenderedPageBreak/>
        <w:t>Work-related injury fatalities</w:t>
      </w:r>
      <w:bookmarkEnd w:id="74"/>
    </w:p>
    <w:p w:rsidR="001164BE" w:rsidRPr="00421991" w:rsidRDefault="001164BE" w:rsidP="001164BE">
      <w:pPr>
        <w:pStyle w:val="TextBody"/>
        <w:rPr>
          <w:color w:val="auto"/>
        </w:rPr>
      </w:pPr>
      <w:r w:rsidRPr="00421991">
        <w:rPr>
          <w:color w:val="auto"/>
        </w:rPr>
        <w:t>Safe Work Australia compiles national statistics on work-related injury fatalities in the Traumatic Injury Fatalities database. The work-related fatalities are identified using workers’ compensation data, fatality notifications from jurisdictions, the National Coronial Information System and the media. Work-related fatalities attributable to diseases, natural causes and suicides are excluded. Deaths of people undertaking criminal activity are also excluded. Fatality rates were calculated using Labour Force Survey data from the ABS, which provide counts of workers in Australia.</w:t>
      </w:r>
    </w:p>
    <w:p w:rsidR="001164BE" w:rsidRPr="00421991" w:rsidRDefault="001164BE" w:rsidP="001164BE">
      <w:pPr>
        <w:pStyle w:val="TextBody"/>
        <w:rPr>
          <w:color w:val="auto"/>
        </w:rPr>
      </w:pPr>
      <w:r w:rsidRPr="00421991">
        <w:rPr>
          <w:color w:val="auto"/>
        </w:rPr>
        <w:t>In order to minimise the volatility that is associated with low counts of data, the total number of worker fatalities in the database (2003 to 2013) are used to describe the characteristics of worker fatalities in this chapter.</w:t>
      </w:r>
    </w:p>
    <w:p w:rsidR="001164BE" w:rsidRPr="00421991" w:rsidRDefault="001164BE" w:rsidP="005062E3">
      <w:pPr>
        <w:pStyle w:val="Heading2"/>
      </w:pPr>
      <w:bookmarkStart w:id="75" w:name="_Toc426441714"/>
      <w:r w:rsidRPr="00421991">
        <w:t>Work-related injury fatalities by industry division</w:t>
      </w:r>
      <w:bookmarkEnd w:id="75"/>
    </w:p>
    <w:p w:rsidR="001164BE" w:rsidRPr="00421991" w:rsidRDefault="001164BE" w:rsidP="001164BE">
      <w:pPr>
        <w:pStyle w:val="TextBody"/>
        <w:rPr>
          <w:color w:val="auto"/>
        </w:rPr>
      </w:pPr>
      <w:r w:rsidRPr="00421991">
        <w:rPr>
          <w:color w:val="auto"/>
        </w:rPr>
        <w:t>The accommodation and food services industry has one of the lowest number of worker fatalities in Australia. Between 2003 and 2013, there were 34 fatalities in the industry, which represents 1% of the 2 810 work-related injury fatalities in Australia. Out of the 19 Australian industries, the accommodation and food services industry had the fourth-lowest fatality rate of 0.44 fatalities per 100 000 workers. In comparison, the financial and insurance services industry had the lowest fatality rate of 0.19 fatalities per 100 000 workers, while the agriculture, forestry and fishing industry had the highest fatality rate of 17.16 fatalities per 100 000 workers. The fatality rate for all Australian workers over the 11-year period was 2.42 fatalities per 100 000 workers. Figure 9 shows fatality rates by industry for 2003 to 2013.</w:t>
      </w:r>
    </w:p>
    <w:p w:rsidR="001164BE" w:rsidRPr="00421991" w:rsidRDefault="001164BE" w:rsidP="001164BE">
      <w:pPr>
        <w:pStyle w:val="Figuretitle"/>
        <w:rPr>
          <w:color w:val="auto"/>
        </w:rPr>
      </w:pPr>
      <w:r w:rsidRPr="00421991">
        <w:rPr>
          <w:color w:val="auto"/>
        </w:rPr>
        <w:t>Figure 9: Fatality rates by industry, 2003 to 2013 combined</w:t>
      </w:r>
    </w:p>
    <w:p w:rsidR="009F629A" w:rsidRDefault="009F629A" w:rsidP="001164BE">
      <w:pPr>
        <w:pStyle w:val="FootnoteFiguresandtables"/>
        <w:rPr>
          <w:color w:val="auto"/>
        </w:rPr>
      </w:pPr>
      <w:r>
        <w:rPr>
          <w:noProof/>
          <w:lang w:val="en-AU" w:eastAsia="en-AU"/>
        </w:rPr>
        <w:drawing>
          <wp:inline distT="0" distB="0" distL="0" distR="0" wp14:anchorId="361D42AB" wp14:editId="1B936A5F">
            <wp:extent cx="5400000" cy="3600000"/>
            <wp:effectExtent l="0" t="0" r="10795" b="19685"/>
            <wp:docPr id="12" name="Chart 12" title="Figure 9: Fatality rates by industry, 2003 to 2013 combin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164BE" w:rsidRPr="00421991" w:rsidRDefault="001164BE" w:rsidP="001164BE">
      <w:pPr>
        <w:pStyle w:val="FootnoteFiguresandtables"/>
        <w:rPr>
          <w:color w:val="auto"/>
        </w:rPr>
      </w:pPr>
      <w:r w:rsidRPr="00421991">
        <w:rPr>
          <w:color w:val="auto"/>
        </w:rPr>
        <w:t>Source: Traumatic Injury Fatalities database.</w:t>
      </w:r>
    </w:p>
    <w:p w:rsidR="009F629A" w:rsidRDefault="009F629A">
      <w:pPr>
        <w:rPr>
          <w:b/>
          <w:sz w:val="28"/>
          <w:szCs w:val="28"/>
        </w:rPr>
      </w:pPr>
      <w:r>
        <w:br w:type="page"/>
      </w:r>
    </w:p>
    <w:p w:rsidR="001164BE" w:rsidRPr="00421991" w:rsidRDefault="001164BE" w:rsidP="005062E3">
      <w:pPr>
        <w:pStyle w:val="Heading2"/>
      </w:pPr>
      <w:bookmarkStart w:id="76" w:name="_Toc426441715"/>
      <w:r w:rsidRPr="00421991">
        <w:lastRenderedPageBreak/>
        <w:t>Work-related injury fatalities by industry subdivision</w:t>
      </w:r>
      <w:bookmarkEnd w:id="76"/>
    </w:p>
    <w:p w:rsidR="001164BE" w:rsidRPr="00421991" w:rsidRDefault="001164BE" w:rsidP="001164BE">
      <w:pPr>
        <w:pStyle w:val="TextBody"/>
        <w:rPr>
          <w:color w:val="auto"/>
        </w:rPr>
      </w:pPr>
      <w:r w:rsidRPr="00421991">
        <w:rPr>
          <w:color w:val="auto"/>
        </w:rPr>
        <w:t>Although most (19 out of 34) of the fatalities in the accommodation and food services industry occurred in the cafes, restaurants and takeaway food services subdivision, the subdivision had a lower fatality rate (0.38 fatalities per 100 000 workers) than the accommodation (0.75 fatalities per 100 000 workers), and the pubs, taverns and bars (0.40 fatalities per 100 000 workers) subdivisions. The clubs subdivision had the fewest fatalities (2) and lowest fatality rate (0.33 fatalities per 100 000 workers) in the industry.</w:t>
      </w:r>
    </w:p>
    <w:p w:rsidR="001164BE" w:rsidRPr="00421991" w:rsidRDefault="001164BE" w:rsidP="005062E3">
      <w:pPr>
        <w:pStyle w:val="Heading2"/>
      </w:pPr>
      <w:bookmarkStart w:id="77" w:name="_Toc426441716"/>
      <w:r w:rsidRPr="00421991">
        <w:t>Work-related injury fatalities by sex</w:t>
      </w:r>
      <w:bookmarkEnd w:id="77"/>
    </w:p>
    <w:p w:rsidR="001164BE" w:rsidRPr="00421991" w:rsidRDefault="001164BE" w:rsidP="001164BE">
      <w:pPr>
        <w:pStyle w:val="TextBody"/>
        <w:rPr>
          <w:color w:val="auto"/>
        </w:rPr>
      </w:pPr>
      <w:r w:rsidRPr="00421991">
        <w:rPr>
          <w:color w:val="auto"/>
        </w:rPr>
        <w:t>Consistent with other industries in Australia, male workers comprised the majority (25 out of 34) of fatalities in the accommodation and food services industry between 2003 and 2013. The fatality rate among male workers was 0.72 fatalities per 100 000 workers, which is over three times higher than the rate for female workers (0.21 fatalities per 100 000 workers).</w:t>
      </w:r>
    </w:p>
    <w:p w:rsidR="001164BE" w:rsidRPr="00421991" w:rsidRDefault="001164BE" w:rsidP="005062E3">
      <w:pPr>
        <w:pStyle w:val="Heading2"/>
      </w:pPr>
      <w:bookmarkStart w:id="78" w:name="_Toc426441717"/>
      <w:r w:rsidRPr="00421991">
        <w:t>Work-related injury fatalities by age group</w:t>
      </w:r>
      <w:bookmarkEnd w:id="78"/>
    </w:p>
    <w:p w:rsidR="001164BE" w:rsidRPr="00421991" w:rsidRDefault="001164BE" w:rsidP="001164BE">
      <w:pPr>
        <w:pStyle w:val="TextBody"/>
        <w:rPr>
          <w:color w:val="auto"/>
        </w:rPr>
      </w:pPr>
      <w:r w:rsidRPr="00421991">
        <w:rPr>
          <w:color w:val="auto"/>
        </w:rPr>
        <w:t>Fatality rates increased with age group from a low of 0.06 fatalities per 100 000 workers among workers aged 15–24 years to a high of 6.03 among workers aged 65 years and above, which is over 13 times higher than the industry average. Table 12 outlines fatality rates and number of fatalities in the accommodation and food services industry by selected characteristics for 2003 to 2013.</w:t>
      </w:r>
    </w:p>
    <w:p w:rsidR="001164BE" w:rsidRPr="00421991" w:rsidRDefault="001164BE" w:rsidP="001164BE">
      <w:pPr>
        <w:pStyle w:val="Tabletitle1"/>
        <w:rPr>
          <w:color w:val="auto"/>
        </w:rPr>
      </w:pPr>
      <w:r w:rsidRPr="00421991">
        <w:rPr>
          <w:color w:val="auto"/>
        </w:rPr>
        <w:t>Table 12: Injury fatalities in the accommodation and food services industry: fatality rates and number of fatalities by selected characteristics, 2003 to 2013 combined</w:t>
      </w:r>
    </w:p>
    <w:tbl>
      <w:tblPr>
        <w:tblStyle w:val="TableGrid"/>
        <w:tblW w:w="0" w:type="auto"/>
        <w:tblLayout w:type="fixed"/>
        <w:tblLook w:val="0000" w:firstRow="0" w:lastRow="0" w:firstColumn="0" w:lastColumn="0" w:noHBand="0" w:noVBand="0"/>
        <w:tblCaption w:val="Table 12: Injury fatalities in the accommodation and food services industry: fatality rates and number of fatalities by selected characteristics, 2003 to 2013 combined"/>
      </w:tblPr>
      <w:tblGrid>
        <w:gridCol w:w="4668"/>
        <w:gridCol w:w="2778"/>
        <w:gridCol w:w="2228"/>
      </w:tblGrid>
      <w:tr w:rsidR="001164BE" w:rsidRPr="00421991" w:rsidTr="008D5510">
        <w:trPr>
          <w:trHeight w:val="60"/>
          <w:tblHeader/>
        </w:trPr>
        <w:tc>
          <w:tcPr>
            <w:tcW w:w="4668" w:type="dxa"/>
            <w:vAlign w:val="center"/>
          </w:tcPr>
          <w:p w:rsidR="001164BE" w:rsidRPr="00421991" w:rsidRDefault="001164BE" w:rsidP="009F629A">
            <w:pPr>
              <w:pStyle w:val="Tabletext"/>
              <w:spacing w:before="0" w:after="0"/>
              <w:rPr>
                <w:color w:val="auto"/>
              </w:rPr>
            </w:pPr>
            <w:r w:rsidRPr="00421991">
              <w:rPr>
                <w:rStyle w:val="BoldBody"/>
                <w:color w:val="auto"/>
              </w:rPr>
              <w:t>Selected characteristics</w:t>
            </w:r>
          </w:p>
        </w:tc>
        <w:tc>
          <w:tcPr>
            <w:tcW w:w="2778" w:type="dxa"/>
            <w:vAlign w:val="center"/>
          </w:tcPr>
          <w:p w:rsidR="001164BE" w:rsidRPr="00421991" w:rsidRDefault="001164BE" w:rsidP="009F629A">
            <w:pPr>
              <w:pStyle w:val="Tabletext2"/>
              <w:spacing w:before="0" w:after="0"/>
              <w:rPr>
                <w:color w:val="auto"/>
              </w:rPr>
            </w:pPr>
            <w:r w:rsidRPr="00421991">
              <w:rPr>
                <w:rStyle w:val="BoldBody"/>
                <w:color w:val="auto"/>
              </w:rPr>
              <w:t>Fatality rate (fatalities per 100 000 workers)</w:t>
            </w:r>
          </w:p>
        </w:tc>
        <w:tc>
          <w:tcPr>
            <w:tcW w:w="2228" w:type="dxa"/>
            <w:vAlign w:val="center"/>
          </w:tcPr>
          <w:p w:rsidR="001164BE" w:rsidRPr="00421991" w:rsidRDefault="001164BE" w:rsidP="009F629A">
            <w:pPr>
              <w:pStyle w:val="Tabletext2"/>
              <w:spacing w:before="0" w:after="0"/>
              <w:rPr>
                <w:color w:val="auto"/>
              </w:rPr>
            </w:pPr>
            <w:r w:rsidRPr="00421991">
              <w:rPr>
                <w:rStyle w:val="BoldBody"/>
                <w:color w:val="auto"/>
              </w:rPr>
              <w:t>Number of fatalities</w:t>
            </w:r>
          </w:p>
        </w:tc>
      </w:tr>
      <w:tr w:rsidR="001164BE" w:rsidRPr="00421991" w:rsidTr="009F629A">
        <w:trPr>
          <w:trHeight w:val="60"/>
        </w:trPr>
        <w:tc>
          <w:tcPr>
            <w:tcW w:w="4668" w:type="dxa"/>
            <w:vAlign w:val="center"/>
          </w:tcPr>
          <w:p w:rsidR="001164BE" w:rsidRPr="00421991" w:rsidRDefault="001164BE" w:rsidP="009F629A">
            <w:pPr>
              <w:pStyle w:val="Tabletext"/>
              <w:spacing w:before="0" w:after="0"/>
              <w:rPr>
                <w:color w:val="auto"/>
              </w:rPr>
            </w:pPr>
            <w:r w:rsidRPr="00421991">
              <w:rPr>
                <w:rStyle w:val="BoldBody"/>
                <w:color w:val="auto"/>
              </w:rPr>
              <w:t>Industry division</w:t>
            </w:r>
          </w:p>
        </w:tc>
        <w:tc>
          <w:tcPr>
            <w:tcW w:w="2778" w:type="dxa"/>
            <w:vAlign w:val="center"/>
          </w:tcPr>
          <w:p w:rsidR="001164BE" w:rsidRPr="00421991" w:rsidRDefault="001164BE" w:rsidP="009F629A">
            <w:pPr>
              <w:pStyle w:val="NoParagraphStyle"/>
              <w:spacing w:line="240" w:lineRule="auto"/>
              <w:jc w:val="center"/>
              <w:textAlignment w:val="auto"/>
              <w:rPr>
                <w:rFonts w:ascii="Arial" w:hAnsi="Arial" w:cs="Arial"/>
                <w:color w:val="auto"/>
                <w:lang w:val="en-AU"/>
              </w:rPr>
            </w:pPr>
          </w:p>
        </w:tc>
        <w:tc>
          <w:tcPr>
            <w:tcW w:w="2228" w:type="dxa"/>
            <w:vAlign w:val="center"/>
          </w:tcPr>
          <w:p w:rsidR="001164BE" w:rsidRPr="00421991" w:rsidRDefault="001164BE" w:rsidP="009F629A">
            <w:pPr>
              <w:pStyle w:val="NoParagraphStyle"/>
              <w:spacing w:line="240" w:lineRule="auto"/>
              <w:jc w:val="center"/>
              <w:textAlignment w:val="auto"/>
              <w:rPr>
                <w:rFonts w:ascii="Arial" w:hAnsi="Arial" w:cs="Arial"/>
                <w:color w:val="auto"/>
                <w:lang w:val="en-AU"/>
              </w:rPr>
            </w:pPr>
          </w:p>
        </w:tc>
      </w:tr>
      <w:tr w:rsidR="001164BE" w:rsidRPr="00421991" w:rsidTr="009F629A">
        <w:trPr>
          <w:trHeight w:val="60"/>
        </w:trPr>
        <w:tc>
          <w:tcPr>
            <w:tcW w:w="4668" w:type="dxa"/>
            <w:vAlign w:val="center"/>
          </w:tcPr>
          <w:p w:rsidR="001164BE" w:rsidRPr="00421991" w:rsidRDefault="001164BE" w:rsidP="009F629A">
            <w:pPr>
              <w:pStyle w:val="Tabletext1"/>
              <w:spacing w:before="0" w:after="0"/>
              <w:rPr>
                <w:color w:val="auto"/>
              </w:rPr>
            </w:pPr>
            <w:r w:rsidRPr="00421991">
              <w:rPr>
                <w:color w:val="auto"/>
              </w:rPr>
              <w:t>Accommodation and food services industry</w:t>
            </w:r>
          </w:p>
        </w:tc>
        <w:tc>
          <w:tcPr>
            <w:tcW w:w="2778" w:type="dxa"/>
            <w:vAlign w:val="center"/>
          </w:tcPr>
          <w:p w:rsidR="001164BE" w:rsidRPr="00421991" w:rsidRDefault="001164BE" w:rsidP="009F629A">
            <w:pPr>
              <w:pStyle w:val="Tabletext2"/>
              <w:spacing w:before="0" w:after="0"/>
              <w:rPr>
                <w:color w:val="auto"/>
              </w:rPr>
            </w:pPr>
            <w:r w:rsidRPr="00421991">
              <w:rPr>
                <w:color w:val="auto"/>
              </w:rPr>
              <w:t>0.44</w:t>
            </w:r>
          </w:p>
        </w:tc>
        <w:tc>
          <w:tcPr>
            <w:tcW w:w="2228" w:type="dxa"/>
            <w:vAlign w:val="center"/>
          </w:tcPr>
          <w:p w:rsidR="001164BE" w:rsidRPr="00421991" w:rsidRDefault="001164BE" w:rsidP="009F629A">
            <w:pPr>
              <w:pStyle w:val="Tabletext2"/>
              <w:spacing w:before="0" w:after="0"/>
              <w:rPr>
                <w:color w:val="auto"/>
              </w:rPr>
            </w:pPr>
            <w:r w:rsidRPr="00421991">
              <w:rPr>
                <w:color w:val="auto"/>
              </w:rPr>
              <w:t>34</w:t>
            </w:r>
          </w:p>
        </w:tc>
      </w:tr>
      <w:tr w:rsidR="001164BE" w:rsidRPr="00421991" w:rsidTr="009F629A">
        <w:trPr>
          <w:trHeight w:val="60"/>
        </w:trPr>
        <w:tc>
          <w:tcPr>
            <w:tcW w:w="4668" w:type="dxa"/>
            <w:vAlign w:val="center"/>
          </w:tcPr>
          <w:p w:rsidR="001164BE" w:rsidRPr="00421991" w:rsidRDefault="001164BE" w:rsidP="009F629A">
            <w:pPr>
              <w:pStyle w:val="Tabletext"/>
              <w:spacing w:before="0" w:after="0"/>
              <w:rPr>
                <w:color w:val="auto"/>
              </w:rPr>
            </w:pPr>
            <w:r w:rsidRPr="00421991">
              <w:rPr>
                <w:rStyle w:val="BoldBody"/>
                <w:color w:val="auto"/>
              </w:rPr>
              <w:t>Industry subdivision</w:t>
            </w:r>
          </w:p>
        </w:tc>
        <w:tc>
          <w:tcPr>
            <w:tcW w:w="2778" w:type="dxa"/>
            <w:vAlign w:val="center"/>
          </w:tcPr>
          <w:p w:rsidR="001164BE" w:rsidRPr="00421991" w:rsidRDefault="001164BE" w:rsidP="009F629A">
            <w:pPr>
              <w:pStyle w:val="NoParagraphStyle"/>
              <w:spacing w:line="240" w:lineRule="auto"/>
              <w:jc w:val="center"/>
              <w:textAlignment w:val="auto"/>
              <w:rPr>
                <w:rFonts w:ascii="Arial" w:hAnsi="Arial" w:cs="Arial"/>
                <w:color w:val="auto"/>
                <w:lang w:val="en-AU"/>
              </w:rPr>
            </w:pPr>
          </w:p>
        </w:tc>
        <w:tc>
          <w:tcPr>
            <w:tcW w:w="2228" w:type="dxa"/>
            <w:vAlign w:val="center"/>
          </w:tcPr>
          <w:p w:rsidR="001164BE" w:rsidRPr="00421991" w:rsidRDefault="001164BE" w:rsidP="009F629A">
            <w:pPr>
              <w:pStyle w:val="NoParagraphStyle"/>
              <w:spacing w:line="240" w:lineRule="auto"/>
              <w:jc w:val="center"/>
              <w:textAlignment w:val="auto"/>
              <w:rPr>
                <w:rFonts w:ascii="Arial" w:hAnsi="Arial" w:cs="Arial"/>
                <w:color w:val="auto"/>
                <w:lang w:val="en-AU"/>
              </w:rPr>
            </w:pPr>
          </w:p>
        </w:tc>
      </w:tr>
      <w:tr w:rsidR="001164BE" w:rsidRPr="00421991" w:rsidTr="009F629A">
        <w:trPr>
          <w:trHeight w:val="60"/>
        </w:trPr>
        <w:tc>
          <w:tcPr>
            <w:tcW w:w="4668" w:type="dxa"/>
            <w:vAlign w:val="center"/>
          </w:tcPr>
          <w:p w:rsidR="001164BE" w:rsidRPr="00421991" w:rsidRDefault="001164BE" w:rsidP="009F629A">
            <w:pPr>
              <w:pStyle w:val="Tabletext1"/>
              <w:spacing w:before="0" w:after="0"/>
              <w:rPr>
                <w:color w:val="auto"/>
              </w:rPr>
            </w:pPr>
            <w:r w:rsidRPr="00421991">
              <w:rPr>
                <w:color w:val="auto"/>
              </w:rPr>
              <w:t>Accommodation</w:t>
            </w:r>
          </w:p>
        </w:tc>
        <w:tc>
          <w:tcPr>
            <w:tcW w:w="2778" w:type="dxa"/>
            <w:vAlign w:val="center"/>
          </w:tcPr>
          <w:p w:rsidR="001164BE" w:rsidRPr="00421991" w:rsidRDefault="001164BE" w:rsidP="009F629A">
            <w:pPr>
              <w:pStyle w:val="Tabletext2"/>
              <w:spacing w:before="0" w:after="0"/>
              <w:rPr>
                <w:color w:val="auto"/>
              </w:rPr>
            </w:pPr>
            <w:r w:rsidRPr="00421991">
              <w:rPr>
                <w:color w:val="auto"/>
              </w:rPr>
              <w:t>0.75</w:t>
            </w:r>
          </w:p>
        </w:tc>
        <w:tc>
          <w:tcPr>
            <w:tcW w:w="2228" w:type="dxa"/>
            <w:vAlign w:val="center"/>
          </w:tcPr>
          <w:p w:rsidR="001164BE" w:rsidRPr="00421991" w:rsidRDefault="001164BE" w:rsidP="009F629A">
            <w:pPr>
              <w:pStyle w:val="Tabletext2"/>
              <w:spacing w:before="0" w:after="0"/>
              <w:rPr>
                <w:color w:val="auto"/>
              </w:rPr>
            </w:pPr>
            <w:r w:rsidRPr="00421991">
              <w:rPr>
                <w:color w:val="auto"/>
              </w:rPr>
              <w:t>9</w:t>
            </w:r>
          </w:p>
        </w:tc>
      </w:tr>
      <w:tr w:rsidR="001164BE" w:rsidRPr="00421991" w:rsidTr="009F629A">
        <w:trPr>
          <w:trHeight w:val="60"/>
        </w:trPr>
        <w:tc>
          <w:tcPr>
            <w:tcW w:w="4668" w:type="dxa"/>
            <w:vAlign w:val="center"/>
          </w:tcPr>
          <w:p w:rsidR="001164BE" w:rsidRPr="00421991" w:rsidRDefault="001164BE" w:rsidP="009F629A">
            <w:pPr>
              <w:pStyle w:val="Tabletext1"/>
              <w:spacing w:before="0" w:after="0"/>
              <w:rPr>
                <w:color w:val="auto"/>
              </w:rPr>
            </w:pPr>
            <w:r w:rsidRPr="00421991">
              <w:rPr>
                <w:color w:val="auto"/>
              </w:rPr>
              <w:t>Pubs, taverns and bars</w:t>
            </w:r>
          </w:p>
        </w:tc>
        <w:tc>
          <w:tcPr>
            <w:tcW w:w="2778" w:type="dxa"/>
            <w:vAlign w:val="center"/>
          </w:tcPr>
          <w:p w:rsidR="001164BE" w:rsidRPr="00421991" w:rsidRDefault="001164BE" w:rsidP="009F629A">
            <w:pPr>
              <w:pStyle w:val="Tabletext2"/>
              <w:spacing w:before="0" w:after="0"/>
              <w:rPr>
                <w:color w:val="auto"/>
              </w:rPr>
            </w:pPr>
            <w:r w:rsidRPr="00421991">
              <w:rPr>
                <w:color w:val="auto"/>
              </w:rPr>
              <w:t>0.40</w:t>
            </w:r>
          </w:p>
        </w:tc>
        <w:tc>
          <w:tcPr>
            <w:tcW w:w="2228" w:type="dxa"/>
            <w:vAlign w:val="center"/>
          </w:tcPr>
          <w:p w:rsidR="001164BE" w:rsidRPr="00421991" w:rsidRDefault="001164BE" w:rsidP="009F629A">
            <w:pPr>
              <w:pStyle w:val="Tabletext2"/>
              <w:spacing w:before="0" w:after="0"/>
              <w:rPr>
                <w:color w:val="auto"/>
              </w:rPr>
            </w:pPr>
            <w:r w:rsidRPr="00421991">
              <w:rPr>
                <w:color w:val="auto"/>
              </w:rPr>
              <w:t>4</w:t>
            </w:r>
          </w:p>
        </w:tc>
      </w:tr>
      <w:tr w:rsidR="001164BE" w:rsidRPr="00421991" w:rsidTr="009F629A">
        <w:trPr>
          <w:trHeight w:val="60"/>
        </w:trPr>
        <w:tc>
          <w:tcPr>
            <w:tcW w:w="4668" w:type="dxa"/>
            <w:vAlign w:val="center"/>
          </w:tcPr>
          <w:p w:rsidR="001164BE" w:rsidRPr="00421991" w:rsidRDefault="001164BE" w:rsidP="009F629A">
            <w:pPr>
              <w:pStyle w:val="Tabletext1"/>
              <w:spacing w:before="0" w:after="0"/>
              <w:rPr>
                <w:color w:val="auto"/>
              </w:rPr>
            </w:pPr>
            <w:r w:rsidRPr="00421991">
              <w:rPr>
                <w:color w:val="auto"/>
              </w:rPr>
              <w:t>Cafes, restaurants and takeaway food services</w:t>
            </w:r>
          </w:p>
        </w:tc>
        <w:tc>
          <w:tcPr>
            <w:tcW w:w="2778" w:type="dxa"/>
            <w:vAlign w:val="center"/>
          </w:tcPr>
          <w:p w:rsidR="001164BE" w:rsidRPr="00421991" w:rsidRDefault="001164BE" w:rsidP="009F629A">
            <w:pPr>
              <w:pStyle w:val="Tabletext2"/>
              <w:spacing w:before="0" w:after="0"/>
              <w:rPr>
                <w:color w:val="auto"/>
              </w:rPr>
            </w:pPr>
            <w:r w:rsidRPr="00421991">
              <w:rPr>
                <w:color w:val="auto"/>
              </w:rPr>
              <w:t>0.38</w:t>
            </w:r>
          </w:p>
        </w:tc>
        <w:tc>
          <w:tcPr>
            <w:tcW w:w="2228" w:type="dxa"/>
            <w:vAlign w:val="center"/>
          </w:tcPr>
          <w:p w:rsidR="001164BE" w:rsidRPr="00421991" w:rsidRDefault="001164BE" w:rsidP="009F629A">
            <w:pPr>
              <w:pStyle w:val="Tabletext2"/>
              <w:spacing w:before="0" w:after="0"/>
              <w:rPr>
                <w:color w:val="auto"/>
              </w:rPr>
            </w:pPr>
            <w:r w:rsidRPr="00421991">
              <w:rPr>
                <w:color w:val="auto"/>
              </w:rPr>
              <w:t>19</w:t>
            </w:r>
          </w:p>
        </w:tc>
      </w:tr>
      <w:tr w:rsidR="001164BE" w:rsidRPr="00421991" w:rsidTr="009F629A">
        <w:trPr>
          <w:trHeight w:val="60"/>
        </w:trPr>
        <w:tc>
          <w:tcPr>
            <w:tcW w:w="4668" w:type="dxa"/>
            <w:vAlign w:val="center"/>
          </w:tcPr>
          <w:p w:rsidR="001164BE" w:rsidRPr="00421991" w:rsidRDefault="001164BE" w:rsidP="009F629A">
            <w:pPr>
              <w:pStyle w:val="Tabletext1"/>
              <w:spacing w:before="0" w:after="0"/>
              <w:rPr>
                <w:color w:val="auto"/>
              </w:rPr>
            </w:pPr>
            <w:r w:rsidRPr="00421991">
              <w:rPr>
                <w:color w:val="auto"/>
              </w:rPr>
              <w:t>Clubs</w:t>
            </w:r>
          </w:p>
        </w:tc>
        <w:tc>
          <w:tcPr>
            <w:tcW w:w="2778" w:type="dxa"/>
            <w:vAlign w:val="center"/>
          </w:tcPr>
          <w:p w:rsidR="001164BE" w:rsidRPr="00421991" w:rsidRDefault="001164BE" w:rsidP="009F629A">
            <w:pPr>
              <w:pStyle w:val="Tabletext2"/>
              <w:spacing w:before="0" w:after="0"/>
              <w:rPr>
                <w:color w:val="auto"/>
              </w:rPr>
            </w:pPr>
            <w:r w:rsidRPr="00421991">
              <w:rPr>
                <w:color w:val="auto"/>
              </w:rPr>
              <w:t>0.33</w:t>
            </w:r>
          </w:p>
        </w:tc>
        <w:tc>
          <w:tcPr>
            <w:tcW w:w="2228" w:type="dxa"/>
            <w:vAlign w:val="center"/>
          </w:tcPr>
          <w:p w:rsidR="001164BE" w:rsidRPr="00421991" w:rsidRDefault="001164BE" w:rsidP="009F629A">
            <w:pPr>
              <w:pStyle w:val="Tabletext2"/>
              <w:spacing w:before="0" w:after="0"/>
              <w:rPr>
                <w:color w:val="auto"/>
              </w:rPr>
            </w:pPr>
            <w:r w:rsidRPr="00421991">
              <w:rPr>
                <w:color w:val="auto"/>
              </w:rPr>
              <w:t>2</w:t>
            </w:r>
          </w:p>
        </w:tc>
      </w:tr>
      <w:tr w:rsidR="001164BE" w:rsidRPr="00421991" w:rsidTr="009F629A">
        <w:trPr>
          <w:trHeight w:val="60"/>
        </w:trPr>
        <w:tc>
          <w:tcPr>
            <w:tcW w:w="4668" w:type="dxa"/>
            <w:vAlign w:val="center"/>
          </w:tcPr>
          <w:p w:rsidR="001164BE" w:rsidRPr="00421991" w:rsidRDefault="001164BE" w:rsidP="009F629A">
            <w:pPr>
              <w:pStyle w:val="Tabletext"/>
              <w:spacing w:before="0" w:after="0"/>
              <w:rPr>
                <w:color w:val="auto"/>
              </w:rPr>
            </w:pPr>
            <w:r w:rsidRPr="00421991">
              <w:rPr>
                <w:rStyle w:val="BoldBody"/>
                <w:color w:val="auto"/>
              </w:rPr>
              <w:t>Sex</w:t>
            </w:r>
          </w:p>
        </w:tc>
        <w:tc>
          <w:tcPr>
            <w:tcW w:w="2778" w:type="dxa"/>
            <w:vAlign w:val="center"/>
          </w:tcPr>
          <w:p w:rsidR="001164BE" w:rsidRPr="00421991" w:rsidRDefault="001164BE" w:rsidP="009F629A">
            <w:pPr>
              <w:pStyle w:val="NoParagraphStyle"/>
              <w:spacing w:line="240" w:lineRule="auto"/>
              <w:jc w:val="center"/>
              <w:textAlignment w:val="auto"/>
              <w:rPr>
                <w:rFonts w:ascii="Arial" w:hAnsi="Arial" w:cs="Arial"/>
                <w:color w:val="auto"/>
                <w:lang w:val="en-AU"/>
              </w:rPr>
            </w:pPr>
          </w:p>
        </w:tc>
        <w:tc>
          <w:tcPr>
            <w:tcW w:w="2228" w:type="dxa"/>
            <w:vAlign w:val="center"/>
          </w:tcPr>
          <w:p w:rsidR="001164BE" w:rsidRPr="00421991" w:rsidRDefault="001164BE" w:rsidP="009F629A">
            <w:pPr>
              <w:pStyle w:val="NoParagraphStyle"/>
              <w:spacing w:line="240" w:lineRule="auto"/>
              <w:jc w:val="center"/>
              <w:textAlignment w:val="auto"/>
              <w:rPr>
                <w:rFonts w:ascii="Arial" w:hAnsi="Arial" w:cs="Arial"/>
                <w:color w:val="auto"/>
                <w:lang w:val="en-AU"/>
              </w:rPr>
            </w:pPr>
          </w:p>
        </w:tc>
      </w:tr>
      <w:tr w:rsidR="001164BE" w:rsidRPr="00421991" w:rsidTr="009F629A">
        <w:trPr>
          <w:trHeight w:val="60"/>
        </w:trPr>
        <w:tc>
          <w:tcPr>
            <w:tcW w:w="4668" w:type="dxa"/>
            <w:vAlign w:val="center"/>
          </w:tcPr>
          <w:p w:rsidR="001164BE" w:rsidRPr="00421991" w:rsidRDefault="001164BE" w:rsidP="009F629A">
            <w:pPr>
              <w:pStyle w:val="Tabletext1"/>
              <w:spacing w:before="0" w:after="0"/>
              <w:rPr>
                <w:color w:val="auto"/>
              </w:rPr>
            </w:pPr>
            <w:r w:rsidRPr="00421991">
              <w:rPr>
                <w:color w:val="auto"/>
              </w:rPr>
              <w:t>Male</w:t>
            </w:r>
          </w:p>
        </w:tc>
        <w:tc>
          <w:tcPr>
            <w:tcW w:w="2778" w:type="dxa"/>
            <w:vAlign w:val="center"/>
          </w:tcPr>
          <w:p w:rsidR="001164BE" w:rsidRPr="00421991" w:rsidRDefault="001164BE" w:rsidP="009F629A">
            <w:pPr>
              <w:pStyle w:val="Tabletext2"/>
              <w:spacing w:before="0" w:after="0"/>
              <w:rPr>
                <w:color w:val="auto"/>
              </w:rPr>
            </w:pPr>
            <w:r w:rsidRPr="00421991">
              <w:rPr>
                <w:color w:val="auto"/>
              </w:rPr>
              <w:t>0.72</w:t>
            </w:r>
          </w:p>
        </w:tc>
        <w:tc>
          <w:tcPr>
            <w:tcW w:w="2228" w:type="dxa"/>
            <w:vAlign w:val="center"/>
          </w:tcPr>
          <w:p w:rsidR="001164BE" w:rsidRPr="00421991" w:rsidRDefault="001164BE" w:rsidP="009F629A">
            <w:pPr>
              <w:pStyle w:val="Tabletext2"/>
              <w:spacing w:before="0" w:after="0"/>
              <w:rPr>
                <w:color w:val="auto"/>
              </w:rPr>
            </w:pPr>
            <w:r w:rsidRPr="00421991">
              <w:rPr>
                <w:color w:val="auto"/>
              </w:rPr>
              <w:t>25</w:t>
            </w:r>
          </w:p>
        </w:tc>
      </w:tr>
      <w:tr w:rsidR="001164BE" w:rsidRPr="00421991" w:rsidTr="009F629A">
        <w:trPr>
          <w:trHeight w:val="60"/>
        </w:trPr>
        <w:tc>
          <w:tcPr>
            <w:tcW w:w="4668" w:type="dxa"/>
            <w:vAlign w:val="center"/>
          </w:tcPr>
          <w:p w:rsidR="001164BE" w:rsidRPr="00421991" w:rsidRDefault="001164BE" w:rsidP="009F629A">
            <w:pPr>
              <w:pStyle w:val="Tabletext1"/>
              <w:spacing w:before="0" w:after="0"/>
              <w:rPr>
                <w:color w:val="auto"/>
              </w:rPr>
            </w:pPr>
            <w:r w:rsidRPr="00421991">
              <w:rPr>
                <w:color w:val="auto"/>
              </w:rPr>
              <w:t>Female</w:t>
            </w:r>
          </w:p>
        </w:tc>
        <w:tc>
          <w:tcPr>
            <w:tcW w:w="2778" w:type="dxa"/>
            <w:vAlign w:val="center"/>
          </w:tcPr>
          <w:p w:rsidR="001164BE" w:rsidRPr="00421991" w:rsidRDefault="001164BE" w:rsidP="009F629A">
            <w:pPr>
              <w:pStyle w:val="Tabletext2"/>
              <w:spacing w:before="0" w:after="0"/>
              <w:rPr>
                <w:color w:val="auto"/>
              </w:rPr>
            </w:pPr>
            <w:r w:rsidRPr="00421991">
              <w:rPr>
                <w:color w:val="auto"/>
              </w:rPr>
              <w:t>0.21</w:t>
            </w:r>
          </w:p>
        </w:tc>
        <w:tc>
          <w:tcPr>
            <w:tcW w:w="2228" w:type="dxa"/>
            <w:vAlign w:val="center"/>
          </w:tcPr>
          <w:p w:rsidR="001164BE" w:rsidRPr="00421991" w:rsidRDefault="001164BE" w:rsidP="009F629A">
            <w:pPr>
              <w:pStyle w:val="Tabletext2"/>
              <w:spacing w:before="0" w:after="0"/>
              <w:rPr>
                <w:color w:val="auto"/>
              </w:rPr>
            </w:pPr>
            <w:r w:rsidRPr="00421991">
              <w:rPr>
                <w:color w:val="auto"/>
              </w:rPr>
              <w:t>9</w:t>
            </w:r>
          </w:p>
        </w:tc>
      </w:tr>
      <w:tr w:rsidR="001164BE" w:rsidRPr="00421991" w:rsidTr="009F629A">
        <w:trPr>
          <w:trHeight w:val="60"/>
        </w:trPr>
        <w:tc>
          <w:tcPr>
            <w:tcW w:w="4668" w:type="dxa"/>
            <w:vAlign w:val="center"/>
          </w:tcPr>
          <w:p w:rsidR="001164BE" w:rsidRPr="00421991" w:rsidRDefault="001164BE" w:rsidP="009F629A">
            <w:pPr>
              <w:pStyle w:val="Tabletext"/>
              <w:spacing w:before="0" w:after="0"/>
              <w:rPr>
                <w:color w:val="auto"/>
              </w:rPr>
            </w:pPr>
            <w:r w:rsidRPr="00421991">
              <w:rPr>
                <w:rStyle w:val="BoldBody"/>
                <w:color w:val="auto"/>
              </w:rPr>
              <w:t>Age group</w:t>
            </w:r>
          </w:p>
        </w:tc>
        <w:tc>
          <w:tcPr>
            <w:tcW w:w="2778" w:type="dxa"/>
            <w:vAlign w:val="center"/>
          </w:tcPr>
          <w:p w:rsidR="001164BE" w:rsidRPr="00421991" w:rsidRDefault="001164BE" w:rsidP="009F629A">
            <w:pPr>
              <w:pStyle w:val="NoParagraphStyle"/>
              <w:spacing w:line="240" w:lineRule="auto"/>
              <w:jc w:val="center"/>
              <w:textAlignment w:val="auto"/>
              <w:rPr>
                <w:rFonts w:ascii="Arial" w:hAnsi="Arial" w:cs="Arial"/>
                <w:color w:val="auto"/>
                <w:lang w:val="en-AU"/>
              </w:rPr>
            </w:pPr>
          </w:p>
        </w:tc>
        <w:tc>
          <w:tcPr>
            <w:tcW w:w="2228" w:type="dxa"/>
            <w:vAlign w:val="center"/>
          </w:tcPr>
          <w:p w:rsidR="001164BE" w:rsidRPr="00421991" w:rsidRDefault="001164BE" w:rsidP="009F629A">
            <w:pPr>
              <w:pStyle w:val="NoParagraphStyle"/>
              <w:spacing w:line="240" w:lineRule="auto"/>
              <w:jc w:val="center"/>
              <w:textAlignment w:val="auto"/>
              <w:rPr>
                <w:rFonts w:ascii="Arial" w:hAnsi="Arial" w:cs="Arial"/>
                <w:color w:val="auto"/>
                <w:lang w:val="en-AU"/>
              </w:rPr>
            </w:pPr>
          </w:p>
        </w:tc>
      </w:tr>
      <w:tr w:rsidR="001164BE" w:rsidRPr="00421991" w:rsidTr="009F629A">
        <w:trPr>
          <w:trHeight w:val="60"/>
        </w:trPr>
        <w:tc>
          <w:tcPr>
            <w:tcW w:w="4668" w:type="dxa"/>
            <w:vAlign w:val="center"/>
          </w:tcPr>
          <w:p w:rsidR="001164BE" w:rsidRPr="00421991" w:rsidRDefault="001164BE" w:rsidP="009F629A">
            <w:pPr>
              <w:pStyle w:val="Tabletext1"/>
              <w:spacing w:before="0" w:after="0"/>
              <w:rPr>
                <w:color w:val="auto"/>
              </w:rPr>
            </w:pPr>
            <w:r w:rsidRPr="00421991">
              <w:rPr>
                <w:color w:val="auto"/>
              </w:rPr>
              <w:t>15–24 years</w:t>
            </w:r>
          </w:p>
        </w:tc>
        <w:tc>
          <w:tcPr>
            <w:tcW w:w="2778" w:type="dxa"/>
            <w:vAlign w:val="center"/>
          </w:tcPr>
          <w:p w:rsidR="001164BE" w:rsidRPr="00421991" w:rsidRDefault="001164BE" w:rsidP="009F629A">
            <w:pPr>
              <w:pStyle w:val="Tabletext2"/>
              <w:spacing w:before="0" w:after="0"/>
              <w:rPr>
                <w:color w:val="auto"/>
              </w:rPr>
            </w:pPr>
            <w:r w:rsidRPr="00421991">
              <w:rPr>
                <w:color w:val="auto"/>
              </w:rPr>
              <w:t>0.06</w:t>
            </w:r>
          </w:p>
        </w:tc>
        <w:tc>
          <w:tcPr>
            <w:tcW w:w="2228" w:type="dxa"/>
            <w:vAlign w:val="center"/>
          </w:tcPr>
          <w:p w:rsidR="001164BE" w:rsidRPr="00421991" w:rsidRDefault="001164BE" w:rsidP="009F629A">
            <w:pPr>
              <w:pStyle w:val="Tabletext2"/>
              <w:spacing w:before="0" w:after="0"/>
              <w:rPr>
                <w:color w:val="auto"/>
              </w:rPr>
            </w:pPr>
            <w:r w:rsidRPr="00421991">
              <w:rPr>
                <w:color w:val="auto"/>
              </w:rPr>
              <w:t>2</w:t>
            </w:r>
          </w:p>
        </w:tc>
      </w:tr>
      <w:tr w:rsidR="001164BE" w:rsidRPr="00421991" w:rsidTr="009F629A">
        <w:trPr>
          <w:trHeight w:val="60"/>
        </w:trPr>
        <w:tc>
          <w:tcPr>
            <w:tcW w:w="4668" w:type="dxa"/>
            <w:vAlign w:val="center"/>
          </w:tcPr>
          <w:p w:rsidR="001164BE" w:rsidRPr="00421991" w:rsidRDefault="001164BE" w:rsidP="009F629A">
            <w:pPr>
              <w:pStyle w:val="Tabletext1"/>
              <w:spacing w:before="0" w:after="0"/>
              <w:rPr>
                <w:color w:val="auto"/>
              </w:rPr>
            </w:pPr>
            <w:r w:rsidRPr="00421991">
              <w:rPr>
                <w:color w:val="auto"/>
              </w:rPr>
              <w:t>25–34 years</w:t>
            </w:r>
          </w:p>
        </w:tc>
        <w:tc>
          <w:tcPr>
            <w:tcW w:w="2778" w:type="dxa"/>
            <w:vAlign w:val="center"/>
          </w:tcPr>
          <w:p w:rsidR="001164BE" w:rsidRPr="00421991" w:rsidRDefault="001164BE" w:rsidP="009F629A">
            <w:pPr>
              <w:pStyle w:val="Tabletext2"/>
              <w:spacing w:before="0" w:after="0"/>
              <w:rPr>
                <w:color w:val="auto"/>
              </w:rPr>
            </w:pPr>
            <w:r w:rsidRPr="00421991">
              <w:rPr>
                <w:color w:val="auto"/>
              </w:rPr>
              <w:t>0.19</w:t>
            </w:r>
          </w:p>
        </w:tc>
        <w:tc>
          <w:tcPr>
            <w:tcW w:w="2228" w:type="dxa"/>
            <w:vAlign w:val="center"/>
          </w:tcPr>
          <w:p w:rsidR="001164BE" w:rsidRPr="00421991" w:rsidRDefault="001164BE" w:rsidP="009F629A">
            <w:pPr>
              <w:pStyle w:val="Tabletext2"/>
              <w:spacing w:before="0" w:after="0"/>
              <w:rPr>
                <w:color w:val="auto"/>
              </w:rPr>
            </w:pPr>
            <w:r w:rsidRPr="00421991">
              <w:rPr>
                <w:color w:val="auto"/>
              </w:rPr>
              <w:t>3</w:t>
            </w:r>
          </w:p>
        </w:tc>
      </w:tr>
      <w:tr w:rsidR="001164BE" w:rsidRPr="00421991" w:rsidTr="009F629A">
        <w:trPr>
          <w:trHeight w:val="60"/>
        </w:trPr>
        <w:tc>
          <w:tcPr>
            <w:tcW w:w="4668" w:type="dxa"/>
            <w:vAlign w:val="center"/>
          </w:tcPr>
          <w:p w:rsidR="001164BE" w:rsidRPr="00421991" w:rsidRDefault="001164BE" w:rsidP="009F629A">
            <w:pPr>
              <w:pStyle w:val="Tabletext1"/>
              <w:spacing w:before="0" w:after="0"/>
              <w:rPr>
                <w:color w:val="auto"/>
              </w:rPr>
            </w:pPr>
            <w:r w:rsidRPr="00421991">
              <w:rPr>
                <w:color w:val="auto"/>
              </w:rPr>
              <w:t>35–44 years</w:t>
            </w:r>
          </w:p>
        </w:tc>
        <w:tc>
          <w:tcPr>
            <w:tcW w:w="2778" w:type="dxa"/>
            <w:vAlign w:val="center"/>
          </w:tcPr>
          <w:p w:rsidR="001164BE" w:rsidRPr="00421991" w:rsidRDefault="001164BE" w:rsidP="009F629A">
            <w:pPr>
              <w:pStyle w:val="Tabletext2"/>
              <w:spacing w:before="0" w:after="0"/>
              <w:rPr>
                <w:color w:val="auto"/>
              </w:rPr>
            </w:pPr>
            <w:r w:rsidRPr="00421991">
              <w:rPr>
                <w:color w:val="auto"/>
              </w:rPr>
              <w:t>0.52</w:t>
            </w:r>
          </w:p>
        </w:tc>
        <w:tc>
          <w:tcPr>
            <w:tcW w:w="2228" w:type="dxa"/>
            <w:vAlign w:val="center"/>
          </w:tcPr>
          <w:p w:rsidR="001164BE" w:rsidRPr="00421991" w:rsidRDefault="001164BE" w:rsidP="009F629A">
            <w:pPr>
              <w:pStyle w:val="Tabletext2"/>
              <w:spacing w:before="0" w:after="0"/>
              <w:rPr>
                <w:color w:val="auto"/>
              </w:rPr>
            </w:pPr>
            <w:r w:rsidRPr="00421991">
              <w:rPr>
                <w:color w:val="auto"/>
              </w:rPr>
              <w:t>6</w:t>
            </w:r>
          </w:p>
        </w:tc>
      </w:tr>
      <w:tr w:rsidR="001164BE" w:rsidRPr="00421991" w:rsidTr="009F629A">
        <w:trPr>
          <w:trHeight w:val="60"/>
        </w:trPr>
        <w:tc>
          <w:tcPr>
            <w:tcW w:w="4668" w:type="dxa"/>
            <w:vAlign w:val="center"/>
          </w:tcPr>
          <w:p w:rsidR="001164BE" w:rsidRPr="00421991" w:rsidRDefault="001164BE" w:rsidP="009F629A">
            <w:pPr>
              <w:pStyle w:val="Tabletext1"/>
              <w:spacing w:before="0" w:after="0"/>
              <w:rPr>
                <w:color w:val="auto"/>
              </w:rPr>
            </w:pPr>
            <w:r w:rsidRPr="00421991">
              <w:rPr>
                <w:color w:val="auto"/>
              </w:rPr>
              <w:t>45–54 years</w:t>
            </w:r>
          </w:p>
        </w:tc>
        <w:tc>
          <w:tcPr>
            <w:tcW w:w="2778" w:type="dxa"/>
            <w:vAlign w:val="center"/>
          </w:tcPr>
          <w:p w:rsidR="001164BE" w:rsidRPr="00421991" w:rsidRDefault="001164BE" w:rsidP="009F629A">
            <w:pPr>
              <w:pStyle w:val="Tabletext2"/>
              <w:spacing w:before="0" w:after="0"/>
              <w:rPr>
                <w:color w:val="auto"/>
              </w:rPr>
            </w:pPr>
            <w:r w:rsidRPr="00421991">
              <w:rPr>
                <w:color w:val="auto"/>
              </w:rPr>
              <w:t>0.86</w:t>
            </w:r>
          </w:p>
        </w:tc>
        <w:tc>
          <w:tcPr>
            <w:tcW w:w="2228" w:type="dxa"/>
            <w:vAlign w:val="center"/>
          </w:tcPr>
          <w:p w:rsidR="001164BE" w:rsidRPr="00421991" w:rsidRDefault="001164BE" w:rsidP="009F629A">
            <w:pPr>
              <w:pStyle w:val="Tabletext2"/>
              <w:spacing w:before="0" w:after="0"/>
              <w:rPr>
                <w:color w:val="auto"/>
              </w:rPr>
            </w:pPr>
            <w:r w:rsidRPr="00421991">
              <w:rPr>
                <w:color w:val="auto"/>
              </w:rPr>
              <w:t>9</w:t>
            </w:r>
          </w:p>
        </w:tc>
      </w:tr>
      <w:tr w:rsidR="001164BE" w:rsidRPr="00421991" w:rsidTr="009F629A">
        <w:trPr>
          <w:trHeight w:val="60"/>
        </w:trPr>
        <w:tc>
          <w:tcPr>
            <w:tcW w:w="4668" w:type="dxa"/>
            <w:vAlign w:val="center"/>
          </w:tcPr>
          <w:p w:rsidR="001164BE" w:rsidRPr="00421991" w:rsidRDefault="001164BE" w:rsidP="009F629A">
            <w:pPr>
              <w:pStyle w:val="Tabletext1"/>
              <w:spacing w:before="0" w:after="0"/>
              <w:rPr>
                <w:color w:val="auto"/>
              </w:rPr>
            </w:pPr>
            <w:r w:rsidRPr="00421991">
              <w:rPr>
                <w:color w:val="auto"/>
              </w:rPr>
              <w:t>55–64 years</w:t>
            </w:r>
          </w:p>
        </w:tc>
        <w:tc>
          <w:tcPr>
            <w:tcW w:w="2778" w:type="dxa"/>
            <w:vAlign w:val="center"/>
          </w:tcPr>
          <w:p w:rsidR="001164BE" w:rsidRPr="00421991" w:rsidRDefault="001164BE" w:rsidP="009F629A">
            <w:pPr>
              <w:pStyle w:val="Tabletext2"/>
              <w:spacing w:before="0" w:after="0"/>
              <w:rPr>
                <w:color w:val="auto"/>
              </w:rPr>
            </w:pPr>
            <w:r w:rsidRPr="00421991">
              <w:rPr>
                <w:color w:val="auto"/>
              </w:rPr>
              <w:t>1.36</w:t>
            </w:r>
          </w:p>
        </w:tc>
        <w:tc>
          <w:tcPr>
            <w:tcW w:w="2228" w:type="dxa"/>
            <w:vAlign w:val="center"/>
          </w:tcPr>
          <w:p w:rsidR="001164BE" w:rsidRPr="00421991" w:rsidRDefault="001164BE" w:rsidP="009F629A">
            <w:pPr>
              <w:pStyle w:val="Tabletext2"/>
              <w:spacing w:before="0" w:after="0"/>
              <w:rPr>
                <w:color w:val="auto"/>
              </w:rPr>
            </w:pPr>
            <w:r w:rsidRPr="00421991">
              <w:rPr>
                <w:color w:val="auto"/>
              </w:rPr>
              <w:t>8</w:t>
            </w:r>
          </w:p>
        </w:tc>
      </w:tr>
      <w:tr w:rsidR="001164BE" w:rsidRPr="00421991" w:rsidTr="009F629A">
        <w:trPr>
          <w:trHeight w:val="60"/>
        </w:trPr>
        <w:tc>
          <w:tcPr>
            <w:tcW w:w="4668" w:type="dxa"/>
            <w:vAlign w:val="center"/>
          </w:tcPr>
          <w:p w:rsidR="001164BE" w:rsidRPr="00421991" w:rsidRDefault="001164BE" w:rsidP="009F629A">
            <w:pPr>
              <w:pStyle w:val="Tabletext1"/>
              <w:spacing w:before="0" w:after="0"/>
              <w:rPr>
                <w:color w:val="auto"/>
              </w:rPr>
            </w:pPr>
            <w:r w:rsidRPr="00421991">
              <w:rPr>
                <w:color w:val="auto"/>
              </w:rPr>
              <w:t>65 years and above</w:t>
            </w:r>
          </w:p>
        </w:tc>
        <w:tc>
          <w:tcPr>
            <w:tcW w:w="2778" w:type="dxa"/>
            <w:vAlign w:val="center"/>
          </w:tcPr>
          <w:p w:rsidR="001164BE" w:rsidRPr="00421991" w:rsidRDefault="001164BE" w:rsidP="009F629A">
            <w:pPr>
              <w:pStyle w:val="Tabletext2"/>
              <w:spacing w:before="0" w:after="0"/>
              <w:rPr>
                <w:color w:val="auto"/>
              </w:rPr>
            </w:pPr>
            <w:r w:rsidRPr="00421991">
              <w:rPr>
                <w:color w:val="auto"/>
              </w:rPr>
              <w:t>6.03</w:t>
            </w:r>
          </w:p>
        </w:tc>
        <w:tc>
          <w:tcPr>
            <w:tcW w:w="2228" w:type="dxa"/>
            <w:vAlign w:val="center"/>
          </w:tcPr>
          <w:p w:rsidR="001164BE" w:rsidRPr="00421991" w:rsidRDefault="001164BE" w:rsidP="009F629A">
            <w:pPr>
              <w:pStyle w:val="Tabletext2"/>
              <w:spacing w:before="0" w:after="0"/>
              <w:rPr>
                <w:color w:val="auto"/>
              </w:rPr>
            </w:pPr>
            <w:r w:rsidRPr="00421991">
              <w:rPr>
                <w:color w:val="auto"/>
              </w:rPr>
              <w:t>6</w:t>
            </w:r>
          </w:p>
        </w:tc>
      </w:tr>
    </w:tbl>
    <w:p w:rsidR="001164BE" w:rsidRPr="00421991" w:rsidRDefault="001164BE" w:rsidP="001164BE">
      <w:pPr>
        <w:pStyle w:val="FootnoteFiguresandtables"/>
        <w:rPr>
          <w:color w:val="auto"/>
        </w:rPr>
      </w:pPr>
      <w:r w:rsidRPr="00421991">
        <w:rPr>
          <w:color w:val="auto"/>
        </w:rPr>
        <w:t>Source: Traumatic Injury Fatalities database.</w:t>
      </w:r>
    </w:p>
    <w:p w:rsidR="001164BE" w:rsidRPr="00421991" w:rsidRDefault="001164BE" w:rsidP="005062E3">
      <w:pPr>
        <w:pStyle w:val="Heading2"/>
      </w:pPr>
      <w:bookmarkStart w:id="79" w:name="_Toc426441718"/>
      <w:r w:rsidRPr="00421991">
        <w:t>Mechanism and breakdown agency of fatal injuries</w:t>
      </w:r>
      <w:bookmarkEnd w:id="79"/>
    </w:p>
    <w:p w:rsidR="001164BE" w:rsidRPr="00421991" w:rsidRDefault="001164BE" w:rsidP="001164BE">
      <w:pPr>
        <w:pStyle w:val="TextBody"/>
        <w:rPr>
          <w:color w:val="auto"/>
        </w:rPr>
      </w:pPr>
      <w:r w:rsidRPr="00421991">
        <w:rPr>
          <w:color w:val="auto"/>
        </w:rPr>
        <w:t>Between 2003 and 2013, vehicle incidents led to the highest number (9) of fatal injuries in the accommodation and food services industry. Of the 9 vehicle incidents, almost all (7) occurred on public roads and typically involved delivery workers. The second-highest number of fatalities were caused by being assaulted by a person or persons, and falls from a height, which led to 6 fatalities each. With the exception of one case where a worker assaulted another worker, all fatalities caused by being assaulted by a person or persons involved workers being assaulted by patrons or people undertaking criminal activity. Workers who sustained fatal injuries due to falls from a height were typically undertaking maintenance work or carrying objects when they fell. Table 13 outlines all the mechanisms and breakdown agencies that led to the 34 fatalities in the accommodation and food services industry between 2003 and 2013.</w:t>
      </w:r>
    </w:p>
    <w:p w:rsidR="00B120A5" w:rsidRDefault="00B120A5">
      <w:pPr>
        <w:rPr>
          <w:rFonts w:eastAsiaTheme="minorHAnsi"/>
          <w:b/>
          <w:bCs/>
          <w:kern w:val="0"/>
          <w:sz w:val="20"/>
          <w:szCs w:val="20"/>
          <w:lang w:val="en-GB" w:eastAsia="en-US"/>
        </w:rPr>
      </w:pPr>
      <w:r>
        <w:br w:type="page"/>
      </w:r>
    </w:p>
    <w:p w:rsidR="001164BE" w:rsidRPr="00421991" w:rsidRDefault="001164BE" w:rsidP="001164BE">
      <w:pPr>
        <w:pStyle w:val="Tabletitle1"/>
        <w:rPr>
          <w:color w:val="auto"/>
        </w:rPr>
      </w:pPr>
      <w:r w:rsidRPr="00421991">
        <w:rPr>
          <w:color w:val="auto"/>
        </w:rPr>
        <w:lastRenderedPageBreak/>
        <w:t>Table 13: Injury fatalities in the accommodation and food services industry: number of fatalities by mechanism and breakdown agency of fatal injury, 2003 to 2013 combined</w:t>
      </w:r>
    </w:p>
    <w:tbl>
      <w:tblPr>
        <w:tblStyle w:val="TableGrid"/>
        <w:tblW w:w="0" w:type="auto"/>
        <w:tblLayout w:type="fixed"/>
        <w:tblLook w:val="0000" w:firstRow="0" w:lastRow="0" w:firstColumn="0" w:lastColumn="0" w:noHBand="0" w:noVBand="0"/>
        <w:tblCaption w:val="Table 13: Injury fatalities in the accommodation and food services industry: number of fatalities by mechanism and breakdown agency of fatal injury, 2003 to 2013 combined"/>
      </w:tblPr>
      <w:tblGrid>
        <w:gridCol w:w="5272"/>
        <w:gridCol w:w="4411"/>
      </w:tblGrid>
      <w:tr w:rsidR="008D5510" w:rsidRPr="00421991" w:rsidTr="008D5510">
        <w:trPr>
          <w:trHeight w:val="507"/>
          <w:tblHeader/>
        </w:trPr>
        <w:tc>
          <w:tcPr>
            <w:tcW w:w="5272" w:type="dxa"/>
            <w:vAlign w:val="center"/>
          </w:tcPr>
          <w:p w:rsidR="008D5510" w:rsidRPr="00421991" w:rsidRDefault="008D5510" w:rsidP="009F629A">
            <w:pPr>
              <w:pStyle w:val="Tabletext"/>
              <w:spacing w:before="0" w:after="0"/>
              <w:rPr>
                <w:color w:val="auto"/>
              </w:rPr>
            </w:pPr>
            <w:r w:rsidRPr="00421991">
              <w:rPr>
                <w:rStyle w:val="BoldBody"/>
                <w:color w:val="auto"/>
              </w:rPr>
              <w:t>Mechanism of fatal injury</w:t>
            </w:r>
          </w:p>
          <w:p w:rsidR="008D5510" w:rsidRPr="00421991" w:rsidRDefault="008D5510" w:rsidP="009F629A">
            <w:pPr>
              <w:pStyle w:val="Tabletext1"/>
              <w:spacing w:before="0" w:after="0"/>
              <w:rPr>
                <w:color w:val="auto"/>
              </w:rPr>
            </w:pPr>
            <w:r w:rsidRPr="00421991">
              <w:rPr>
                <w:rStyle w:val="BoldBody"/>
                <w:color w:val="auto"/>
              </w:rPr>
              <w:t>Breakdown agency of fatal injury</w:t>
            </w:r>
          </w:p>
        </w:tc>
        <w:tc>
          <w:tcPr>
            <w:tcW w:w="4411" w:type="dxa"/>
            <w:vAlign w:val="center"/>
          </w:tcPr>
          <w:p w:rsidR="008D5510" w:rsidRPr="00421991" w:rsidRDefault="008D5510" w:rsidP="009F629A">
            <w:pPr>
              <w:pStyle w:val="Tabletext2"/>
              <w:spacing w:before="0" w:after="0"/>
              <w:rPr>
                <w:color w:val="auto"/>
              </w:rPr>
            </w:pPr>
            <w:r w:rsidRPr="00421991">
              <w:rPr>
                <w:rStyle w:val="BoldBody"/>
                <w:color w:val="auto"/>
              </w:rPr>
              <w:t>Number of fatalities</w:t>
            </w:r>
          </w:p>
        </w:tc>
      </w:tr>
      <w:tr w:rsidR="001164BE" w:rsidRPr="00421991" w:rsidTr="009F629A">
        <w:trPr>
          <w:trHeight w:val="60"/>
        </w:trPr>
        <w:tc>
          <w:tcPr>
            <w:tcW w:w="5272" w:type="dxa"/>
            <w:vAlign w:val="center"/>
          </w:tcPr>
          <w:p w:rsidR="001164BE" w:rsidRPr="00421991" w:rsidRDefault="001164BE" w:rsidP="009F629A">
            <w:pPr>
              <w:pStyle w:val="Tabletext"/>
              <w:spacing w:before="0" w:after="0"/>
              <w:rPr>
                <w:color w:val="auto"/>
              </w:rPr>
            </w:pPr>
            <w:r w:rsidRPr="00421991">
              <w:rPr>
                <w:rStyle w:val="BoldBody"/>
                <w:color w:val="auto"/>
              </w:rPr>
              <w:t>Vehicle incident</w:t>
            </w:r>
          </w:p>
        </w:tc>
        <w:tc>
          <w:tcPr>
            <w:tcW w:w="4411" w:type="dxa"/>
            <w:vAlign w:val="center"/>
          </w:tcPr>
          <w:p w:rsidR="001164BE" w:rsidRPr="00421991" w:rsidRDefault="001164BE" w:rsidP="009F629A">
            <w:pPr>
              <w:pStyle w:val="NoParagraphStyle"/>
              <w:spacing w:line="240" w:lineRule="auto"/>
              <w:jc w:val="center"/>
              <w:textAlignment w:val="auto"/>
              <w:rPr>
                <w:rFonts w:ascii="Arial" w:hAnsi="Arial" w:cs="Arial"/>
                <w:color w:val="auto"/>
                <w:lang w:val="en-AU"/>
              </w:rPr>
            </w:pPr>
          </w:p>
        </w:tc>
      </w:tr>
      <w:tr w:rsidR="001164BE" w:rsidRPr="00421991" w:rsidTr="009F629A">
        <w:trPr>
          <w:trHeight w:val="60"/>
        </w:trPr>
        <w:tc>
          <w:tcPr>
            <w:tcW w:w="5272" w:type="dxa"/>
            <w:vAlign w:val="center"/>
          </w:tcPr>
          <w:p w:rsidR="001164BE" w:rsidRPr="00421991" w:rsidRDefault="001164BE" w:rsidP="009F629A">
            <w:pPr>
              <w:pStyle w:val="Tabletext1"/>
              <w:spacing w:before="0" w:after="0"/>
              <w:rPr>
                <w:color w:val="auto"/>
              </w:rPr>
            </w:pPr>
            <w:r w:rsidRPr="00421991">
              <w:rPr>
                <w:color w:val="auto"/>
              </w:rPr>
              <w:t>Cars, station wagons, vans, utilities</w:t>
            </w:r>
          </w:p>
        </w:tc>
        <w:tc>
          <w:tcPr>
            <w:tcW w:w="4411" w:type="dxa"/>
            <w:vAlign w:val="center"/>
          </w:tcPr>
          <w:p w:rsidR="001164BE" w:rsidRPr="00421991" w:rsidRDefault="001164BE" w:rsidP="009F629A">
            <w:pPr>
              <w:pStyle w:val="Tabletext2"/>
              <w:spacing w:before="0" w:after="0"/>
              <w:rPr>
                <w:color w:val="auto"/>
              </w:rPr>
            </w:pPr>
            <w:r w:rsidRPr="00421991">
              <w:rPr>
                <w:color w:val="auto"/>
              </w:rPr>
              <w:t>7</w:t>
            </w:r>
          </w:p>
        </w:tc>
      </w:tr>
      <w:tr w:rsidR="001164BE" w:rsidRPr="00421991" w:rsidTr="009F629A">
        <w:trPr>
          <w:trHeight w:val="60"/>
        </w:trPr>
        <w:tc>
          <w:tcPr>
            <w:tcW w:w="5272" w:type="dxa"/>
            <w:vAlign w:val="center"/>
          </w:tcPr>
          <w:p w:rsidR="001164BE" w:rsidRPr="00421991" w:rsidRDefault="001164BE" w:rsidP="009F629A">
            <w:pPr>
              <w:pStyle w:val="Tabletext1"/>
              <w:spacing w:before="0" w:after="0"/>
              <w:rPr>
                <w:color w:val="auto"/>
              </w:rPr>
            </w:pPr>
            <w:r w:rsidRPr="00421991">
              <w:rPr>
                <w:color w:val="auto"/>
              </w:rPr>
              <w:t>Trucks, semi-trailers, lorries</w:t>
            </w:r>
          </w:p>
        </w:tc>
        <w:tc>
          <w:tcPr>
            <w:tcW w:w="4411" w:type="dxa"/>
            <w:vAlign w:val="center"/>
          </w:tcPr>
          <w:p w:rsidR="001164BE" w:rsidRPr="00421991" w:rsidRDefault="001164BE" w:rsidP="009F629A">
            <w:pPr>
              <w:pStyle w:val="Tabletext2"/>
              <w:spacing w:before="0" w:after="0"/>
              <w:rPr>
                <w:color w:val="auto"/>
              </w:rPr>
            </w:pPr>
            <w:r w:rsidRPr="00421991">
              <w:rPr>
                <w:color w:val="auto"/>
              </w:rPr>
              <w:t>1</w:t>
            </w:r>
          </w:p>
        </w:tc>
      </w:tr>
      <w:tr w:rsidR="001164BE" w:rsidRPr="00421991" w:rsidTr="009F629A">
        <w:trPr>
          <w:trHeight w:val="60"/>
        </w:trPr>
        <w:tc>
          <w:tcPr>
            <w:tcW w:w="5272" w:type="dxa"/>
            <w:vAlign w:val="center"/>
          </w:tcPr>
          <w:p w:rsidR="001164BE" w:rsidRPr="00421991" w:rsidRDefault="001164BE" w:rsidP="009F629A">
            <w:pPr>
              <w:pStyle w:val="Tabletext1"/>
              <w:spacing w:before="0" w:after="0"/>
              <w:rPr>
                <w:color w:val="auto"/>
              </w:rPr>
            </w:pPr>
            <w:r w:rsidRPr="00421991">
              <w:rPr>
                <w:color w:val="auto"/>
              </w:rPr>
              <w:t>Tractors, agricultural or otherwise</w:t>
            </w:r>
          </w:p>
        </w:tc>
        <w:tc>
          <w:tcPr>
            <w:tcW w:w="4411" w:type="dxa"/>
            <w:vAlign w:val="center"/>
          </w:tcPr>
          <w:p w:rsidR="001164BE" w:rsidRPr="00421991" w:rsidRDefault="001164BE" w:rsidP="009F629A">
            <w:pPr>
              <w:pStyle w:val="Tabletext2"/>
              <w:spacing w:before="0" w:after="0"/>
              <w:rPr>
                <w:color w:val="auto"/>
              </w:rPr>
            </w:pPr>
            <w:r w:rsidRPr="00421991">
              <w:rPr>
                <w:color w:val="auto"/>
              </w:rPr>
              <w:t>1</w:t>
            </w:r>
          </w:p>
        </w:tc>
      </w:tr>
      <w:tr w:rsidR="001164BE" w:rsidRPr="00421991" w:rsidTr="009F629A">
        <w:trPr>
          <w:trHeight w:val="60"/>
        </w:trPr>
        <w:tc>
          <w:tcPr>
            <w:tcW w:w="5272" w:type="dxa"/>
            <w:vAlign w:val="center"/>
          </w:tcPr>
          <w:p w:rsidR="001164BE" w:rsidRPr="00421991" w:rsidRDefault="001164BE" w:rsidP="009F629A">
            <w:pPr>
              <w:pStyle w:val="Tabletext"/>
              <w:spacing w:before="0" w:after="0"/>
              <w:rPr>
                <w:color w:val="auto"/>
              </w:rPr>
            </w:pPr>
            <w:r w:rsidRPr="00421991">
              <w:rPr>
                <w:rStyle w:val="BoldBody"/>
                <w:color w:val="auto"/>
              </w:rPr>
              <w:t>Being assaulted by a person or persons</w:t>
            </w:r>
          </w:p>
        </w:tc>
        <w:tc>
          <w:tcPr>
            <w:tcW w:w="4411" w:type="dxa"/>
            <w:vAlign w:val="center"/>
          </w:tcPr>
          <w:p w:rsidR="001164BE" w:rsidRPr="00421991" w:rsidRDefault="001164BE" w:rsidP="009F629A">
            <w:pPr>
              <w:pStyle w:val="NoParagraphStyle"/>
              <w:spacing w:line="240" w:lineRule="auto"/>
              <w:jc w:val="center"/>
              <w:textAlignment w:val="auto"/>
              <w:rPr>
                <w:rFonts w:ascii="Arial" w:hAnsi="Arial" w:cs="Arial"/>
                <w:color w:val="auto"/>
                <w:lang w:val="en-AU"/>
              </w:rPr>
            </w:pPr>
          </w:p>
        </w:tc>
      </w:tr>
      <w:tr w:rsidR="001164BE" w:rsidRPr="00421991" w:rsidTr="009F629A">
        <w:trPr>
          <w:trHeight w:val="60"/>
        </w:trPr>
        <w:tc>
          <w:tcPr>
            <w:tcW w:w="5272" w:type="dxa"/>
            <w:vAlign w:val="center"/>
          </w:tcPr>
          <w:p w:rsidR="001164BE" w:rsidRPr="00421991" w:rsidRDefault="001164BE" w:rsidP="009F629A">
            <w:pPr>
              <w:pStyle w:val="Tabletext1"/>
              <w:spacing w:before="0" w:after="0"/>
              <w:rPr>
                <w:color w:val="auto"/>
              </w:rPr>
            </w:pPr>
            <w:r w:rsidRPr="00421991">
              <w:rPr>
                <w:color w:val="auto"/>
              </w:rPr>
              <w:t>Other person</w:t>
            </w:r>
          </w:p>
        </w:tc>
        <w:tc>
          <w:tcPr>
            <w:tcW w:w="4411" w:type="dxa"/>
            <w:vAlign w:val="center"/>
          </w:tcPr>
          <w:p w:rsidR="001164BE" w:rsidRPr="00421991" w:rsidRDefault="001164BE" w:rsidP="009F629A">
            <w:pPr>
              <w:pStyle w:val="Tabletext2"/>
              <w:spacing w:before="0" w:after="0"/>
              <w:rPr>
                <w:color w:val="auto"/>
              </w:rPr>
            </w:pPr>
            <w:r w:rsidRPr="00421991">
              <w:rPr>
                <w:color w:val="auto"/>
              </w:rPr>
              <w:t>6</w:t>
            </w:r>
          </w:p>
        </w:tc>
      </w:tr>
      <w:tr w:rsidR="001164BE" w:rsidRPr="00421991" w:rsidTr="009F629A">
        <w:trPr>
          <w:trHeight w:val="60"/>
        </w:trPr>
        <w:tc>
          <w:tcPr>
            <w:tcW w:w="5272" w:type="dxa"/>
            <w:vAlign w:val="center"/>
          </w:tcPr>
          <w:p w:rsidR="001164BE" w:rsidRPr="00421991" w:rsidRDefault="001164BE" w:rsidP="009F629A">
            <w:pPr>
              <w:pStyle w:val="Tabletext"/>
              <w:spacing w:before="0" w:after="0"/>
              <w:rPr>
                <w:color w:val="auto"/>
              </w:rPr>
            </w:pPr>
            <w:r w:rsidRPr="00421991">
              <w:rPr>
                <w:rStyle w:val="BoldBody"/>
                <w:color w:val="auto"/>
              </w:rPr>
              <w:t xml:space="preserve">Falls from a height  </w:t>
            </w:r>
          </w:p>
        </w:tc>
        <w:tc>
          <w:tcPr>
            <w:tcW w:w="4411" w:type="dxa"/>
            <w:vAlign w:val="center"/>
          </w:tcPr>
          <w:p w:rsidR="001164BE" w:rsidRPr="00421991" w:rsidRDefault="001164BE" w:rsidP="009F629A">
            <w:pPr>
              <w:pStyle w:val="NoParagraphStyle"/>
              <w:spacing w:line="240" w:lineRule="auto"/>
              <w:jc w:val="center"/>
              <w:textAlignment w:val="auto"/>
              <w:rPr>
                <w:rFonts w:ascii="Arial" w:hAnsi="Arial" w:cs="Arial"/>
                <w:color w:val="auto"/>
                <w:lang w:val="en-AU"/>
              </w:rPr>
            </w:pPr>
          </w:p>
        </w:tc>
      </w:tr>
      <w:tr w:rsidR="001164BE" w:rsidRPr="00421991" w:rsidTr="009F629A">
        <w:trPr>
          <w:trHeight w:val="60"/>
        </w:trPr>
        <w:tc>
          <w:tcPr>
            <w:tcW w:w="5272" w:type="dxa"/>
            <w:vAlign w:val="center"/>
          </w:tcPr>
          <w:p w:rsidR="001164BE" w:rsidRPr="00421991" w:rsidRDefault="001164BE" w:rsidP="009F629A">
            <w:pPr>
              <w:pStyle w:val="Tabletext1"/>
              <w:spacing w:before="0" w:after="0"/>
              <w:rPr>
                <w:color w:val="auto"/>
              </w:rPr>
            </w:pPr>
            <w:r w:rsidRPr="00421991">
              <w:rPr>
                <w:color w:val="auto"/>
              </w:rPr>
              <w:t>Ladders</w:t>
            </w:r>
          </w:p>
        </w:tc>
        <w:tc>
          <w:tcPr>
            <w:tcW w:w="4411" w:type="dxa"/>
            <w:vAlign w:val="center"/>
          </w:tcPr>
          <w:p w:rsidR="001164BE" w:rsidRPr="00421991" w:rsidRDefault="001164BE" w:rsidP="009F629A">
            <w:pPr>
              <w:pStyle w:val="Tabletext2"/>
              <w:spacing w:before="0" w:after="0"/>
              <w:rPr>
                <w:color w:val="auto"/>
              </w:rPr>
            </w:pPr>
            <w:r w:rsidRPr="00421991">
              <w:rPr>
                <w:color w:val="auto"/>
              </w:rPr>
              <w:t>3</w:t>
            </w:r>
          </w:p>
        </w:tc>
      </w:tr>
      <w:tr w:rsidR="001164BE" w:rsidRPr="00421991" w:rsidTr="009F629A">
        <w:trPr>
          <w:trHeight w:val="60"/>
        </w:trPr>
        <w:tc>
          <w:tcPr>
            <w:tcW w:w="5272" w:type="dxa"/>
            <w:vAlign w:val="center"/>
          </w:tcPr>
          <w:p w:rsidR="001164BE" w:rsidRPr="00421991" w:rsidRDefault="001164BE" w:rsidP="009F629A">
            <w:pPr>
              <w:pStyle w:val="Tabletext1"/>
              <w:spacing w:before="0" w:after="0"/>
              <w:rPr>
                <w:color w:val="auto"/>
              </w:rPr>
            </w:pPr>
            <w:r w:rsidRPr="00421991">
              <w:rPr>
                <w:color w:val="auto"/>
              </w:rPr>
              <w:t>Steps and stairways</w:t>
            </w:r>
          </w:p>
        </w:tc>
        <w:tc>
          <w:tcPr>
            <w:tcW w:w="4411" w:type="dxa"/>
            <w:vAlign w:val="center"/>
          </w:tcPr>
          <w:p w:rsidR="001164BE" w:rsidRPr="00421991" w:rsidRDefault="001164BE" w:rsidP="009F629A">
            <w:pPr>
              <w:pStyle w:val="Tabletext2"/>
              <w:spacing w:before="0" w:after="0"/>
              <w:rPr>
                <w:color w:val="auto"/>
              </w:rPr>
            </w:pPr>
            <w:r w:rsidRPr="00421991">
              <w:rPr>
                <w:color w:val="auto"/>
              </w:rPr>
              <w:t>2</w:t>
            </w:r>
          </w:p>
        </w:tc>
      </w:tr>
      <w:tr w:rsidR="001164BE" w:rsidRPr="00421991" w:rsidTr="009F629A">
        <w:trPr>
          <w:trHeight w:val="60"/>
        </w:trPr>
        <w:tc>
          <w:tcPr>
            <w:tcW w:w="5272" w:type="dxa"/>
            <w:vAlign w:val="center"/>
          </w:tcPr>
          <w:p w:rsidR="001164BE" w:rsidRPr="00421991" w:rsidRDefault="001164BE" w:rsidP="009F629A">
            <w:pPr>
              <w:pStyle w:val="Tabletext1"/>
              <w:spacing w:before="0" w:after="0"/>
              <w:rPr>
                <w:color w:val="auto"/>
              </w:rPr>
            </w:pPr>
            <w:r w:rsidRPr="00421991">
              <w:rPr>
                <w:color w:val="auto"/>
              </w:rPr>
              <w:t>Buildings and other structures</w:t>
            </w:r>
          </w:p>
        </w:tc>
        <w:tc>
          <w:tcPr>
            <w:tcW w:w="4411" w:type="dxa"/>
            <w:vAlign w:val="center"/>
          </w:tcPr>
          <w:p w:rsidR="001164BE" w:rsidRPr="00421991" w:rsidRDefault="001164BE" w:rsidP="009F629A">
            <w:pPr>
              <w:pStyle w:val="Tabletext2"/>
              <w:spacing w:before="0" w:after="0"/>
              <w:rPr>
                <w:color w:val="auto"/>
              </w:rPr>
            </w:pPr>
            <w:r w:rsidRPr="00421991">
              <w:rPr>
                <w:color w:val="auto"/>
              </w:rPr>
              <w:t>1</w:t>
            </w:r>
          </w:p>
        </w:tc>
      </w:tr>
      <w:tr w:rsidR="001164BE" w:rsidRPr="00421991" w:rsidTr="009F629A">
        <w:trPr>
          <w:trHeight w:val="60"/>
        </w:trPr>
        <w:tc>
          <w:tcPr>
            <w:tcW w:w="5272" w:type="dxa"/>
            <w:vAlign w:val="center"/>
          </w:tcPr>
          <w:p w:rsidR="001164BE" w:rsidRPr="00421991" w:rsidRDefault="001164BE" w:rsidP="009F629A">
            <w:pPr>
              <w:pStyle w:val="Tabletext"/>
              <w:spacing w:before="0" w:after="0"/>
              <w:rPr>
                <w:color w:val="auto"/>
              </w:rPr>
            </w:pPr>
            <w:r w:rsidRPr="00421991">
              <w:rPr>
                <w:rStyle w:val="BoldBody"/>
                <w:color w:val="auto"/>
              </w:rPr>
              <w:t>Being hit by moving objects</w:t>
            </w:r>
          </w:p>
        </w:tc>
        <w:tc>
          <w:tcPr>
            <w:tcW w:w="4411" w:type="dxa"/>
            <w:vAlign w:val="center"/>
          </w:tcPr>
          <w:p w:rsidR="001164BE" w:rsidRPr="00421991" w:rsidRDefault="001164BE" w:rsidP="009F629A">
            <w:pPr>
              <w:pStyle w:val="NoParagraphStyle"/>
              <w:spacing w:line="240" w:lineRule="auto"/>
              <w:jc w:val="center"/>
              <w:textAlignment w:val="auto"/>
              <w:rPr>
                <w:rFonts w:ascii="Arial" w:hAnsi="Arial" w:cs="Arial"/>
                <w:color w:val="auto"/>
                <w:lang w:val="en-AU"/>
              </w:rPr>
            </w:pPr>
          </w:p>
        </w:tc>
      </w:tr>
      <w:tr w:rsidR="001164BE" w:rsidRPr="00421991" w:rsidTr="009F629A">
        <w:trPr>
          <w:trHeight w:val="60"/>
        </w:trPr>
        <w:tc>
          <w:tcPr>
            <w:tcW w:w="5272" w:type="dxa"/>
            <w:vAlign w:val="center"/>
          </w:tcPr>
          <w:p w:rsidR="001164BE" w:rsidRPr="00421991" w:rsidRDefault="001164BE" w:rsidP="009F629A">
            <w:pPr>
              <w:pStyle w:val="Tabletext1"/>
              <w:spacing w:before="0" w:after="0"/>
              <w:rPr>
                <w:color w:val="auto"/>
              </w:rPr>
            </w:pPr>
            <w:r w:rsidRPr="00421991">
              <w:rPr>
                <w:color w:val="auto"/>
              </w:rPr>
              <w:t>Abrasive, planing, cutting powered tools</w:t>
            </w:r>
          </w:p>
        </w:tc>
        <w:tc>
          <w:tcPr>
            <w:tcW w:w="4411" w:type="dxa"/>
            <w:vAlign w:val="center"/>
          </w:tcPr>
          <w:p w:rsidR="001164BE" w:rsidRPr="00421991" w:rsidRDefault="001164BE" w:rsidP="009F629A">
            <w:pPr>
              <w:pStyle w:val="Tabletext2"/>
              <w:spacing w:before="0" w:after="0"/>
              <w:rPr>
                <w:color w:val="auto"/>
              </w:rPr>
            </w:pPr>
            <w:r w:rsidRPr="00421991">
              <w:rPr>
                <w:color w:val="auto"/>
              </w:rPr>
              <w:t>1</w:t>
            </w:r>
          </w:p>
        </w:tc>
      </w:tr>
      <w:tr w:rsidR="001164BE" w:rsidRPr="00421991" w:rsidTr="009F629A">
        <w:trPr>
          <w:trHeight w:val="60"/>
        </w:trPr>
        <w:tc>
          <w:tcPr>
            <w:tcW w:w="5272" w:type="dxa"/>
            <w:vAlign w:val="center"/>
          </w:tcPr>
          <w:p w:rsidR="001164BE" w:rsidRPr="00421991" w:rsidRDefault="001164BE" w:rsidP="009F629A">
            <w:pPr>
              <w:pStyle w:val="Tabletext1"/>
              <w:spacing w:before="0" w:after="0"/>
              <w:rPr>
                <w:color w:val="auto"/>
              </w:rPr>
            </w:pPr>
            <w:r w:rsidRPr="00421991">
              <w:rPr>
                <w:color w:val="auto"/>
              </w:rPr>
              <w:t>Knives and cutlery</w:t>
            </w:r>
          </w:p>
        </w:tc>
        <w:tc>
          <w:tcPr>
            <w:tcW w:w="4411" w:type="dxa"/>
            <w:vAlign w:val="center"/>
          </w:tcPr>
          <w:p w:rsidR="001164BE" w:rsidRPr="00421991" w:rsidRDefault="001164BE" w:rsidP="009F629A">
            <w:pPr>
              <w:pStyle w:val="Tabletext2"/>
              <w:spacing w:before="0" w:after="0"/>
              <w:rPr>
                <w:color w:val="auto"/>
              </w:rPr>
            </w:pPr>
            <w:r w:rsidRPr="00421991">
              <w:rPr>
                <w:color w:val="auto"/>
              </w:rPr>
              <w:t>1</w:t>
            </w:r>
          </w:p>
        </w:tc>
      </w:tr>
      <w:tr w:rsidR="001164BE" w:rsidRPr="00421991" w:rsidTr="009F629A">
        <w:trPr>
          <w:trHeight w:val="60"/>
        </w:trPr>
        <w:tc>
          <w:tcPr>
            <w:tcW w:w="5272" w:type="dxa"/>
            <w:vAlign w:val="center"/>
          </w:tcPr>
          <w:p w:rsidR="001164BE" w:rsidRPr="00421991" w:rsidRDefault="001164BE" w:rsidP="009F629A">
            <w:pPr>
              <w:pStyle w:val="Tabletext1"/>
              <w:spacing w:before="0" w:after="0"/>
              <w:rPr>
                <w:color w:val="auto"/>
              </w:rPr>
            </w:pPr>
            <w:r w:rsidRPr="00421991">
              <w:rPr>
                <w:color w:val="auto"/>
              </w:rPr>
              <w:t>Cars, station wagons, vans, utilities</w:t>
            </w:r>
          </w:p>
        </w:tc>
        <w:tc>
          <w:tcPr>
            <w:tcW w:w="4411" w:type="dxa"/>
            <w:vAlign w:val="center"/>
          </w:tcPr>
          <w:p w:rsidR="001164BE" w:rsidRPr="00421991" w:rsidRDefault="001164BE" w:rsidP="009F629A">
            <w:pPr>
              <w:pStyle w:val="Tabletext2"/>
              <w:spacing w:before="0" w:after="0"/>
              <w:rPr>
                <w:color w:val="auto"/>
              </w:rPr>
            </w:pPr>
            <w:r w:rsidRPr="00421991">
              <w:rPr>
                <w:color w:val="auto"/>
              </w:rPr>
              <w:t>1</w:t>
            </w:r>
          </w:p>
        </w:tc>
      </w:tr>
      <w:tr w:rsidR="001164BE" w:rsidRPr="00421991" w:rsidTr="009F629A">
        <w:trPr>
          <w:trHeight w:val="60"/>
        </w:trPr>
        <w:tc>
          <w:tcPr>
            <w:tcW w:w="5272" w:type="dxa"/>
            <w:vAlign w:val="center"/>
          </w:tcPr>
          <w:p w:rsidR="001164BE" w:rsidRPr="00421991" w:rsidRDefault="001164BE" w:rsidP="009F629A">
            <w:pPr>
              <w:pStyle w:val="Tabletext"/>
              <w:spacing w:before="0" w:after="0"/>
              <w:rPr>
                <w:color w:val="auto"/>
              </w:rPr>
            </w:pPr>
            <w:r w:rsidRPr="00421991">
              <w:rPr>
                <w:rStyle w:val="BoldBody"/>
                <w:color w:val="auto"/>
              </w:rPr>
              <w:t>Contact with electricity</w:t>
            </w:r>
          </w:p>
        </w:tc>
        <w:tc>
          <w:tcPr>
            <w:tcW w:w="4411" w:type="dxa"/>
            <w:vAlign w:val="center"/>
          </w:tcPr>
          <w:p w:rsidR="001164BE" w:rsidRPr="00421991" w:rsidRDefault="001164BE" w:rsidP="009F629A">
            <w:pPr>
              <w:pStyle w:val="NoParagraphStyle"/>
              <w:spacing w:line="240" w:lineRule="auto"/>
              <w:jc w:val="center"/>
              <w:textAlignment w:val="auto"/>
              <w:rPr>
                <w:rFonts w:ascii="Arial" w:hAnsi="Arial" w:cs="Arial"/>
                <w:color w:val="auto"/>
                <w:lang w:val="en-AU"/>
              </w:rPr>
            </w:pPr>
          </w:p>
        </w:tc>
      </w:tr>
      <w:tr w:rsidR="001164BE" w:rsidRPr="00421991" w:rsidTr="009F629A">
        <w:trPr>
          <w:trHeight w:val="60"/>
        </w:trPr>
        <w:tc>
          <w:tcPr>
            <w:tcW w:w="5272" w:type="dxa"/>
            <w:vAlign w:val="center"/>
          </w:tcPr>
          <w:p w:rsidR="001164BE" w:rsidRPr="00421991" w:rsidRDefault="001164BE" w:rsidP="009F629A">
            <w:pPr>
              <w:pStyle w:val="Tabletext1"/>
              <w:spacing w:before="0" w:after="0"/>
              <w:rPr>
                <w:color w:val="auto"/>
              </w:rPr>
            </w:pPr>
            <w:r w:rsidRPr="00421991">
              <w:rPr>
                <w:color w:val="auto"/>
              </w:rPr>
              <w:t>Refrigeration plant</w:t>
            </w:r>
          </w:p>
        </w:tc>
        <w:tc>
          <w:tcPr>
            <w:tcW w:w="4411" w:type="dxa"/>
            <w:vAlign w:val="center"/>
          </w:tcPr>
          <w:p w:rsidR="001164BE" w:rsidRPr="00421991" w:rsidRDefault="001164BE" w:rsidP="009F629A">
            <w:pPr>
              <w:pStyle w:val="Tabletext2"/>
              <w:spacing w:before="0" w:after="0"/>
              <w:rPr>
                <w:color w:val="auto"/>
              </w:rPr>
            </w:pPr>
            <w:r w:rsidRPr="00421991">
              <w:rPr>
                <w:color w:val="auto"/>
              </w:rPr>
              <w:t>2</w:t>
            </w:r>
          </w:p>
        </w:tc>
      </w:tr>
      <w:tr w:rsidR="001164BE" w:rsidRPr="00421991" w:rsidTr="009F629A">
        <w:trPr>
          <w:trHeight w:val="60"/>
        </w:trPr>
        <w:tc>
          <w:tcPr>
            <w:tcW w:w="5272" w:type="dxa"/>
            <w:vAlign w:val="center"/>
          </w:tcPr>
          <w:p w:rsidR="001164BE" w:rsidRPr="00421991" w:rsidRDefault="001164BE" w:rsidP="009F629A">
            <w:pPr>
              <w:pStyle w:val="Tabletext1"/>
              <w:spacing w:before="0" w:after="0"/>
              <w:rPr>
                <w:color w:val="auto"/>
              </w:rPr>
            </w:pPr>
            <w:r w:rsidRPr="00421991">
              <w:rPr>
                <w:color w:val="auto"/>
              </w:rPr>
              <w:t>Distribution lines: low tension</w:t>
            </w:r>
          </w:p>
        </w:tc>
        <w:tc>
          <w:tcPr>
            <w:tcW w:w="4411" w:type="dxa"/>
            <w:vAlign w:val="center"/>
          </w:tcPr>
          <w:p w:rsidR="001164BE" w:rsidRPr="00421991" w:rsidRDefault="001164BE" w:rsidP="009F629A">
            <w:pPr>
              <w:pStyle w:val="Tabletext2"/>
              <w:spacing w:before="0" w:after="0"/>
              <w:rPr>
                <w:color w:val="auto"/>
              </w:rPr>
            </w:pPr>
            <w:r w:rsidRPr="00421991">
              <w:rPr>
                <w:color w:val="auto"/>
              </w:rPr>
              <w:t>1</w:t>
            </w:r>
          </w:p>
        </w:tc>
      </w:tr>
      <w:tr w:rsidR="001164BE" w:rsidRPr="00421991" w:rsidTr="009F629A">
        <w:trPr>
          <w:trHeight w:val="60"/>
        </w:trPr>
        <w:tc>
          <w:tcPr>
            <w:tcW w:w="5272" w:type="dxa"/>
            <w:vAlign w:val="center"/>
          </w:tcPr>
          <w:p w:rsidR="001164BE" w:rsidRPr="00421991" w:rsidRDefault="001164BE" w:rsidP="009F629A">
            <w:pPr>
              <w:pStyle w:val="Tabletext"/>
              <w:spacing w:before="0" w:after="0"/>
              <w:rPr>
                <w:color w:val="auto"/>
              </w:rPr>
            </w:pPr>
            <w:r w:rsidRPr="00421991">
              <w:rPr>
                <w:rStyle w:val="BoldBody"/>
                <w:color w:val="auto"/>
              </w:rPr>
              <w:t>Single contact with chemical or substance</w:t>
            </w:r>
          </w:p>
        </w:tc>
        <w:tc>
          <w:tcPr>
            <w:tcW w:w="4411" w:type="dxa"/>
            <w:vAlign w:val="center"/>
          </w:tcPr>
          <w:p w:rsidR="001164BE" w:rsidRPr="00421991" w:rsidRDefault="001164BE" w:rsidP="009F629A">
            <w:pPr>
              <w:pStyle w:val="NoParagraphStyle"/>
              <w:spacing w:line="240" w:lineRule="auto"/>
              <w:jc w:val="center"/>
              <w:textAlignment w:val="auto"/>
              <w:rPr>
                <w:rFonts w:ascii="Arial" w:hAnsi="Arial" w:cs="Arial"/>
                <w:color w:val="auto"/>
                <w:lang w:val="en-AU"/>
              </w:rPr>
            </w:pPr>
          </w:p>
        </w:tc>
      </w:tr>
      <w:tr w:rsidR="001164BE" w:rsidRPr="00421991" w:rsidTr="009F629A">
        <w:trPr>
          <w:trHeight w:val="60"/>
        </w:trPr>
        <w:tc>
          <w:tcPr>
            <w:tcW w:w="5272" w:type="dxa"/>
            <w:vAlign w:val="center"/>
          </w:tcPr>
          <w:p w:rsidR="001164BE" w:rsidRPr="00421991" w:rsidRDefault="001164BE" w:rsidP="009F629A">
            <w:pPr>
              <w:pStyle w:val="Tabletext1"/>
              <w:spacing w:before="0" w:after="0"/>
              <w:rPr>
                <w:color w:val="auto"/>
              </w:rPr>
            </w:pPr>
            <w:r w:rsidRPr="00421991">
              <w:rPr>
                <w:color w:val="auto"/>
              </w:rPr>
              <w:t>Industrial gases, fumes</w:t>
            </w:r>
          </w:p>
        </w:tc>
        <w:tc>
          <w:tcPr>
            <w:tcW w:w="4411" w:type="dxa"/>
            <w:vAlign w:val="center"/>
          </w:tcPr>
          <w:p w:rsidR="001164BE" w:rsidRPr="00421991" w:rsidRDefault="001164BE" w:rsidP="009F629A">
            <w:pPr>
              <w:pStyle w:val="Tabletext2"/>
              <w:spacing w:before="0" w:after="0"/>
              <w:rPr>
                <w:color w:val="auto"/>
              </w:rPr>
            </w:pPr>
            <w:r w:rsidRPr="00421991">
              <w:rPr>
                <w:color w:val="auto"/>
              </w:rPr>
              <w:t>1</w:t>
            </w:r>
          </w:p>
        </w:tc>
      </w:tr>
      <w:tr w:rsidR="001164BE" w:rsidRPr="00421991" w:rsidTr="009F629A">
        <w:trPr>
          <w:trHeight w:val="60"/>
        </w:trPr>
        <w:tc>
          <w:tcPr>
            <w:tcW w:w="5272" w:type="dxa"/>
            <w:vAlign w:val="center"/>
          </w:tcPr>
          <w:p w:rsidR="001164BE" w:rsidRPr="00421991" w:rsidRDefault="001164BE" w:rsidP="009F629A">
            <w:pPr>
              <w:pStyle w:val="Tabletext1"/>
              <w:spacing w:before="0" w:after="0"/>
              <w:rPr>
                <w:color w:val="auto"/>
              </w:rPr>
            </w:pPr>
            <w:r w:rsidRPr="00421991">
              <w:rPr>
                <w:color w:val="auto"/>
              </w:rPr>
              <w:t>Food</w:t>
            </w:r>
          </w:p>
        </w:tc>
        <w:tc>
          <w:tcPr>
            <w:tcW w:w="4411" w:type="dxa"/>
            <w:vAlign w:val="center"/>
          </w:tcPr>
          <w:p w:rsidR="001164BE" w:rsidRPr="00421991" w:rsidRDefault="001164BE" w:rsidP="009F629A">
            <w:pPr>
              <w:pStyle w:val="Tabletext2"/>
              <w:spacing w:before="0" w:after="0"/>
              <w:rPr>
                <w:color w:val="auto"/>
              </w:rPr>
            </w:pPr>
            <w:r w:rsidRPr="00421991">
              <w:rPr>
                <w:color w:val="auto"/>
              </w:rPr>
              <w:t>1</w:t>
            </w:r>
          </w:p>
        </w:tc>
      </w:tr>
      <w:tr w:rsidR="001164BE" w:rsidRPr="00421991" w:rsidTr="009F629A">
        <w:trPr>
          <w:trHeight w:val="60"/>
        </w:trPr>
        <w:tc>
          <w:tcPr>
            <w:tcW w:w="5272" w:type="dxa"/>
            <w:vAlign w:val="center"/>
          </w:tcPr>
          <w:p w:rsidR="001164BE" w:rsidRPr="00421991" w:rsidRDefault="001164BE" w:rsidP="009F629A">
            <w:pPr>
              <w:pStyle w:val="Tabletext"/>
              <w:spacing w:before="0" w:after="0"/>
              <w:rPr>
                <w:color w:val="auto"/>
              </w:rPr>
            </w:pPr>
            <w:r w:rsidRPr="00421991">
              <w:rPr>
                <w:rStyle w:val="BoldBody"/>
                <w:color w:val="auto"/>
              </w:rPr>
              <w:t>Falls on the same level</w:t>
            </w:r>
          </w:p>
        </w:tc>
        <w:tc>
          <w:tcPr>
            <w:tcW w:w="4411" w:type="dxa"/>
            <w:vAlign w:val="center"/>
          </w:tcPr>
          <w:p w:rsidR="001164BE" w:rsidRPr="00421991" w:rsidRDefault="001164BE" w:rsidP="009F629A">
            <w:pPr>
              <w:pStyle w:val="NoParagraphStyle"/>
              <w:spacing w:line="240" w:lineRule="auto"/>
              <w:jc w:val="center"/>
              <w:textAlignment w:val="auto"/>
              <w:rPr>
                <w:rFonts w:ascii="Arial" w:hAnsi="Arial" w:cs="Arial"/>
                <w:color w:val="auto"/>
                <w:lang w:val="en-AU"/>
              </w:rPr>
            </w:pPr>
          </w:p>
        </w:tc>
      </w:tr>
      <w:tr w:rsidR="001164BE" w:rsidRPr="00421991" w:rsidTr="009F629A">
        <w:trPr>
          <w:trHeight w:val="60"/>
        </w:trPr>
        <w:tc>
          <w:tcPr>
            <w:tcW w:w="5272" w:type="dxa"/>
            <w:vAlign w:val="center"/>
          </w:tcPr>
          <w:p w:rsidR="001164BE" w:rsidRPr="00421991" w:rsidRDefault="001164BE" w:rsidP="009F629A">
            <w:pPr>
              <w:pStyle w:val="Tabletext1"/>
              <w:spacing w:before="0" w:after="0"/>
              <w:rPr>
                <w:color w:val="auto"/>
              </w:rPr>
            </w:pPr>
            <w:r w:rsidRPr="00421991">
              <w:rPr>
                <w:color w:val="auto"/>
              </w:rPr>
              <w:t>Traffic and ground surfaces other</w:t>
            </w:r>
          </w:p>
        </w:tc>
        <w:tc>
          <w:tcPr>
            <w:tcW w:w="4411" w:type="dxa"/>
            <w:vAlign w:val="center"/>
          </w:tcPr>
          <w:p w:rsidR="001164BE" w:rsidRPr="00421991" w:rsidRDefault="001164BE" w:rsidP="009F629A">
            <w:pPr>
              <w:pStyle w:val="Tabletext2"/>
              <w:spacing w:before="0" w:after="0"/>
              <w:rPr>
                <w:color w:val="auto"/>
              </w:rPr>
            </w:pPr>
            <w:r w:rsidRPr="00421991">
              <w:rPr>
                <w:color w:val="auto"/>
              </w:rPr>
              <w:t>1</w:t>
            </w:r>
          </w:p>
        </w:tc>
      </w:tr>
      <w:tr w:rsidR="001164BE" w:rsidRPr="00421991" w:rsidTr="009F629A">
        <w:trPr>
          <w:trHeight w:val="60"/>
        </w:trPr>
        <w:tc>
          <w:tcPr>
            <w:tcW w:w="5272" w:type="dxa"/>
            <w:vAlign w:val="center"/>
          </w:tcPr>
          <w:p w:rsidR="001164BE" w:rsidRPr="00421991" w:rsidRDefault="001164BE" w:rsidP="009F629A">
            <w:pPr>
              <w:pStyle w:val="Tabletext1"/>
              <w:spacing w:before="0" w:after="0"/>
              <w:rPr>
                <w:color w:val="auto"/>
              </w:rPr>
            </w:pPr>
            <w:r w:rsidRPr="00421991">
              <w:rPr>
                <w:color w:val="auto"/>
              </w:rPr>
              <w:t>Steps and stairways</w:t>
            </w:r>
          </w:p>
        </w:tc>
        <w:tc>
          <w:tcPr>
            <w:tcW w:w="4411" w:type="dxa"/>
            <w:vAlign w:val="center"/>
          </w:tcPr>
          <w:p w:rsidR="001164BE" w:rsidRPr="00421991" w:rsidRDefault="001164BE" w:rsidP="009F629A">
            <w:pPr>
              <w:pStyle w:val="Tabletext2"/>
              <w:spacing w:before="0" w:after="0"/>
              <w:rPr>
                <w:color w:val="auto"/>
              </w:rPr>
            </w:pPr>
            <w:r w:rsidRPr="00421991">
              <w:rPr>
                <w:color w:val="auto"/>
              </w:rPr>
              <w:t>1</w:t>
            </w:r>
          </w:p>
        </w:tc>
      </w:tr>
      <w:tr w:rsidR="001164BE" w:rsidRPr="00421991" w:rsidTr="009F629A">
        <w:trPr>
          <w:trHeight w:val="60"/>
        </w:trPr>
        <w:tc>
          <w:tcPr>
            <w:tcW w:w="5272" w:type="dxa"/>
            <w:vAlign w:val="center"/>
          </w:tcPr>
          <w:p w:rsidR="001164BE" w:rsidRPr="00421991" w:rsidRDefault="001164BE" w:rsidP="009F629A">
            <w:pPr>
              <w:pStyle w:val="Tabletext"/>
              <w:spacing w:before="0" w:after="0"/>
              <w:rPr>
                <w:color w:val="auto"/>
              </w:rPr>
            </w:pPr>
            <w:r w:rsidRPr="00421991">
              <w:rPr>
                <w:rStyle w:val="BoldBody"/>
                <w:color w:val="auto"/>
              </w:rPr>
              <w:t>Being hit by falling objects</w:t>
            </w:r>
          </w:p>
        </w:tc>
        <w:tc>
          <w:tcPr>
            <w:tcW w:w="4411" w:type="dxa"/>
            <w:vAlign w:val="center"/>
          </w:tcPr>
          <w:p w:rsidR="001164BE" w:rsidRPr="00421991" w:rsidRDefault="001164BE" w:rsidP="009F629A">
            <w:pPr>
              <w:pStyle w:val="NoParagraphStyle"/>
              <w:spacing w:line="240" w:lineRule="auto"/>
              <w:jc w:val="center"/>
              <w:textAlignment w:val="auto"/>
              <w:rPr>
                <w:rFonts w:ascii="Arial" w:hAnsi="Arial" w:cs="Arial"/>
                <w:color w:val="auto"/>
                <w:lang w:val="en-AU"/>
              </w:rPr>
            </w:pPr>
          </w:p>
        </w:tc>
      </w:tr>
      <w:tr w:rsidR="001164BE" w:rsidRPr="00421991" w:rsidTr="009F629A">
        <w:trPr>
          <w:trHeight w:val="60"/>
        </w:trPr>
        <w:tc>
          <w:tcPr>
            <w:tcW w:w="5272" w:type="dxa"/>
            <w:vAlign w:val="center"/>
          </w:tcPr>
          <w:p w:rsidR="001164BE" w:rsidRPr="00421991" w:rsidRDefault="001164BE" w:rsidP="009F629A">
            <w:pPr>
              <w:pStyle w:val="Tabletext1"/>
              <w:spacing w:before="0" w:after="0"/>
              <w:rPr>
                <w:color w:val="auto"/>
              </w:rPr>
            </w:pPr>
            <w:r w:rsidRPr="00421991">
              <w:rPr>
                <w:color w:val="auto"/>
              </w:rPr>
              <w:t>Ploughs, harrows, cultivators</w:t>
            </w:r>
          </w:p>
        </w:tc>
        <w:tc>
          <w:tcPr>
            <w:tcW w:w="4411" w:type="dxa"/>
            <w:vAlign w:val="center"/>
          </w:tcPr>
          <w:p w:rsidR="001164BE" w:rsidRPr="00421991" w:rsidRDefault="001164BE" w:rsidP="009F629A">
            <w:pPr>
              <w:pStyle w:val="Tabletext2"/>
              <w:spacing w:before="0" w:after="0"/>
              <w:rPr>
                <w:color w:val="auto"/>
              </w:rPr>
            </w:pPr>
            <w:r w:rsidRPr="00421991">
              <w:rPr>
                <w:color w:val="auto"/>
              </w:rPr>
              <w:t>1</w:t>
            </w:r>
          </w:p>
        </w:tc>
      </w:tr>
      <w:tr w:rsidR="001164BE" w:rsidRPr="00421991" w:rsidTr="009F629A">
        <w:trPr>
          <w:trHeight w:val="60"/>
        </w:trPr>
        <w:tc>
          <w:tcPr>
            <w:tcW w:w="5272" w:type="dxa"/>
            <w:vAlign w:val="center"/>
          </w:tcPr>
          <w:p w:rsidR="001164BE" w:rsidRPr="00421991" w:rsidRDefault="001164BE" w:rsidP="009F629A">
            <w:pPr>
              <w:pStyle w:val="Tabletext"/>
              <w:spacing w:before="0" w:after="0"/>
              <w:rPr>
                <w:color w:val="auto"/>
              </w:rPr>
            </w:pPr>
            <w:r w:rsidRPr="00421991">
              <w:rPr>
                <w:rStyle w:val="BoldBody"/>
                <w:color w:val="auto"/>
              </w:rPr>
              <w:t>Being trapped between stationary and moving objects</w:t>
            </w:r>
          </w:p>
        </w:tc>
        <w:tc>
          <w:tcPr>
            <w:tcW w:w="4411" w:type="dxa"/>
            <w:vAlign w:val="center"/>
          </w:tcPr>
          <w:p w:rsidR="001164BE" w:rsidRPr="00421991" w:rsidRDefault="001164BE" w:rsidP="009F629A">
            <w:pPr>
              <w:pStyle w:val="NoParagraphStyle"/>
              <w:spacing w:line="240" w:lineRule="auto"/>
              <w:jc w:val="center"/>
              <w:textAlignment w:val="auto"/>
              <w:rPr>
                <w:rFonts w:ascii="Arial" w:hAnsi="Arial" w:cs="Arial"/>
                <w:color w:val="auto"/>
                <w:lang w:val="en-AU"/>
              </w:rPr>
            </w:pPr>
          </w:p>
        </w:tc>
      </w:tr>
      <w:tr w:rsidR="001164BE" w:rsidRPr="00421991" w:rsidTr="009F629A">
        <w:trPr>
          <w:trHeight w:val="60"/>
        </w:trPr>
        <w:tc>
          <w:tcPr>
            <w:tcW w:w="5272" w:type="dxa"/>
            <w:vAlign w:val="center"/>
          </w:tcPr>
          <w:p w:rsidR="001164BE" w:rsidRPr="00421991" w:rsidRDefault="001164BE" w:rsidP="009F629A">
            <w:pPr>
              <w:pStyle w:val="Tabletext1"/>
              <w:spacing w:before="0" w:after="0"/>
              <w:rPr>
                <w:color w:val="auto"/>
              </w:rPr>
            </w:pPr>
            <w:r w:rsidRPr="00421991">
              <w:rPr>
                <w:color w:val="auto"/>
              </w:rPr>
              <w:t>Lifts, dumbwaiters</w:t>
            </w:r>
          </w:p>
        </w:tc>
        <w:tc>
          <w:tcPr>
            <w:tcW w:w="4411" w:type="dxa"/>
            <w:vAlign w:val="center"/>
          </w:tcPr>
          <w:p w:rsidR="001164BE" w:rsidRPr="00421991" w:rsidRDefault="001164BE" w:rsidP="009F629A">
            <w:pPr>
              <w:pStyle w:val="Tabletext2"/>
              <w:spacing w:before="0" w:after="0"/>
              <w:rPr>
                <w:color w:val="auto"/>
              </w:rPr>
            </w:pPr>
            <w:r w:rsidRPr="00421991">
              <w:rPr>
                <w:color w:val="auto"/>
              </w:rPr>
              <w:t>1</w:t>
            </w:r>
          </w:p>
        </w:tc>
      </w:tr>
      <w:tr w:rsidR="001164BE" w:rsidRPr="00421991" w:rsidTr="009F629A">
        <w:trPr>
          <w:trHeight w:val="291"/>
        </w:trPr>
        <w:tc>
          <w:tcPr>
            <w:tcW w:w="5272" w:type="dxa"/>
            <w:vAlign w:val="center"/>
          </w:tcPr>
          <w:p w:rsidR="001164BE" w:rsidRPr="00421991" w:rsidRDefault="001164BE" w:rsidP="009F629A">
            <w:pPr>
              <w:pStyle w:val="Tabletext"/>
              <w:spacing w:before="0" w:after="0"/>
              <w:rPr>
                <w:color w:val="auto"/>
              </w:rPr>
            </w:pPr>
            <w:r w:rsidRPr="00421991">
              <w:rPr>
                <w:rStyle w:val="BoldBody"/>
                <w:color w:val="auto"/>
              </w:rPr>
              <w:t>Hitting moving objects</w:t>
            </w:r>
          </w:p>
        </w:tc>
        <w:tc>
          <w:tcPr>
            <w:tcW w:w="4411" w:type="dxa"/>
            <w:vAlign w:val="center"/>
          </w:tcPr>
          <w:p w:rsidR="001164BE" w:rsidRPr="00421991" w:rsidRDefault="001164BE" w:rsidP="009F629A">
            <w:pPr>
              <w:pStyle w:val="NoParagraphStyle"/>
              <w:spacing w:line="240" w:lineRule="auto"/>
              <w:jc w:val="center"/>
              <w:textAlignment w:val="auto"/>
              <w:rPr>
                <w:rFonts w:ascii="Arial" w:hAnsi="Arial" w:cs="Arial"/>
                <w:color w:val="auto"/>
                <w:lang w:val="en-AU"/>
              </w:rPr>
            </w:pPr>
          </w:p>
        </w:tc>
      </w:tr>
      <w:tr w:rsidR="001164BE" w:rsidRPr="00421991" w:rsidTr="009F629A">
        <w:trPr>
          <w:trHeight w:val="60"/>
        </w:trPr>
        <w:tc>
          <w:tcPr>
            <w:tcW w:w="5272" w:type="dxa"/>
            <w:vAlign w:val="center"/>
          </w:tcPr>
          <w:p w:rsidR="001164BE" w:rsidRPr="00421991" w:rsidRDefault="001164BE" w:rsidP="009F629A">
            <w:pPr>
              <w:pStyle w:val="Tabletext1"/>
              <w:spacing w:before="0" w:after="0"/>
              <w:rPr>
                <w:color w:val="auto"/>
              </w:rPr>
            </w:pPr>
            <w:r w:rsidRPr="00421991">
              <w:rPr>
                <w:color w:val="auto"/>
              </w:rPr>
              <w:t>Weather and water</w:t>
            </w:r>
          </w:p>
        </w:tc>
        <w:tc>
          <w:tcPr>
            <w:tcW w:w="4411" w:type="dxa"/>
            <w:vAlign w:val="center"/>
          </w:tcPr>
          <w:p w:rsidR="001164BE" w:rsidRPr="00421991" w:rsidRDefault="001164BE" w:rsidP="009F629A">
            <w:pPr>
              <w:pStyle w:val="Tabletext2"/>
              <w:spacing w:before="0" w:after="0"/>
              <w:rPr>
                <w:color w:val="auto"/>
              </w:rPr>
            </w:pPr>
            <w:r w:rsidRPr="00421991">
              <w:rPr>
                <w:color w:val="auto"/>
              </w:rPr>
              <w:t>1</w:t>
            </w:r>
          </w:p>
        </w:tc>
      </w:tr>
      <w:tr w:rsidR="001164BE" w:rsidRPr="00421991" w:rsidTr="009F629A">
        <w:trPr>
          <w:trHeight w:val="60"/>
        </w:trPr>
        <w:tc>
          <w:tcPr>
            <w:tcW w:w="5272" w:type="dxa"/>
            <w:vAlign w:val="center"/>
          </w:tcPr>
          <w:p w:rsidR="001164BE" w:rsidRPr="00421991" w:rsidRDefault="001164BE" w:rsidP="009F629A">
            <w:pPr>
              <w:pStyle w:val="Tabletext"/>
              <w:spacing w:before="0" w:after="0"/>
              <w:rPr>
                <w:color w:val="auto"/>
              </w:rPr>
            </w:pPr>
            <w:r w:rsidRPr="00421991">
              <w:rPr>
                <w:rStyle w:val="BoldBody"/>
                <w:color w:val="auto"/>
              </w:rPr>
              <w:t>Total</w:t>
            </w:r>
          </w:p>
        </w:tc>
        <w:tc>
          <w:tcPr>
            <w:tcW w:w="4411" w:type="dxa"/>
            <w:vAlign w:val="center"/>
          </w:tcPr>
          <w:p w:rsidR="001164BE" w:rsidRPr="00421991" w:rsidRDefault="001164BE" w:rsidP="009F629A">
            <w:pPr>
              <w:pStyle w:val="Tabletext2"/>
              <w:spacing w:before="0" w:after="0"/>
              <w:rPr>
                <w:color w:val="auto"/>
              </w:rPr>
            </w:pPr>
            <w:r w:rsidRPr="00421991">
              <w:rPr>
                <w:rStyle w:val="BoldBody"/>
                <w:color w:val="auto"/>
              </w:rPr>
              <w:t>34</w:t>
            </w:r>
          </w:p>
        </w:tc>
      </w:tr>
    </w:tbl>
    <w:p w:rsidR="001164BE" w:rsidRPr="00421991" w:rsidRDefault="001164BE" w:rsidP="001164BE">
      <w:pPr>
        <w:pStyle w:val="FootnoteFiguresandtables"/>
        <w:rPr>
          <w:color w:val="auto"/>
          <w:sz w:val="20"/>
          <w:szCs w:val="20"/>
        </w:rPr>
      </w:pPr>
      <w:r w:rsidRPr="00421991">
        <w:rPr>
          <w:color w:val="auto"/>
        </w:rPr>
        <w:t>Source: Traumatic Injury Fatalities database</w:t>
      </w:r>
      <w:r w:rsidRPr="00421991">
        <w:rPr>
          <w:color w:val="auto"/>
          <w:sz w:val="20"/>
          <w:szCs w:val="20"/>
        </w:rPr>
        <w:t>.</w:t>
      </w:r>
    </w:p>
    <w:p w:rsidR="005062E3" w:rsidRDefault="005062E3">
      <w:pPr>
        <w:rPr>
          <w:b/>
          <w:sz w:val="32"/>
          <w:szCs w:val="44"/>
        </w:rPr>
      </w:pPr>
      <w:r>
        <w:br w:type="page"/>
      </w:r>
    </w:p>
    <w:p w:rsidR="001164BE" w:rsidRPr="00421991" w:rsidRDefault="001164BE" w:rsidP="002E1ECA">
      <w:pPr>
        <w:pStyle w:val="Heading1"/>
      </w:pPr>
      <w:bookmarkStart w:id="80" w:name="_Toc426441719"/>
      <w:r w:rsidRPr="00421991">
        <w:lastRenderedPageBreak/>
        <w:t>Conclusion</w:t>
      </w:r>
      <w:bookmarkEnd w:id="80"/>
    </w:p>
    <w:p w:rsidR="001164BE" w:rsidRPr="00421991" w:rsidRDefault="001164BE" w:rsidP="001164BE">
      <w:pPr>
        <w:pStyle w:val="TextBody"/>
        <w:rPr>
          <w:color w:val="auto"/>
        </w:rPr>
      </w:pPr>
      <w:r w:rsidRPr="00421991">
        <w:rPr>
          <w:color w:val="auto"/>
        </w:rPr>
        <w:t>In support of the Australian Strategy, this report analysed data from a variety of sources in order to identify the main risks faced by workers in the accommodation and food services industry and to highlight areas within the industry that merit the greatest attention.</w:t>
      </w:r>
    </w:p>
    <w:p w:rsidR="001164BE" w:rsidRPr="00421991" w:rsidRDefault="001164BE" w:rsidP="001164BE">
      <w:pPr>
        <w:pStyle w:val="TextBody"/>
        <w:rPr>
          <w:color w:val="auto"/>
        </w:rPr>
      </w:pPr>
      <w:r w:rsidRPr="00421991">
        <w:rPr>
          <w:color w:val="auto"/>
        </w:rPr>
        <w:t>Workers’ compensation data indicate that employees in the accommodation and food services industry experience injuries and diseases at a rate that is similar to the rate for the Australian workforce. However, data from the 2013–14 WRIS, which are based on a more diverse group of workers than workers’ compensation data, show that workers in the accommodation and food services industry experienced injuries and diseases at a rate that was 38% higher than the rate for the Australian workforce and the industry had the fifth-highest incidence rate out of the 19 Australian industries. These findings reinforce the need for measures to reduce injuries and diseases in this industry.</w:t>
      </w:r>
    </w:p>
    <w:p w:rsidR="001164BE" w:rsidRPr="00421991" w:rsidRDefault="001164BE" w:rsidP="001164BE">
      <w:pPr>
        <w:pStyle w:val="TextBody"/>
        <w:rPr>
          <w:color w:val="auto"/>
        </w:rPr>
      </w:pPr>
      <w:r w:rsidRPr="00421991">
        <w:rPr>
          <w:color w:val="auto"/>
        </w:rPr>
        <w:t>Workers’ compensation and WRIS data show that female workers in the accommodation and food services industry have higher rates of injuries and diseases than their male counterparts. This was most pronounced in findings from the 2013–14 WRIS, which showed that female workers had an incidence rate that was 26% higher than the rate for male workers. Compared with female workers in other industries, female workers in the accommodation and food services industry had the second-highest incidence rate out of the 19 Australian industries.</w:t>
      </w:r>
    </w:p>
    <w:p w:rsidR="001164BE" w:rsidRPr="00421991" w:rsidRDefault="001164BE" w:rsidP="001164BE">
      <w:pPr>
        <w:pStyle w:val="TextBody"/>
        <w:rPr>
          <w:color w:val="auto"/>
        </w:rPr>
      </w:pPr>
      <w:r w:rsidRPr="00421991">
        <w:rPr>
          <w:color w:val="auto"/>
        </w:rPr>
        <w:t>In addition to higher rates of injuries and diseases, workers’ compensation data show that female employees in the accommodation and food services industry experienced more negative outcomes than male employees in terms of time taken off work (31% longer than male employees in 2011–12) and compensation paid (13% higher than male employees in 2011–12). This was largely because a higher proportion of serious claims among female employees arose from mental stress, body stressing, and falls, trips and slips of a person and the three mechanisms were associated with the lengthiest absences and highest costs out of the eight mechanisms of injury or disease.</w:t>
      </w:r>
    </w:p>
    <w:p w:rsidR="001164BE" w:rsidRPr="00421991" w:rsidRDefault="001164BE" w:rsidP="001164BE">
      <w:pPr>
        <w:pStyle w:val="TextBody"/>
        <w:rPr>
          <w:color w:val="auto"/>
        </w:rPr>
      </w:pPr>
      <w:r w:rsidRPr="00421991">
        <w:rPr>
          <w:color w:val="auto"/>
        </w:rPr>
        <w:t>Workers’ compensation data show that accommodation and food services employees who experience mental stress endure the most negative outcomes in terms of their absence from work and the amount of compensation paid. The absence from work and compensation paid was over three times higher than the industry average among employees who experienced mental stress in 2011–12. While the proportion of mental stress claims in the accommodation and food services industry was relatively low (4% between 2010–11 and 2012–13), the proportion was twice as high among employees in the clubs subdivision (8%) and almost twice as high among employees in the pubs, taverns and bars subdivision (7%). In both subdivisions, most mental stress claims arose from exposure to workplace or occupational violence. The two subdivisions also had higher-than-average proportions of serious claims arising from exposure to other people. These findings, coupled with the fact that the two subdivisions are comprised of businesses that are primarily engaged in providing alcoholic beverages and hospitality services to patrons, indicate that the higher proportions of mental stress are largely due to the human interactions that are unique to these subdivisions.</w:t>
      </w:r>
    </w:p>
    <w:p w:rsidR="001164BE" w:rsidRPr="00421991" w:rsidRDefault="001164BE" w:rsidP="001164BE">
      <w:pPr>
        <w:pStyle w:val="TextBody"/>
        <w:rPr>
          <w:color w:val="auto"/>
        </w:rPr>
      </w:pPr>
      <w:r w:rsidRPr="00421991">
        <w:rPr>
          <w:color w:val="auto"/>
        </w:rPr>
        <w:t>Workers’ compensation data show that body stressing is the most common cause of injuries and diseases in the accommodation and food services industry and accounted for 32% of serious claims between 2010–11 and 2012–13. In addition, employees whose serious claims arose from body stressing needed more time off work (55% longer in 2011–12) and higher amounts of compensation (64% higher in 2011–12) than the industry average. Within the industry, the proportions of body stressing injuries and diseases were notably higher among employees in the accommodation (40%) and clubs (37%) subdivisions. Body stressing injuries and diseases were also more common among older employees than younger employees. Due to the large number of workers who are affected and the comparatively worse outcomes involved, a reduction in the number of body stressing injuries and diseases would have a wide, positive impact for employees and employers in the accommodation and food services industry.</w:t>
      </w:r>
    </w:p>
    <w:p w:rsidR="00B120A5" w:rsidRDefault="00B120A5">
      <w:pPr>
        <w:rPr>
          <w:rFonts w:eastAsiaTheme="minorHAnsi"/>
          <w:kern w:val="0"/>
          <w:sz w:val="20"/>
          <w:szCs w:val="20"/>
          <w:lang w:val="en-GB" w:eastAsia="en-US"/>
        </w:rPr>
      </w:pPr>
      <w:r>
        <w:br w:type="page"/>
      </w:r>
    </w:p>
    <w:p w:rsidR="001164BE" w:rsidRPr="00421991" w:rsidRDefault="001164BE" w:rsidP="001164BE">
      <w:pPr>
        <w:pStyle w:val="TextBody"/>
        <w:rPr>
          <w:color w:val="auto"/>
        </w:rPr>
      </w:pPr>
      <w:r w:rsidRPr="00421991">
        <w:rPr>
          <w:color w:val="auto"/>
        </w:rPr>
        <w:lastRenderedPageBreak/>
        <w:t>The accommodation and food services industry has one of the lowest number of fatalities and fatality rates in Australia. Out of the 19 Australian industries, the accommodation and food services industry had the fourth-lowest fatality rate between 2003 and 2013. However, within the industry, the fatality rate among male workers was over three times higher than the rate for female workers. Fatality rates increased markedly with age and peaked among workers age 65 years and above who had a fatality rate that was over 13 times higher than the industry average.</w:t>
      </w:r>
    </w:p>
    <w:p w:rsidR="005062E3" w:rsidRDefault="005062E3">
      <w:pPr>
        <w:rPr>
          <w:b/>
          <w:sz w:val="32"/>
          <w:szCs w:val="44"/>
        </w:rPr>
      </w:pPr>
      <w:r>
        <w:br w:type="page"/>
      </w:r>
    </w:p>
    <w:p w:rsidR="001164BE" w:rsidRPr="00421991" w:rsidRDefault="001164BE" w:rsidP="002E1ECA">
      <w:pPr>
        <w:pStyle w:val="Heading1"/>
      </w:pPr>
      <w:bookmarkStart w:id="81" w:name="_Toc426441720"/>
      <w:r w:rsidRPr="00421991">
        <w:lastRenderedPageBreak/>
        <w:t>Explanatory notes</w:t>
      </w:r>
      <w:bookmarkEnd w:id="81"/>
    </w:p>
    <w:p w:rsidR="001164BE" w:rsidRPr="00421991" w:rsidRDefault="001164BE" w:rsidP="005062E3">
      <w:pPr>
        <w:pStyle w:val="Heading2"/>
      </w:pPr>
      <w:bookmarkStart w:id="82" w:name="_Toc419451962"/>
      <w:bookmarkStart w:id="83" w:name="_Toc419453303"/>
      <w:bookmarkStart w:id="84" w:name="_Toc426441721"/>
      <w:r w:rsidRPr="00421991">
        <w:t>National Data Set for Compensation-Based Statistics</w:t>
      </w:r>
      <w:bookmarkEnd w:id="82"/>
      <w:bookmarkEnd w:id="83"/>
      <w:bookmarkEnd w:id="84"/>
    </w:p>
    <w:p w:rsidR="001164BE" w:rsidRPr="00421991" w:rsidRDefault="001164BE" w:rsidP="00DD2ECE">
      <w:pPr>
        <w:pStyle w:val="Heading3"/>
      </w:pPr>
      <w:bookmarkStart w:id="85" w:name="_Toc419451963"/>
      <w:bookmarkStart w:id="86" w:name="_Toc419453304"/>
      <w:bookmarkStart w:id="87" w:name="_Toc426441722"/>
      <w:r w:rsidRPr="00421991">
        <w:t>Scope and coverage</w:t>
      </w:r>
      <w:bookmarkEnd w:id="85"/>
      <w:bookmarkEnd w:id="86"/>
      <w:bookmarkEnd w:id="87"/>
    </w:p>
    <w:p w:rsidR="001164BE" w:rsidRPr="00421991" w:rsidRDefault="001164BE" w:rsidP="001164BE">
      <w:pPr>
        <w:pStyle w:val="TextBody"/>
        <w:rPr>
          <w:color w:val="auto"/>
        </w:rPr>
      </w:pPr>
      <w:r w:rsidRPr="00421991">
        <w:rPr>
          <w:color w:val="auto"/>
        </w:rPr>
        <w:t>The workers’ compensation statistics in this report are compiled annually from serious claims made under state, territory and Commonwealth Government workers’ compensation acts. The data shown for each financial year refer to accepted claims for which payments were made (apart from payments for goods and services, such as medical treatment) lodged from 1 July to 30 June of the reference year.</w:t>
      </w:r>
    </w:p>
    <w:p w:rsidR="001164BE" w:rsidRPr="00421991" w:rsidRDefault="001164BE" w:rsidP="001164BE">
      <w:pPr>
        <w:pStyle w:val="TextBody"/>
        <w:rPr>
          <w:color w:val="auto"/>
        </w:rPr>
      </w:pPr>
      <w:r w:rsidRPr="00421991">
        <w:rPr>
          <w:color w:val="auto"/>
        </w:rPr>
        <w:t>The statistics in this report do not cover all cases of work-related injuries and diseases for the reasons below:</w:t>
      </w:r>
    </w:p>
    <w:p w:rsidR="001164BE" w:rsidRPr="00421991" w:rsidRDefault="001164BE" w:rsidP="009F629A">
      <w:pPr>
        <w:pStyle w:val="TextBody"/>
        <w:numPr>
          <w:ilvl w:val="0"/>
          <w:numId w:val="12"/>
        </w:numPr>
        <w:rPr>
          <w:color w:val="auto"/>
        </w:rPr>
      </w:pPr>
      <w:r w:rsidRPr="00421991">
        <w:rPr>
          <w:color w:val="auto"/>
        </w:rPr>
        <w:t>Fatalities and work-related injuries and diseases involving temporary incapacity and resulting in an absence from work of less than one working week are excluded.</w:t>
      </w:r>
    </w:p>
    <w:p w:rsidR="001164BE" w:rsidRPr="00421991" w:rsidRDefault="001164BE" w:rsidP="009F629A">
      <w:pPr>
        <w:pStyle w:val="TextBody"/>
        <w:numPr>
          <w:ilvl w:val="0"/>
          <w:numId w:val="12"/>
        </w:numPr>
        <w:rPr>
          <w:color w:val="auto"/>
        </w:rPr>
      </w:pPr>
      <w:r w:rsidRPr="00421991">
        <w:rPr>
          <w:color w:val="auto"/>
        </w:rPr>
        <w:t>Claims arising from journeys to or from work or during recess periods are excluded.</w:t>
      </w:r>
    </w:p>
    <w:p w:rsidR="001164BE" w:rsidRPr="00421991" w:rsidRDefault="001164BE" w:rsidP="009F629A">
      <w:pPr>
        <w:pStyle w:val="TextBody"/>
        <w:numPr>
          <w:ilvl w:val="0"/>
          <w:numId w:val="12"/>
        </w:numPr>
        <w:rPr>
          <w:color w:val="auto"/>
        </w:rPr>
      </w:pPr>
      <w:r w:rsidRPr="00421991">
        <w:rPr>
          <w:color w:val="auto"/>
        </w:rPr>
        <w:t>While state, territory and Commonwealth Government workers’ compensation legislations provide coverage for the majority of employees, some specific groups of workers are covered under separate legislations. Claims lodged by police in Western Australia and military personnel of the Australian Defence Forces are not included in this report.</w:t>
      </w:r>
    </w:p>
    <w:p w:rsidR="001164BE" w:rsidRPr="00421991" w:rsidRDefault="001164BE" w:rsidP="009F629A">
      <w:pPr>
        <w:pStyle w:val="TextBody"/>
        <w:numPr>
          <w:ilvl w:val="0"/>
          <w:numId w:val="12"/>
        </w:numPr>
        <w:rPr>
          <w:color w:val="auto"/>
        </w:rPr>
      </w:pPr>
      <w:r w:rsidRPr="00421991">
        <w:rPr>
          <w:color w:val="auto"/>
        </w:rPr>
        <w:t>Most mesothelioma cases (associated with work-related exposure to asbestos) are compensated through mechanisms other than workers’ compensation. As a result, mesothelioma claims in this report are known to be understated.</w:t>
      </w:r>
    </w:p>
    <w:p w:rsidR="001164BE" w:rsidRPr="00421991" w:rsidRDefault="001164BE" w:rsidP="009F629A">
      <w:pPr>
        <w:pStyle w:val="TextBody"/>
        <w:numPr>
          <w:ilvl w:val="0"/>
          <w:numId w:val="12"/>
        </w:numPr>
        <w:rPr>
          <w:color w:val="auto"/>
        </w:rPr>
      </w:pPr>
      <w:r w:rsidRPr="00421991">
        <w:rPr>
          <w:color w:val="auto"/>
        </w:rPr>
        <w:t>Workers’ compensation schemes do not generally provide coverage to self-employed workers and this results in an understatement of the number of work-related injuries and diseases of self-employed workers. Estimates of hours used to calculate frequency rates include only those hours worked by employees eligible for workers’ compensation.</w:t>
      </w:r>
    </w:p>
    <w:p w:rsidR="001164BE" w:rsidRPr="00421991" w:rsidRDefault="001164BE" w:rsidP="00DD2ECE">
      <w:pPr>
        <w:pStyle w:val="Heading3"/>
      </w:pPr>
      <w:bookmarkStart w:id="88" w:name="_Toc419451964"/>
      <w:bookmarkStart w:id="89" w:name="_Toc419453305"/>
      <w:bookmarkStart w:id="90" w:name="_Toc426441723"/>
      <w:r w:rsidRPr="00421991">
        <w:t>Age of employee</w:t>
      </w:r>
      <w:bookmarkEnd w:id="88"/>
      <w:bookmarkEnd w:id="89"/>
      <w:bookmarkEnd w:id="90"/>
    </w:p>
    <w:p w:rsidR="001164BE" w:rsidRPr="00421991" w:rsidRDefault="001164BE" w:rsidP="001164BE">
      <w:pPr>
        <w:pStyle w:val="TextBody"/>
        <w:rPr>
          <w:color w:val="auto"/>
        </w:rPr>
      </w:pPr>
      <w:r w:rsidRPr="00421991">
        <w:rPr>
          <w:color w:val="auto"/>
        </w:rPr>
        <w:t>The age of an employee is derived from their date of birth and the date on which the injury occurred or the disease was first reported to the employer. Data related to the open-ended age group of 65 years and above should be used with caution as claims can be made by people who are no longer in the workforce, particularly for work-related diseases that arise after employees retire. The employee estimates only count people who are currently working. It is possible that frequency rates for this age group overstate the actual rates.</w:t>
      </w:r>
    </w:p>
    <w:p w:rsidR="001164BE" w:rsidRPr="00421991" w:rsidRDefault="001164BE" w:rsidP="00DD2ECE">
      <w:pPr>
        <w:pStyle w:val="Heading3"/>
      </w:pPr>
      <w:bookmarkStart w:id="91" w:name="_Toc419451965"/>
      <w:bookmarkStart w:id="92" w:name="_Toc419453306"/>
      <w:bookmarkStart w:id="93" w:name="_Toc426441724"/>
      <w:r w:rsidRPr="00421991">
        <w:t>Time lost from work</w:t>
      </w:r>
      <w:bookmarkEnd w:id="91"/>
      <w:bookmarkEnd w:id="92"/>
      <w:bookmarkEnd w:id="93"/>
    </w:p>
    <w:p w:rsidR="001164BE" w:rsidRPr="00421991" w:rsidRDefault="001164BE" w:rsidP="001164BE">
      <w:pPr>
        <w:pStyle w:val="TextBody"/>
        <w:rPr>
          <w:color w:val="auto"/>
        </w:rPr>
      </w:pPr>
      <w:r w:rsidRPr="00421991">
        <w:rPr>
          <w:color w:val="auto"/>
        </w:rPr>
        <w:t>Time lost from work is measured in working weeks and excludes estimates of future absences. Time lost from work comprises the total period of time for which compensation was paid. The time lost is not necessarily continuous and may occur over a number of separate periods. Where an employee returns to work on a part-time basis, they may continue to receive pro-rata payments and the total number of hours for which compensation has been paid is included in calculating the time lost.</w:t>
      </w:r>
    </w:p>
    <w:p w:rsidR="001164BE" w:rsidRPr="00421991" w:rsidRDefault="001164BE" w:rsidP="00DD2ECE">
      <w:pPr>
        <w:pStyle w:val="Heading3"/>
      </w:pPr>
      <w:bookmarkStart w:id="94" w:name="_Toc419451966"/>
      <w:bookmarkStart w:id="95" w:name="_Toc419453307"/>
      <w:bookmarkStart w:id="96" w:name="_Toc426441725"/>
      <w:r w:rsidRPr="00421991">
        <w:t>Compensation paid</w:t>
      </w:r>
      <w:bookmarkEnd w:id="94"/>
      <w:bookmarkEnd w:id="95"/>
      <w:bookmarkEnd w:id="96"/>
    </w:p>
    <w:p w:rsidR="001164BE" w:rsidRPr="00421991" w:rsidRDefault="001164BE" w:rsidP="001164BE">
      <w:pPr>
        <w:pStyle w:val="TextBody"/>
        <w:rPr>
          <w:color w:val="auto"/>
        </w:rPr>
      </w:pPr>
      <w:r w:rsidRPr="00421991">
        <w:rPr>
          <w:color w:val="auto"/>
        </w:rPr>
        <w:t>Amounts of compensation paid are rounded to the nearest $100. The calculation of median payments excludes serious claims where only payments for goods and services, such as medical treatment, have been made.</w:t>
      </w:r>
    </w:p>
    <w:p w:rsidR="001164BE" w:rsidRPr="00421991" w:rsidRDefault="001164BE" w:rsidP="00DD2ECE">
      <w:pPr>
        <w:pStyle w:val="Heading3"/>
      </w:pPr>
      <w:bookmarkStart w:id="97" w:name="_Toc419451967"/>
      <w:bookmarkStart w:id="98" w:name="_Toc419453308"/>
      <w:bookmarkStart w:id="99" w:name="_Toc426441726"/>
      <w:r w:rsidRPr="00421991">
        <w:t>Confidentiality</w:t>
      </w:r>
      <w:bookmarkEnd w:id="97"/>
      <w:bookmarkEnd w:id="98"/>
      <w:bookmarkEnd w:id="99"/>
    </w:p>
    <w:p w:rsidR="001164BE" w:rsidRPr="00421991" w:rsidRDefault="001164BE" w:rsidP="001164BE">
      <w:pPr>
        <w:pStyle w:val="TextBody"/>
        <w:rPr>
          <w:color w:val="auto"/>
        </w:rPr>
      </w:pPr>
      <w:r w:rsidRPr="00421991">
        <w:rPr>
          <w:color w:val="auto"/>
        </w:rPr>
        <w:t>Claim numbers in this report are rounded to the nearest 5 to help protect confidential information about employers and employees. Rates and percentages are calculated using unrounded numbers.</w:t>
      </w:r>
    </w:p>
    <w:p w:rsidR="001164BE" w:rsidRPr="00421991" w:rsidRDefault="001164BE" w:rsidP="00DD2ECE">
      <w:pPr>
        <w:pStyle w:val="Heading3"/>
      </w:pPr>
      <w:bookmarkStart w:id="100" w:name="_Toc419451968"/>
      <w:bookmarkStart w:id="101" w:name="_Toc419453309"/>
      <w:bookmarkStart w:id="102" w:name="_Toc426441727"/>
      <w:r w:rsidRPr="00421991">
        <w:t>Time-series analyses</w:t>
      </w:r>
      <w:bookmarkEnd w:id="100"/>
      <w:bookmarkEnd w:id="101"/>
      <w:bookmarkEnd w:id="102"/>
    </w:p>
    <w:p w:rsidR="001164BE" w:rsidRPr="00421991" w:rsidRDefault="001164BE" w:rsidP="001164BE">
      <w:pPr>
        <w:pStyle w:val="TextBody"/>
        <w:rPr>
          <w:color w:val="auto"/>
        </w:rPr>
      </w:pPr>
      <w:r w:rsidRPr="00421991">
        <w:rPr>
          <w:color w:val="auto"/>
        </w:rPr>
        <w:t>Only non-preliminary data are used in time-series analyses as they are more likely to have been finalised and are generally more accurate than preliminary data.</w:t>
      </w:r>
    </w:p>
    <w:p w:rsidR="001164BE" w:rsidRPr="00421991" w:rsidRDefault="001164BE" w:rsidP="001164BE">
      <w:pPr>
        <w:pStyle w:val="TextBody"/>
        <w:rPr>
          <w:color w:val="auto"/>
        </w:rPr>
      </w:pPr>
      <w:r w:rsidRPr="00421991">
        <w:rPr>
          <w:color w:val="auto"/>
        </w:rPr>
        <w:t>When analysing trends over time, consideration needs to be given to legislative changes that may influence trends in workers’ compensation data. Information on workers’ compensation arrangements can be found in Safe Work Australia’s Comparison of Workers’ Compensation Arrangements in Australia and New Zealand.</w:t>
      </w:r>
    </w:p>
    <w:p w:rsidR="001164BE" w:rsidRPr="00421991" w:rsidRDefault="001164BE" w:rsidP="00DD2ECE">
      <w:pPr>
        <w:pStyle w:val="Heading3"/>
      </w:pPr>
      <w:bookmarkStart w:id="103" w:name="_Toc419451969"/>
      <w:bookmarkStart w:id="104" w:name="_Toc419453310"/>
      <w:bookmarkStart w:id="105" w:name="_Toc426441728"/>
      <w:r w:rsidRPr="00421991">
        <w:lastRenderedPageBreak/>
        <w:t>Denominator data used to calculate frequency rates</w:t>
      </w:r>
      <w:bookmarkEnd w:id="103"/>
      <w:bookmarkEnd w:id="104"/>
      <w:bookmarkEnd w:id="105"/>
    </w:p>
    <w:p w:rsidR="001164BE" w:rsidRPr="00421991" w:rsidRDefault="001164BE" w:rsidP="001164BE">
      <w:pPr>
        <w:pStyle w:val="TextBody"/>
        <w:rPr>
          <w:color w:val="auto"/>
        </w:rPr>
      </w:pPr>
      <w:r w:rsidRPr="00421991">
        <w:rPr>
          <w:color w:val="auto"/>
        </w:rPr>
        <w:t>Estimates of the number of employees and hours worked for each Australian workers’ compensation jurisdiction are supplied annually by the ABS. The data are primarily derived from the Labour Force Survey, which are adjusted to account for differences in scope between the Labour Force Survey and workers’ compensation coverage. The ABS provides two sets of estimates for each jurisdiction—one is split by sex, age and industry and the second is split by occupation. This restricts presentation of frequency rates to the categories supported by the ABS data. Therefore, it is not possible to calculate rates for occupational groups within specific industries.</w:t>
      </w:r>
    </w:p>
    <w:p w:rsidR="001164BE" w:rsidRPr="00421991" w:rsidRDefault="001164BE" w:rsidP="001164BE">
      <w:pPr>
        <w:pStyle w:val="TextBody"/>
        <w:rPr>
          <w:color w:val="auto"/>
        </w:rPr>
      </w:pPr>
      <w:r w:rsidRPr="00421991">
        <w:rPr>
          <w:color w:val="auto"/>
        </w:rPr>
        <w:t>In 2008, the ABS conducted a review of the methodology used to calculate the number of employees in each industry and the number of hours worked by each employee. After the review, the ABS implemented a number of changes to their methodology, which increased their estimates. As the ABS could only supply new estimates back to 2005–06, estimates for earlier years were adjusted based on the movement between the old and new estimates for 2005–06 to avoid a break in the time series. Reports from 2007–08 have used these new estimates. Therefore, comparison with previous reports should not be made.</w:t>
      </w:r>
    </w:p>
    <w:p w:rsidR="001164BE" w:rsidRPr="00421991" w:rsidRDefault="001164BE" w:rsidP="001164BE">
      <w:pPr>
        <w:pStyle w:val="TextBody"/>
        <w:rPr>
          <w:color w:val="auto"/>
        </w:rPr>
      </w:pPr>
      <w:r w:rsidRPr="00421991">
        <w:rPr>
          <w:color w:val="auto"/>
        </w:rPr>
        <w:t>Following the review, the major change to the estimates was in the industry coding of ‘jobs other than the main job’ of multiple job holders. Where previously the second job was combined into the industry of the first job, these have now been separated to be shown in the industry in which the employee works in each separate job. This resulted in changes to the incidence and frequency rates in some industries. In particular, a decrease in employee estimates occurred in public administration and safety, manufacturing, and health care and social assistance as these were the industries where a greater proportion held a second job. An increase occurred in arts and recreation services, and accommodation and food services as these were the industries where the second job was most commonly worked.</w:t>
      </w:r>
    </w:p>
    <w:p w:rsidR="001164BE" w:rsidRPr="00421991" w:rsidRDefault="001164BE" w:rsidP="001164BE">
      <w:pPr>
        <w:pStyle w:val="TextBody"/>
        <w:rPr>
          <w:color w:val="auto"/>
        </w:rPr>
      </w:pPr>
      <w:r w:rsidRPr="00421991">
        <w:rPr>
          <w:color w:val="auto"/>
        </w:rPr>
        <w:t xml:space="preserve">While the ABS is able to adjust the employee estimates to account for the industries where the second job was worked, it is unable to adjust the hours worked in a similar manner. All hours worked have been allocated to the industry of the main job. </w:t>
      </w:r>
    </w:p>
    <w:p w:rsidR="001164BE" w:rsidRPr="00421991" w:rsidRDefault="001164BE" w:rsidP="001164BE">
      <w:pPr>
        <w:pStyle w:val="TextBody"/>
        <w:rPr>
          <w:color w:val="auto"/>
        </w:rPr>
      </w:pPr>
      <w:r w:rsidRPr="00421991">
        <w:rPr>
          <w:color w:val="auto"/>
        </w:rPr>
        <w:t>Because eligibility for workers’ compensation varies from jurisdiction to jurisdiction, further adjustments are necessary. The most significant adjustments are outlined below:</w:t>
      </w:r>
    </w:p>
    <w:p w:rsidR="001164BE" w:rsidRPr="00421991" w:rsidRDefault="001164BE" w:rsidP="009F629A">
      <w:pPr>
        <w:pStyle w:val="TextBody"/>
        <w:numPr>
          <w:ilvl w:val="0"/>
          <w:numId w:val="13"/>
        </w:numPr>
        <w:rPr>
          <w:color w:val="auto"/>
        </w:rPr>
      </w:pPr>
      <w:r w:rsidRPr="00421991">
        <w:rPr>
          <w:color w:val="auto"/>
        </w:rPr>
        <w:t>Police in Western Australia, who are covered by a separate scheme that does not report to Safe Work Australia, are excluded from the denominators.</w:t>
      </w:r>
    </w:p>
    <w:p w:rsidR="001164BE" w:rsidRPr="00421991" w:rsidRDefault="001164BE" w:rsidP="009F629A">
      <w:pPr>
        <w:pStyle w:val="TextBody"/>
        <w:numPr>
          <w:ilvl w:val="0"/>
          <w:numId w:val="13"/>
        </w:numPr>
        <w:rPr>
          <w:color w:val="auto"/>
        </w:rPr>
      </w:pPr>
      <w:r w:rsidRPr="00421991">
        <w:rPr>
          <w:color w:val="auto"/>
        </w:rPr>
        <w:t>Under the Queensland legislation, owner-managers of incorporated enterprises (OMIEs), who are included in the standard definition of ‘employee’, have the option of purchasing workers’ compensation insurance for themselves. Based on 2006 census data, 10% of employed people in Queensland were OMIEs, an unknown number of whom were covered by workers’ compensation. This population has been excluded from the denominators and their claims have been excluded from the numerators.</w:t>
      </w:r>
    </w:p>
    <w:p w:rsidR="00B120A5" w:rsidRDefault="00B120A5">
      <w:pPr>
        <w:rPr>
          <w:b/>
        </w:rPr>
      </w:pPr>
      <w:bookmarkStart w:id="106" w:name="_Toc419451970"/>
      <w:r>
        <w:br w:type="page"/>
      </w:r>
    </w:p>
    <w:p w:rsidR="001164BE" w:rsidRPr="00421991" w:rsidRDefault="001164BE" w:rsidP="00DD2ECE">
      <w:pPr>
        <w:pStyle w:val="Heading3"/>
      </w:pPr>
      <w:bookmarkStart w:id="107" w:name="_Toc419453311"/>
      <w:bookmarkStart w:id="108" w:name="_Toc426441729"/>
      <w:r w:rsidRPr="00421991">
        <w:lastRenderedPageBreak/>
        <w:t>Adjustment of Victorian and South Australian data</w:t>
      </w:r>
      <w:bookmarkEnd w:id="106"/>
      <w:bookmarkEnd w:id="107"/>
      <w:bookmarkEnd w:id="108"/>
    </w:p>
    <w:p w:rsidR="001164BE" w:rsidRPr="00421991" w:rsidRDefault="001164BE" w:rsidP="001164BE">
      <w:pPr>
        <w:pStyle w:val="TextBody"/>
        <w:rPr>
          <w:color w:val="auto"/>
        </w:rPr>
      </w:pPr>
      <w:r w:rsidRPr="00421991">
        <w:rPr>
          <w:color w:val="auto"/>
        </w:rPr>
        <w:t>Safe Work Australia uses one working week of time lost from work as the cut-off for the classification of accepted claims as serious claims. This cut-off was chosen because most jurisdictions have an employer excess of one week or less. Since claims with an absence of at least one week are generally processed by the workers’ compensation authority, the use of a one-week cut-off ensures comparable data are compiled from all jurisdictions so that an accurate national estimate can be produced.</w:t>
      </w:r>
    </w:p>
    <w:p w:rsidR="001164BE" w:rsidRPr="00421991" w:rsidRDefault="001164BE" w:rsidP="001164BE">
      <w:pPr>
        <w:pStyle w:val="TextBody"/>
        <w:rPr>
          <w:color w:val="auto"/>
        </w:rPr>
      </w:pPr>
      <w:r w:rsidRPr="00421991">
        <w:rPr>
          <w:color w:val="auto"/>
        </w:rPr>
        <w:t>However, under the Victorian workers’ compensation scheme, the employer can be liable for the first 10 working days lost by the injured or ill worker (for an employee working two days per week, for instance, that would amount to five weeks’ pay), plus the first $582 (as of 1 July 2010) of medical services, unless the employer elected the ‘excess buy-out’ option. Since information on claims paid solely by employers are not always provided to the workers’ compensation authority, the national count of serious claims is affected.</w:t>
      </w:r>
    </w:p>
    <w:p w:rsidR="001164BE" w:rsidRPr="00421991" w:rsidRDefault="001164BE" w:rsidP="001164BE">
      <w:pPr>
        <w:pStyle w:val="TextBody"/>
        <w:rPr>
          <w:color w:val="auto"/>
        </w:rPr>
      </w:pPr>
      <w:r w:rsidRPr="00421991">
        <w:rPr>
          <w:color w:val="auto"/>
        </w:rPr>
        <w:t>To correct for this under-counting, Victorian claims of one to two weeks’ duration are increased by a factor to represent the ‘missing claims’. The factor is calculated by comparing the percentage of claims of one to two weeks’ duration for Victoria with the percentage of claims of one to two weeks’ duration for all other Australian jurisdictions at the industry division level and by nature of injury or disease. The factoring makes the percentage of claims in each industry and nature group in Victoria match the Australian average for claims of this duration. This factoring increases Victorian claims by around 20% and the Australian count by less than 3%.</w:t>
      </w:r>
    </w:p>
    <w:p w:rsidR="001164BE" w:rsidRPr="00421991" w:rsidRDefault="001164BE" w:rsidP="001164BE">
      <w:pPr>
        <w:pStyle w:val="TextBody"/>
        <w:rPr>
          <w:color w:val="auto"/>
        </w:rPr>
      </w:pPr>
      <w:r w:rsidRPr="00421991">
        <w:rPr>
          <w:color w:val="auto"/>
        </w:rPr>
        <w:t>While South Australia also has a 10-day excess, a waiver of the first two weeks of income maintenance is an incentive that was introduced for employers to forward claims to WorkCoverSA within 5 days of receiving claims from injured or ill workers. This incentive has been operational since 2009–10 and has significantly improved the data quality and accuracy of time-lost information for the majority of short-duration claims.</w:t>
      </w:r>
    </w:p>
    <w:p w:rsidR="001164BE" w:rsidRPr="00421991" w:rsidRDefault="001164BE" w:rsidP="00DD2ECE">
      <w:pPr>
        <w:pStyle w:val="Heading3"/>
      </w:pPr>
      <w:bookmarkStart w:id="109" w:name="_Toc419451971"/>
      <w:bookmarkStart w:id="110" w:name="_Toc419453312"/>
      <w:bookmarkStart w:id="111" w:name="_Toc426441730"/>
      <w:r w:rsidRPr="00421991">
        <w:t>Reliability of data</w:t>
      </w:r>
      <w:bookmarkEnd w:id="109"/>
      <w:bookmarkEnd w:id="110"/>
      <w:bookmarkEnd w:id="111"/>
    </w:p>
    <w:p w:rsidR="001164BE" w:rsidRPr="00421991" w:rsidRDefault="001164BE" w:rsidP="001164BE">
      <w:pPr>
        <w:pStyle w:val="TextBody"/>
        <w:rPr>
          <w:color w:val="auto"/>
        </w:rPr>
      </w:pPr>
      <w:r w:rsidRPr="00421991">
        <w:rPr>
          <w:color w:val="auto"/>
        </w:rPr>
        <w:t>The data in this report are subject to two types of errors—non-sampling errors and sampling errors.</w:t>
      </w:r>
    </w:p>
    <w:p w:rsidR="001164BE" w:rsidRPr="00421991" w:rsidRDefault="001164BE" w:rsidP="001164BE">
      <w:pPr>
        <w:pStyle w:val="TextBody"/>
        <w:rPr>
          <w:color w:val="auto"/>
        </w:rPr>
      </w:pPr>
      <w:r w:rsidRPr="00421991">
        <w:rPr>
          <w:rStyle w:val="BoldBody"/>
          <w:color w:val="auto"/>
        </w:rPr>
        <w:t>Non-sampling error</w:t>
      </w:r>
    </w:p>
    <w:p w:rsidR="001164BE" w:rsidRPr="00421991" w:rsidRDefault="001164BE" w:rsidP="001164BE">
      <w:pPr>
        <w:pStyle w:val="TextBody"/>
        <w:rPr>
          <w:color w:val="auto"/>
        </w:rPr>
      </w:pPr>
      <w:r w:rsidRPr="00421991">
        <w:rPr>
          <w:color w:val="auto"/>
        </w:rPr>
        <w:t>Non-sampling errors may occur in any statistical collection due to:</w:t>
      </w:r>
    </w:p>
    <w:p w:rsidR="001164BE" w:rsidRPr="00421991" w:rsidRDefault="001164BE" w:rsidP="009F629A">
      <w:pPr>
        <w:pStyle w:val="TextBody"/>
        <w:numPr>
          <w:ilvl w:val="0"/>
          <w:numId w:val="14"/>
        </w:numPr>
        <w:rPr>
          <w:color w:val="auto"/>
        </w:rPr>
      </w:pPr>
      <w:r w:rsidRPr="00421991">
        <w:rPr>
          <w:color w:val="auto"/>
        </w:rPr>
        <w:t>incorrect inclusion or exclusion of respondents or cases.</w:t>
      </w:r>
    </w:p>
    <w:p w:rsidR="001164BE" w:rsidRPr="00421991" w:rsidRDefault="001164BE" w:rsidP="009F629A">
      <w:pPr>
        <w:pStyle w:val="TextBody"/>
        <w:numPr>
          <w:ilvl w:val="0"/>
          <w:numId w:val="14"/>
        </w:numPr>
        <w:rPr>
          <w:color w:val="auto"/>
        </w:rPr>
      </w:pPr>
      <w:r w:rsidRPr="00421991">
        <w:rPr>
          <w:color w:val="auto"/>
        </w:rPr>
        <w:t>non-response of respondents.</w:t>
      </w:r>
    </w:p>
    <w:p w:rsidR="001164BE" w:rsidRPr="00421991" w:rsidRDefault="001164BE" w:rsidP="009F629A">
      <w:pPr>
        <w:pStyle w:val="TextBody"/>
        <w:numPr>
          <w:ilvl w:val="0"/>
          <w:numId w:val="14"/>
        </w:numPr>
        <w:rPr>
          <w:color w:val="auto"/>
        </w:rPr>
      </w:pPr>
      <w:r w:rsidRPr="00421991">
        <w:rPr>
          <w:color w:val="auto"/>
        </w:rPr>
        <w:t>inaccurate information from respondents.</w:t>
      </w:r>
    </w:p>
    <w:p w:rsidR="001164BE" w:rsidRPr="00421991" w:rsidRDefault="001164BE" w:rsidP="009F629A">
      <w:pPr>
        <w:pStyle w:val="TextBody"/>
        <w:numPr>
          <w:ilvl w:val="0"/>
          <w:numId w:val="14"/>
        </w:numPr>
        <w:rPr>
          <w:color w:val="auto"/>
        </w:rPr>
      </w:pPr>
      <w:r w:rsidRPr="00421991">
        <w:rPr>
          <w:color w:val="auto"/>
        </w:rPr>
        <w:t>inaccurate recording of information by data collectors.</w:t>
      </w:r>
    </w:p>
    <w:p w:rsidR="001164BE" w:rsidRPr="00421991" w:rsidRDefault="001164BE" w:rsidP="009F629A">
      <w:pPr>
        <w:pStyle w:val="TextBody"/>
        <w:numPr>
          <w:ilvl w:val="0"/>
          <w:numId w:val="14"/>
        </w:numPr>
        <w:rPr>
          <w:color w:val="auto"/>
        </w:rPr>
      </w:pPr>
      <w:r w:rsidRPr="00421991">
        <w:rPr>
          <w:color w:val="auto"/>
        </w:rPr>
        <w:t>deficiencies in data collection materials and processes.</w:t>
      </w:r>
    </w:p>
    <w:p w:rsidR="001164BE" w:rsidRPr="00421991" w:rsidRDefault="001164BE" w:rsidP="009F629A">
      <w:pPr>
        <w:pStyle w:val="TextBody"/>
        <w:numPr>
          <w:ilvl w:val="0"/>
          <w:numId w:val="14"/>
        </w:numPr>
        <w:rPr>
          <w:color w:val="auto"/>
        </w:rPr>
      </w:pPr>
      <w:r w:rsidRPr="00421991">
        <w:rPr>
          <w:color w:val="auto"/>
        </w:rPr>
        <w:t>errors that occur during the entry, coding and editing of data.</w:t>
      </w:r>
    </w:p>
    <w:p w:rsidR="001164BE" w:rsidRPr="00421991" w:rsidRDefault="001164BE" w:rsidP="001164BE">
      <w:pPr>
        <w:pStyle w:val="TextBody"/>
        <w:rPr>
          <w:rStyle w:val="BoldBody"/>
          <w:color w:val="auto"/>
        </w:rPr>
      </w:pPr>
      <w:r w:rsidRPr="00421991">
        <w:rPr>
          <w:color w:val="auto"/>
        </w:rPr>
        <w:t>Non-sampling errors may affect the numerator and denominator data. It is difficult to quantify non-sampling error.</w:t>
      </w:r>
    </w:p>
    <w:p w:rsidR="001164BE" w:rsidRPr="00421991" w:rsidRDefault="001164BE" w:rsidP="001164BE">
      <w:pPr>
        <w:pStyle w:val="TextBody"/>
        <w:rPr>
          <w:color w:val="auto"/>
        </w:rPr>
      </w:pPr>
      <w:r w:rsidRPr="00421991">
        <w:rPr>
          <w:rStyle w:val="BoldBody"/>
          <w:color w:val="auto"/>
        </w:rPr>
        <w:t>Sampling error</w:t>
      </w:r>
    </w:p>
    <w:p w:rsidR="001164BE" w:rsidRPr="00421991" w:rsidRDefault="001164BE" w:rsidP="001164BE">
      <w:pPr>
        <w:pStyle w:val="TextBody"/>
        <w:rPr>
          <w:color w:val="auto"/>
        </w:rPr>
      </w:pPr>
      <w:r w:rsidRPr="00421991">
        <w:rPr>
          <w:color w:val="auto"/>
        </w:rPr>
        <w:t>Sampling error is a measure of the variation that occurs when a sample, rather than an entire population, is surveyed. Standard error indicates the extent to which an estimate of a sample varies from the estimate of the population from which it is drawn. When a standard error is expressed as a percentage of the estimate to which it relates, it is known as a relative standard error (RSE).</w:t>
      </w:r>
    </w:p>
    <w:p w:rsidR="001164BE" w:rsidRPr="00421991" w:rsidRDefault="001164BE" w:rsidP="001164BE">
      <w:pPr>
        <w:pStyle w:val="TextBody"/>
        <w:rPr>
          <w:color w:val="auto"/>
        </w:rPr>
      </w:pPr>
      <w:r w:rsidRPr="00421991">
        <w:rPr>
          <w:color w:val="auto"/>
        </w:rPr>
        <w:t>The denominator data used to calculate frequency rates of serious claims are subject to sampling error. Frequency rates that are calculated using denominators with high RSEs are annotated with one asterisk (*) to indicate that the RSE of the denominator is 25% or higher and two asterisks (**) if the RSE is 50% or higher.</w:t>
      </w:r>
    </w:p>
    <w:p w:rsidR="005062E3" w:rsidRDefault="005062E3">
      <w:pPr>
        <w:rPr>
          <w:rFonts w:eastAsiaTheme="minorHAnsi"/>
          <w:b/>
          <w:bCs/>
          <w:kern w:val="0"/>
          <w:sz w:val="28"/>
          <w:szCs w:val="28"/>
          <w:lang w:val="en-GB" w:eastAsia="en-US"/>
        </w:rPr>
      </w:pPr>
      <w:r>
        <w:rPr>
          <w:rFonts w:eastAsiaTheme="minorHAnsi"/>
          <w:bCs/>
          <w:kern w:val="0"/>
          <w:sz w:val="28"/>
          <w:szCs w:val="28"/>
          <w:lang w:val="en-GB" w:eastAsia="en-US"/>
        </w:rPr>
        <w:br w:type="page"/>
      </w:r>
    </w:p>
    <w:p w:rsidR="001164BE" w:rsidRPr="00421991" w:rsidRDefault="001164BE" w:rsidP="002E1ECA">
      <w:pPr>
        <w:pStyle w:val="Heading1"/>
      </w:pPr>
      <w:bookmarkStart w:id="112" w:name="_Toc426441731"/>
      <w:r w:rsidRPr="00421991">
        <w:lastRenderedPageBreak/>
        <w:t>References</w:t>
      </w:r>
      <w:bookmarkEnd w:id="112"/>
    </w:p>
    <w:p w:rsidR="001164BE" w:rsidRPr="00421991" w:rsidRDefault="001164BE" w:rsidP="001164BE">
      <w:pPr>
        <w:pStyle w:val="ReferencesBody"/>
        <w:rPr>
          <w:color w:val="auto"/>
        </w:rPr>
      </w:pPr>
      <w:r w:rsidRPr="00421991">
        <w:rPr>
          <w:color w:val="auto"/>
        </w:rPr>
        <w:t>Australian Bureau of Statistics (ABS) 2014a. Labour Force, Australia. ABS catalogue number 6291.0.55.003. Accessed on 9 September 2014:</w:t>
      </w:r>
      <w:r w:rsidR="00421991">
        <w:rPr>
          <w:color w:val="auto"/>
        </w:rPr>
        <w:t xml:space="preserve"> </w:t>
      </w:r>
      <w:r w:rsidR="00421991" w:rsidRPr="008D5510">
        <w:rPr>
          <w:rStyle w:val="HyperlinkBody"/>
          <w:color w:val="auto"/>
          <w:u w:val="none"/>
        </w:rPr>
        <w:t>http://www.abs.gov.au/ausstats/abs@.nsf/mf/6291.0.55.003</w:t>
      </w:r>
    </w:p>
    <w:p w:rsidR="001164BE" w:rsidRPr="00421991" w:rsidRDefault="001164BE" w:rsidP="001164BE">
      <w:pPr>
        <w:pStyle w:val="ReferencesBody"/>
        <w:rPr>
          <w:color w:val="auto"/>
        </w:rPr>
      </w:pPr>
      <w:r w:rsidRPr="00421991">
        <w:rPr>
          <w:color w:val="auto"/>
        </w:rPr>
        <w:t xml:space="preserve">Australian Bureau of Statistics (ABS) 2014b. Work-Related Injuries, Australia, July 2013 to June 2014. ABS catalogue number 6324.0. Accessed on 9 January 2015: </w:t>
      </w:r>
      <w:r w:rsidR="00421991" w:rsidRPr="008D5510">
        <w:rPr>
          <w:rStyle w:val="HyperlinkBody"/>
          <w:color w:val="auto"/>
          <w:u w:val="none"/>
        </w:rPr>
        <w:t>http://www.abs.gov.au/ausstats/abs@.nsf/mf/6324.0</w:t>
      </w:r>
    </w:p>
    <w:p w:rsidR="001164BE" w:rsidRPr="00421991" w:rsidRDefault="001164BE" w:rsidP="001164BE">
      <w:pPr>
        <w:pStyle w:val="ReferencesBody"/>
        <w:rPr>
          <w:color w:val="auto"/>
        </w:rPr>
      </w:pPr>
      <w:r w:rsidRPr="00421991">
        <w:rPr>
          <w:color w:val="auto"/>
        </w:rPr>
        <w:t xml:space="preserve">Australian Bureau of Statistics (ABS) &amp; Statistics New Zealand 2006. Australian and New Zealand Standard Industrial Classification, 2006. ABS catalogue number 1292.0. Canberra: ABS. Accessed on 3 September 2014: </w:t>
      </w:r>
      <w:r w:rsidR="00421991" w:rsidRPr="008D5510">
        <w:rPr>
          <w:rStyle w:val="HyperlinkBody"/>
          <w:color w:val="auto"/>
          <w:u w:val="none"/>
        </w:rPr>
        <w:t>http://www.abs.gov.au/ausstats/abs@.nsf/allprimarymainfeatures/a77d93484dc49d63ca25712300056842?opendocument</w:t>
      </w:r>
    </w:p>
    <w:p w:rsidR="001164BE" w:rsidRPr="00421991" w:rsidRDefault="001164BE" w:rsidP="001164BE">
      <w:pPr>
        <w:pStyle w:val="ReferencesBody"/>
        <w:rPr>
          <w:rStyle w:val="HyperlinkBody"/>
          <w:color w:val="auto"/>
          <w:u w:val="none"/>
        </w:rPr>
      </w:pPr>
      <w:r w:rsidRPr="00421991">
        <w:rPr>
          <w:color w:val="auto"/>
        </w:rPr>
        <w:t xml:space="preserve">Australian Safety and Compensation Council (ASCC) 2008. Type of Occurrence Classification System, Third Edition, Revision One. Canberra: ASCC. Accessed on 2 September 2014: </w:t>
      </w:r>
      <w:r w:rsidR="00421991" w:rsidRPr="008D5510">
        <w:rPr>
          <w:rStyle w:val="HyperlinkBody"/>
          <w:color w:val="auto"/>
          <w:u w:val="none"/>
        </w:rPr>
        <w:t>http://www.safeworkaustralia.gov.au/sites/swa/about/publications/pages/sr20080501toocs3rdeditionrevision</w:t>
      </w:r>
    </w:p>
    <w:p w:rsidR="001164BE" w:rsidRPr="00421991" w:rsidRDefault="001164BE" w:rsidP="001164BE">
      <w:pPr>
        <w:pStyle w:val="ReferencesBody"/>
        <w:rPr>
          <w:rStyle w:val="HyperlinkBody"/>
          <w:color w:val="auto"/>
          <w:u w:val="none"/>
        </w:rPr>
      </w:pPr>
      <w:r w:rsidRPr="00421991">
        <w:rPr>
          <w:color w:val="auto"/>
        </w:rPr>
        <w:t xml:space="preserve">National Occupational Health and Safety Commission (NOHSC) 2004. National Data Set for Compensation-Based Statistics, Third Edition. Canberra: NOHSC. Accessed on 5 December 2014: </w:t>
      </w:r>
      <w:r w:rsidR="00421991" w:rsidRPr="008D5510">
        <w:rPr>
          <w:rStyle w:val="HyperlinkBody"/>
          <w:color w:val="auto"/>
          <w:u w:val="none"/>
        </w:rPr>
        <w:t>http://www.safeworkaustralia.gov.au/sites/swa/about/publications/pages/sr200406ndsforcompensation3rdedition</w:t>
      </w:r>
    </w:p>
    <w:p w:rsidR="001164BE" w:rsidRPr="00421991" w:rsidRDefault="001164BE" w:rsidP="001164BE">
      <w:pPr>
        <w:pStyle w:val="TextBody"/>
        <w:rPr>
          <w:rStyle w:val="HyperlinkBody"/>
          <w:color w:val="auto"/>
          <w:u w:val="none"/>
        </w:rPr>
      </w:pPr>
      <w:r w:rsidRPr="00421991">
        <w:rPr>
          <w:color w:val="auto"/>
        </w:rPr>
        <w:t xml:space="preserve">Safe Work Australia (SWA) 2012. Australian Work Health and Safety Strategy 2012–2022. Canberra: SWA. Accessed on 26 March 2015: </w:t>
      </w:r>
      <w:r w:rsidR="00421991" w:rsidRPr="008D5510">
        <w:rPr>
          <w:rStyle w:val="HyperlinkBody"/>
          <w:color w:val="auto"/>
          <w:u w:val="none"/>
        </w:rPr>
        <w:t>http://www.safeworkaustralia.gov.au/sites/swa/about/publications/pages/australian-work-health-and-safety-strategy-2012-2022</w:t>
      </w:r>
    </w:p>
    <w:p w:rsidR="005062E3" w:rsidRDefault="005062E3">
      <w:r>
        <w:br w:type="page"/>
      </w:r>
    </w:p>
    <w:p w:rsidR="005062E3" w:rsidRPr="00E81CB3" w:rsidRDefault="00E81CB3" w:rsidP="005062E3">
      <w:pPr>
        <w:rPr>
          <w:color w:val="FFFFFF" w:themeColor="background1"/>
        </w:rPr>
      </w:pPr>
      <w:r w:rsidRPr="00E81CB3">
        <w:rPr>
          <w:color w:val="FFFFFF" w:themeColor="background1"/>
        </w:rPr>
        <w:lastRenderedPageBreak/>
        <w:t>.</w:t>
      </w:r>
    </w:p>
    <w:p w:rsidR="005062E3" w:rsidRPr="00E81CB3" w:rsidRDefault="00E81CB3" w:rsidP="005062E3">
      <w:pPr>
        <w:rPr>
          <w:color w:val="FFFFFF" w:themeColor="background1"/>
        </w:rPr>
      </w:pPr>
      <w:r w:rsidRPr="00E81CB3">
        <w:rPr>
          <w:color w:val="FFFFFF" w:themeColor="background1"/>
        </w:rPr>
        <w:t>.</w:t>
      </w:r>
    </w:p>
    <w:p w:rsidR="005062E3" w:rsidRPr="00E81CB3" w:rsidRDefault="00E81CB3" w:rsidP="005062E3">
      <w:pPr>
        <w:rPr>
          <w:color w:val="FFFFFF" w:themeColor="background1"/>
        </w:rPr>
      </w:pPr>
      <w:r w:rsidRPr="00E81CB3">
        <w:rPr>
          <w:color w:val="FFFFFF" w:themeColor="background1"/>
        </w:rPr>
        <w:t>.</w:t>
      </w:r>
    </w:p>
    <w:p w:rsidR="005062E3" w:rsidRPr="00E81CB3" w:rsidRDefault="00E81CB3" w:rsidP="005062E3">
      <w:pPr>
        <w:rPr>
          <w:color w:val="FFFFFF" w:themeColor="background1"/>
        </w:rPr>
      </w:pPr>
      <w:r w:rsidRPr="00E81CB3">
        <w:rPr>
          <w:color w:val="FFFFFF" w:themeColor="background1"/>
        </w:rPr>
        <w:t>.</w:t>
      </w:r>
    </w:p>
    <w:p w:rsidR="005062E3" w:rsidRPr="00E81CB3" w:rsidRDefault="00E81CB3" w:rsidP="005062E3">
      <w:pPr>
        <w:rPr>
          <w:color w:val="FFFFFF" w:themeColor="background1"/>
        </w:rPr>
      </w:pPr>
      <w:r w:rsidRPr="00E81CB3">
        <w:rPr>
          <w:color w:val="FFFFFF" w:themeColor="background1"/>
        </w:rPr>
        <w:t>.</w:t>
      </w:r>
    </w:p>
    <w:p w:rsidR="005062E3" w:rsidRPr="00E81CB3" w:rsidRDefault="00E81CB3" w:rsidP="005062E3">
      <w:pPr>
        <w:rPr>
          <w:color w:val="FFFFFF" w:themeColor="background1"/>
        </w:rPr>
      </w:pPr>
      <w:r w:rsidRPr="00E81CB3">
        <w:rPr>
          <w:color w:val="FFFFFF" w:themeColor="background1"/>
        </w:rPr>
        <w:t>.</w:t>
      </w:r>
    </w:p>
    <w:p w:rsidR="005062E3" w:rsidRPr="00E81CB3" w:rsidRDefault="00E81CB3" w:rsidP="005062E3">
      <w:pPr>
        <w:rPr>
          <w:color w:val="FFFFFF" w:themeColor="background1"/>
        </w:rPr>
      </w:pPr>
      <w:r w:rsidRPr="00E81CB3">
        <w:rPr>
          <w:color w:val="FFFFFF" w:themeColor="background1"/>
        </w:rPr>
        <w:t>.</w:t>
      </w:r>
    </w:p>
    <w:p w:rsidR="005062E3" w:rsidRPr="00E81CB3" w:rsidRDefault="00E81CB3" w:rsidP="005062E3">
      <w:pPr>
        <w:rPr>
          <w:color w:val="FFFFFF" w:themeColor="background1"/>
        </w:rPr>
      </w:pPr>
      <w:r w:rsidRPr="00E81CB3">
        <w:rPr>
          <w:color w:val="FFFFFF" w:themeColor="background1"/>
        </w:rPr>
        <w:t>.</w:t>
      </w:r>
    </w:p>
    <w:p w:rsidR="005062E3" w:rsidRPr="00E81CB3" w:rsidRDefault="00E81CB3" w:rsidP="005062E3">
      <w:pPr>
        <w:rPr>
          <w:color w:val="FFFFFF" w:themeColor="background1"/>
        </w:rPr>
      </w:pPr>
      <w:r w:rsidRPr="00E81CB3">
        <w:rPr>
          <w:color w:val="FFFFFF" w:themeColor="background1"/>
        </w:rPr>
        <w:t>.</w:t>
      </w:r>
    </w:p>
    <w:p w:rsidR="005062E3" w:rsidRPr="00E81CB3" w:rsidRDefault="00E81CB3" w:rsidP="005062E3">
      <w:pPr>
        <w:rPr>
          <w:color w:val="FFFFFF" w:themeColor="background1"/>
        </w:rPr>
      </w:pPr>
      <w:r w:rsidRPr="00E81CB3">
        <w:rPr>
          <w:color w:val="FFFFFF" w:themeColor="background1"/>
        </w:rPr>
        <w:t>.</w:t>
      </w:r>
    </w:p>
    <w:p w:rsidR="005062E3" w:rsidRPr="00E81CB3" w:rsidRDefault="00E81CB3" w:rsidP="005062E3">
      <w:pPr>
        <w:rPr>
          <w:color w:val="FFFFFF" w:themeColor="background1"/>
        </w:rPr>
      </w:pPr>
      <w:r w:rsidRPr="00E81CB3">
        <w:rPr>
          <w:color w:val="FFFFFF" w:themeColor="background1"/>
        </w:rPr>
        <w:t>.</w:t>
      </w:r>
    </w:p>
    <w:p w:rsidR="005062E3" w:rsidRPr="005062E3" w:rsidRDefault="005062E3" w:rsidP="005062E3">
      <w:pPr>
        <w:jc w:val="center"/>
        <w:rPr>
          <w:b/>
        </w:rPr>
      </w:pPr>
      <w:r w:rsidRPr="005062E3">
        <w:rPr>
          <w:b/>
        </w:rPr>
        <w:t>Safe Work Australia</w:t>
      </w:r>
    </w:p>
    <w:p w:rsidR="005062E3" w:rsidRDefault="005062E3" w:rsidP="005062E3">
      <w:pPr>
        <w:jc w:val="center"/>
      </w:pPr>
      <w:r>
        <w:t>GPO Box 641</w:t>
      </w:r>
    </w:p>
    <w:p w:rsidR="005062E3" w:rsidRDefault="005062E3" w:rsidP="005062E3">
      <w:pPr>
        <w:jc w:val="center"/>
      </w:pPr>
      <w:r>
        <w:t>Canberra ACT 2601</w:t>
      </w:r>
    </w:p>
    <w:p w:rsidR="001164BE" w:rsidRDefault="005062E3" w:rsidP="005062E3">
      <w:pPr>
        <w:jc w:val="center"/>
      </w:pPr>
      <w:r>
        <w:t xml:space="preserve">Email: </w:t>
      </w:r>
      <w:hyperlink r:id="rId22" w:history="1">
        <w:r w:rsidRPr="00F97938">
          <w:rPr>
            <w:rStyle w:val="Hyperlink"/>
          </w:rPr>
          <w:t>info@swa.gov.au</w:t>
        </w:r>
      </w:hyperlink>
    </w:p>
    <w:p w:rsidR="005062E3" w:rsidRPr="00E81CB3" w:rsidRDefault="00E81CB3" w:rsidP="005062E3">
      <w:pPr>
        <w:jc w:val="center"/>
        <w:rPr>
          <w:color w:val="FFFFFF" w:themeColor="background1"/>
        </w:rPr>
      </w:pPr>
      <w:r w:rsidRPr="00E81CB3">
        <w:rPr>
          <w:color w:val="FFFFFF" w:themeColor="background1"/>
        </w:rPr>
        <w:t>.</w:t>
      </w:r>
    </w:p>
    <w:p w:rsidR="005062E3" w:rsidRPr="00E81CB3" w:rsidRDefault="00E81CB3" w:rsidP="005062E3">
      <w:pPr>
        <w:jc w:val="center"/>
        <w:rPr>
          <w:color w:val="FFFFFF" w:themeColor="background1"/>
        </w:rPr>
      </w:pPr>
      <w:r w:rsidRPr="00E81CB3">
        <w:rPr>
          <w:color w:val="FFFFFF" w:themeColor="background1"/>
        </w:rPr>
        <w:t>.</w:t>
      </w:r>
    </w:p>
    <w:p w:rsidR="005062E3" w:rsidRPr="00E81CB3" w:rsidRDefault="00E81CB3" w:rsidP="005062E3">
      <w:pPr>
        <w:jc w:val="center"/>
        <w:rPr>
          <w:color w:val="FFFFFF" w:themeColor="background1"/>
        </w:rPr>
      </w:pPr>
      <w:r w:rsidRPr="00E81CB3">
        <w:rPr>
          <w:color w:val="FFFFFF" w:themeColor="background1"/>
        </w:rPr>
        <w:t>.</w:t>
      </w:r>
    </w:p>
    <w:p w:rsidR="005062E3" w:rsidRPr="00E81CB3" w:rsidRDefault="00E81CB3" w:rsidP="005062E3">
      <w:pPr>
        <w:jc w:val="center"/>
        <w:rPr>
          <w:color w:val="FFFFFF" w:themeColor="background1"/>
        </w:rPr>
      </w:pPr>
      <w:r w:rsidRPr="00E81CB3">
        <w:rPr>
          <w:color w:val="FFFFFF" w:themeColor="background1"/>
        </w:rPr>
        <w:t>.</w:t>
      </w:r>
    </w:p>
    <w:p w:rsidR="005062E3" w:rsidRPr="00E81CB3" w:rsidRDefault="00E81CB3" w:rsidP="005062E3">
      <w:pPr>
        <w:jc w:val="center"/>
        <w:rPr>
          <w:color w:val="FFFFFF" w:themeColor="background1"/>
        </w:rPr>
      </w:pPr>
      <w:r w:rsidRPr="00E81CB3">
        <w:rPr>
          <w:color w:val="FFFFFF" w:themeColor="background1"/>
        </w:rPr>
        <w:t>.</w:t>
      </w:r>
    </w:p>
    <w:p w:rsidR="005062E3" w:rsidRPr="00E81CB3" w:rsidRDefault="00E81CB3" w:rsidP="005062E3">
      <w:pPr>
        <w:jc w:val="center"/>
        <w:rPr>
          <w:color w:val="FFFFFF" w:themeColor="background1"/>
        </w:rPr>
      </w:pPr>
      <w:r w:rsidRPr="00E81CB3">
        <w:rPr>
          <w:color w:val="FFFFFF" w:themeColor="background1"/>
        </w:rPr>
        <w:t>.</w:t>
      </w:r>
    </w:p>
    <w:p w:rsidR="005062E3" w:rsidRPr="00E81CB3" w:rsidRDefault="00E81CB3" w:rsidP="005062E3">
      <w:pPr>
        <w:jc w:val="center"/>
        <w:rPr>
          <w:color w:val="FFFFFF" w:themeColor="background1"/>
        </w:rPr>
      </w:pPr>
      <w:r w:rsidRPr="00E81CB3">
        <w:rPr>
          <w:color w:val="FFFFFF" w:themeColor="background1"/>
        </w:rPr>
        <w:t>.</w:t>
      </w:r>
    </w:p>
    <w:p w:rsidR="005062E3" w:rsidRPr="00E81CB3" w:rsidRDefault="00E81CB3" w:rsidP="005062E3">
      <w:pPr>
        <w:jc w:val="center"/>
        <w:rPr>
          <w:color w:val="FFFFFF" w:themeColor="background1"/>
        </w:rPr>
      </w:pPr>
      <w:r w:rsidRPr="00E81CB3">
        <w:rPr>
          <w:color w:val="FFFFFF" w:themeColor="background1"/>
        </w:rPr>
        <w:t>.</w:t>
      </w:r>
    </w:p>
    <w:p w:rsidR="005062E3" w:rsidRPr="00E81CB3" w:rsidRDefault="00E81CB3" w:rsidP="005062E3">
      <w:pPr>
        <w:jc w:val="center"/>
        <w:rPr>
          <w:color w:val="FFFFFF" w:themeColor="background1"/>
        </w:rPr>
      </w:pPr>
      <w:r w:rsidRPr="00E81CB3">
        <w:rPr>
          <w:color w:val="FFFFFF" w:themeColor="background1"/>
        </w:rPr>
        <w:t>.</w:t>
      </w:r>
    </w:p>
    <w:p w:rsidR="005062E3" w:rsidRPr="00E81CB3" w:rsidRDefault="00E81CB3" w:rsidP="005062E3">
      <w:pPr>
        <w:jc w:val="center"/>
        <w:rPr>
          <w:color w:val="FFFFFF" w:themeColor="background1"/>
        </w:rPr>
      </w:pPr>
      <w:r w:rsidRPr="00E81CB3">
        <w:rPr>
          <w:color w:val="FFFFFF" w:themeColor="background1"/>
        </w:rPr>
        <w:t>.</w:t>
      </w:r>
    </w:p>
    <w:p w:rsidR="005062E3" w:rsidRPr="00E81CB3" w:rsidRDefault="00E81CB3" w:rsidP="005062E3">
      <w:pPr>
        <w:jc w:val="center"/>
        <w:rPr>
          <w:color w:val="FFFFFF" w:themeColor="background1"/>
        </w:rPr>
      </w:pPr>
      <w:r w:rsidRPr="00E81CB3">
        <w:rPr>
          <w:color w:val="FFFFFF" w:themeColor="background1"/>
        </w:rPr>
        <w:t>.</w:t>
      </w:r>
    </w:p>
    <w:p w:rsidR="005062E3" w:rsidRPr="00E81CB3" w:rsidRDefault="00E81CB3" w:rsidP="005062E3">
      <w:pPr>
        <w:jc w:val="center"/>
        <w:rPr>
          <w:color w:val="FFFFFF" w:themeColor="background1"/>
        </w:rPr>
      </w:pPr>
      <w:r w:rsidRPr="00E81CB3">
        <w:rPr>
          <w:color w:val="FFFFFF" w:themeColor="background1"/>
        </w:rPr>
        <w:t>.</w:t>
      </w:r>
    </w:p>
    <w:p w:rsidR="005062E3" w:rsidRPr="00E81CB3" w:rsidRDefault="00E81CB3" w:rsidP="005062E3">
      <w:pPr>
        <w:jc w:val="center"/>
        <w:rPr>
          <w:color w:val="FFFFFF" w:themeColor="background1"/>
        </w:rPr>
      </w:pPr>
      <w:r w:rsidRPr="00E81CB3">
        <w:rPr>
          <w:color w:val="FFFFFF" w:themeColor="background1"/>
        </w:rPr>
        <w:t>.</w:t>
      </w:r>
    </w:p>
    <w:p w:rsidR="005062E3" w:rsidRPr="00E81CB3" w:rsidRDefault="00E81CB3" w:rsidP="005062E3">
      <w:pPr>
        <w:jc w:val="center"/>
        <w:rPr>
          <w:color w:val="FFFFFF" w:themeColor="background1"/>
        </w:rPr>
      </w:pPr>
      <w:r w:rsidRPr="00E81CB3">
        <w:rPr>
          <w:color w:val="FFFFFF" w:themeColor="background1"/>
        </w:rPr>
        <w:t>.</w:t>
      </w:r>
    </w:p>
    <w:p w:rsidR="005062E3" w:rsidRPr="00421991" w:rsidRDefault="005062E3" w:rsidP="005062E3">
      <w:pPr>
        <w:jc w:val="center"/>
      </w:pPr>
      <w:r>
        <w:rPr>
          <w:noProof/>
        </w:rPr>
        <w:drawing>
          <wp:inline distT="0" distB="0" distL="0" distR="0" wp14:anchorId="6C777A18" wp14:editId="3E93EC32">
            <wp:extent cx="1761744" cy="356616"/>
            <wp:effectExtent l="0" t="0" r="0" b="5715"/>
            <wp:docPr id="9" name="Picture 9" descr="Safe Work Australia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1744" cy="356616"/>
                    </a:xfrm>
                    <a:prstGeom prst="rect">
                      <a:avLst/>
                    </a:prstGeom>
                  </pic:spPr>
                </pic:pic>
              </a:graphicData>
            </a:graphic>
          </wp:inline>
        </w:drawing>
      </w:r>
    </w:p>
    <w:sectPr w:rsidR="005062E3" w:rsidRPr="00421991" w:rsidSect="003854D0">
      <w:footerReference w:type="default" r:id="rId23"/>
      <w:footnotePr>
        <w:numFmt w:val="chicago"/>
      </w:footnotePr>
      <w:pgSz w:w="11906" w:h="16838"/>
      <w:pgMar w:top="1077" w:right="1077" w:bottom="1077"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018" w:rsidRDefault="00EE7018" w:rsidP="001164BE">
      <w:pPr>
        <w:spacing w:after="0" w:line="240" w:lineRule="auto"/>
      </w:pPr>
      <w:r>
        <w:separator/>
      </w:r>
    </w:p>
  </w:endnote>
  <w:endnote w:type="continuationSeparator" w:id="0">
    <w:p w:rsidR="00EE7018" w:rsidRDefault="00EE7018" w:rsidP="0011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18" w:rsidRPr="003854D0" w:rsidRDefault="00EE7018">
    <w:pPr>
      <w:pStyle w:val="Footer"/>
      <w:rPr>
        <w:sz w:val="20"/>
        <w:szCs w:val="20"/>
      </w:rPr>
    </w:pPr>
    <w:r w:rsidRPr="003854D0">
      <w:rPr>
        <w:sz w:val="20"/>
        <w:szCs w:val="20"/>
      </w:rPr>
      <w:t>Work Health and Safety in the Accommodation and Food Services Industry</w:t>
    </w:r>
    <w:r>
      <w:rPr>
        <w:sz w:val="20"/>
        <w:szCs w:val="20"/>
      </w:rPr>
      <w:ptab w:relativeTo="margin" w:alignment="right" w:leader="none"/>
    </w:r>
    <w:r w:rsidRPr="003854D0">
      <w:rPr>
        <w:sz w:val="20"/>
        <w:szCs w:val="20"/>
      </w:rPr>
      <w:fldChar w:fldCharType="begin"/>
    </w:r>
    <w:r w:rsidRPr="003854D0">
      <w:rPr>
        <w:sz w:val="20"/>
        <w:szCs w:val="20"/>
      </w:rPr>
      <w:instrText xml:space="preserve"> PAGE   \* MERGEFORMAT </w:instrText>
    </w:r>
    <w:r w:rsidRPr="003854D0">
      <w:rPr>
        <w:sz w:val="20"/>
        <w:szCs w:val="20"/>
      </w:rPr>
      <w:fldChar w:fldCharType="separate"/>
    </w:r>
    <w:r w:rsidR="000B362B">
      <w:rPr>
        <w:noProof/>
        <w:sz w:val="20"/>
        <w:szCs w:val="20"/>
      </w:rPr>
      <w:t>2</w:t>
    </w:r>
    <w:r w:rsidRPr="003854D0">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018" w:rsidRDefault="00EE7018" w:rsidP="001164BE">
      <w:pPr>
        <w:spacing w:after="0" w:line="240" w:lineRule="auto"/>
      </w:pPr>
      <w:r>
        <w:separator/>
      </w:r>
    </w:p>
  </w:footnote>
  <w:footnote w:type="continuationSeparator" w:id="0">
    <w:p w:rsidR="00EE7018" w:rsidRDefault="00EE7018" w:rsidP="001164BE">
      <w:pPr>
        <w:spacing w:after="0" w:line="240" w:lineRule="auto"/>
      </w:pPr>
      <w:r>
        <w:continuationSeparator/>
      </w:r>
    </w:p>
  </w:footnote>
  <w:footnote w:id="1">
    <w:p w:rsidR="00EE7018" w:rsidRDefault="00EE7018" w:rsidP="001164BE">
      <w:pPr>
        <w:pStyle w:val="FootnoteFiguresandtables"/>
      </w:pPr>
      <w:r>
        <w:rPr>
          <w:rStyle w:val="FootnoteReference"/>
          <w:rFonts w:eastAsia="SimSun"/>
          <w:color w:val="auto"/>
          <w:kern w:val="22"/>
          <w:sz w:val="20"/>
          <w:szCs w:val="20"/>
          <w:lang w:val="en-AU" w:eastAsia="en-AU"/>
        </w:rPr>
        <w:footnoteRef/>
      </w:r>
      <w:r>
        <w:t>—Estimate has a relative standard error between 25% and 50% and should be used with caution.</w:t>
      </w:r>
    </w:p>
    <w:p w:rsidR="00EE7018" w:rsidRDefault="00EE7018" w:rsidP="001164BE">
      <w:pPr>
        <w:pStyle w:val="FootnoteFiguresandtable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773"/>
    <w:multiLevelType w:val="hybridMultilevel"/>
    <w:tmpl w:val="93548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E728D5"/>
    <w:multiLevelType w:val="hybridMultilevel"/>
    <w:tmpl w:val="24D2D5F2"/>
    <w:lvl w:ilvl="0" w:tplc="25FEFB4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BEA1580"/>
    <w:multiLevelType w:val="hybridMultilevel"/>
    <w:tmpl w:val="1AB4C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767A1D"/>
    <w:multiLevelType w:val="hybridMultilevel"/>
    <w:tmpl w:val="DE4A7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A309AF"/>
    <w:multiLevelType w:val="hybridMultilevel"/>
    <w:tmpl w:val="56E06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476368"/>
    <w:multiLevelType w:val="hybridMultilevel"/>
    <w:tmpl w:val="C3564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6F63101"/>
    <w:multiLevelType w:val="hybridMultilevel"/>
    <w:tmpl w:val="54DE4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190A59"/>
    <w:multiLevelType w:val="hybridMultilevel"/>
    <w:tmpl w:val="4290E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7A95C54"/>
    <w:multiLevelType w:val="hybridMultilevel"/>
    <w:tmpl w:val="B10E1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3924FE1"/>
    <w:multiLevelType w:val="hybridMultilevel"/>
    <w:tmpl w:val="B538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CA61F85"/>
    <w:multiLevelType w:val="hybridMultilevel"/>
    <w:tmpl w:val="CA827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E731B61"/>
    <w:multiLevelType w:val="hybridMultilevel"/>
    <w:tmpl w:val="36EEC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9877314"/>
    <w:multiLevelType w:val="hybridMultilevel"/>
    <w:tmpl w:val="A782B60A"/>
    <w:lvl w:ilvl="0" w:tplc="185005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AC77F25"/>
    <w:multiLevelType w:val="hybridMultilevel"/>
    <w:tmpl w:val="45228754"/>
    <w:lvl w:ilvl="0" w:tplc="14B4C0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
  </w:num>
  <w:num w:numId="4">
    <w:abstractNumId w:val="12"/>
  </w:num>
  <w:num w:numId="5">
    <w:abstractNumId w:val="7"/>
  </w:num>
  <w:num w:numId="6">
    <w:abstractNumId w:val="9"/>
  </w:num>
  <w:num w:numId="7">
    <w:abstractNumId w:val="13"/>
  </w:num>
  <w:num w:numId="8">
    <w:abstractNumId w:val="0"/>
  </w:num>
  <w:num w:numId="9">
    <w:abstractNumId w:val="10"/>
  </w:num>
  <w:num w:numId="10">
    <w:abstractNumId w:val="11"/>
  </w:num>
  <w:num w:numId="11">
    <w:abstractNumId w:val="5"/>
  </w:num>
  <w:num w:numId="12">
    <w:abstractNumId w:val="4"/>
  </w:num>
  <w:num w:numId="13">
    <w:abstractNumId w:val="8"/>
  </w:num>
  <w:num w:numId="14">
    <w:abstractNumId w:val="3"/>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BE"/>
    <w:rsid w:val="00002BC1"/>
    <w:rsid w:val="0000553D"/>
    <w:rsid w:val="00024D2E"/>
    <w:rsid w:val="00063FB1"/>
    <w:rsid w:val="000B362B"/>
    <w:rsid w:val="001164BE"/>
    <w:rsid w:val="00126B88"/>
    <w:rsid w:val="00157B30"/>
    <w:rsid w:val="001F0E02"/>
    <w:rsid w:val="00212383"/>
    <w:rsid w:val="002518CA"/>
    <w:rsid w:val="002C08A2"/>
    <w:rsid w:val="002D4D5C"/>
    <w:rsid w:val="002E1ECA"/>
    <w:rsid w:val="002E3AEF"/>
    <w:rsid w:val="00312329"/>
    <w:rsid w:val="003854D0"/>
    <w:rsid w:val="003B46EB"/>
    <w:rsid w:val="00421991"/>
    <w:rsid w:val="005062E3"/>
    <w:rsid w:val="005119F9"/>
    <w:rsid w:val="00593BBA"/>
    <w:rsid w:val="005A1972"/>
    <w:rsid w:val="00681892"/>
    <w:rsid w:val="0068666E"/>
    <w:rsid w:val="007049E9"/>
    <w:rsid w:val="00723065"/>
    <w:rsid w:val="00767FA1"/>
    <w:rsid w:val="007C4268"/>
    <w:rsid w:val="00832668"/>
    <w:rsid w:val="008D5510"/>
    <w:rsid w:val="009D6EB6"/>
    <w:rsid w:val="009E22B3"/>
    <w:rsid w:val="009F629A"/>
    <w:rsid w:val="00A453C2"/>
    <w:rsid w:val="00B120A5"/>
    <w:rsid w:val="00B16E03"/>
    <w:rsid w:val="00B24D72"/>
    <w:rsid w:val="00BC1B96"/>
    <w:rsid w:val="00BC6529"/>
    <w:rsid w:val="00BE3348"/>
    <w:rsid w:val="00BF77B9"/>
    <w:rsid w:val="00C632ED"/>
    <w:rsid w:val="00C71B51"/>
    <w:rsid w:val="00CF3859"/>
    <w:rsid w:val="00D10294"/>
    <w:rsid w:val="00DB0001"/>
    <w:rsid w:val="00DD2ECE"/>
    <w:rsid w:val="00E13DB6"/>
    <w:rsid w:val="00E81CB3"/>
    <w:rsid w:val="00E85488"/>
    <w:rsid w:val="00E9341D"/>
    <w:rsid w:val="00E967F3"/>
    <w:rsid w:val="00EE7018"/>
    <w:rsid w:val="00F0346E"/>
    <w:rsid w:val="00F0444C"/>
    <w:rsid w:val="00F23BD3"/>
    <w:rsid w:val="00F70F3C"/>
    <w:rsid w:val="00F851EA"/>
    <w:rsid w:val="00FA4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2"/>
        <w:sz w:val="22"/>
        <w:szCs w:val="22"/>
        <w:lang w:val="en-AU" w:eastAsia="en-US" w:bidi="ar-SA"/>
      </w:rPr>
    </w:rPrDefault>
    <w:pPrDefault>
      <w:pPr>
        <w:spacing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9" w:qFormat="1"/>
    <w:lsdException w:name="heading 3" w:locked="0"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locked="0" w:uiPriority="1"/>
    <w:lsdException w:name="Subtitle" w:uiPriority="11" w:qFormat="1"/>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68666E"/>
    <w:rPr>
      <w:rFonts w:eastAsia="SimSun"/>
      <w:lang w:eastAsia="en-AU"/>
    </w:rPr>
  </w:style>
  <w:style w:type="paragraph" w:styleId="Heading1">
    <w:name w:val="heading 1"/>
    <w:basedOn w:val="Normal"/>
    <w:next w:val="Normal"/>
    <w:link w:val="Heading1Char"/>
    <w:autoRedefine/>
    <w:uiPriority w:val="1"/>
    <w:unhideWhenUsed/>
    <w:qFormat/>
    <w:rsid w:val="002C08A2"/>
    <w:pPr>
      <w:outlineLvl w:val="0"/>
    </w:pPr>
    <w:rPr>
      <w:b/>
      <w:sz w:val="40"/>
      <w:szCs w:val="44"/>
    </w:rPr>
  </w:style>
  <w:style w:type="paragraph" w:styleId="Heading2">
    <w:name w:val="heading 2"/>
    <w:basedOn w:val="Normal"/>
    <w:next w:val="Normal"/>
    <w:link w:val="Heading2Char"/>
    <w:autoRedefine/>
    <w:uiPriority w:val="9"/>
    <w:unhideWhenUsed/>
    <w:qFormat/>
    <w:rsid w:val="002C08A2"/>
    <w:pPr>
      <w:spacing w:before="60" w:after="60"/>
      <w:outlineLvl w:val="1"/>
    </w:pPr>
    <w:rPr>
      <w:b/>
      <w:sz w:val="28"/>
      <w:szCs w:val="28"/>
    </w:rPr>
  </w:style>
  <w:style w:type="paragraph" w:styleId="Heading3">
    <w:name w:val="heading 3"/>
    <w:basedOn w:val="Normal"/>
    <w:next w:val="Normal"/>
    <w:link w:val="Heading3Char"/>
    <w:autoRedefine/>
    <w:uiPriority w:val="9"/>
    <w:unhideWhenUsed/>
    <w:qFormat/>
    <w:rsid w:val="002C08A2"/>
    <w:pPr>
      <w:spacing w:before="40" w:after="40"/>
      <w:outlineLvl w:val="2"/>
    </w:pPr>
    <w:rPr>
      <w:b/>
    </w:rPr>
  </w:style>
  <w:style w:type="paragraph" w:styleId="Heading4">
    <w:name w:val="heading 4"/>
    <w:basedOn w:val="Normal"/>
    <w:next w:val="Normal"/>
    <w:link w:val="Heading4Char"/>
    <w:autoRedefine/>
    <w:uiPriority w:val="9"/>
    <w:semiHidden/>
    <w:unhideWhenUsed/>
    <w:locked/>
    <w:rsid w:val="00E967F3"/>
    <w:pPr>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08A2"/>
    <w:rPr>
      <w:rFonts w:eastAsia="SimSun"/>
      <w:b/>
      <w:sz w:val="40"/>
      <w:szCs w:val="44"/>
      <w:lang w:eastAsia="en-AU"/>
    </w:rPr>
  </w:style>
  <w:style w:type="character" w:customStyle="1" w:styleId="Heading2Char">
    <w:name w:val="Heading 2 Char"/>
    <w:basedOn w:val="DefaultParagraphFont"/>
    <w:link w:val="Heading2"/>
    <w:uiPriority w:val="9"/>
    <w:rsid w:val="002C08A2"/>
    <w:rPr>
      <w:rFonts w:eastAsia="SimSun"/>
      <w:b/>
      <w:sz w:val="28"/>
      <w:szCs w:val="28"/>
      <w:lang w:eastAsia="en-AU"/>
    </w:rPr>
  </w:style>
  <w:style w:type="character" w:customStyle="1" w:styleId="Heading3Char">
    <w:name w:val="Heading 3 Char"/>
    <w:basedOn w:val="DefaultParagraphFont"/>
    <w:link w:val="Heading3"/>
    <w:uiPriority w:val="9"/>
    <w:rsid w:val="002C08A2"/>
    <w:rPr>
      <w:rFonts w:eastAsia="SimSun"/>
      <w:b/>
      <w:lang w:eastAsia="en-AU"/>
    </w:rPr>
  </w:style>
  <w:style w:type="character" w:customStyle="1" w:styleId="Heading4Char">
    <w:name w:val="Heading 4 Char"/>
    <w:basedOn w:val="DefaultParagraphFont"/>
    <w:link w:val="Heading4"/>
    <w:uiPriority w:val="9"/>
    <w:semiHidden/>
    <w:rsid w:val="00E967F3"/>
    <w:rPr>
      <w:rFonts w:eastAsiaTheme="majorEastAsia" w:cstheme="majorBidi"/>
      <w:bCs/>
      <w:i/>
      <w:iCs/>
      <w:lang w:eastAsia="en-AU"/>
    </w:rPr>
  </w:style>
  <w:style w:type="paragraph" w:styleId="BalloonText">
    <w:name w:val="Balloon Text"/>
    <w:basedOn w:val="Normal"/>
    <w:link w:val="BalloonTextChar"/>
    <w:uiPriority w:val="99"/>
    <w:semiHidden/>
    <w:unhideWhenUsed/>
    <w:locked/>
    <w:rsid w:val="00116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BE"/>
    <w:rPr>
      <w:rFonts w:ascii="Tahoma" w:eastAsia="SimSun" w:hAnsi="Tahoma" w:cs="Tahoma"/>
      <w:sz w:val="16"/>
      <w:szCs w:val="16"/>
      <w:lang w:eastAsia="en-AU"/>
    </w:rPr>
  </w:style>
  <w:style w:type="paragraph" w:customStyle="1" w:styleId="TextBody">
    <w:name w:val="Text (Body)"/>
    <w:basedOn w:val="Normal"/>
    <w:uiPriority w:val="99"/>
    <w:rsid w:val="001164BE"/>
    <w:pPr>
      <w:suppressAutoHyphens/>
      <w:autoSpaceDE w:val="0"/>
      <w:autoSpaceDN w:val="0"/>
      <w:adjustRightInd w:val="0"/>
      <w:spacing w:before="57" w:after="57" w:line="288" w:lineRule="auto"/>
      <w:textAlignment w:val="center"/>
    </w:pPr>
    <w:rPr>
      <w:rFonts w:eastAsiaTheme="minorHAnsi"/>
      <w:color w:val="000000"/>
      <w:kern w:val="0"/>
      <w:sz w:val="20"/>
      <w:szCs w:val="20"/>
      <w:lang w:val="en-GB" w:eastAsia="en-US"/>
    </w:rPr>
  </w:style>
  <w:style w:type="character" w:customStyle="1" w:styleId="BoldBody">
    <w:name w:val="Bold (Body)"/>
    <w:uiPriority w:val="99"/>
    <w:rsid w:val="001164BE"/>
    <w:rPr>
      <w:b/>
      <w:bCs/>
      <w:lang w:val="en-GB"/>
    </w:rPr>
  </w:style>
  <w:style w:type="character" w:customStyle="1" w:styleId="HyperlinkBody">
    <w:name w:val="Hyperlink (Body)"/>
    <w:uiPriority w:val="99"/>
    <w:rsid w:val="001164BE"/>
    <w:rPr>
      <w:rFonts w:ascii="Arial" w:hAnsi="Arial" w:cs="Arial"/>
      <w:color w:val="001E5B"/>
      <w:sz w:val="20"/>
      <w:szCs w:val="20"/>
      <w:u w:val="thick" w:color="001E5B"/>
      <w:lang w:val="en-GB"/>
    </w:rPr>
  </w:style>
  <w:style w:type="paragraph" w:customStyle="1" w:styleId="NoParagraphStyle">
    <w:name w:val="[No Paragraph Style]"/>
    <w:rsid w:val="001164BE"/>
    <w:pPr>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customStyle="1" w:styleId="BasicParagraph">
    <w:name w:val="[Basic Paragraph]"/>
    <w:basedOn w:val="NoParagraphStyle"/>
    <w:uiPriority w:val="99"/>
    <w:rsid w:val="001164BE"/>
    <w:pPr>
      <w:spacing w:before="113" w:after="113" w:line="240" w:lineRule="atLeast"/>
    </w:pPr>
    <w:rPr>
      <w:rFonts w:ascii="Arial" w:hAnsi="Arial" w:cs="Arial"/>
      <w:sz w:val="20"/>
      <w:szCs w:val="20"/>
    </w:rPr>
  </w:style>
  <w:style w:type="paragraph" w:customStyle="1" w:styleId="Heading1Titles">
    <w:name w:val="Heading 1 (Titles)"/>
    <w:basedOn w:val="TextBody"/>
    <w:uiPriority w:val="99"/>
    <w:rsid w:val="001164BE"/>
    <w:pPr>
      <w:pageBreakBefore/>
      <w:spacing w:before="170" w:after="170"/>
    </w:pPr>
    <w:rPr>
      <w:b/>
      <w:bCs/>
      <w:color w:val="35E800"/>
      <w:sz w:val="48"/>
      <w:szCs w:val="48"/>
    </w:rPr>
  </w:style>
  <w:style w:type="paragraph" w:customStyle="1" w:styleId="Heading2Titles">
    <w:name w:val="Heading 2 (Titles)"/>
    <w:basedOn w:val="Heading1Titles"/>
    <w:uiPriority w:val="99"/>
    <w:rsid w:val="001164BE"/>
    <w:pPr>
      <w:pageBreakBefore w:val="0"/>
      <w:tabs>
        <w:tab w:val="left" w:pos="1417"/>
      </w:tabs>
      <w:spacing w:before="113" w:after="113"/>
    </w:pPr>
    <w:rPr>
      <w:sz w:val="28"/>
      <w:szCs w:val="28"/>
    </w:rPr>
  </w:style>
  <w:style w:type="paragraph" w:customStyle="1" w:styleId="Heading3Titles">
    <w:name w:val="Heading 3 (Titles)"/>
    <w:basedOn w:val="Heading2Titles"/>
    <w:next w:val="TextBody"/>
    <w:uiPriority w:val="99"/>
    <w:rsid w:val="001164BE"/>
    <w:pPr>
      <w:spacing w:before="57" w:after="57"/>
    </w:pPr>
    <w:rPr>
      <w:sz w:val="24"/>
      <w:szCs w:val="24"/>
    </w:rPr>
  </w:style>
  <w:style w:type="paragraph" w:customStyle="1" w:styleId="BulletlistBody">
    <w:name w:val="Bullet list (Body)"/>
    <w:basedOn w:val="TextBody"/>
    <w:uiPriority w:val="99"/>
    <w:rsid w:val="001164BE"/>
    <w:pPr>
      <w:spacing w:before="0"/>
      <w:ind w:left="794" w:hanging="227"/>
    </w:pPr>
  </w:style>
  <w:style w:type="paragraph" w:customStyle="1" w:styleId="Figuretitle">
    <w:name w:val="Figure title"/>
    <w:aliases w:val="1 digit (Figures and tables)"/>
    <w:basedOn w:val="TextBody"/>
    <w:uiPriority w:val="99"/>
    <w:rsid w:val="001164BE"/>
    <w:pPr>
      <w:ind w:left="907" w:hanging="907"/>
    </w:pPr>
    <w:rPr>
      <w:b/>
      <w:bCs/>
    </w:rPr>
  </w:style>
  <w:style w:type="paragraph" w:customStyle="1" w:styleId="FootnoteFiguresandtables">
    <w:name w:val="Footnote (Figures and tables)"/>
    <w:basedOn w:val="NoParagraphStyle"/>
    <w:uiPriority w:val="99"/>
    <w:rsid w:val="001164BE"/>
    <w:pPr>
      <w:spacing w:after="57"/>
    </w:pPr>
    <w:rPr>
      <w:rFonts w:ascii="Arial" w:hAnsi="Arial" w:cs="Arial"/>
      <w:sz w:val="16"/>
      <w:szCs w:val="16"/>
    </w:rPr>
  </w:style>
  <w:style w:type="paragraph" w:customStyle="1" w:styleId="Tabletitle">
    <w:name w:val="Table title"/>
    <w:aliases w:val="1 digit (Figures and tables)1"/>
    <w:basedOn w:val="TextBody"/>
    <w:uiPriority w:val="99"/>
    <w:rsid w:val="001164BE"/>
    <w:pPr>
      <w:ind w:left="794" w:hanging="794"/>
    </w:pPr>
    <w:rPr>
      <w:b/>
      <w:bCs/>
    </w:rPr>
  </w:style>
  <w:style w:type="paragraph" w:customStyle="1" w:styleId="Tabletitle1">
    <w:name w:val="Table title1"/>
    <w:aliases w:val="2 digit (Figures and tables)"/>
    <w:basedOn w:val="Tabletitle"/>
    <w:uiPriority w:val="99"/>
    <w:rsid w:val="001164BE"/>
    <w:pPr>
      <w:ind w:left="907" w:hanging="907"/>
    </w:pPr>
  </w:style>
  <w:style w:type="paragraph" w:customStyle="1" w:styleId="ReferencesBody">
    <w:name w:val="References (Body)"/>
    <w:basedOn w:val="TextBody"/>
    <w:uiPriority w:val="99"/>
    <w:rsid w:val="001164BE"/>
    <w:pPr>
      <w:spacing w:after="170"/>
    </w:pPr>
  </w:style>
  <w:style w:type="paragraph" w:customStyle="1" w:styleId="Tabletext">
    <w:name w:val="Table text"/>
    <w:aliases w:val="left 1 (Figures and tables)"/>
    <w:basedOn w:val="TextBody"/>
    <w:uiPriority w:val="99"/>
    <w:rsid w:val="001164BE"/>
    <w:rPr>
      <w:sz w:val="18"/>
      <w:szCs w:val="18"/>
    </w:rPr>
  </w:style>
  <w:style w:type="paragraph" w:customStyle="1" w:styleId="Tabletext2">
    <w:name w:val="Table text2"/>
    <w:aliases w:val="centre (Figures and tables)"/>
    <w:basedOn w:val="Tabletext"/>
    <w:uiPriority w:val="99"/>
    <w:rsid w:val="001164BE"/>
    <w:pPr>
      <w:jc w:val="center"/>
    </w:pPr>
  </w:style>
  <w:style w:type="paragraph" w:customStyle="1" w:styleId="Tabletext1">
    <w:name w:val="Table text1"/>
    <w:aliases w:val="left 2 (Figures and tables)"/>
    <w:basedOn w:val="Tabletext"/>
    <w:uiPriority w:val="99"/>
    <w:rsid w:val="001164BE"/>
    <w:pPr>
      <w:ind w:left="283"/>
    </w:pPr>
  </w:style>
  <w:style w:type="table" w:styleId="TableGrid">
    <w:name w:val="Table Grid"/>
    <w:basedOn w:val="TableNormal"/>
    <w:uiPriority w:val="59"/>
    <w:locked/>
    <w:rsid w:val="0015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locked/>
    <w:rsid w:val="00421991"/>
    <w:rPr>
      <w:color w:val="0000FF" w:themeColor="hyperlink"/>
      <w:u w:val="single"/>
    </w:rPr>
  </w:style>
  <w:style w:type="paragraph" w:styleId="TOCHeading">
    <w:name w:val="TOC Heading"/>
    <w:basedOn w:val="Heading1"/>
    <w:next w:val="Normal"/>
    <w:uiPriority w:val="39"/>
    <w:unhideWhenUsed/>
    <w:qFormat/>
    <w:locked/>
    <w:rsid w:val="005062E3"/>
    <w:pPr>
      <w:keepNext/>
      <w:keepLines/>
      <w:spacing w:before="480" w:after="0"/>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1">
    <w:name w:val="toc 1"/>
    <w:basedOn w:val="Normal"/>
    <w:next w:val="Normal"/>
    <w:autoRedefine/>
    <w:uiPriority w:val="39"/>
    <w:unhideWhenUsed/>
    <w:locked/>
    <w:rsid w:val="005062E3"/>
    <w:pPr>
      <w:spacing w:after="100"/>
    </w:pPr>
  </w:style>
  <w:style w:type="paragraph" w:styleId="TOC2">
    <w:name w:val="toc 2"/>
    <w:basedOn w:val="Normal"/>
    <w:next w:val="Normal"/>
    <w:autoRedefine/>
    <w:uiPriority w:val="39"/>
    <w:unhideWhenUsed/>
    <w:locked/>
    <w:rsid w:val="005062E3"/>
    <w:pPr>
      <w:spacing w:after="100"/>
      <w:ind w:left="220"/>
    </w:pPr>
  </w:style>
  <w:style w:type="paragraph" w:styleId="TOC3">
    <w:name w:val="toc 3"/>
    <w:basedOn w:val="Normal"/>
    <w:next w:val="Normal"/>
    <w:autoRedefine/>
    <w:uiPriority w:val="39"/>
    <w:unhideWhenUsed/>
    <w:locked/>
    <w:rsid w:val="005062E3"/>
    <w:pPr>
      <w:spacing w:after="100"/>
      <w:ind w:left="440"/>
    </w:pPr>
  </w:style>
  <w:style w:type="paragraph" w:styleId="FootnoteText">
    <w:name w:val="footnote text"/>
    <w:basedOn w:val="Normal"/>
    <w:link w:val="FootnoteTextChar"/>
    <w:uiPriority w:val="99"/>
    <w:semiHidden/>
    <w:unhideWhenUsed/>
    <w:locked/>
    <w:rsid w:val="009F62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29A"/>
    <w:rPr>
      <w:rFonts w:eastAsia="SimSun"/>
      <w:sz w:val="20"/>
      <w:szCs w:val="20"/>
      <w:lang w:eastAsia="en-AU"/>
    </w:rPr>
  </w:style>
  <w:style w:type="character" w:styleId="FootnoteReference">
    <w:name w:val="footnote reference"/>
    <w:basedOn w:val="DefaultParagraphFont"/>
    <w:uiPriority w:val="99"/>
    <w:semiHidden/>
    <w:unhideWhenUsed/>
    <w:locked/>
    <w:rsid w:val="009F629A"/>
    <w:rPr>
      <w:vertAlign w:val="superscript"/>
    </w:rPr>
  </w:style>
  <w:style w:type="paragraph" w:styleId="Header">
    <w:name w:val="header"/>
    <w:basedOn w:val="Normal"/>
    <w:link w:val="HeaderChar"/>
    <w:uiPriority w:val="99"/>
    <w:unhideWhenUsed/>
    <w:locked/>
    <w:rsid w:val="00385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4D0"/>
    <w:rPr>
      <w:rFonts w:eastAsia="SimSun"/>
      <w:lang w:eastAsia="en-AU"/>
    </w:rPr>
  </w:style>
  <w:style w:type="paragraph" w:styleId="Footer">
    <w:name w:val="footer"/>
    <w:basedOn w:val="Normal"/>
    <w:link w:val="FooterChar"/>
    <w:uiPriority w:val="99"/>
    <w:unhideWhenUsed/>
    <w:locked/>
    <w:rsid w:val="00385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4D0"/>
    <w:rPr>
      <w:rFonts w:eastAsia="SimSun"/>
      <w:lang w:eastAsia="en-AU"/>
    </w:rPr>
  </w:style>
  <w:style w:type="paragraph" w:styleId="ListParagraph">
    <w:name w:val="List Paragraph"/>
    <w:basedOn w:val="Normal"/>
    <w:uiPriority w:val="34"/>
    <w:unhideWhenUsed/>
    <w:qFormat/>
    <w:locked/>
    <w:rsid w:val="00E13D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2"/>
        <w:sz w:val="22"/>
        <w:szCs w:val="22"/>
        <w:lang w:val="en-AU" w:eastAsia="en-US" w:bidi="ar-SA"/>
      </w:rPr>
    </w:rPrDefault>
    <w:pPrDefault>
      <w:pPr>
        <w:spacing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9" w:qFormat="1"/>
    <w:lsdException w:name="heading 3" w:locked="0"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locked="0" w:uiPriority="1"/>
    <w:lsdException w:name="Subtitle" w:uiPriority="11" w:qFormat="1"/>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68666E"/>
    <w:rPr>
      <w:rFonts w:eastAsia="SimSun"/>
      <w:lang w:eastAsia="en-AU"/>
    </w:rPr>
  </w:style>
  <w:style w:type="paragraph" w:styleId="Heading1">
    <w:name w:val="heading 1"/>
    <w:basedOn w:val="Normal"/>
    <w:next w:val="Normal"/>
    <w:link w:val="Heading1Char"/>
    <w:autoRedefine/>
    <w:uiPriority w:val="1"/>
    <w:unhideWhenUsed/>
    <w:qFormat/>
    <w:rsid w:val="002C08A2"/>
    <w:pPr>
      <w:outlineLvl w:val="0"/>
    </w:pPr>
    <w:rPr>
      <w:b/>
      <w:sz w:val="40"/>
      <w:szCs w:val="44"/>
    </w:rPr>
  </w:style>
  <w:style w:type="paragraph" w:styleId="Heading2">
    <w:name w:val="heading 2"/>
    <w:basedOn w:val="Normal"/>
    <w:next w:val="Normal"/>
    <w:link w:val="Heading2Char"/>
    <w:autoRedefine/>
    <w:uiPriority w:val="9"/>
    <w:unhideWhenUsed/>
    <w:qFormat/>
    <w:rsid w:val="002C08A2"/>
    <w:pPr>
      <w:spacing w:before="60" w:after="60"/>
      <w:outlineLvl w:val="1"/>
    </w:pPr>
    <w:rPr>
      <w:b/>
      <w:sz w:val="28"/>
      <w:szCs w:val="28"/>
    </w:rPr>
  </w:style>
  <w:style w:type="paragraph" w:styleId="Heading3">
    <w:name w:val="heading 3"/>
    <w:basedOn w:val="Normal"/>
    <w:next w:val="Normal"/>
    <w:link w:val="Heading3Char"/>
    <w:autoRedefine/>
    <w:uiPriority w:val="9"/>
    <w:unhideWhenUsed/>
    <w:qFormat/>
    <w:rsid w:val="002C08A2"/>
    <w:pPr>
      <w:spacing w:before="40" w:after="40"/>
      <w:outlineLvl w:val="2"/>
    </w:pPr>
    <w:rPr>
      <w:b/>
    </w:rPr>
  </w:style>
  <w:style w:type="paragraph" w:styleId="Heading4">
    <w:name w:val="heading 4"/>
    <w:basedOn w:val="Normal"/>
    <w:next w:val="Normal"/>
    <w:link w:val="Heading4Char"/>
    <w:autoRedefine/>
    <w:uiPriority w:val="9"/>
    <w:semiHidden/>
    <w:unhideWhenUsed/>
    <w:locked/>
    <w:rsid w:val="00E967F3"/>
    <w:pPr>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08A2"/>
    <w:rPr>
      <w:rFonts w:eastAsia="SimSun"/>
      <w:b/>
      <w:sz w:val="40"/>
      <w:szCs w:val="44"/>
      <w:lang w:eastAsia="en-AU"/>
    </w:rPr>
  </w:style>
  <w:style w:type="character" w:customStyle="1" w:styleId="Heading2Char">
    <w:name w:val="Heading 2 Char"/>
    <w:basedOn w:val="DefaultParagraphFont"/>
    <w:link w:val="Heading2"/>
    <w:uiPriority w:val="9"/>
    <w:rsid w:val="002C08A2"/>
    <w:rPr>
      <w:rFonts w:eastAsia="SimSun"/>
      <w:b/>
      <w:sz w:val="28"/>
      <w:szCs w:val="28"/>
      <w:lang w:eastAsia="en-AU"/>
    </w:rPr>
  </w:style>
  <w:style w:type="character" w:customStyle="1" w:styleId="Heading3Char">
    <w:name w:val="Heading 3 Char"/>
    <w:basedOn w:val="DefaultParagraphFont"/>
    <w:link w:val="Heading3"/>
    <w:uiPriority w:val="9"/>
    <w:rsid w:val="002C08A2"/>
    <w:rPr>
      <w:rFonts w:eastAsia="SimSun"/>
      <w:b/>
      <w:lang w:eastAsia="en-AU"/>
    </w:rPr>
  </w:style>
  <w:style w:type="character" w:customStyle="1" w:styleId="Heading4Char">
    <w:name w:val="Heading 4 Char"/>
    <w:basedOn w:val="DefaultParagraphFont"/>
    <w:link w:val="Heading4"/>
    <w:uiPriority w:val="9"/>
    <w:semiHidden/>
    <w:rsid w:val="00E967F3"/>
    <w:rPr>
      <w:rFonts w:eastAsiaTheme="majorEastAsia" w:cstheme="majorBidi"/>
      <w:bCs/>
      <w:i/>
      <w:iCs/>
      <w:lang w:eastAsia="en-AU"/>
    </w:rPr>
  </w:style>
  <w:style w:type="paragraph" w:styleId="BalloonText">
    <w:name w:val="Balloon Text"/>
    <w:basedOn w:val="Normal"/>
    <w:link w:val="BalloonTextChar"/>
    <w:uiPriority w:val="99"/>
    <w:semiHidden/>
    <w:unhideWhenUsed/>
    <w:locked/>
    <w:rsid w:val="00116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BE"/>
    <w:rPr>
      <w:rFonts w:ascii="Tahoma" w:eastAsia="SimSun" w:hAnsi="Tahoma" w:cs="Tahoma"/>
      <w:sz w:val="16"/>
      <w:szCs w:val="16"/>
      <w:lang w:eastAsia="en-AU"/>
    </w:rPr>
  </w:style>
  <w:style w:type="paragraph" w:customStyle="1" w:styleId="TextBody">
    <w:name w:val="Text (Body)"/>
    <w:basedOn w:val="Normal"/>
    <w:uiPriority w:val="99"/>
    <w:rsid w:val="001164BE"/>
    <w:pPr>
      <w:suppressAutoHyphens/>
      <w:autoSpaceDE w:val="0"/>
      <w:autoSpaceDN w:val="0"/>
      <w:adjustRightInd w:val="0"/>
      <w:spacing w:before="57" w:after="57" w:line="288" w:lineRule="auto"/>
      <w:textAlignment w:val="center"/>
    </w:pPr>
    <w:rPr>
      <w:rFonts w:eastAsiaTheme="minorHAnsi"/>
      <w:color w:val="000000"/>
      <w:kern w:val="0"/>
      <w:sz w:val="20"/>
      <w:szCs w:val="20"/>
      <w:lang w:val="en-GB" w:eastAsia="en-US"/>
    </w:rPr>
  </w:style>
  <w:style w:type="character" w:customStyle="1" w:styleId="BoldBody">
    <w:name w:val="Bold (Body)"/>
    <w:uiPriority w:val="99"/>
    <w:rsid w:val="001164BE"/>
    <w:rPr>
      <w:b/>
      <w:bCs/>
      <w:lang w:val="en-GB"/>
    </w:rPr>
  </w:style>
  <w:style w:type="character" w:customStyle="1" w:styleId="HyperlinkBody">
    <w:name w:val="Hyperlink (Body)"/>
    <w:uiPriority w:val="99"/>
    <w:rsid w:val="001164BE"/>
    <w:rPr>
      <w:rFonts w:ascii="Arial" w:hAnsi="Arial" w:cs="Arial"/>
      <w:color w:val="001E5B"/>
      <w:sz w:val="20"/>
      <w:szCs w:val="20"/>
      <w:u w:val="thick" w:color="001E5B"/>
      <w:lang w:val="en-GB"/>
    </w:rPr>
  </w:style>
  <w:style w:type="paragraph" w:customStyle="1" w:styleId="NoParagraphStyle">
    <w:name w:val="[No Paragraph Style]"/>
    <w:rsid w:val="001164BE"/>
    <w:pPr>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customStyle="1" w:styleId="BasicParagraph">
    <w:name w:val="[Basic Paragraph]"/>
    <w:basedOn w:val="NoParagraphStyle"/>
    <w:uiPriority w:val="99"/>
    <w:rsid w:val="001164BE"/>
    <w:pPr>
      <w:spacing w:before="113" w:after="113" w:line="240" w:lineRule="atLeast"/>
    </w:pPr>
    <w:rPr>
      <w:rFonts w:ascii="Arial" w:hAnsi="Arial" w:cs="Arial"/>
      <w:sz w:val="20"/>
      <w:szCs w:val="20"/>
    </w:rPr>
  </w:style>
  <w:style w:type="paragraph" w:customStyle="1" w:styleId="Heading1Titles">
    <w:name w:val="Heading 1 (Titles)"/>
    <w:basedOn w:val="TextBody"/>
    <w:uiPriority w:val="99"/>
    <w:rsid w:val="001164BE"/>
    <w:pPr>
      <w:pageBreakBefore/>
      <w:spacing w:before="170" w:after="170"/>
    </w:pPr>
    <w:rPr>
      <w:b/>
      <w:bCs/>
      <w:color w:val="35E800"/>
      <w:sz w:val="48"/>
      <w:szCs w:val="48"/>
    </w:rPr>
  </w:style>
  <w:style w:type="paragraph" w:customStyle="1" w:styleId="Heading2Titles">
    <w:name w:val="Heading 2 (Titles)"/>
    <w:basedOn w:val="Heading1Titles"/>
    <w:uiPriority w:val="99"/>
    <w:rsid w:val="001164BE"/>
    <w:pPr>
      <w:pageBreakBefore w:val="0"/>
      <w:tabs>
        <w:tab w:val="left" w:pos="1417"/>
      </w:tabs>
      <w:spacing w:before="113" w:after="113"/>
    </w:pPr>
    <w:rPr>
      <w:sz w:val="28"/>
      <w:szCs w:val="28"/>
    </w:rPr>
  </w:style>
  <w:style w:type="paragraph" w:customStyle="1" w:styleId="Heading3Titles">
    <w:name w:val="Heading 3 (Titles)"/>
    <w:basedOn w:val="Heading2Titles"/>
    <w:next w:val="TextBody"/>
    <w:uiPriority w:val="99"/>
    <w:rsid w:val="001164BE"/>
    <w:pPr>
      <w:spacing w:before="57" w:after="57"/>
    </w:pPr>
    <w:rPr>
      <w:sz w:val="24"/>
      <w:szCs w:val="24"/>
    </w:rPr>
  </w:style>
  <w:style w:type="paragraph" w:customStyle="1" w:styleId="BulletlistBody">
    <w:name w:val="Bullet list (Body)"/>
    <w:basedOn w:val="TextBody"/>
    <w:uiPriority w:val="99"/>
    <w:rsid w:val="001164BE"/>
    <w:pPr>
      <w:spacing w:before="0"/>
      <w:ind w:left="794" w:hanging="227"/>
    </w:pPr>
  </w:style>
  <w:style w:type="paragraph" w:customStyle="1" w:styleId="Figuretitle">
    <w:name w:val="Figure title"/>
    <w:aliases w:val="1 digit (Figures and tables)"/>
    <w:basedOn w:val="TextBody"/>
    <w:uiPriority w:val="99"/>
    <w:rsid w:val="001164BE"/>
    <w:pPr>
      <w:ind w:left="907" w:hanging="907"/>
    </w:pPr>
    <w:rPr>
      <w:b/>
      <w:bCs/>
    </w:rPr>
  </w:style>
  <w:style w:type="paragraph" w:customStyle="1" w:styleId="FootnoteFiguresandtables">
    <w:name w:val="Footnote (Figures and tables)"/>
    <w:basedOn w:val="NoParagraphStyle"/>
    <w:uiPriority w:val="99"/>
    <w:rsid w:val="001164BE"/>
    <w:pPr>
      <w:spacing w:after="57"/>
    </w:pPr>
    <w:rPr>
      <w:rFonts w:ascii="Arial" w:hAnsi="Arial" w:cs="Arial"/>
      <w:sz w:val="16"/>
      <w:szCs w:val="16"/>
    </w:rPr>
  </w:style>
  <w:style w:type="paragraph" w:customStyle="1" w:styleId="Tabletitle">
    <w:name w:val="Table title"/>
    <w:aliases w:val="1 digit (Figures and tables)1"/>
    <w:basedOn w:val="TextBody"/>
    <w:uiPriority w:val="99"/>
    <w:rsid w:val="001164BE"/>
    <w:pPr>
      <w:ind w:left="794" w:hanging="794"/>
    </w:pPr>
    <w:rPr>
      <w:b/>
      <w:bCs/>
    </w:rPr>
  </w:style>
  <w:style w:type="paragraph" w:customStyle="1" w:styleId="Tabletitle1">
    <w:name w:val="Table title1"/>
    <w:aliases w:val="2 digit (Figures and tables)"/>
    <w:basedOn w:val="Tabletitle"/>
    <w:uiPriority w:val="99"/>
    <w:rsid w:val="001164BE"/>
    <w:pPr>
      <w:ind w:left="907" w:hanging="907"/>
    </w:pPr>
  </w:style>
  <w:style w:type="paragraph" w:customStyle="1" w:styleId="ReferencesBody">
    <w:name w:val="References (Body)"/>
    <w:basedOn w:val="TextBody"/>
    <w:uiPriority w:val="99"/>
    <w:rsid w:val="001164BE"/>
    <w:pPr>
      <w:spacing w:after="170"/>
    </w:pPr>
  </w:style>
  <w:style w:type="paragraph" w:customStyle="1" w:styleId="Tabletext">
    <w:name w:val="Table text"/>
    <w:aliases w:val="left 1 (Figures and tables)"/>
    <w:basedOn w:val="TextBody"/>
    <w:uiPriority w:val="99"/>
    <w:rsid w:val="001164BE"/>
    <w:rPr>
      <w:sz w:val="18"/>
      <w:szCs w:val="18"/>
    </w:rPr>
  </w:style>
  <w:style w:type="paragraph" w:customStyle="1" w:styleId="Tabletext2">
    <w:name w:val="Table text2"/>
    <w:aliases w:val="centre (Figures and tables)"/>
    <w:basedOn w:val="Tabletext"/>
    <w:uiPriority w:val="99"/>
    <w:rsid w:val="001164BE"/>
    <w:pPr>
      <w:jc w:val="center"/>
    </w:pPr>
  </w:style>
  <w:style w:type="paragraph" w:customStyle="1" w:styleId="Tabletext1">
    <w:name w:val="Table text1"/>
    <w:aliases w:val="left 2 (Figures and tables)"/>
    <w:basedOn w:val="Tabletext"/>
    <w:uiPriority w:val="99"/>
    <w:rsid w:val="001164BE"/>
    <w:pPr>
      <w:ind w:left="283"/>
    </w:pPr>
  </w:style>
  <w:style w:type="table" w:styleId="TableGrid">
    <w:name w:val="Table Grid"/>
    <w:basedOn w:val="TableNormal"/>
    <w:uiPriority w:val="59"/>
    <w:locked/>
    <w:rsid w:val="0015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locked/>
    <w:rsid w:val="00421991"/>
    <w:rPr>
      <w:color w:val="0000FF" w:themeColor="hyperlink"/>
      <w:u w:val="single"/>
    </w:rPr>
  </w:style>
  <w:style w:type="paragraph" w:styleId="TOCHeading">
    <w:name w:val="TOC Heading"/>
    <w:basedOn w:val="Heading1"/>
    <w:next w:val="Normal"/>
    <w:uiPriority w:val="39"/>
    <w:unhideWhenUsed/>
    <w:qFormat/>
    <w:locked/>
    <w:rsid w:val="005062E3"/>
    <w:pPr>
      <w:keepNext/>
      <w:keepLines/>
      <w:spacing w:before="480" w:after="0"/>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1">
    <w:name w:val="toc 1"/>
    <w:basedOn w:val="Normal"/>
    <w:next w:val="Normal"/>
    <w:autoRedefine/>
    <w:uiPriority w:val="39"/>
    <w:unhideWhenUsed/>
    <w:locked/>
    <w:rsid w:val="005062E3"/>
    <w:pPr>
      <w:spacing w:after="100"/>
    </w:pPr>
  </w:style>
  <w:style w:type="paragraph" w:styleId="TOC2">
    <w:name w:val="toc 2"/>
    <w:basedOn w:val="Normal"/>
    <w:next w:val="Normal"/>
    <w:autoRedefine/>
    <w:uiPriority w:val="39"/>
    <w:unhideWhenUsed/>
    <w:locked/>
    <w:rsid w:val="005062E3"/>
    <w:pPr>
      <w:spacing w:after="100"/>
      <w:ind w:left="220"/>
    </w:pPr>
  </w:style>
  <w:style w:type="paragraph" w:styleId="TOC3">
    <w:name w:val="toc 3"/>
    <w:basedOn w:val="Normal"/>
    <w:next w:val="Normal"/>
    <w:autoRedefine/>
    <w:uiPriority w:val="39"/>
    <w:unhideWhenUsed/>
    <w:locked/>
    <w:rsid w:val="005062E3"/>
    <w:pPr>
      <w:spacing w:after="100"/>
      <w:ind w:left="440"/>
    </w:pPr>
  </w:style>
  <w:style w:type="paragraph" w:styleId="FootnoteText">
    <w:name w:val="footnote text"/>
    <w:basedOn w:val="Normal"/>
    <w:link w:val="FootnoteTextChar"/>
    <w:uiPriority w:val="99"/>
    <w:semiHidden/>
    <w:unhideWhenUsed/>
    <w:locked/>
    <w:rsid w:val="009F62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29A"/>
    <w:rPr>
      <w:rFonts w:eastAsia="SimSun"/>
      <w:sz w:val="20"/>
      <w:szCs w:val="20"/>
      <w:lang w:eastAsia="en-AU"/>
    </w:rPr>
  </w:style>
  <w:style w:type="character" w:styleId="FootnoteReference">
    <w:name w:val="footnote reference"/>
    <w:basedOn w:val="DefaultParagraphFont"/>
    <w:uiPriority w:val="99"/>
    <w:semiHidden/>
    <w:unhideWhenUsed/>
    <w:locked/>
    <w:rsid w:val="009F629A"/>
    <w:rPr>
      <w:vertAlign w:val="superscript"/>
    </w:rPr>
  </w:style>
  <w:style w:type="paragraph" w:styleId="Header">
    <w:name w:val="header"/>
    <w:basedOn w:val="Normal"/>
    <w:link w:val="HeaderChar"/>
    <w:uiPriority w:val="99"/>
    <w:unhideWhenUsed/>
    <w:locked/>
    <w:rsid w:val="00385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4D0"/>
    <w:rPr>
      <w:rFonts w:eastAsia="SimSun"/>
      <w:lang w:eastAsia="en-AU"/>
    </w:rPr>
  </w:style>
  <w:style w:type="paragraph" w:styleId="Footer">
    <w:name w:val="footer"/>
    <w:basedOn w:val="Normal"/>
    <w:link w:val="FooterChar"/>
    <w:uiPriority w:val="99"/>
    <w:unhideWhenUsed/>
    <w:locked/>
    <w:rsid w:val="00385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4D0"/>
    <w:rPr>
      <w:rFonts w:eastAsia="SimSun"/>
      <w:lang w:eastAsia="en-AU"/>
    </w:rPr>
  </w:style>
  <w:style w:type="paragraph" w:styleId="ListParagraph">
    <w:name w:val="List Paragraph"/>
    <w:basedOn w:val="Normal"/>
    <w:uiPriority w:val="34"/>
    <w:unhideWhenUsed/>
    <w:qFormat/>
    <w:locked/>
    <w:rsid w:val="00E13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hyperlink" Target="mailto:copyrightrequests@safeworkaustralia.gov.au" TargetMode="Externa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hyperlink" Target="mailto:info@swa.gov.au" TargetMode="External"/><Relationship Id="rId27"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PNAS100\51000186\Data%20and%20Analysis\Publications\Accomodation%20and%20Food%20Services\data\lfs,%202012-1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PNAS100\51000186\Data%20and%20Analysis\Publications\Accomodation%20and%20Food%20Services\data\lfs,%202012-13.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PNAS100\51000186\Data%20and%20Analysis\Publications\Accomodation%20and%20Food%20Services\data\lfs,%202012-1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100\51000186\Data%20and%20Analysis\Publications\Accomodation%20and%20Food%20Services\data\lfs,%202012-1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NAS100\51000186\Data%20and%20Analysis\Publications\Accomodation%20and%20Food%20Services\data\nds,%20subdivision,%202000-01%20to%202012-1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NAS100\51000186\Data%20and%20Analysis\Publications\Accomodation%20and%20Food%20Services\data\nds,%20industry,%20jurisdiction,%20sex,%20age%20group,%202010-11%20to%202012-13.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PNAS100\51000186\Data%20and%20Analysis\Publications\Accomodation%20and%20Food%20Services\data\wris,%20published%20data,%202013-1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PNAS100\51000186\Data%20and%20Analysis\Publications\Accomodation%20and%20Food%20Services\data\wris,%20published%20data,%202013-14.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EPNAS100\51000186\Data%20and%20Analysis\Publications\Accomodation%20and%20Food%20Services\data\tif,%202003%20to%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722779548626055"/>
          <c:y val="3.8596480564586109E-2"/>
          <c:w val="0.51861967672994125"/>
          <c:h val="0.82879950818545434"/>
        </c:manualLayout>
      </c:layout>
      <c:barChart>
        <c:barDir val="bar"/>
        <c:grouping val="clustered"/>
        <c:varyColors val="0"/>
        <c:ser>
          <c:idx val="0"/>
          <c:order val="0"/>
          <c:spPr>
            <a:solidFill>
              <a:schemeClr val="tx1">
                <a:lumMod val="65000"/>
                <a:lumOff val="35000"/>
              </a:schemeClr>
            </a:solidFill>
            <a:ln>
              <a:solidFill>
                <a:schemeClr val="tx1">
                  <a:lumMod val="65000"/>
                  <a:lumOff val="35000"/>
                </a:schemeClr>
              </a:solidFill>
            </a:ln>
          </c:spPr>
          <c:invertIfNegative val="0"/>
          <c:dPt>
            <c:idx val="12"/>
            <c:invertIfNegative val="0"/>
            <c:bubble3D val="0"/>
            <c:spPr>
              <a:solidFill>
                <a:srgbClr val="00B050"/>
              </a:solidFill>
              <a:ln>
                <a:solidFill>
                  <a:srgbClr val="00B050"/>
                </a:solidFill>
              </a:ln>
            </c:spPr>
          </c:dPt>
          <c:cat>
            <c:strRef>
              <c:f>'Workers by industry'!$A$1:$A$19</c:f>
              <c:strCache>
                <c:ptCount val="19"/>
                <c:pt idx="0">
                  <c:v>Electricity, gas, water and waste services</c:v>
                </c:pt>
                <c:pt idx="1">
                  <c:v>Rental, hiring and real estate services</c:v>
                </c:pt>
                <c:pt idx="2">
                  <c:v>Arts and recreation services</c:v>
                </c:pt>
                <c:pt idx="3">
                  <c:v>Information media and telecommunications</c:v>
                </c:pt>
                <c:pt idx="4">
                  <c:v>Mining</c:v>
                </c:pt>
                <c:pt idx="5">
                  <c:v>Agriculture, forestry and fishing</c:v>
                </c:pt>
                <c:pt idx="6">
                  <c:v>Administrative and support services</c:v>
                </c:pt>
                <c:pt idx="7">
                  <c:v>Financial and insurance services</c:v>
                </c:pt>
                <c:pt idx="8">
                  <c:v>Wholesale trade</c:v>
                </c:pt>
                <c:pt idx="9">
                  <c:v>Other services</c:v>
                </c:pt>
                <c:pt idx="10">
                  <c:v>Transport, postal and warehousing</c:v>
                </c:pt>
                <c:pt idx="11">
                  <c:v>Public administration and safety</c:v>
                </c:pt>
                <c:pt idx="12">
                  <c:v>Accommodation and food services</c:v>
                </c:pt>
                <c:pt idx="13">
                  <c:v>Education and training</c:v>
                </c:pt>
                <c:pt idx="14">
                  <c:v>Professional, scientific and technical services</c:v>
                </c:pt>
                <c:pt idx="15">
                  <c:v>Manufacturing</c:v>
                </c:pt>
                <c:pt idx="16">
                  <c:v>Construction</c:v>
                </c:pt>
                <c:pt idx="17">
                  <c:v>Retail trade</c:v>
                </c:pt>
                <c:pt idx="18">
                  <c:v>Health care and social assistance</c:v>
                </c:pt>
              </c:strCache>
            </c:strRef>
          </c:cat>
          <c:val>
            <c:numRef>
              <c:f>'Workers by industry'!$B$1:$B$19</c:f>
              <c:numCache>
                <c:formatCode>#,##0</c:formatCode>
                <c:ptCount val="19"/>
                <c:pt idx="0">
                  <c:v>142900</c:v>
                </c:pt>
                <c:pt idx="1">
                  <c:v>196350</c:v>
                </c:pt>
                <c:pt idx="2">
                  <c:v>209325</c:v>
                </c:pt>
                <c:pt idx="3">
                  <c:v>221225</c:v>
                </c:pt>
                <c:pt idx="4">
                  <c:v>265625</c:v>
                </c:pt>
                <c:pt idx="5">
                  <c:v>301650</c:v>
                </c:pt>
                <c:pt idx="6">
                  <c:v>392725</c:v>
                </c:pt>
                <c:pt idx="7">
                  <c:v>415500</c:v>
                </c:pt>
                <c:pt idx="8">
                  <c:v>428675</c:v>
                </c:pt>
                <c:pt idx="9">
                  <c:v>449725</c:v>
                </c:pt>
                <c:pt idx="10">
                  <c:v>584425</c:v>
                </c:pt>
                <c:pt idx="11">
                  <c:v>705375</c:v>
                </c:pt>
                <c:pt idx="12">
                  <c:v>780575</c:v>
                </c:pt>
                <c:pt idx="13">
                  <c:v>893350</c:v>
                </c:pt>
                <c:pt idx="14">
                  <c:v>906800</c:v>
                </c:pt>
                <c:pt idx="15">
                  <c:v>935025</c:v>
                </c:pt>
                <c:pt idx="16">
                  <c:v>986750</c:v>
                </c:pt>
                <c:pt idx="17">
                  <c:v>1208475</c:v>
                </c:pt>
                <c:pt idx="18">
                  <c:v>1364175</c:v>
                </c:pt>
              </c:numCache>
            </c:numRef>
          </c:val>
        </c:ser>
        <c:dLbls>
          <c:showLegendKey val="0"/>
          <c:showVal val="0"/>
          <c:showCatName val="0"/>
          <c:showSerName val="0"/>
          <c:showPercent val="0"/>
          <c:showBubbleSize val="0"/>
        </c:dLbls>
        <c:gapWidth val="150"/>
        <c:axId val="43226624"/>
        <c:axId val="43524480"/>
      </c:barChart>
      <c:catAx>
        <c:axId val="43226624"/>
        <c:scaling>
          <c:orientation val="minMax"/>
        </c:scaling>
        <c:delete val="0"/>
        <c:axPos val="l"/>
        <c:numFmt formatCode="General" sourceLinked="1"/>
        <c:majorTickMark val="none"/>
        <c:minorTickMark val="out"/>
        <c:tickLblPos val="nextTo"/>
        <c:txPr>
          <a:bodyPr rot="0" vert="horz"/>
          <a:lstStyle/>
          <a:p>
            <a:pPr>
              <a:defRPr sz="800" b="0" i="0" u="none" strike="noStrike" baseline="0">
                <a:solidFill>
                  <a:srgbClr val="000000"/>
                </a:solidFill>
                <a:latin typeface="Arial"/>
                <a:ea typeface="Arial"/>
                <a:cs typeface="Arial"/>
              </a:defRPr>
            </a:pPr>
            <a:endParaRPr lang="en-US"/>
          </a:p>
        </c:txPr>
        <c:crossAx val="43524480"/>
        <c:crosses val="autoZero"/>
        <c:auto val="1"/>
        <c:lblAlgn val="ctr"/>
        <c:lblOffset val="100"/>
        <c:noMultiLvlLbl val="0"/>
      </c:catAx>
      <c:valAx>
        <c:axId val="43524480"/>
        <c:scaling>
          <c:orientation val="minMax"/>
        </c:scaling>
        <c:delete val="0"/>
        <c:axPos val="b"/>
        <c:majorGridlines/>
        <c:numFmt formatCode="#,##0" sourceLinked="1"/>
        <c:majorTickMark val="out"/>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43226624"/>
        <c:crosses val="autoZero"/>
        <c:crossBetween val="between"/>
      </c:valAx>
    </c:plotArea>
    <c:plotVisOnly val="1"/>
    <c:dispBlanksAs val="gap"/>
    <c:showDLblsOverMax val="0"/>
  </c:chart>
  <c:spPr>
    <a:ln>
      <a:solidFill>
        <a:schemeClr val="tx1"/>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722779548626055"/>
          <c:y val="3.8596480564586109E-2"/>
          <c:w val="0.52271963656662501"/>
          <c:h val="0.81034512768472777"/>
        </c:manualLayout>
      </c:layout>
      <c:barChart>
        <c:barDir val="bar"/>
        <c:grouping val="clustered"/>
        <c:varyColors val="0"/>
        <c:ser>
          <c:idx val="0"/>
          <c:order val="0"/>
          <c:tx>
            <c:strRef>
              <c:f>'Workers by age group'!$B$24</c:f>
              <c:strCache>
                <c:ptCount val="1"/>
                <c:pt idx="0">
                  <c:v>15–24</c:v>
                </c:pt>
              </c:strCache>
            </c:strRef>
          </c:tx>
          <c:spPr>
            <a:solidFill>
              <a:schemeClr val="tx1">
                <a:lumMod val="65000"/>
                <a:lumOff val="35000"/>
              </a:schemeClr>
            </a:solidFill>
          </c:spPr>
          <c:invertIfNegative val="0"/>
          <c:dPt>
            <c:idx val="19"/>
            <c:invertIfNegative val="0"/>
            <c:bubble3D val="0"/>
            <c:spPr>
              <a:solidFill>
                <a:srgbClr val="00B050"/>
              </a:solidFill>
            </c:spPr>
          </c:dPt>
          <c:cat>
            <c:strRef>
              <c:f>'Workers by age group'!$A$25:$A$44</c:f>
              <c:strCache>
                <c:ptCount val="20"/>
                <c:pt idx="0">
                  <c:v>Total (Australian workforce)</c:v>
                </c:pt>
                <c:pt idx="1">
                  <c:v>Public administration and safety</c:v>
                </c:pt>
                <c:pt idx="2">
                  <c:v>Electricity, gas, water and waste services</c:v>
                </c:pt>
                <c:pt idx="3">
                  <c:v>Mining</c:v>
                </c:pt>
                <c:pt idx="4">
                  <c:v>Transport, postal and warehousing</c:v>
                </c:pt>
                <c:pt idx="5">
                  <c:v>Education and training</c:v>
                </c:pt>
                <c:pt idx="6">
                  <c:v>Financial and insurance services</c:v>
                </c:pt>
                <c:pt idx="7">
                  <c:v>Agriculture, forestry and fishing</c:v>
                </c:pt>
                <c:pt idx="8">
                  <c:v>Health care and social assistance</c:v>
                </c:pt>
                <c:pt idx="9">
                  <c:v>Professional, scientific and technical services</c:v>
                </c:pt>
                <c:pt idx="10">
                  <c:v>Wholesale trade</c:v>
                </c:pt>
                <c:pt idx="11">
                  <c:v>Administrative and support services</c:v>
                </c:pt>
                <c:pt idx="12">
                  <c:v>Manufacturing</c:v>
                </c:pt>
                <c:pt idx="13">
                  <c:v>Rental, hiring and real estate services</c:v>
                </c:pt>
                <c:pt idx="14">
                  <c:v>Information media and telecommunications</c:v>
                </c:pt>
                <c:pt idx="15">
                  <c:v>Construction</c:v>
                </c:pt>
                <c:pt idx="16">
                  <c:v>Other services</c:v>
                </c:pt>
                <c:pt idx="17">
                  <c:v>Arts and recreation services</c:v>
                </c:pt>
                <c:pt idx="18">
                  <c:v>Retail trade</c:v>
                </c:pt>
                <c:pt idx="19">
                  <c:v>Accommodation and food services</c:v>
                </c:pt>
              </c:strCache>
            </c:strRef>
          </c:cat>
          <c:val>
            <c:numRef>
              <c:f>'Workers by age group'!$B$25:$B$44</c:f>
              <c:numCache>
                <c:formatCode>0%</c:formatCode>
                <c:ptCount val="20"/>
                <c:pt idx="0">
                  <c:v>0.15855154988815692</c:v>
                </c:pt>
                <c:pt idx="1">
                  <c:v>6.1952861952861954E-2</c:v>
                </c:pt>
                <c:pt idx="2">
                  <c:v>8.3245890171388601E-2</c:v>
                </c:pt>
                <c:pt idx="3">
                  <c:v>8.648597779032563E-2</c:v>
                </c:pt>
                <c:pt idx="4">
                  <c:v>8.6658967449420421E-2</c:v>
                </c:pt>
                <c:pt idx="5">
                  <c:v>8.7393311879110119E-2</c:v>
                </c:pt>
                <c:pt idx="6">
                  <c:v>9.1751398832801881E-2</c:v>
                </c:pt>
                <c:pt idx="7">
                  <c:v>9.3237195425161609E-2</c:v>
                </c:pt>
                <c:pt idx="8">
                  <c:v>9.698346955979914E-2</c:v>
                </c:pt>
                <c:pt idx="9">
                  <c:v>9.7899205999117778E-2</c:v>
                </c:pt>
                <c:pt idx="10">
                  <c:v>9.8967749460547039E-2</c:v>
                </c:pt>
                <c:pt idx="11">
                  <c:v>0.12585142275128908</c:v>
                </c:pt>
                <c:pt idx="12">
                  <c:v>0.12593246169888506</c:v>
                </c:pt>
                <c:pt idx="13">
                  <c:v>0.12950464790525912</c:v>
                </c:pt>
                <c:pt idx="14">
                  <c:v>0.14589219120804611</c:v>
                </c:pt>
                <c:pt idx="15">
                  <c:v>0.16819517632752332</c:v>
                </c:pt>
                <c:pt idx="16">
                  <c:v>0.18272277502918449</c:v>
                </c:pt>
                <c:pt idx="17">
                  <c:v>0.27699474438604876</c:v>
                </c:pt>
                <c:pt idx="18">
                  <c:v>0.33036120650419959</c:v>
                </c:pt>
                <c:pt idx="19">
                  <c:v>0.43359062229766521</c:v>
                </c:pt>
              </c:numCache>
            </c:numRef>
          </c:val>
        </c:ser>
        <c:dLbls>
          <c:showLegendKey val="0"/>
          <c:showVal val="0"/>
          <c:showCatName val="0"/>
          <c:showSerName val="0"/>
          <c:showPercent val="0"/>
          <c:showBubbleSize val="0"/>
        </c:dLbls>
        <c:gapWidth val="150"/>
        <c:axId val="44375040"/>
        <c:axId val="44414848"/>
      </c:barChart>
      <c:catAx>
        <c:axId val="44375040"/>
        <c:scaling>
          <c:orientation val="minMax"/>
        </c:scaling>
        <c:delete val="0"/>
        <c:axPos val="l"/>
        <c:numFmt formatCode="General" sourceLinked="1"/>
        <c:majorTickMark val="none"/>
        <c:minorTickMark val="out"/>
        <c:tickLblPos val="nextTo"/>
        <c:txPr>
          <a:bodyPr rot="0" vert="horz"/>
          <a:lstStyle/>
          <a:p>
            <a:pPr>
              <a:defRPr sz="800" b="0" i="0" u="none" strike="noStrike" baseline="0">
                <a:solidFill>
                  <a:srgbClr val="000000"/>
                </a:solidFill>
                <a:latin typeface="Arial"/>
                <a:ea typeface="Arial"/>
                <a:cs typeface="Arial"/>
              </a:defRPr>
            </a:pPr>
            <a:endParaRPr lang="en-US"/>
          </a:p>
        </c:txPr>
        <c:crossAx val="44414848"/>
        <c:crosses val="autoZero"/>
        <c:auto val="1"/>
        <c:lblAlgn val="ctr"/>
        <c:lblOffset val="100"/>
        <c:noMultiLvlLbl val="0"/>
      </c:catAx>
      <c:valAx>
        <c:axId val="44414848"/>
        <c:scaling>
          <c:orientation val="minMax"/>
          <c:max val="0.45"/>
          <c:min val="0"/>
        </c:scaling>
        <c:delete val="0"/>
        <c:axPos val="b"/>
        <c:majorGridlines/>
        <c:numFmt formatCode="0%" sourceLinked="1"/>
        <c:majorTickMark val="out"/>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44375040"/>
        <c:crosses val="autoZero"/>
        <c:crossBetween val="between"/>
      </c:valAx>
    </c:plotArea>
    <c:plotVisOnly val="1"/>
    <c:dispBlanksAs val="gap"/>
    <c:showDLblsOverMax val="0"/>
  </c:chart>
  <c:spPr>
    <a:ln>
      <a:solidFill>
        <a:schemeClr val="tx1"/>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722779548626055"/>
          <c:y val="3.8596480564586109E-2"/>
          <c:w val="0.52271963656662501"/>
          <c:h val="0.81034512768472777"/>
        </c:manualLayout>
      </c:layout>
      <c:barChart>
        <c:barDir val="bar"/>
        <c:grouping val="clustered"/>
        <c:varyColors val="0"/>
        <c:ser>
          <c:idx val="0"/>
          <c:order val="0"/>
          <c:spPr>
            <a:solidFill>
              <a:schemeClr val="tx1">
                <a:lumMod val="65000"/>
                <a:lumOff val="35000"/>
              </a:schemeClr>
            </a:solidFill>
          </c:spPr>
          <c:invertIfNegative val="0"/>
          <c:dPt>
            <c:idx val="19"/>
            <c:invertIfNegative val="0"/>
            <c:bubble3D val="0"/>
            <c:spPr>
              <a:solidFill>
                <a:srgbClr val="00B050"/>
              </a:solidFill>
            </c:spPr>
          </c:dPt>
          <c:cat>
            <c:strRef>
              <c:f>'Workers by status'!$A$25:$A$44</c:f>
              <c:strCache>
                <c:ptCount val="20"/>
                <c:pt idx="0">
                  <c:v>Total (Australian workforce)</c:v>
                </c:pt>
                <c:pt idx="1">
                  <c:v>Mining</c:v>
                </c:pt>
                <c:pt idx="2">
                  <c:v>Electricity, gas, water and waste services</c:v>
                </c:pt>
                <c:pt idx="3">
                  <c:v>Construction</c:v>
                </c:pt>
                <c:pt idx="4">
                  <c:v>Manufacturing</c:v>
                </c:pt>
                <c:pt idx="5">
                  <c:v>Public administration and safety</c:v>
                </c:pt>
                <c:pt idx="6">
                  <c:v>Financial and insurance services</c:v>
                </c:pt>
                <c:pt idx="7">
                  <c:v>Wholesale trade</c:v>
                </c:pt>
                <c:pt idx="8">
                  <c:v>Transport, postal and warehousing</c:v>
                </c:pt>
                <c:pt idx="9">
                  <c:v>Information media and telecommunications</c:v>
                </c:pt>
                <c:pt idx="10">
                  <c:v>Professional, scientific and technical services</c:v>
                </c:pt>
                <c:pt idx="11">
                  <c:v>Rental, hiring and real estate services</c:v>
                </c:pt>
                <c:pt idx="12">
                  <c:v>Agriculture, forestry and fishing</c:v>
                </c:pt>
                <c:pt idx="13">
                  <c:v>Other services</c:v>
                </c:pt>
                <c:pt idx="14">
                  <c:v>Education and training</c:v>
                </c:pt>
                <c:pt idx="15">
                  <c:v>Administrative and support services</c:v>
                </c:pt>
                <c:pt idx="16">
                  <c:v>Health care and social assistance</c:v>
                </c:pt>
                <c:pt idx="17">
                  <c:v>Arts and recreation services</c:v>
                </c:pt>
                <c:pt idx="18">
                  <c:v>Retail trade</c:v>
                </c:pt>
                <c:pt idx="19">
                  <c:v>Accommodation and food services</c:v>
                </c:pt>
              </c:strCache>
            </c:strRef>
          </c:cat>
          <c:val>
            <c:numRef>
              <c:f>'Workers by status'!$C$25:$C$44</c:f>
              <c:numCache>
                <c:formatCode>0%</c:formatCode>
                <c:ptCount val="20"/>
                <c:pt idx="0">
                  <c:v>0.29765688796789802</c:v>
                </c:pt>
                <c:pt idx="1">
                  <c:v>2.9741176470588236E-2</c:v>
                </c:pt>
                <c:pt idx="2">
                  <c:v>8.5549335199440163E-2</c:v>
                </c:pt>
                <c:pt idx="3">
                  <c:v>0.14441347859133519</c:v>
                </c:pt>
                <c:pt idx="4">
                  <c:v>0.14571802892970775</c:v>
                </c:pt>
                <c:pt idx="5">
                  <c:v>0.16044088460447972</c:v>
                </c:pt>
                <c:pt idx="6">
                  <c:v>0.17394705174488567</c:v>
                </c:pt>
                <c:pt idx="7">
                  <c:v>0.17828191520382575</c:v>
                </c:pt>
                <c:pt idx="8">
                  <c:v>0.19181246524361553</c:v>
                </c:pt>
                <c:pt idx="9">
                  <c:v>0.19798847327381625</c:v>
                </c:pt>
                <c:pt idx="10">
                  <c:v>0.21884649316277019</c:v>
                </c:pt>
                <c:pt idx="11">
                  <c:v>0.23949579831932774</c:v>
                </c:pt>
                <c:pt idx="12">
                  <c:v>0.26645118514835076</c:v>
                </c:pt>
                <c:pt idx="13">
                  <c:v>0.29540274612263051</c:v>
                </c:pt>
                <c:pt idx="14">
                  <c:v>0.37460122012649016</c:v>
                </c:pt>
                <c:pt idx="15">
                  <c:v>0.40524540072569865</c:v>
                </c:pt>
                <c:pt idx="16">
                  <c:v>0.43139626514193558</c:v>
                </c:pt>
                <c:pt idx="17">
                  <c:v>0.4476292846052789</c:v>
                </c:pt>
                <c:pt idx="18">
                  <c:v>0.48712219946626945</c:v>
                </c:pt>
                <c:pt idx="19">
                  <c:v>0.57636998366588732</c:v>
                </c:pt>
              </c:numCache>
            </c:numRef>
          </c:val>
        </c:ser>
        <c:dLbls>
          <c:showLegendKey val="0"/>
          <c:showVal val="0"/>
          <c:showCatName val="0"/>
          <c:showSerName val="0"/>
          <c:showPercent val="0"/>
          <c:showBubbleSize val="0"/>
        </c:dLbls>
        <c:gapWidth val="150"/>
        <c:axId val="46803968"/>
        <c:axId val="46821376"/>
      </c:barChart>
      <c:catAx>
        <c:axId val="46803968"/>
        <c:scaling>
          <c:orientation val="minMax"/>
        </c:scaling>
        <c:delete val="0"/>
        <c:axPos val="l"/>
        <c:numFmt formatCode="General" sourceLinked="1"/>
        <c:majorTickMark val="none"/>
        <c:minorTickMark val="out"/>
        <c:tickLblPos val="nextTo"/>
        <c:txPr>
          <a:bodyPr rot="0" vert="horz"/>
          <a:lstStyle/>
          <a:p>
            <a:pPr>
              <a:defRPr sz="800" b="0" i="0" u="none" strike="noStrike" baseline="0">
                <a:solidFill>
                  <a:srgbClr val="000000"/>
                </a:solidFill>
                <a:latin typeface="Arial"/>
                <a:ea typeface="Arial"/>
                <a:cs typeface="Arial"/>
              </a:defRPr>
            </a:pPr>
            <a:endParaRPr lang="en-US"/>
          </a:p>
        </c:txPr>
        <c:crossAx val="46821376"/>
        <c:crosses val="autoZero"/>
        <c:auto val="1"/>
        <c:lblAlgn val="ctr"/>
        <c:lblOffset val="100"/>
        <c:noMultiLvlLbl val="0"/>
      </c:catAx>
      <c:valAx>
        <c:axId val="46821376"/>
        <c:scaling>
          <c:orientation val="minMax"/>
          <c:max val="0.60000000000000009"/>
        </c:scaling>
        <c:delete val="0"/>
        <c:axPos val="b"/>
        <c:majorGridlines/>
        <c:numFmt formatCode="0%" sourceLinked="1"/>
        <c:majorTickMark val="out"/>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46803968"/>
        <c:crosses val="autoZero"/>
        <c:crossBetween val="between"/>
      </c:valAx>
    </c:plotArea>
    <c:plotVisOnly val="1"/>
    <c:dispBlanksAs val="gap"/>
    <c:showDLblsOverMax val="0"/>
  </c:chart>
  <c:spPr>
    <a:ln>
      <a:solidFill>
        <a:schemeClr val="tx1"/>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484499999999999"/>
          <c:y val="5.1400554097404488E-2"/>
          <c:w val="0.87666907407407413"/>
          <c:h val="0.84314250000000002"/>
        </c:manualLayout>
      </c:layout>
      <c:barChart>
        <c:barDir val="col"/>
        <c:grouping val="clustered"/>
        <c:varyColors val="0"/>
        <c:ser>
          <c:idx val="0"/>
          <c:order val="0"/>
          <c:tx>
            <c:strRef>
              <c:f>'Hours by status'!$G$2</c:f>
              <c:strCache>
                <c:ptCount val="1"/>
                <c:pt idx="0">
                  <c:v>Accommodation and food services</c:v>
                </c:pt>
              </c:strCache>
            </c:strRef>
          </c:tx>
          <c:spPr>
            <a:solidFill>
              <a:srgbClr val="00B050"/>
            </a:solidFill>
          </c:spPr>
          <c:invertIfNegative val="0"/>
          <c:cat>
            <c:strRef>
              <c:f>'Hours by status'!$H$1:$J$1</c:f>
              <c:strCache>
                <c:ptCount val="3"/>
                <c:pt idx="0">
                  <c:v>Full-time workers</c:v>
                </c:pt>
                <c:pt idx="1">
                  <c:v>Part-time workers</c:v>
                </c:pt>
                <c:pt idx="2">
                  <c:v>All workers</c:v>
                </c:pt>
              </c:strCache>
            </c:strRef>
          </c:cat>
          <c:val>
            <c:numRef>
              <c:f>'Hours by status'!$H$2:$J$2</c:f>
              <c:numCache>
                <c:formatCode>0.0</c:formatCode>
                <c:ptCount val="3"/>
                <c:pt idx="0">
                  <c:v>44.272699780751495</c:v>
                </c:pt>
                <c:pt idx="1">
                  <c:v>15.060569015336743</c:v>
                </c:pt>
                <c:pt idx="2">
                  <c:v>27.4</c:v>
                </c:pt>
              </c:numCache>
            </c:numRef>
          </c:val>
        </c:ser>
        <c:ser>
          <c:idx val="1"/>
          <c:order val="1"/>
          <c:tx>
            <c:strRef>
              <c:f>'Hours by status'!$G$3</c:f>
              <c:strCache>
                <c:ptCount val="1"/>
                <c:pt idx="0">
                  <c:v>Australian workforce</c:v>
                </c:pt>
              </c:strCache>
            </c:strRef>
          </c:tx>
          <c:spPr>
            <a:solidFill>
              <a:schemeClr val="tx1">
                <a:lumMod val="65000"/>
                <a:lumOff val="35000"/>
              </a:schemeClr>
            </a:solidFill>
          </c:spPr>
          <c:invertIfNegative val="0"/>
          <c:cat>
            <c:strRef>
              <c:f>'Hours by status'!$H$1:$J$1</c:f>
              <c:strCache>
                <c:ptCount val="3"/>
                <c:pt idx="0">
                  <c:v>Full-time workers</c:v>
                </c:pt>
                <c:pt idx="1">
                  <c:v>Part-time workers</c:v>
                </c:pt>
                <c:pt idx="2">
                  <c:v>All workers</c:v>
                </c:pt>
              </c:strCache>
            </c:strRef>
          </c:cat>
          <c:val>
            <c:numRef>
              <c:f>'Hours by status'!$H$3:$J$3</c:f>
              <c:numCache>
                <c:formatCode>0.0</c:formatCode>
                <c:ptCount val="3"/>
                <c:pt idx="0">
                  <c:v>41.027904272841781</c:v>
                </c:pt>
                <c:pt idx="1">
                  <c:v>17.046527578043762</c:v>
                </c:pt>
                <c:pt idx="2">
                  <c:v>33.9</c:v>
                </c:pt>
              </c:numCache>
            </c:numRef>
          </c:val>
        </c:ser>
        <c:dLbls>
          <c:showLegendKey val="0"/>
          <c:showVal val="0"/>
          <c:showCatName val="0"/>
          <c:showSerName val="0"/>
          <c:showPercent val="0"/>
          <c:showBubbleSize val="0"/>
        </c:dLbls>
        <c:gapWidth val="150"/>
        <c:axId val="53537408"/>
        <c:axId val="53609600"/>
      </c:barChart>
      <c:catAx>
        <c:axId val="53537408"/>
        <c:scaling>
          <c:orientation val="minMax"/>
        </c:scaling>
        <c:delete val="0"/>
        <c:axPos val="b"/>
        <c:majorTickMark val="out"/>
        <c:minorTickMark val="none"/>
        <c:tickLblPos val="nextTo"/>
        <c:txPr>
          <a:bodyPr/>
          <a:lstStyle/>
          <a:p>
            <a:pPr algn="ctr" rtl="0">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609600"/>
        <c:crosses val="autoZero"/>
        <c:auto val="1"/>
        <c:lblAlgn val="ctr"/>
        <c:lblOffset val="100"/>
        <c:noMultiLvlLbl val="0"/>
      </c:catAx>
      <c:valAx>
        <c:axId val="53609600"/>
        <c:scaling>
          <c:orientation val="minMax"/>
        </c:scaling>
        <c:delete val="0"/>
        <c:axPos val="l"/>
        <c:majorGridlines/>
        <c:title>
          <c:tx>
            <c:rich>
              <a:bodyPr rot="-5400000" vert="horz"/>
              <a:lstStyle/>
              <a:p>
                <a:pPr>
                  <a:defRPr sz="800" b="0">
                    <a:latin typeface="Arial" panose="020B0604020202020204" pitchFamily="34" charset="0"/>
                    <a:cs typeface="Arial" panose="020B0604020202020204" pitchFamily="34" charset="0"/>
                  </a:defRPr>
                </a:pPr>
                <a:r>
                  <a:rPr lang="en-AU" sz="800" b="0">
                    <a:latin typeface="Arial" panose="020B0604020202020204" pitchFamily="34" charset="0"/>
                    <a:cs typeface="Arial" panose="020B0604020202020204" pitchFamily="34" charset="0"/>
                  </a:rPr>
                  <a:t>Average hours worked</a:t>
                </a:r>
              </a:p>
            </c:rich>
          </c:tx>
          <c:layout>
            <c:manualLayout>
              <c:xMode val="edge"/>
              <c:yMode val="edge"/>
              <c:x val="1.0486666666666667E-2"/>
              <c:y val="0.32508722222222225"/>
            </c:manualLayout>
          </c:layout>
          <c:overlay val="0"/>
        </c:title>
        <c:numFmt formatCode="0" sourceLinked="0"/>
        <c:majorTickMark val="out"/>
        <c:minorTickMark val="none"/>
        <c:tickLblPos val="nextTo"/>
        <c:txPr>
          <a:bodyPr/>
          <a:lstStyle/>
          <a:p>
            <a:pPr algn="ctr" rtl="0">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537408"/>
        <c:crosses val="autoZero"/>
        <c:crossBetween val="between"/>
      </c:valAx>
    </c:plotArea>
    <c:legend>
      <c:legendPos val="r"/>
      <c:layout>
        <c:manualLayout>
          <c:xMode val="edge"/>
          <c:yMode val="edge"/>
          <c:x val="0.27788444444444443"/>
          <c:y val="5.4787777777777776E-2"/>
          <c:w val="0.54131925925925928"/>
          <c:h val="6.876694444444445E-2"/>
        </c:manualLayout>
      </c:layout>
      <c:overlay val="0"/>
      <c:txPr>
        <a:bodyPr/>
        <a:lstStyle/>
        <a:p>
          <a:pPr algn="ctr" rtl="0">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31864532159414"/>
          <c:y val="0.19691650702011559"/>
          <c:w val="0.84304007581299312"/>
          <c:h val="0.63321828565736848"/>
        </c:manualLayout>
      </c:layout>
      <c:lineChart>
        <c:grouping val="standard"/>
        <c:varyColors val="0"/>
        <c:ser>
          <c:idx val="3"/>
          <c:order val="0"/>
          <c:tx>
            <c:strRef>
              <c:f>Subdivision!$A$18</c:f>
              <c:strCache>
                <c:ptCount val="1"/>
                <c:pt idx="0">
                  <c:v>Clubs</c:v>
                </c:pt>
              </c:strCache>
            </c:strRef>
          </c:tx>
          <c:spPr>
            <a:ln>
              <a:solidFill>
                <a:schemeClr val="accent2"/>
              </a:solidFill>
              <a:prstDash val="solid"/>
            </a:ln>
          </c:spPr>
          <c:marker>
            <c:symbol val="none"/>
          </c:marker>
          <c:cat>
            <c:strRef>
              <c:f>Subdivision!$B$15:$M$15</c:f>
              <c:strCache>
                <c:ptCount val="12"/>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strCache>
            </c:strRef>
          </c:cat>
          <c:val>
            <c:numRef>
              <c:f>Subdivision!$B$18:$M$18</c:f>
              <c:numCache>
                <c:formatCode>0.0</c:formatCode>
                <c:ptCount val="12"/>
                <c:pt idx="0">
                  <c:v>12.229151091999327</c:v>
                </c:pt>
                <c:pt idx="1">
                  <c:v>13.286707241472451</c:v>
                </c:pt>
                <c:pt idx="2">
                  <c:v>14.981314530586225</c:v>
                </c:pt>
                <c:pt idx="3">
                  <c:v>13.961155267240608</c:v>
                </c:pt>
                <c:pt idx="4">
                  <c:v>11.957738379644534</c:v>
                </c:pt>
                <c:pt idx="5">
                  <c:v>13.985155414340955</c:v>
                </c:pt>
                <c:pt idx="6">
                  <c:v>12.146693068485369</c:v>
                </c:pt>
                <c:pt idx="7">
                  <c:v>13.249579144401103</c:v>
                </c:pt>
                <c:pt idx="8">
                  <c:v>13.705200018470329</c:v>
                </c:pt>
                <c:pt idx="9">
                  <c:v>11.093937413015272</c:v>
                </c:pt>
                <c:pt idx="10">
                  <c:v>12.466993360888534</c:v>
                </c:pt>
                <c:pt idx="11">
                  <c:v>10.648388182024043</c:v>
                </c:pt>
              </c:numCache>
            </c:numRef>
          </c:val>
          <c:smooth val="0"/>
        </c:ser>
        <c:ser>
          <c:idx val="2"/>
          <c:order val="1"/>
          <c:tx>
            <c:strRef>
              <c:f>Subdivision!$A$16</c:f>
              <c:strCache>
                <c:ptCount val="1"/>
                <c:pt idx="0">
                  <c:v>Accommodation</c:v>
                </c:pt>
              </c:strCache>
            </c:strRef>
          </c:tx>
          <c:spPr>
            <a:ln cmpd="sng">
              <a:solidFill>
                <a:schemeClr val="accent2"/>
              </a:solidFill>
              <a:prstDash val="sysDash"/>
            </a:ln>
          </c:spPr>
          <c:marker>
            <c:symbol val="none"/>
          </c:marker>
          <c:cat>
            <c:strRef>
              <c:f>Subdivision!$B$15:$M$15</c:f>
              <c:strCache>
                <c:ptCount val="12"/>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strCache>
            </c:strRef>
          </c:cat>
          <c:val>
            <c:numRef>
              <c:f>Subdivision!$B$16:$M$16</c:f>
              <c:numCache>
                <c:formatCode>0.0</c:formatCode>
                <c:ptCount val="12"/>
                <c:pt idx="0">
                  <c:v>10.532155478864924</c:v>
                </c:pt>
                <c:pt idx="1">
                  <c:v>11.304688346691881</c:v>
                </c:pt>
                <c:pt idx="2">
                  <c:v>11.359619723800712</c:v>
                </c:pt>
                <c:pt idx="3">
                  <c:v>11.990177032144409</c:v>
                </c:pt>
                <c:pt idx="4">
                  <c:v>11.567968773503972</c:v>
                </c:pt>
                <c:pt idx="5">
                  <c:v>10.671055081219189</c:v>
                </c:pt>
                <c:pt idx="6">
                  <c:v>11.636859340011656</c:v>
                </c:pt>
                <c:pt idx="7">
                  <c:v>11.08549873971041</c:v>
                </c:pt>
                <c:pt idx="8">
                  <c:v>11.599285729303853</c:v>
                </c:pt>
                <c:pt idx="9">
                  <c:v>10.087002585974421</c:v>
                </c:pt>
                <c:pt idx="10">
                  <c:v>10.755338540312026</c:v>
                </c:pt>
                <c:pt idx="11">
                  <c:v>10.759021032947212</c:v>
                </c:pt>
              </c:numCache>
            </c:numRef>
          </c:val>
          <c:smooth val="0"/>
        </c:ser>
        <c:ser>
          <c:idx val="1"/>
          <c:order val="2"/>
          <c:tx>
            <c:strRef>
              <c:f>Subdivision!$A$19</c:f>
              <c:strCache>
                <c:ptCount val="1"/>
                <c:pt idx="0">
                  <c:v>Pubs, taverns and bars</c:v>
                </c:pt>
              </c:strCache>
            </c:strRef>
          </c:tx>
          <c:spPr>
            <a:ln>
              <a:solidFill>
                <a:schemeClr val="accent1"/>
              </a:solidFill>
              <a:prstDash val="solid"/>
            </a:ln>
          </c:spPr>
          <c:marker>
            <c:symbol val="none"/>
          </c:marker>
          <c:cat>
            <c:strRef>
              <c:f>Subdivision!$B$15:$M$15</c:f>
              <c:strCache>
                <c:ptCount val="12"/>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strCache>
            </c:strRef>
          </c:cat>
          <c:val>
            <c:numRef>
              <c:f>Subdivision!$B$19:$M$19</c:f>
              <c:numCache>
                <c:formatCode>0.0</c:formatCode>
                <c:ptCount val="12"/>
                <c:pt idx="0">
                  <c:v>9.240770216816518</c:v>
                </c:pt>
                <c:pt idx="1">
                  <c:v>9.4224145625083811</c:v>
                </c:pt>
                <c:pt idx="2">
                  <c:v>8.7636053971218253</c:v>
                </c:pt>
                <c:pt idx="3">
                  <c:v>8.8062764413955641</c:v>
                </c:pt>
                <c:pt idx="4">
                  <c:v>7.427574453431121</c:v>
                </c:pt>
                <c:pt idx="5">
                  <c:v>7.2176392963183149</c:v>
                </c:pt>
                <c:pt idx="6">
                  <c:v>6.9684007496000842</c:v>
                </c:pt>
                <c:pt idx="7">
                  <c:v>7.2745608407274123</c:v>
                </c:pt>
                <c:pt idx="8">
                  <c:v>7.2193279081855035</c:v>
                </c:pt>
                <c:pt idx="9">
                  <c:v>6.6316079225756352</c:v>
                </c:pt>
                <c:pt idx="10">
                  <c:v>7.602924484780317</c:v>
                </c:pt>
                <c:pt idx="11">
                  <c:v>7.816000227477252</c:v>
                </c:pt>
              </c:numCache>
            </c:numRef>
          </c:val>
          <c:smooth val="0"/>
        </c:ser>
        <c:ser>
          <c:idx val="0"/>
          <c:order val="3"/>
          <c:tx>
            <c:strRef>
              <c:f>Subdivision!$A$17</c:f>
              <c:strCache>
                <c:ptCount val="1"/>
                <c:pt idx="0">
                  <c:v>Cafes, restaurants and takeaway food services</c:v>
                </c:pt>
              </c:strCache>
            </c:strRef>
          </c:tx>
          <c:spPr>
            <a:ln>
              <a:solidFill>
                <a:schemeClr val="accent1"/>
              </a:solidFill>
              <a:prstDash val="sysDash"/>
            </a:ln>
          </c:spPr>
          <c:marker>
            <c:symbol val="none"/>
          </c:marker>
          <c:cat>
            <c:strRef>
              <c:f>Subdivision!$B$15:$M$15</c:f>
              <c:strCache>
                <c:ptCount val="12"/>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strCache>
            </c:strRef>
          </c:cat>
          <c:val>
            <c:numRef>
              <c:f>Subdivision!$B$17:$M$17</c:f>
              <c:numCache>
                <c:formatCode>0.0</c:formatCode>
                <c:ptCount val="12"/>
                <c:pt idx="0">
                  <c:v>7.493790387143707</c:v>
                </c:pt>
                <c:pt idx="1">
                  <c:v>6.7919725871441026</c:v>
                </c:pt>
                <c:pt idx="2">
                  <c:v>6.8902276743375532</c:v>
                </c:pt>
                <c:pt idx="3">
                  <c:v>6.3103597542681822</c:v>
                </c:pt>
                <c:pt idx="4">
                  <c:v>6.2826892522134195</c:v>
                </c:pt>
                <c:pt idx="5">
                  <c:v>6.2899633986851509</c:v>
                </c:pt>
                <c:pt idx="6">
                  <c:v>6.119529550446738</c:v>
                </c:pt>
                <c:pt idx="7">
                  <c:v>6.3646449780299541</c:v>
                </c:pt>
                <c:pt idx="8">
                  <c:v>5.9251397237373657</c:v>
                </c:pt>
                <c:pt idx="9">
                  <c:v>5.5733436741717872</c:v>
                </c:pt>
                <c:pt idx="10">
                  <c:v>5.5020813369574952</c:v>
                </c:pt>
                <c:pt idx="11">
                  <c:v>5.9262159370841854</c:v>
                </c:pt>
              </c:numCache>
            </c:numRef>
          </c:val>
          <c:smooth val="0"/>
        </c:ser>
        <c:ser>
          <c:idx val="4"/>
          <c:order val="4"/>
          <c:tx>
            <c:strRef>
              <c:f>Subdivision!$A$20</c:f>
              <c:strCache>
                <c:ptCount val="1"/>
                <c:pt idx="0">
                  <c:v>Total</c:v>
                </c:pt>
              </c:strCache>
            </c:strRef>
          </c:tx>
          <c:spPr>
            <a:ln>
              <a:solidFill>
                <a:srgbClr val="00B050"/>
              </a:solidFill>
              <a:prstDash val="solid"/>
            </a:ln>
          </c:spPr>
          <c:marker>
            <c:symbol val="none"/>
          </c:marker>
          <c:cat>
            <c:strRef>
              <c:f>Subdivision!$B$15:$M$15</c:f>
              <c:strCache>
                <c:ptCount val="12"/>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strCache>
            </c:strRef>
          </c:cat>
          <c:val>
            <c:numRef>
              <c:f>Subdivision!$B$20:$M$20</c:f>
              <c:numCache>
                <c:formatCode>0.0</c:formatCode>
                <c:ptCount val="12"/>
                <c:pt idx="0">
                  <c:v>8.9516047565411814</c:v>
                </c:pt>
                <c:pt idx="1">
                  <c:v>8.807466175008738</c:v>
                </c:pt>
                <c:pt idx="2">
                  <c:v>8.9186647250189957</c:v>
                </c:pt>
                <c:pt idx="3">
                  <c:v>8.5889305473704862</c:v>
                </c:pt>
                <c:pt idx="4">
                  <c:v>8.1223181128462798</c:v>
                </c:pt>
                <c:pt idx="5">
                  <c:v>8.0223170361597518</c:v>
                </c:pt>
                <c:pt idx="6">
                  <c:v>7.8996219102931171</c:v>
                </c:pt>
                <c:pt idx="7">
                  <c:v>8.0530592477293919</c:v>
                </c:pt>
                <c:pt idx="8">
                  <c:v>7.7572446005046833</c:v>
                </c:pt>
                <c:pt idx="9">
                  <c:v>7.0422490963520419</c:v>
                </c:pt>
                <c:pt idx="10">
                  <c:v>7.2457202632660342</c:v>
                </c:pt>
                <c:pt idx="11">
                  <c:v>7.4150718834887943</c:v>
                </c:pt>
              </c:numCache>
            </c:numRef>
          </c:val>
          <c:smooth val="0"/>
        </c:ser>
        <c:dLbls>
          <c:showLegendKey val="0"/>
          <c:showVal val="0"/>
          <c:showCatName val="0"/>
          <c:showSerName val="0"/>
          <c:showPercent val="0"/>
          <c:showBubbleSize val="0"/>
        </c:dLbls>
        <c:marker val="1"/>
        <c:smooth val="0"/>
        <c:axId val="97551872"/>
        <c:axId val="97555968"/>
      </c:lineChart>
      <c:catAx>
        <c:axId val="97551872"/>
        <c:scaling>
          <c:orientation val="minMax"/>
        </c:scaling>
        <c:delete val="0"/>
        <c:axPos val="b"/>
        <c:title>
          <c:tx>
            <c:rich>
              <a:bodyPr/>
              <a:lstStyle/>
              <a:p>
                <a:pPr>
                  <a:defRPr sz="800"/>
                </a:pPr>
                <a:r>
                  <a:rPr lang="en-AU" sz="800"/>
                  <a:t>Year</a:t>
                </a:r>
              </a:p>
            </c:rich>
          </c:tx>
          <c:layout>
            <c:manualLayout>
              <c:xMode val="edge"/>
              <c:yMode val="edge"/>
              <c:x val="0.50871712239860922"/>
              <c:y val="0.93479333422175348"/>
            </c:manualLayout>
          </c:layout>
          <c:overlay val="0"/>
        </c:title>
        <c:numFmt formatCode="General" sourceLinked="1"/>
        <c:majorTickMark val="none"/>
        <c:minorTickMark val="out"/>
        <c:tickLblPos val="nextTo"/>
        <c:spPr>
          <a:ln w="3175">
            <a:solidFill>
              <a:srgbClr val="000000"/>
            </a:solidFill>
          </a:ln>
        </c:spPr>
        <c:txPr>
          <a:bodyPr rot="-1500000" vert="horz"/>
          <a:lstStyle/>
          <a:p>
            <a:pPr>
              <a:defRPr sz="800" b="0" i="0" u="none" strike="noStrike" baseline="0">
                <a:solidFill>
                  <a:srgbClr val="000000"/>
                </a:solidFill>
                <a:latin typeface="Arial"/>
                <a:ea typeface="Arial"/>
                <a:cs typeface="Arial"/>
              </a:defRPr>
            </a:pPr>
            <a:endParaRPr lang="en-US"/>
          </a:p>
        </c:txPr>
        <c:crossAx val="97555968"/>
        <c:crosses val="autoZero"/>
        <c:auto val="1"/>
        <c:lblAlgn val="ctr"/>
        <c:lblOffset val="100"/>
        <c:tickMarkSkip val="1"/>
        <c:noMultiLvlLbl val="0"/>
      </c:catAx>
      <c:valAx>
        <c:axId val="97555968"/>
        <c:scaling>
          <c:orientation val="minMax"/>
        </c:scaling>
        <c:delete val="0"/>
        <c:axPos val="l"/>
        <c:majorGridlines>
          <c:spPr>
            <a:ln w="3175">
              <a:solidFill>
                <a:srgbClr val="000000"/>
              </a:solidFill>
              <a:prstDash val="solid"/>
            </a:ln>
          </c:spPr>
        </c:majorGridlines>
        <c:title>
          <c:tx>
            <c:rich>
              <a:bodyPr rot="-5400000" vert="horz"/>
              <a:lstStyle/>
              <a:p>
                <a:pPr>
                  <a:defRPr/>
                </a:pPr>
                <a:r>
                  <a:rPr lang="en-AU" sz="800"/>
                  <a:t>Serious claims per million hours worked</a:t>
                </a:r>
              </a:p>
            </c:rich>
          </c:tx>
          <c:layout>
            <c:manualLayout>
              <c:xMode val="edge"/>
              <c:yMode val="edge"/>
              <c:x val="3.8660555555555552E-2"/>
              <c:y val="0.24833194444444445"/>
            </c:manualLayout>
          </c:layout>
          <c:overlay val="0"/>
        </c:title>
        <c:numFmt formatCode="0" sourceLinked="0"/>
        <c:majorTickMark val="out"/>
        <c:minorTickMark val="none"/>
        <c:tickLblPos val="nextTo"/>
        <c:spPr>
          <a:ln w="3175">
            <a:solidFill>
              <a:srgbClr val="000000"/>
            </a:solidFill>
          </a:ln>
        </c:spPr>
        <c:txPr>
          <a:bodyPr rot="0" vert="horz"/>
          <a:lstStyle/>
          <a:p>
            <a:pPr>
              <a:defRPr sz="800" b="0" i="0" u="none" strike="noStrike" baseline="0">
                <a:solidFill>
                  <a:srgbClr val="000000"/>
                </a:solidFill>
                <a:latin typeface="Arial"/>
                <a:ea typeface="Arial"/>
                <a:cs typeface="Arial"/>
              </a:defRPr>
            </a:pPr>
            <a:endParaRPr lang="en-US"/>
          </a:p>
        </c:txPr>
        <c:crossAx val="97551872"/>
        <c:crosses val="autoZero"/>
        <c:crossBetween val="between"/>
      </c:valAx>
      <c:spPr>
        <a:solidFill>
          <a:srgbClr val="FFFFFF"/>
        </a:solidFill>
        <a:ln w="3175">
          <a:solidFill>
            <a:srgbClr val="000000"/>
          </a:solidFill>
        </a:ln>
      </c:spPr>
    </c:plotArea>
    <c:legend>
      <c:legendPos val="t"/>
      <c:layout>
        <c:manualLayout>
          <c:xMode val="edge"/>
          <c:yMode val="edge"/>
          <c:x val="0.11878091906199217"/>
          <c:y val="6.9504740414844789E-3"/>
          <c:w val="0.83884121945911316"/>
          <c:h val="0.16934118536230167"/>
        </c:manualLayout>
      </c:layout>
      <c:overlay val="0"/>
      <c:txPr>
        <a:bodyPr/>
        <a:lstStyle/>
        <a:p>
          <a:pPr>
            <a:defRPr sz="800"/>
          </a:pPr>
          <a:endParaRPr lang="en-US"/>
        </a:p>
      </c:txPr>
    </c:legend>
    <c:plotVisOnly val="1"/>
    <c:dispBlanksAs val="gap"/>
    <c:showDLblsOverMax val="0"/>
  </c:chart>
  <c:spPr>
    <a:solidFill>
      <a:srgbClr val="FFFFFF"/>
    </a:solidFill>
    <a:ln w="9525">
      <a:solidFill>
        <a:schemeClr val="tx1"/>
      </a:solidFill>
    </a:ln>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428888888888896E-2"/>
          <c:y val="3.8805555555555558E-2"/>
          <c:w val="0.87970074074074078"/>
          <c:h val="0.7585277777777778"/>
        </c:manualLayout>
      </c:layout>
      <c:barChart>
        <c:barDir val="col"/>
        <c:grouping val="clustered"/>
        <c:varyColors val="0"/>
        <c:ser>
          <c:idx val="0"/>
          <c:order val="0"/>
          <c:spPr>
            <a:solidFill>
              <a:srgbClr val="00B050"/>
            </a:solidFill>
          </c:spPr>
          <c:invertIfNegative val="0"/>
          <c:cat>
            <c:strRef>
              <c:f>Jurisdiction!$I$2:$I$10</c:f>
              <c:strCache>
                <c:ptCount val="9"/>
                <c:pt idx="0">
                  <c:v>Queensland</c:v>
                </c:pt>
                <c:pt idx="1">
                  <c:v>New South Wales</c:v>
                </c:pt>
                <c:pt idx="2">
                  <c:v>Australian Capital Territory</c:v>
                </c:pt>
                <c:pt idx="3">
                  <c:v>Western Australia</c:v>
                </c:pt>
                <c:pt idx="4">
                  <c:v>Tasmania</c:v>
                </c:pt>
                <c:pt idx="5">
                  <c:v>Northern Territory</c:v>
                </c:pt>
                <c:pt idx="6">
                  <c:v>South Australia</c:v>
                </c:pt>
                <c:pt idx="7">
                  <c:v>Victoria</c:v>
                </c:pt>
                <c:pt idx="8">
                  <c:v>Australia</c:v>
                </c:pt>
              </c:strCache>
            </c:strRef>
          </c:cat>
          <c:val>
            <c:numRef>
              <c:f>Jurisdiction!$J$2:$J$10</c:f>
              <c:numCache>
                <c:formatCode>0.0</c:formatCode>
                <c:ptCount val="9"/>
                <c:pt idx="0">
                  <c:v>9.5387290607050765</c:v>
                </c:pt>
                <c:pt idx="1">
                  <c:v>8.4149364617844764</c:v>
                </c:pt>
                <c:pt idx="2">
                  <c:v>7.5776961927561253</c:v>
                </c:pt>
                <c:pt idx="3">
                  <c:v>6.6514944072023621</c:v>
                </c:pt>
                <c:pt idx="4">
                  <c:v>6.6452444383845766</c:v>
                </c:pt>
                <c:pt idx="5">
                  <c:v>6.5545124270465278</c:v>
                </c:pt>
                <c:pt idx="6">
                  <c:v>6.2059311748207779</c:v>
                </c:pt>
                <c:pt idx="7">
                  <c:v>4.1839048829869254</c:v>
                </c:pt>
                <c:pt idx="8">
                  <c:v>7.2696311358079626</c:v>
                </c:pt>
              </c:numCache>
            </c:numRef>
          </c:val>
        </c:ser>
        <c:dLbls>
          <c:showLegendKey val="0"/>
          <c:showVal val="0"/>
          <c:showCatName val="0"/>
          <c:showSerName val="0"/>
          <c:showPercent val="0"/>
          <c:showBubbleSize val="0"/>
        </c:dLbls>
        <c:gapWidth val="150"/>
        <c:axId val="105216640"/>
        <c:axId val="134475776"/>
      </c:barChart>
      <c:catAx>
        <c:axId val="105216640"/>
        <c:scaling>
          <c:orientation val="minMax"/>
        </c:scaling>
        <c:delete val="0"/>
        <c:axPos val="b"/>
        <c:majorTickMark val="none"/>
        <c:minorTickMark val="out"/>
        <c:tickLblPos val="nextTo"/>
        <c:txPr>
          <a:bodyPr rot="-1500000"/>
          <a:lstStyle/>
          <a:p>
            <a:pPr>
              <a:defRPr/>
            </a:pPr>
            <a:endParaRPr lang="en-US"/>
          </a:p>
        </c:txPr>
        <c:crossAx val="134475776"/>
        <c:crosses val="autoZero"/>
        <c:auto val="1"/>
        <c:lblAlgn val="ctr"/>
        <c:lblOffset val="100"/>
        <c:noMultiLvlLbl val="0"/>
      </c:catAx>
      <c:valAx>
        <c:axId val="134475776"/>
        <c:scaling>
          <c:orientation val="minMax"/>
        </c:scaling>
        <c:delete val="0"/>
        <c:axPos val="l"/>
        <c:majorGridlines/>
        <c:title>
          <c:tx>
            <c:rich>
              <a:bodyPr rot="-5400000" vert="horz"/>
              <a:lstStyle/>
              <a:p>
                <a:pPr>
                  <a:defRPr b="0"/>
                </a:pPr>
                <a:r>
                  <a:rPr lang="en-AU" b="0"/>
                  <a:t>Serious claims per million hours</a:t>
                </a:r>
                <a:r>
                  <a:rPr lang="en-AU" b="0" baseline="0"/>
                  <a:t> worked</a:t>
                </a:r>
                <a:endParaRPr lang="en-AU" b="0"/>
              </a:p>
            </c:rich>
          </c:tx>
          <c:layout>
            <c:manualLayout>
              <c:xMode val="edge"/>
              <c:yMode val="edge"/>
              <c:x val="1.6462962962962964E-2"/>
              <c:y val="0.16085027777777777"/>
            </c:manualLayout>
          </c:layout>
          <c:overlay val="0"/>
        </c:title>
        <c:numFmt formatCode="0" sourceLinked="0"/>
        <c:majorTickMark val="out"/>
        <c:minorTickMark val="none"/>
        <c:tickLblPos val="nextTo"/>
        <c:crossAx val="105216640"/>
        <c:crosses val="autoZero"/>
        <c:crossBetween val="between"/>
      </c:valAx>
    </c:plotArea>
    <c:plotVisOnly val="1"/>
    <c:dispBlanksAs val="gap"/>
    <c:showDLblsOverMax val="0"/>
  </c:chart>
  <c:spPr>
    <a:ln>
      <a:solidFill>
        <a:schemeClr val="tx1"/>
      </a:solid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722779548626055"/>
          <c:y val="3.8596480564586109E-2"/>
          <c:w val="0.52271963656662501"/>
          <c:h val="0.81034512768472777"/>
        </c:manualLayout>
      </c:layout>
      <c:barChart>
        <c:barDir val="bar"/>
        <c:grouping val="clustered"/>
        <c:varyColors val="0"/>
        <c:ser>
          <c:idx val="0"/>
          <c:order val="0"/>
          <c:spPr>
            <a:solidFill>
              <a:schemeClr val="tx1">
                <a:lumMod val="65000"/>
                <a:lumOff val="35000"/>
              </a:schemeClr>
            </a:solidFill>
          </c:spPr>
          <c:invertIfNegative val="0"/>
          <c:dPt>
            <c:idx val="15"/>
            <c:invertIfNegative val="0"/>
            <c:bubble3D val="0"/>
            <c:spPr>
              <a:solidFill>
                <a:srgbClr val="00B050"/>
              </a:solidFill>
            </c:spPr>
          </c:dPt>
          <c:dPt>
            <c:idx val="19"/>
            <c:invertIfNegative val="0"/>
            <c:bubble3D val="0"/>
          </c:dPt>
          <c:cat>
            <c:strRef>
              <c:f>Sheet4!$A$77:$A$96</c:f>
              <c:strCache>
                <c:ptCount val="20"/>
                <c:pt idx="0">
                  <c:v>Total (all Australian workers)</c:v>
                </c:pt>
                <c:pt idx="1">
                  <c:v>Financial and insurance services*</c:v>
                </c:pt>
                <c:pt idx="2">
                  <c:v>Professional, scientific and technical services</c:v>
                </c:pt>
                <c:pt idx="3">
                  <c:v>Rental, hiring and real estate services*</c:v>
                </c:pt>
                <c:pt idx="4">
                  <c:v>Information, media and telecommunications*</c:v>
                </c:pt>
                <c:pt idx="5">
                  <c:v>Administrative and support services*</c:v>
                </c:pt>
                <c:pt idx="6">
                  <c:v>Retail trade</c:v>
                </c:pt>
                <c:pt idx="7">
                  <c:v>Education and training</c:v>
                </c:pt>
                <c:pt idx="8">
                  <c:v>Arts and recreation services*</c:v>
                </c:pt>
                <c:pt idx="9">
                  <c:v>Mining*</c:v>
                </c:pt>
                <c:pt idx="10">
                  <c:v>Public administration and safety</c:v>
                </c:pt>
                <c:pt idx="11">
                  <c:v>Other services</c:v>
                </c:pt>
                <c:pt idx="12">
                  <c:v>Health care and social assistance</c:v>
                </c:pt>
                <c:pt idx="13">
                  <c:v>Wholesale trade*</c:v>
                </c:pt>
                <c:pt idx="14">
                  <c:v>Construction</c:v>
                </c:pt>
                <c:pt idx="15">
                  <c:v>Accommodation and food services</c:v>
                </c:pt>
                <c:pt idx="16">
                  <c:v>Electricity, gas, water and waste services*</c:v>
                </c:pt>
                <c:pt idx="17">
                  <c:v>Agriculture, forestry and fishing</c:v>
                </c:pt>
                <c:pt idx="18">
                  <c:v>Transport, postal and warehousing</c:v>
                </c:pt>
                <c:pt idx="19">
                  <c:v>Manufacturing</c:v>
                </c:pt>
              </c:strCache>
            </c:strRef>
          </c:cat>
          <c:val>
            <c:numRef>
              <c:f>Sheet4!$D$77:$D$96</c:f>
              <c:numCache>
                <c:formatCode>0.0</c:formatCode>
                <c:ptCount val="20"/>
                <c:pt idx="0">
                  <c:v>42.642931601315048</c:v>
                </c:pt>
                <c:pt idx="1">
                  <c:v>17.968056787932561</c:v>
                </c:pt>
                <c:pt idx="2">
                  <c:v>18.5501066098081</c:v>
                </c:pt>
                <c:pt idx="3">
                  <c:v>20.599250936329589</c:v>
                </c:pt>
                <c:pt idx="4">
                  <c:v>22.801302931596094</c:v>
                </c:pt>
                <c:pt idx="5">
                  <c:v>27.651006711409398</c:v>
                </c:pt>
                <c:pt idx="6">
                  <c:v>30.907820144443576</c:v>
                </c:pt>
                <c:pt idx="7">
                  <c:v>33.563462559745084</c:v>
                </c:pt>
                <c:pt idx="8">
                  <c:v>36.016949152542367</c:v>
                </c:pt>
                <c:pt idx="9">
                  <c:v>41.61073825503356</c:v>
                </c:pt>
                <c:pt idx="10">
                  <c:v>48.659636640833433</c:v>
                </c:pt>
                <c:pt idx="11">
                  <c:v>49.289316827143516</c:v>
                </c:pt>
                <c:pt idx="12">
                  <c:v>53.075727292915836</c:v>
                </c:pt>
                <c:pt idx="13">
                  <c:v>53.877748248369173</c:v>
                </c:pt>
                <c:pt idx="14">
                  <c:v>54.79308538501833</c:v>
                </c:pt>
                <c:pt idx="15">
                  <c:v>58.613389785657581</c:v>
                </c:pt>
                <c:pt idx="16">
                  <c:v>68.527918781725901</c:v>
                </c:pt>
                <c:pt idx="17">
                  <c:v>72.330262708973038</c:v>
                </c:pt>
                <c:pt idx="18">
                  <c:v>76.31019830028329</c:v>
                </c:pt>
                <c:pt idx="19">
                  <c:v>81.911262798634823</c:v>
                </c:pt>
              </c:numCache>
            </c:numRef>
          </c:val>
        </c:ser>
        <c:dLbls>
          <c:showLegendKey val="0"/>
          <c:showVal val="0"/>
          <c:showCatName val="0"/>
          <c:showSerName val="0"/>
          <c:showPercent val="0"/>
          <c:showBubbleSize val="0"/>
        </c:dLbls>
        <c:gapWidth val="150"/>
        <c:axId val="134530944"/>
        <c:axId val="134542080"/>
      </c:barChart>
      <c:catAx>
        <c:axId val="134530944"/>
        <c:scaling>
          <c:orientation val="minMax"/>
        </c:scaling>
        <c:delete val="0"/>
        <c:axPos val="l"/>
        <c:numFmt formatCode="General" sourceLinked="1"/>
        <c:majorTickMark val="none"/>
        <c:minorTickMark val="out"/>
        <c:tickLblPos val="nextTo"/>
        <c:txPr>
          <a:bodyPr rot="0" vert="horz"/>
          <a:lstStyle/>
          <a:p>
            <a:pPr>
              <a:defRPr sz="800" b="0" i="0" u="none" strike="noStrike" baseline="0">
                <a:solidFill>
                  <a:srgbClr val="000000"/>
                </a:solidFill>
                <a:latin typeface="Arial"/>
                <a:ea typeface="Arial"/>
                <a:cs typeface="Arial"/>
              </a:defRPr>
            </a:pPr>
            <a:endParaRPr lang="en-US"/>
          </a:p>
        </c:txPr>
        <c:crossAx val="134542080"/>
        <c:crosses val="autoZero"/>
        <c:auto val="1"/>
        <c:lblAlgn val="ctr"/>
        <c:lblOffset val="100"/>
        <c:noMultiLvlLbl val="0"/>
      </c:catAx>
      <c:valAx>
        <c:axId val="134542080"/>
        <c:scaling>
          <c:orientation val="minMax"/>
          <c:max val="85"/>
          <c:min val="0"/>
        </c:scaling>
        <c:delete val="0"/>
        <c:axPos val="b"/>
        <c:majorGridlines/>
        <c:numFmt formatCode="0" sourceLinked="0"/>
        <c:majorTickMark val="out"/>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134530944"/>
        <c:crosses val="autoZero"/>
        <c:crossBetween val="between"/>
      </c:valAx>
    </c:plotArea>
    <c:plotVisOnly val="1"/>
    <c:dispBlanksAs val="gap"/>
    <c:showDLblsOverMax val="0"/>
  </c:chart>
  <c:spPr>
    <a:ln>
      <a:solidFill>
        <a:schemeClr val="tx1"/>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89185185185185"/>
          <c:y val="3.8805555555555558E-2"/>
          <c:w val="0.86323777777777777"/>
          <c:h val="0.83192305555555557"/>
        </c:manualLayout>
      </c:layout>
      <c:barChart>
        <c:barDir val="col"/>
        <c:grouping val="clustered"/>
        <c:varyColors val="0"/>
        <c:ser>
          <c:idx val="0"/>
          <c:order val="0"/>
          <c:spPr>
            <a:solidFill>
              <a:srgbClr val="00B050"/>
            </a:solidFill>
          </c:spPr>
          <c:invertIfNegative val="0"/>
          <c:cat>
            <c:strRef>
              <c:f>Sheet4!$B$101:$D$101</c:f>
              <c:strCache>
                <c:ptCount val="3"/>
                <c:pt idx="0">
                  <c:v>Female</c:v>
                </c:pt>
                <c:pt idx="1">
                  <c:v>Male</c:v>
                </c:pt>
                <c:pt idx="2">
                  <c:v>Total</c:v>
                </c:pt>
              </c:strCache>
            </c:strRef>
          </c:cat>
          <c:val>
            <c:numRef>
              <c:f>Sheet4!$B$102:$D$102</c:f>
              <c:numCache>
                <c:formatCode>0.0</c:formatCode>
                <c:ptCount val="3"/>
                <c:pt idx="0">
                  <c:v>64.378698224852059</c:v>
                </c:pt>
                <c:pt idx="1">
                  <c:v>51.005100510051008</c:v>
                </c:pt>
                <c:pt idx="2">
                  <c:v>58.613389785657581</c:v>
                </c:pt>
              </c:numCache>
            </c:numRef>
          </c:val>
        </c:ser>
        <c:dLbls>
          <c:showLegendKey val="0"/>
          <c:showVal val="0"/>
          <c:showCatName val="0"/>
          <c:showSerName val="0"/>
          <c:showPercent val="0"/>
          <c:showBubbleSize val="0"/>
        </c:dLbls>
        <c:gapWidth val="150"/>
        <c:axId val="155060096"/>
        <c:axId val="155086848"/>
      </c:barChart>
      <c:catAx>
        <c:axId val="155060096"/>
        <c:scaling>
          <c:orientation val="minMax"/>
        </c:scaling>
        <c:delete val="0"/>
        <c:axPos val="b"/>
        <c:numFmt formatCode="General" sourceLinked="1"/>
        <c:majorTickMark val="none"/>
        <c:minorTickMark val="out"/>
        <c:tickLblPos val="nextTo"/>
        <c:txPr>
          <a:bodyPr rot="0"/>
          <a:lstStyle/>
          <a:p>
            <a:pPr>
              <a:defRPr/>
            </a:pPr>
            <a:endParaRPr lang="en-US"/>
          </a:p>
        </c:txPr>
        <c:crossAx val="155086848"/>
        <c:crosses val="autoZero"/>
        <c:auto val="1"/>
        <c:lblAlgn val="ctr"/>
        <c:lblOffset val="100"/>
        <c:noMultiLvlLbl val="0"/>
      </c:catAx>
      <c:valAx>
        <c:axId val="155086848"/>
        <c:scaling>
          <c:orientation val="minMax"/>
        </c:scaling>
        <c:delete val="0"/>
        <c:axPos val="l"/>
        <c:majorGridlines/>
        <c:title>
          <c:tx>
            <c:rich>
              <a:bodyPr rot="-5400000" vert="horz"/>
              <a:lstStyle/>
              <a:p>
                <a:pPr>
                  <a:defRPr b="0"/>
                </a:pPr>
                <a:r>
                  <a:rPr lang="en-AU" b="0"/>
                  <a:t>Injuries and diseases per 1 000 workers</a:t>
                </a:r>
              </a:p>
            </c:rich>
          </c:tx>
          <c:layout>
            <c:manualLayout>
              <c:xMode val="edge"/>
              <c:yMode val="edge"/>
              <c:x val="1.8814814814814815E-2"/>
              <c:y val="0.20318361111111111"/>
            </c:manualLayout>
          </c:layout>
          <c:overlay val="0"/>
        </c:title>
        <c:numFmt formatCode="0" sourceLinked="0"/>
        <c:majorTickMark val="out"/>
        <c:minorTickMark val="none"/>
        <c:tickLblPos val="nextTo"/>
        <c:crossAx val="155060096"/>
        <c:crosses val="autoZero"/>
        <c:crossBetween val="between"/>
      </c:valAx>
    </c:plotArea>
    <c:plotVisOnly val="1"/>
    <c:dispBlanksAs val="gap"/>
    <c:showDLblsOverMax val="0"/>
  </c:chart>
  <c:spPr>
    <a:ln>
      <a:solidFill>
        <a:schemeClr val="tx1"/>
      </a:solid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722779548626055"/>
          <c:y val="3.8596480564586109E-2"/>
          <c:w val="0.51861967672994125"/>
          <c:h val="0.82879950818545434"/>
        </c:manualLayout>
      </c:layout>
      <c:barChart>
        <c:barDir val="bar"/>
        <c:grouping val="clustered"/>
        <c:varyColors val="0"/>
        <c:ser>
          <c:idx val="0"/>
          <c:order val="0"/>
          <c:spPr>
            <a:solidFill>
              <a:schemeClr val="tx1">
                <a:lumMod val="65000"/>
                <a:lumOff val="35000"/>
              </a:schemeClr>
            </a:solidFill>
          </c:spPr>
          <c:invertIfNegative val="0"/>
          <c:dPt>
            <c:idx val="4"/>
            <c:invertIfNegative val="0"/>
            <c:bubble3D val="0"/>
            <c:spPr>
              <a:solidFill>
                <a:srgbClr val="00B050"/>
              </a:solidFill>
            </c:spPr>
          </c:dPt>
          <c:cat>
            <c:strRef>
              <c:f>'Fatality rates'!$A$48:$A$67</c:f>
              <c:strCache>
                <c:ptCount val="20"/>
                <c:pt idx="0">
                  <c:v>Total (all Australian workers)</c:v>
                </c:pt>
                <c:pt idx="1">
                  <c:v>Financial and insurance services</c:v>
                </c:pt>
                <c:pt idx="2">
                  <c:v>Health care and social assistance</c:v>
                </c:pt>
                <c:pt idx="3">
                  <c:v>Education and training</c:v>
                </c:pt>
                <c:pt idx="4">
                  <c:v>Accommodation and food services</c:v>
                </c:pt>
                <c:pt idx="5">
                  <c:v>Professional, scientific and technical services</c:v>
                </c:pt>
                <c:pt idx="6">
                  <c:v>Retail trade</c:v>
                </c:pt>
                <c:pt idx="7">
                  <c:v>Information media and telecommunications</c:v>
                </c:pt>
                <c:pt idx="8">
                  <c:v>Other services</c:v>
                </c:pt>
                <c:pt idx="9">
                  <c:v>Public administration and safety</c:v>
                </c:pt>
                <c:pt idx="10">
                  <c:v>Wholesale trade</c:v>
                </c:pt>
                <c:pt idx="11">
                  <c:v>Rental, hiring and real estate services</c:v>
                </c:pt>
                <c:pt idx="12">
                  <c:v>Manufacturing</c:v>
                </c:pt>
                <c:pt idx="13">
                  <c:v>Administrative and support services</c:v>
                </c:pt>
                <c:pt idx="14">
                  <c:v>Arts and recreation services</c:v>
                </c:pt>
                <c:pt idx="15">
                  <c:v>Electricity, gas, water and waste services</c:v>
                </c:pt>
                <c:pt idx="16">
                  <c:v>Construction</c:v>
                </c:pt>
                <c:pt idx="17">
                  <c:v>Mining</c:v>
                </c:pt>
                <c:pt idx="18">
                  <c:v>Transport, postal and warehousing</c:v>
                </c:pt>
                <c:pt idx="19">
                  <c:v>Agriculture, forestry and fishing</c:v>
                </c:pt>
              </c:strCache>
            </c:strRef>
          </c:cat>
          <c:val>
            <c:numRef>
              <c:f>'Fatality rates'!$D$48:$D$67</c:f>
              <c:numCache>
                <c:formatCode>0.00</c:formatCode>
                <c:ptCount val="20"/>
                <c:pt idx="0">
                  <c:v>2.4299434757098615</c:v>
                </c:pt>
                <c:pt idx="1">
                  <c:v>0.18628912071535023</c:v>
                </c:pt>
                <c:pt idx="2">
                  <c:v>0.24776759399683099</c:v>
                </c:pt>
                <c:pt idx="3">
                  <c:v>0.33421304352836778</c:v>
                </c:pt>
                <c:pt idx="4">
                  <c:v>0.4357982638566224</c:v>
                </c:pt>
                <c:pt idx="5">
                  <c:v>0.56614622495466405</c:v>
                </c:pt>
                <c:pt idx="6">
                  <c:v>0.61094441179200054</c:v>
                </c:pt>
                <c:pt idx="7">
                  <c:v>0.61258869773852676</c:v>
                </c:pt>
                <c:pt idx="8">
                  <c:v>1.2289170428923293</c:v>
                </c:pt>
                <c:pt idx="9">
                  <c:v>1.5423253681259705</c:v>
                </c:pt>
                <c:pt idx="10">
                  <c:v>1.9926021781203118</c:v>
                </c:pt>
                <c:pt idx="11">
                  <c:v>2.1090978813153103</c:v>
                </c:pt>
                <c:pt idx="12">
                  <c:v>2.2424437167137263</c:v>
                </c:pt>
                <c:pt idx="13">
                  <c:v>2.4510723441505662</c:v>
                </c:pt>
                <c:pt idx="14">
                  <c:v>2.7471179789060582</c:v>
                </c:pt>
                <c:pt idx="15">
                  <c:v>3.7567151282918214</c:v>
                </c:pt>
                <c:pt idx="16">
                  <c:v>3.9636599101308789</c:v>
                </c:pt>
                <c:pt idx="17">
                  <c:v>5.5432523130850644</c:v>
                </c:pt>
                <c:pt idx="18">
                  <c:v>11.229277052061862</c:v>
                </c:pt>
                <c:pt idx="19">
                  <c:v>17.164861419771626</c:v>
                </c:pt>
              </c:numCache>
            </c:numRef>
          </c:val>
        </c:ser>
        <c:dLbls>
          <c:showLegendKey val="0"/>
          <c:showVal val="0"/>
          <c:showCatName val="0"/>
          <c:showSerName val="0"/>
          <c:showPercent val="0"/>
          <c:showBubbleSize val="0"/>
        </c:dLbls>
        <c:gapWidth val="150"/>
        <c:axId val="39580032"/>
        <c:axId val="39581568"/>
      </c:barChart>
      <c:catAx>
        <c:axId val="39580032"/>
        <c:scaling>
          <c:orientation val="minMax"/>
        </c:scaling>
        <c:delete val="0"/>
        <c:axPos val="l"/>
        <c:numFmt formatCode="General" sourceLinked="1"/>
        <c:majorTickMark val="none"/>
        <c:minorTickMark val="out"/>
        <c:tickLblPos val="nextTo"/>
        <c:txPr>
          <a:bodyPr rot="0" vert="horz"/>
          <a:lstStyle/>
          <a:p>
            <a:pPr>
              <a:defRPr sz="800" b="0" i="0" u="none" strike="noStrike" baseline="0">
                <a:solidFill>
                  <a:srgbClr val="000000"/>
                </a:solidFill>
                <a:latin typeface="Arial"/>
                <a:ea typeface="Arial"/>
                <a:cs typeface="Arial"/>
              </a:defRPr>
            </a:pPr>
            <a:endParaRPr lang="en-US"/>
          </a:p>
        </c:txPr>
        <c:crossAx val="39581568"/>
        <c:crosses val="autoZero"/>
        <c:auto val="1"/>
        <c:lblAlgn val="ctr"/>
        <c:lblOffset val="100"/>
        <c:noMultiLvlLbl val="0"/>
      </c:catAx>
      <c:valAx>
        <c:axId val="39581568"/>
        <c:scaling>
          <c:orientation val="minMax"/>
        </c:scaling>
        <c:delete val="0"/>
        <c:axPos val="b"/>
        <c:majorGridlines/>
        <c:numFmt formatCode="0" sourceLinked="0"/>
        <c:majorTickMark val="out"/>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39580032"/>
        <c:crosses val="autoZero"/>
        <c:crossBetween val="between"/>
      </c:valAx>
    </c:plotArea>
    <c:plotVisOnly val="1"/>
    <c:dispBlanksAs val="gap"/>
    <c:showDLblsOverMax val="0"/>
  </c:chart>
  <c:spPr>
    <a:ln>
      <a:solidFill>
        <a:schemeClr val="tx1"/>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0.00683</cdr:x>
      <cdr:y>0.3534</cdr:y>
    </cdr:from>
    <cdr:to>
      <cdr:x>0.03628</cdr:x>
      <cdr:y>0.5772</cdr:y>
    </cdr:to>
    <cdr:sp macro="" textlink="">
      <cdr:nvSpPr>
        <cdr:cNvPr id="2" name="TextBox 1"/>
        <cdr:cNvSpPr txBox="1"/>
      </cdr:nvSpPr>
      <cdr:spPr>
        <a:xfrm xmlns:a="http://schemas.openxmlformats.org/drawingml/2006/main" rot="-5400000">
          <a:off x="-276978" y="1604126"/>
          <a:ext cx="814304" cy="1778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Industry</a:t>
          </a:r>
        </a:p>
      </cdr:txBody>
    </cdr:sp>
  </cdr:relSizeAnchor>
  <cdr:relSizeAnchor xmlns:cdr="http://schemas.openxmlformats.org/drawingml/2006/chartDrawing">
    <cdr:from>
      <cdr:x>0.62276</cdr:x>
      <cdr:y>0.93511</cdr:y>
    </cdr:from>
    <cdr:to>
      <cdr:x>0.82021</cdr:x>
      <cdr:y>0.97896</cdr:y>
    </cdr:to>
    <cdr:sp macro="" textlink="">
      <cdr:nvSpPr>
        <cdr:cNvPr id="4" name="TextBox 1"/>
        <cdr:cNvSpPr txBox="1"/>
      </cdr:nvSpPr>
      <cdr:spPr>
        <a:xfrm xmlns:a="http://schemas.openxmlformats.org/drawingml/2006/main">
          <a:off x="3362892" y="3366402"/>
          <a:ext cx="1066232" cy="1578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Number of workers </a:t>
          </a:r>
        </a:p>
      </cdr:txBody>
    </cdr:sp>
  </cdr:relSizeAnchor>
</c:userShapes>
</file>

<file path=word/drawings/drawing2.xml><?xml version="1.0" encoding="utf-8"?>
<c:userShapes xmlns:c="http://schemas.openxmlformats.org/drawingml/2006/chart">
  <cdr:relSizeAnchor xmlns:cdr="http://schemas.openxmlformats.org/drawingml/2006/chartDrawing">
    <cdr:from>
      <cdr:x>1.85185E-7</cdr:x>
      <cdr:y>0.41804</cdr:y>
    </cdr:from>
    <cdr:to>
      <cdr:x>0.02454</cdr:x>
      <cdr:y>0.57717</cdr:y>
    </cdr:to>
    <cdr:sp macro="" textlink="">
      <cdr:nvSpPr>
        <cdr:cNvPr id="2" name="TextBox 1"/>
        <cdr:cNvSpPr txBox="1"/>
      </cdr:nvSpPr>
      <cdr:spPr>
        <a:xfrm xmlns:a="http://schemas.openxmlformats.org/drawingml/2006/main" rot="-5400000">
          <a:off x="-220174" y="1725124"/>
          <a:ext cx="572877" cy="1325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Industry</a:t>
          </a:r>
        </a:p>
      </cdr:txBody>
    </cdr:sp>
  </cdr:relSizeAnchor>
  <cdr:relSizeAnchor xmlns:cdr="http://schemas.openxmlformats.org/drawingml/2006/chartDrawing">
    <cdr:from>
      <cdr:x>0.49212</cdr:x>
      <cdr:y>0.91659</cdr:y>
    </cdr:from>
    <cdr:to>
      <cdr:x>0.87489</cdr:x>
      <cdr:y>0.97102</cdr:y>
    </cdr:to>
    <cdr:sp macro="" textlink="">
      <cdr:nvSpPr>
        <cdr:cNvPr id="4" name="TextBox 1"/>
        <cdr:cNvSpPr txBox="1"/>
      </cdr:nvSpPr>
      <cdr:spPr>
        <a:xfrm xmlns:a="http://schemas.openxmlformats.org/drawingml/2006/main">
          <a:off x="2657460" y="3299739"/>
          <a:ext cx="2066940" cy="19593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Percentage of</a:t>
          </a:r>
          <a:r>
            <a:rPr lang="en-AU" sz="800" baseline="0">
              <a:latin typeface="Arial" panose="020B0604020202020204" pitchFamily="34" charset="0"/>
              <a:cs typeface="Arial" panose="020B0604020202020204" pitchFamily="34" charset="0"/>
            </a:rPr>
            <a:t> workers aged 15</a:t>
          </a:r>
          <a:r>
            <a:rPr lang="en-AU" sz="800">
              <a:effectLst/>
              <a:latin typeface="Arial" panose="020B0604020202020204" pitchFamily="34" charset="0"/>
              <a:ea typeface="+mn-ea"/>
              <a:cs typeface="Arial" panose="020B0604020202020204" pitchFamily="34" charset="0"/>
            </a:rPr>
            <a:t>–24</a:t>
          </a:r>
          <a:r>
            <a:rPr lang="en-AU" sz="800" baseline="0">
              <a:effectLst/>
              <a:latin typeface="Arial" panose="020B0604020202020204" pitchFamily="34" charset="0"/>
              <a:ea typeface="+mn-ea"/>
              <a:cs typeface="Arial" panose="020B0604020202020204" pitchFamily="34" charset="0"/>
            </a:rPr>
            <a:t> </a:t>
          </a:r>
          <a:r>
            <a:rPr lang="en-AU" sz="800">
              <a:effectLst/>
              <a:latin typeface="Arial" panose="020B0604020202020204" pitchFamily="34" charset="0"/>
              <a:ea typeface="+mn-ea"/>
              <a:cs typeface="Arial" panose="020B0604020202020204" pitchFamily="34" charset="0"/>
            </a:rPr>
            <a:t>years</a:t>
          </a:r>
          <a:endParaRPr lang="en-AU" sz="800">
            <a:latin typeface="Arial" panose="020B060402020202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1.85185E-7</cdr:x>
      <cdr:y>0.41804</cdr:y>
    </cdr:from>
    <cdr:to>
      <cdr:x>0.02454</cdr:x>
      <cdr:y>0.57717</cdr:y>
    </cdr:to>
    <cdr:sp macro="" textlink="">
      <cdr:nvSpPr>
        <cdr:cNvPr id="2" name="TextBox 1"/>
        <cdr:cNvSpPr txBox="1"/>
      </cdr:nvSpPr>
      <cdr:spPr>
        <a:xfrm xmlns:a="http://schemas.openxmlformats.org/drawingml/2006/main" rot="-5400000">
          <a:off x="-220174" y="1725124"/>
          <a:ext cx="572877" cy="1325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Industry</a:t>
          </a:r>
        </a:p>
      </cdr:txBody>
    </cdr:sp>
  </cdr:relSizeAnchor>
  <cdr:relSizeAnchor xmlns:cdr="http://schemas.openxmlformats.org/drawingml/2006/chartDrawing">
    <cdr:from>
      <cdr:x>0.5387</cdr:x>
      <cdr:y>0.92453</cdr:y>
    </cdr:from>
    <cdr:to>
      <cdr:x>0.85372</cdr:x>
      <cdr:y>0.97367</cdr:y>
    </cdr:to>
    <cdr:sp macro="" textlink="">
      <cdr:nvSpPr>
        <cdr:cNvPr id="4" name="TextBox 1"/>
        <cdr:cNvSpPr txBox="1"/>
      </cdr:nvSpPr>
      <cdr:spPr>
        <a:xfrm xmlns:a="http://schemas.openxmlformats.org/drawingml/2006/main">
          <a:off x="2908984" y="3328302"/>
          <a:ext cx="1701116" cy="1768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Percentage of part-time</a:t>
          </a:r>
          <a:r>
            <a:rPr lang="en-AU" sz="800" baseline="0">
              <a:latin typeface="Arial" panose="020B0604020202020204" pitchFamily="34" charset="0"/>
              <a:cs typeface="Arial" panose="020B0604020202020204" pitchFamily="34" charset="0"/>
            </a:rPr>
            <a:t> workers</a:t>
          </a:r>
          <a:endParaRPr lang="en-AU" sz="800">
            <a:latin typeface="Arial" panose="020B0604020202020204" pitchFamily="34" charset="0"/>
            <a:cs typeface="Arial" panose="020B0604020202020204"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1.85185E-7</cdr:x>
      <cdr:y>0.41804</cdr:y>
    </cdr:from>
    <cdr:to>
      <cdr:x>0.02454</cdr:x>
      <cdr:y>0.57717</cdr:y>
    </cdr:to>
    <cdr:sp macro="" textlink="">
      <cdr:nvSpPr>
        <cdr:cNvPr id="2" name="TextBox 1"/>
        <cdr:cNvSpPr txBox="1"/>
      </cdr:nvSpPr>
      <cdr:spPr>
        <a:xfrm xmlns:a="http://schemas.openxmlformats.org/drawingml/2006/main" rot="-5400000">
          <a:off x="-220174" y="1725124"/>
          <a:ext cx="572877" cy="1325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Industry</a:t>
          </a:r>
        </a:p>
      </cdr:txBody>
    </cdr:sp>
  </cdr:relSizeAnchor>
  <cdr:relSizeAnchor xmlns:cdr="http://schemas.openxmlformats.org/drawingml/2006/chartDrawing">
    <cdr:from>
      <cdr:x>0.50695</cdr:x>
      <cdr:y>0.92188</cdr:y>
    </cdr:from>
    <cdr:to>
      <cdr:x>0.88194</cdr:x>
      <cdr:y>0.97631</cdr:y>
    </cdr:to>
    <cdr:sp macro="" textlink="">
      <cdr:nvSpPr>
        <cdr:cNvPr id="4" name="TextBox 1"/>
        <cdr:cNvSpPr txBox="1"/>
      </cdr:nvSpPr>
      <cdr:spPr>
        <a:xfrm xmlns:a="http://schemas.openxmlformats.org/drawingml/2006/main">
          <a:off x="2737530" y="3318783"/>
          <a:ext cx="2024970" cy="19594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Injuries and diseases per 1 000 workers</a:t>
          </a:r>
        </a:p>
      </cdr:txBody>
    </cdr:sp>
  </cdr:relSizeAnchor>
</c:userShapes>
</file>

<file path=word/drawings/drawing5.xml><?xml version="1.0" encoding="utf-8"?>
<c:userShapes xmlns:c="http://schemas.openxmlformats.org/drawingml/2006/chart">
  <cdr:relSizeAnchor xmlns:cdr="http://schemas.openxmlformats.org/drawingml/2006/chartDrawing">
    <cdr:from>
      <cdr:x>0.00683</cdr:x>
      <cdr:y>0.3534</cdr:y>
    </cdr:from>
    <cdr:to>
      <cdr:x>0.03628</cdr:x>
      <cdr:y>0.5772</cdr:y>
    </cdr:to>
    <cdr:sp macro="" textlink="">
      <cdr:nvSpPr>
        <cdr:cNvPr id="2" name="TextBox 1"/>
        <cdr:cNvSpPr txBox="1"/>
      </cdr:nvSpPr>
      <cdr:spPr>
        <a:xfrm xmlns:a="http://schemas.openxmlformats.org/drawingml/2006/main" rot="-5400000">
          <a:off x="-276978" y="1604126"/>
          <a:ext cx="814304" cy="1778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Industry</a:t>
          </a:r>
        </a:p>
      </cdr:txBody>
    </cdr:sp>
  </cdr:relSizeAnchor>
  <cdr:relSizeAnchor xmlns:cdr="http://schemas.openxmlformats.org/drawingml/2006/chartDrawing">
    <cdr:from>
      <cdr:x>0.52917</cdr:x>
      <cdr:y>0.92981</cdr:y>
    </cdr:from>
    <cdr:to>
      <cdr:x>0.87842</cdr:x>
      <cdr:y>0.97896</cdr:y>
    </cdr:to>
    <cdr:sp macro="" textlink="">
      <cdr:nvSpPr>
        <cdr:cNvPr id="4" name="TextBox 1"/>
        <cdr:cNvSpPr txBox="1"/>
      </cdr:nvSpPr>
      <cdr:spPr>
        <a:xfrm xmlns:a="http://schemas.openxmlformats.org/drawingml/2006/main">
          <a:off x="2857502" y="3347330"/>
          <a:ext cx="1885947" cy="1769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Injury fatalities per 100 000 workers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978-1-76028-239-4</PublicationIdentifier>
    <ParentFolderID xmlns="http://schemas.microsoft.com/sharepoint/v3/fields">927</ParentFolderID>
  </documentManagement>
</p:properties>
</file>

<file path=customXml/itemProps1.xml><?xml version="1.0" encoding="utf-8"?>
<ds:datastoreItem xmlns:ds="http://schemas.openxmlformats.org/officeDocument/2006/customXml" ds:itemID="{BBDBBEA8-8D96-49E4-A183-A648FADD5650}"/>
</file>

<file path=customXml/itemProps2.xml><?xml version="1.0" encoding="utf-8"?>
<ds:datastoreItem xmlns:ds="http://schemas.openxmlformats.org/officeDocument/2006/customXml" ds:itemID="{AA54D529-C594-44CE-A76B-A176498E5187}"/>
</file>

<file path=customXml/itemProps3.xml><?xml version="1.0" encoding="utf-8"?>
<ds:datastoreItem xmlns:ds="http://schemas.openxmlformats.org/officeDocument/2006/customXml" ds:itemID="{5642A1DE-B06F-4864-9980-C9571BD5611A}"/>
</file>

<file path=docProps/app.xml><?xml version="1.0" encoding="utf-8"?>
<Properties xmlns="http://schemas.openxmlformats.org/officeDocument/2006/extended-properties" xmlns:vt="http://schemas.openxmlformats.org/officeDocument/2006/docPropsVTypes">
  <Template>ABA1EB5B.dotm</Template>
  <TotalTime>0</TotalTime>
  <Pages>33</Pages>
  <Words>11903</Words>
  <Characters>62967</Characters>
  <Application>Microsoft Office Word</Application>
  <DocSecurity>0</DocSecurity>
  <Lines>2031</Lines>
  <Paragraphs>1627</Paragraphs>
  <ScaleCrop>false</ScaleCrop>
  <HeadingPairs>
    <vt:vector size="2" baseType="variant">
      <vt:variant>
        <vt:lpstr>Title</vt:lpstr>
      </vt:variant>
      <vt:variant>
        <vt:i4>1</vt:i4>
      </vt:variant>
    </vt:vector>
  </HeadingPairs>
  <TitlesOfParts>
    <vt:vector size="1" baseType="lpstr">
      <vt:lpstr>Work Health and Safety in the Accommodation and Food Services Industry</vt:lpstr>
    </vt:vector>
  </TitlesOfParts>
  <Company/>
  <LinksUpToDate>false</LinksUpToDate>
  <CharactersWithSpaces>73243</CharactersWithSpaces>
  <SharedDoc>false</SharedDoc>
  <HyperlinkBase>http://safeworkaustralia.gov.au</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in the accommodation and food services industry</dc:title>
  <dc:creator/>
  <cp:keywords>work health and safety; work-related injuries, diseases and fatalities; workers' compensation; hospitality; young workers;</cp:keywords>
  <cp:lastModifiedBy/>
  <cp:revision>1</cp:revision>
  <dcterms:created xsi:type="dcterms:W3CDTF">2015-08-19T05:17:00Z</dcterms:created>
  <dcterms:modified xsi:type="dcterms:W3CDTF">2015-08-19T06:12:00Z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