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54" w:rsidRPr="00595354" w:rsidRDefault="003A5B3C" w:rsidP="003A5B3C">
      <w:pPr>
        <w:rPr>
          <w:rFonts w:ascii="Calibri" w:eastAsia="Calibri" w:hAnsi="Calibri"/>
          <w:szCs w:val="22"/>
          <w:lang w:eastAsia="en-US"/>
        </w:rPr>
      </w:pPr>
      <w:bookmarkStart w:id="0" w:name="_GoBack"/>
      <w:r>
        <w:rPr>
          <w:rFonts w:ascii="Calibri" w:eastAsia="Calibri" w:hAnsi="Calibri"/>
          <w:noProof/>
          <w:szCs w:val="22"/>
        </w:rPr>
        <w:drawing>
          <wp:anchor distT="0" distB="0" distL="114300" distR="114300" simplePos="0" relativeHeight="251712512" behindDoc="1" locked="0" layoutInCell="0" allowOverlap="0">
            <wp:simplePos x="914400" y="808074"/>
            <wp:positionH relativeFrom="page">
              <wp:align>center</wp:align>
            </wp:positionH>
            <wp:positionV relativeFrom="page">
              <wp:align>center</wp:align>
            </wp:positionV>
            <wp:extent cx="7515275" cy="10632558"/>
            <wp:effectExtent l="0" t="0" r="0" b="0"/>
            <wp:wrapNone/>
            <wp:docPr id="7" name="Picture 7" descr="This is the cover of the document and includes the names of the authors as follow:&#10;Rachael E. Potter&#10;Maureen F. Dollard &#10;Michelle R. Tuckey" title="Bullying and Harassment in Australian Workplaces: Results from the Australian Workplace Barometer Project 2014/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3499\AppData\Local\Microsoft\Windows\Temporary Internet Files\Content.Outlook\5SFD2V27\Bullying  Harassment in Australian Workplaces Report Cover 161027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300" cy="1064532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43118" w:rsidRPr="00F43118" w:rsidRDefault="003A5B3C" w:rsidP="000F53A0">
      <w:pPr>
        <w:rPr>
          <w:rFonts w:eastAsia="Cambria"/>
          <w:szCs w:val="22"/>
          <w:u w:color="000000"/>
          <w:bdr w:val="nil"/>
          <w:lang w:val="en-US"/>
        </w:rPr>
      </w:pPr>
      <w:r>
        <w:rPr>
          <w:rFonts w:eastAsia="Cambria"/>
          <w:u w:color="000000"/>
          <w:bdr w:val="nil"/>
          <w:lang w:val="en-US"/>
        </w:rPr>
        <w:br w:type="page"/>
      </w:r>
    </w:p>
    <w:p w:rsidR="00F43118" w:rsidRPr="00F43118" w:rsidRDefault="00F43118" w:rsidP="000F53A0">
      <w:pPr>
        <w:rPr>
          <w:rFonts w:eastAsia="Cambria"/>
          <w:szCs w:val="22"/>
          <w:u w:color="000000"/>
          <w:bdr w:val="nil"/>
          <w:lang w:val="en-US"/>
        </w:rPr>
      </w:pPr>
      <w:r w:rsidRPr="00F43118">
        <w:rPr>
          <w:rFonts w:eastAsia="Cambria"/>
          <w:szCs w:val="22"/>
          <w:u w:color="000000"/>
          <w:bdr w:val="nil"/>
          <w:lang w:val="en-US"/>
        </w:rPr>
        <w:lastRenderedPageBreak/>
        <w:t>T</w:t>
      </w:r>
      <w:r w:rsidRPr="00F43118">
        <w:rPr>
          <w:szCs w:val="22"/>
          <w:u w:color="000000"/>
          <w:bdr w:val="nil"/>
          <w:lang w:val="en-US"/>
        </w:rPr>
        <w:t xml:space="preserve">his project was supported by funding from the Commonwealth Government </w:t>
      </w:r>
      <w:r w:rsidR="00A46C2A">
        <w:rPr>
          <w:szCs w:val="22"/>
          <w:u w:color="000000"/>
          <w:bdr w:val="nil"/>
          <w:lang w:val="en-US"/>
        </w:rPr>
        <w:t>body</w:t>
      </w:r>
      <w:r w:rsidRPr="00F43118">
        <w:rPr>
          <w:szCs w:val="22"/>
          <w:u w:color="000000"/>
          <w:bdr w:val="nil"/>
          <w:lang w:val="en-US"/>
        </w:rPr>
        <w:t xml:space="preserve"> Safe Work Australia, </w:t>
      </w:r>
      <w:proofErr w:type="spellStart"/>
      <w:r w:rsidRPr="00F43118">
        <w:rPr>
          <w:szCs w:val="22"/>
          <w:u w:color="000000"/>
          <w:bdr w:val="nil"/>
          <w:lang w:val="en-US"/>
        </w:rPr>
        <w:t>SafeWork</w:t>
      </w:r>
      <w:proofErr w:type="spellEnd"/>
      <w:r w:rsidRPr="00F43118">
        <w:rPr>
          <w:szCs w:val="22"/>
          <w:u w:color="000000"/>
          <w:bdr w:val="nil"/>
          <w:lang w:val="en-US"/>
        </w:rPr>
        <w:t xml:space="preserve"> SA, Australian Research Council Discovery Grants [</w:t>
      </w:r>
      <w:proofErr w:type="spellStart"/>
      <w:r w:rsidRPr="00F43118">
        <w:rPr>
          <w:szCs w:val="22"/>
          <w:u w:color="000000"/>
          <w:bdr w:val="nil"/>
          <w:lang w:val="en-US"/>
        </w:rPr>
        <w:t>DP0879007</w:t>
      </w:r>
      <w:proofErr w:type="spellEnd"/>
      <w:r w:rsidRPr="00F43118">
        <w:rPr>
          <w:szCs w:val="22"/>
          <w:u w:color="000000"/>
          <w:bdr w:val="nil"/>
          <w:lang w:val="en-US"/>
        </w:rPr>
        <w:t xml:space="preserve"> &amp; </w:t>
      </w:r>
      <w:proofErr w:type="spellStart"/>
      <w:r w:rsidRPr="00F43118">
        <w:rPr>
          <w:szCs w:val="22"/>
          <w:u w:color="000000"/>
          <w:bdr w:val="nil"/>
          <w:lang w:val="en-US"/>
        </w:rPr>
        <w:t>DP140103429</w:t>
      </w:r>
      <w:proofErr w:type="spellEnd"/>
      <w:r w:rsidRPr="00F43118">
        <w:rPr>
          <w:szCs w:val="22"/>
          <w:u w:color="000000"/>
          <w:bdr w:val="nil"/>
          <w:lang w:val="en-US"/>
        </w:rPr>
        <w:t>] and an Australian Research Council Linkage Grant [</w:t>
      </w:r>
      <w:proofErr w:type="spellStart"/>
      <w:r w:rsidRPr="00F43118">
        <w:rPr>
          <w:szCs w:val="22"/>
          <w:u w:color="000000"/>
          <w:bdr w:val="nil"/>
          <w:lang w:val="en-US"/>
        </w:rPr>
        <w:t>LP100100449</w:t>
      </w:r>
      <w:proofErr w:type="spellEnd"/>
      <w:r w:rsidRPr="00F43118">
        <w:rPr>
          <w:szCs w:val="22"/>
          <w:u w:color="000000"/>
          <w:bdr w:val="nil"/>
          <w:lang w:val="en-US"/>
        </w:rPr>
        <w:t xml:space="preserve">]. Wes </w:t>
      </w:r>
      <w:proofErr w:type="spellStart"/>
      <w:r w:rsidRPr="00F43118">
        <w:rPr>
          <w:szCs w:val="22"/>
          <w:u w:color="000000"/>
          <w:bdr w:val="nil"/>
          <w:lang w:val="en-US"/>
        </w:rPr>
        <w:t>McTernan</w:t>
      </w:r>
      <w:proofErr w:type="spellEnd"/>
      <w:r w:rsidRPr="00F43118">
        <w:rPr>
          <w:szCs w:val="22"/>
          <w:u w:color="000000"/>
          <w:bdr w:val="nil"/>
          <w:lang w:val="en-US"/>
        </w:rPr>
        <w:t xml:space="preserve">, Harry Becher, and Tessa Bailey assisted with the statistical analysis and in the preparation of the report. </w:t>
      </w:r>
      <w:r w:rsidR="00791855">
        <w:rPr>
          <w:szCs w:val="22"/>
          <w:u w:color="000000"/>
          <w:bdr w:val="nil"/>
          <w:lang w:val="en-US"/>
        </w:rPr>
        <w:t xml:space="preserve">Rachael Potter is </w:t>
      </w:r>
      <w:r w:rsidR="007272CD">
        <w:rPr>
          <w:szCs w:val="22"/>
          <w:u w:color="000000"/>
          <w:bdr w:val="nil"/>
          <w:lang w:val="en-US"/>
        </w:rPr>
        <w:t xml:space="preserve">a </w:t>
      </w:r>
      <w:r w:rsidR="00791855">
        <w:rPr>
          <w:szCs w:val="22"/>
          <w:u w:color="000000"/>
          <w:bdr w:val="nil"/>
          <w:lang w:val="en-US"/>
        </w:rPr>
        <w:t xml:space="preserve">Research Assistant, Maureen Dollard is Professor of Work and </w:t>
      </w:r>
      <w:proofErr w:type="spellStart"/>
      <w:r w:rsidR="00791855">
        <w:rPr>
          <w:szCs w:val="22"/>
          <w:u w:color="000000"/>
          <w:bdr w:val="nil"/>
          <w:lang w:val="en-US"/>
        </w:rPr>
        <w:t>Organisational</w:t>
      </w:r>
      <w:proofErr w:type="spellEnd"/>
      <w:r w:rsidR="00791855">
        <w:rPr>
          <w:szCs w:val="22"/>
          <w:u w:color="000000"/>
          <w:bdr w:val="nil"/>
          <w:lang w:val="en-US"/>
        </w:rPr>
        <w:t xml:space="preserve"> Psychology, and Michelle Tuckey is Associate Professor of Psychology, at the University of South Australia.</w:t>
      </w:r>
    </w:p>
    <w:p w:rsidR="000F53A0" w:rsidRDefault="000F53A0">
      <w:pPr>
        <w:rPr>
          <w:rFonts w:ascii="Arial Black" w:eastAsia="Cambria" w:hAnsi="Arial Black" w:cs="Calibri"/>
          <w:color w:val="000000"/>
          <w:sz w:val="24"/>
          <w:szCs w:val="22"/>
          <w:u w:color="000000"/>
          <w:bdr w:val="nil"/>
          <w:lang w:val="en-US"/>
        </w:rPr>
      </w:pPr>
      <w:r>
        <w:rPr>
          <w:rFonts w:ascii="Arial Black" w:eastAsia="Cambria" w:hAnsi="Arial Black" w:cs="Calibri"/>
          <w:color w:val="000000"/>
          <w:sz w:val="24"/>
          <w:szCs w:val="22"/>
          <w:u w:color="000000"/>
          <w:bdr w:val="nil"/>
          <w:lang w:val="en-US"/>
        </w:rPr>
        <w:br w:type="page"/>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lastRenderedPageBreak/>
        <w:t>Creative Commons</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noProof/>
          <w:color w:val="000000" w:themeColor="text1"/>
          <w:szCs w:val="22"/>
        </w:rPr>
        <w:drawing>
          <wp:inline distT="0" distB="0" distL="0" distR="0" wp14:anchorId="64AC1D08" wp14:editId="39E2BA89">
            <wp:extent cx="1524000" cy="533400"/>
            <wp:effectExtent l="0" t="0" r="0" b="0"/>
            <wp:docPr id="1" name="Picture 2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eative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rsidR="005F2665" w:rsidRPr="005F2665" w:rsidRDefault="005F2665" w:rsidP="005F2665">
      <w:pPr>
        <w:spacing w:before="240" w:after="100" w:afterAutospacing="1"/>
        <w:ind w:left="567" w:hanging="567"/>
        <w:rPr>
          <w:rFonts w:eastAsia="SimSun" w:cs="Arial"/>
          <w:szCs w:val="22"/>
          <w:lang w:val="en-GB"/>
        </w:rPr>
      </w:pPr>
      <w:r w:rsidRPr="005F2665">
        <w:rPr>
          <w:rFonts w:eastAsia="SimSun" w:cs="Arial"/>
          <w:szCs w:val="22"/>
          <w:lang w:val="en-GB"/>
        </w:rPr>
        <w:t xml:space="preserve">ISBN </w:t>
      </w:r>
      <w:r w:rsidR="00D252AD" w:rsidRPr="00D252AD">
        <w:rPr>
          <w:rFonts w:eastAsia="SimSun" w:cs="Arial"/>
          <w:szCs w:val="22"/>
          <w:lang w:val="en-GB"/>
        </w:rPr>
        <w:t>978-1-76028-919-5</w:t>
      </w:r>
      <w:r w:rsidR="00D252AD">
        <w:rPr>
          <w:rFonts w:eastAsia="SimSun" w:cs="Arial"/>
          <w:szCs w:val="22"/>
          <w:lang w:val="en-GB"/>
        </w:rPr>
        <w:t xml:space="preserve"> (PDF</w:t>
      </w:r>
      <w:r w:rsidRPr="005F2665">
        <w:rPr>
          <w:rFonts w:eastAsia="SimSun" w:cs="Arial"/>
          <w:szCs w:val="22"/>
          <w:lang w:val="en-GB"/>
        </w:rPr>
        <w:t xml:space="preserve">) </w:t>
      </w:r>
      <w:r w:rsidRPr="005F2665">
        <w:rPr>
          <w:rFonts w:eastAsia="SimSun" w:cs="Arial"/>
          <w:szCs w:val="22"/>
          <w:lang w:val="en-GB"/>
        </w:rPr>
        <w:br/>
      </w:r>
      <w:r w:rsidR="00D252AD" w:rsidRPr="00D252AD">
        <w:rPr>
          <w:rFonts w:eastAsia="SimSun" w:cs="Arial"/>
          <w:szCs w:val="22"/>
          <w:lang w:val="en-GB"/>
        </w:rPr>
        <w:t>978-1-76028-920-1</w:t>
      </w:r>
      <w:r w:rsidR="00D252AD">
        <w:rPr>
          <w:rFonts w:eastAsia="SimSun" w:cs="Arial"/>
          <w:szCs w:val="22"/>
          <w:lang w:val="en-GB"/>
        </w:rPr>
        <w:t xml:space="preserve"> (</w:t>
      </w:r>
      <w:proofErr w:type="spellStart"/>
      <w:r w:rsidR="00D252AD">
        <w:rPr>
          <w:rFonts w:eastAsia="SimSun" w:cs="Arial"/>
          <w:szCs w:val="22"/>
          <w:lang w:val="en-GB"/>
        </w:rPr>
        <w:t>DOCX</w:t>
      </w:r>
      <w:proofErr w:type="spellEnd"/>
      <w:r w:rsidRPr="005F2665">
        <w:rPr>
          <w:rFonts w:eastAsia="SimSun" w:cs="Arial"/>
          <w:szCs w:val="22"/>
          <w:lang w:val="en-GB"/>
        </w:rPr>
        <w:t>)</w:t>
      </w:r>
      <w:r w:rsidRPr="005F2665">
        <w:rPr>
          <w:rFonts w:eastAsia="SimSun" w:cs="Arial"/>
          <w:szCs w:val="22"/>
          <w:lang w:val="en-GB"/>
        </w:rPr>
        <w:br/>
      </w:r>
    </w:p>
    <w:p w:rsidR="005F2665" w:rsidRPr="005F2665" w:rsidRDefault="005F2665" w:rsidP="005F2665">
      <w:pPr>
        <w:spacing w:before="240" w:after="100" w:afterAutospacing="1"/>
        <w:rPr>
          <w:rFonts w:cs="Arial"/>
          <w:color w:val="00456B"/>
          <w:szCs w:val="22"/>
          <w:lang w:val="en-US"/>
        </w:rPr>
      </w:pPr>
      <w:r w:rsidRPr="005F2665">
        <w:rPr>
          <w:rFonts w:cs="Arial"/>
          <w:color w:val="000000" w:themeColor="text1"/>
          <w:szCs w:val="22"/>
          <w:lang w:val="en-US"/>
        </w:rPr>
        <w:t xml:space="preserve">With the exception of the Safe Work Australia logo, this report is licensed by Safe Work Australia under a Creative Commons 3.0 Australia </w:t>
      </w:r>
      <w:proofErr w:type="spellStart"/>
      <w:r w:rsidRPr="005F2665">
        <w:rPr>
          <w:rFonts w:cs="Arial"/>
          <w:color w:val="000000" w:themeColor="text1"/>
          <w:szCs w:val="22"/>
          <w:lang w:val="en-US"/>
        </w:rPr>
        <w:t>Licence</w:t>
      </w:r>
      <w:proofErr w:type="spellEnd"/>
      <w:r w:rsidRPr="005F2665">
        <w:rPr>
          <w:rFonts w:cs="Arial"/>
          <w:color w:val="000000" w:themeColor="text1"/>
          <w:szCs w:val="22"/>
          <w:lang w:val="en-US"/>
        </w:rPr>
        <w:t xml:space="preserve">. To view a copy of this </w:t>
      </w:r>
      <w:proofErr w:type="spellStart"/>
      <w:r w:rsidRPr="005F2665">
        <w:rPr>
          <w:rFonts w:cs="Arial"/>
          <w:color w:val="000000" w:themeColor="text1"/>
          <w:szCs w:val="22"/>
          <w:lang w:val="en-US"/>
        </w:rPr>
        <w:t>licence</w:t>
      </w:r>
      <w:proofErr w:type="spellEnd"/>
      <w:r w:rsidRPr="005F2665">
        <w:rPr>
          <w:rFonts w:cs="Arial"/>
          <w:color w:val="000000" w:themeColor="text1"/>
          <w:szCs w:val="22"/>
          <w:lang w:val="en-US"/>
        </w:rPr>
        <w:t xml:space="preserve">, visit </w:t>
      </w:r>
      <w:hyperlink r:id="rId10" w:history="1">
        <w:r w:rsidRPr="005F2665">
          <w:rPr>
            <w:rFonts w:cs="Arial"/>
            <w:color w:val="0000FF"/>
            <w:szCs w:val="22"/>
            <w:u w:val="single"/>
            <w:lang w:val="en-US"/>
          </w:rPr>
          <w:t>http://creativecommons.org/licenses/by/3.0/au/deed.en</w:t>
        </w:r>
      </w:hyperlink>
      <w:r w:rsidRPr="005F2665">
        <w:rPr>
          <w:rFonts w:cs="Arial"/>
          <w:color w:val="00456B"/>
          <w:szCs w:val="22"/>
          <w:lang w:val="en-US"/>
        </w:rPr>
        <w:t xml:space="preserve"> </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t xml:space="preserve">In essence, you are free to copy, communicate and adapt the work, as long as you attribute the work to Safe Work Australia and abide by the other licensing terms. The report should be attributed as </w:t>
      </w:r>
      <w:r>
        <w:rPr>
          <w:rFonts w:eastAsia="SimSun" w:cs="Arial"/>
          <w:color w:val="000000" w:themeColor="text1"/>
          <w:szCs w:val="22"/>
          <w:lang w:val="en-GB"/>
        </w:rPr>
        <w:t>Bully</w:t>
      </w:r>
      <w:r w:rsidR="00D252AD">
        <w:rPr>
          <w:rFonts w:eastAsia="SimSun" w:cs="Arial"/>
          <w:color w:val="000000" w:themeColor="text1"/>
          <w:szCs w:val="22"/>
          <w:lang w:val="en-GB"/>
        </w:rPr>
        <w:t>ing &amp; Harassment in Australian W</w:t>
      </w:r>
      <w:r>
        <w:rPr>
          <w:rFonts w:eastAsia="SimSun" w:cs="Arial"/>
          <w:color w:val="000000" w:themeColor="text1"/>
          <w:szCs w:val="22"/>
          <w:lang w:val="en-GB"/>
        </w:rPr>
        <w:t xml:space="preserve">orkplaces: Results from the </w:t>
      </w:r>
      <w:r w:rsidR="00D252AD">
        <w:rPr>
          <w:rFonts w:eastAsia="SimSun" w:cs="Arial"/>
          <w:color w:val="000000" w:themeColor="text1"/>
          <w:szCs w:val="22"/>
          <w:lang w:val="en-GB"/>
        </w:rPr>
        <w:t>Australian Workplace Barometer P</w:t>
      </w:r>
      <w:r>
        <w:rPr>
          <w:rFonts w:eastAsia="SimSun" w:cs="Arial"/>
          <w:color w:val="000000" w:themeColor="text1"/>
          <w:szCs w:val="22"/>
          <w:lang w:val="en-GB"/>
        </w:rPr>
        <w:t>roject 2014/15.</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t>Enquiries regarding the licence and any use of the report are welcome at:</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t xml:space="preserve">Safe Work Australia </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t>GPO Box 641 Canberra ACT 2601</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t xml:space="preserve">Email: </w:t>
      </w:r>
      <w:hyperlink r:id="rId11" w:history="1">
        <w:r w:rsidRPr="005F2665">
          <w:rPr>
            <w:rFonts w:eastAsia="SimSun" w:cs="Arial"/>
            <w:color w:val="0000FF"/>
            <w:szCs w:val="22"/>
            <w:u w:val="single"/>
            <w:lang w:val="en-GB"/>
          </w:rPr>
          <w:t>copyrightrequests@swa.gov.au</w:t>
        </w:r>
      </w:hyperlink>
      <w:r w:rsidRPr="005F2665">
        <w:rPr>
          <w:rFonts w:eastAsia="SimSun" w:cs="Arial"/>
          <w:color w:val="0000FF"/>
          <w:szCs w:val="22"/>
          <w:u w:val="thick"/>
          <w:lang w:val="en-GB"/>
        </w:rPr>
        <w:t xml:space="preserve"> </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t>Disclaimer</w:t>
      </w:r>
    </w:p>
    <w:p w:rsidR="005F2665" w:rsidRPr="005F2665" w:rsidRDefault="005F2665" w:rsidP="005F2665">
      <w:pPr>
        <w:spacing w:before="240" w:after="100" w:afterAutospacing="1"/>
        <w:rPr>
          <w:rFonts w:eastAsia="SimSun" w:cs="Arial"/>
          <w:color w:val="000000" w:themeColor="text1"/>
          <w:szCs w:val="22"/>
          <w:lang w:val="en-GB"/>
        </w:rPr>
      </w:pPr>
      <w:r w:rsidRPr="005F2665">
        <w:rPr>
          <w:rFonts w:eastAsia="SimSun" w:cs="Arial"/>
          <w:color w:val="000000" w:themeColor="text1"/>
          <w:szCs w:val="22"/>
          <w:lang w:val="en-GB"/>
        </w:rP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5F2665" w:rsidRDefault="005F2665">
      <w:pPr>
        <w:rPr>
          <w:rFonts w:ascii="Arial Bold" w:eastAsia="Calibri" w:hAnsi="Arial Bold" w:cs="Arial"/>
          <w:b/>
          <w:color w:val="1F497D" w:themeColor="text2"/>
          <w:kern w:val="32"/>
          <w:sz w:val="48"/>
          <w:szCs w:val="22"/>
          <w:lang w:val="en-US" w:eastAsia="en-US"/>
        </w:rPr>
      </w:pPr>
      <w:r>
        <w:rPr>
          <w:rFonts w:eastAsia="Calibri"/>
          <w:lang w:val="en-US" w:eastAsia="en-US"/>
        </w:rPr>
        <w:br w:type="page"/>
      </w:r>
    </w:p>
    <w:p w:rsidR="008A2604" w:rsidRPr="00CB1D64" w:rsidRDefault="008A2604" w:rsidP="000F53A0">
      <w:pPr>
        <w:pStyle w:val="Heading1"/>
        <w:rPr>
          <w:rFonts w:eastAsia="Calibri"/>
          <w:lang w:val="en-US" w:eastAsia="en-US"/>
        </w:rPr>
      </w:pPr>
      <w:r w:rsidRPr="00CB1D64">
        <w:rPr>
          <w:rFonts w:eastAsia="Calibri"/>
          <w:lang w:val="en-US" w:eastAsia="en-US"/>
        </w:rPr>
        <w:lastRenderedPageBreak/>
        <w:t>Summary</w:t>
      </w:r>
    </w:p>
    <w:p w:rsidR="008A2604" w:rsidRPr="00CB1D64" w:rsidRDefault="008A2604" w:rsidP="003A5B3C">
      <w:pPr>
        <w:pStyle w:val="Heading2"/>
        <w:spacing w:before="160" w:after="120"/>
        <w:rPr>
          <w:rFonts w:eastAsia="Calibri"/>
          <w:lang w:val="en-GB"/>
        </w:rPr>
      </w:pPr>
      <w:r w:rsidRPr="00CB1D64">
        <w:rPr>
          <w:rFonts w:eastAsia="Calibri"/>
          <w:lang w:val="en-GB"/>
        </w:rPr>
        <w:t>Why has this research been done?</w:t>
      </w:r>
    </w:p>
    <w:p w:rsidR="003A5B3C" w:rsidRDefault="008A2604" w:rsidP="003A5B3C">
      <w:pPr>
        <w:pStyle w:val="ListParagraph"/>
        <w:numPr>
          <w:ilvl w:val="0"/>
          <w:numId w:val="53"/>
        </w:numPr>
        <w:spacing w:before="160" w:after="120"/>
        <w:rPr>
          <w:rFonts w:eastAsia="Calibri"/>
        </w:rPr>
      </w:pPr>
      <w:r w:rsidRPr="003A5B3C">
        <w:rPr>
          <w:rFonts w:eastAsia="Calibri"/>
        </w:rPr>
        <w:t>Workplace bullying and harassment can lead to psychological harm and negatively affect organisational processes. Collection of information on the prevalence of bullying and harassment nationally can provide an indication of the extent of this problem in Australia.</w:t>
      </w:r>
    </w:p>
    <w:p w:rsidR="008A2604" w:rsidRPr="003A5B3C" w:rsidRDefault="008A2604" w:rsidP="003A5B3C">
      <w:pPr>
        <w:pStyle w:val="ListParagraph"/>
        <w:numPr>
          <w:ilvl w:val="0"/>
          <w:numId w:val="53"/>
        </w:numPr>
        <w:spacing w:before="160" w:after="120"/>
        <w:rPr>
          <w:rFonts w:eastAsia="Calibri"/>
        </w:rPr>
      </w:pPr>
      <w:r w:rsidRPr="003A5B3C">
        <w:rPr>
          <w:rFonts w:eastAsia="Calibri"/>
        </w:rPr>
        <w:t>Identifying the antecedents of bullying and harassment may enable workplaces to identify organisational and psychosocial factors in the workplace that could be addressed to prevent bullying and harassment.</w:t>
      </w:r>
    </w:p>
    <w:p w:rsidR="008A2604" w:rsidRPr="00CB1D64" w:rsidRDefault="008A2604" w:rsidP="003A5B3C">
      <w:pPr>
        <w:pStyle w:val="Heading2"/>
        <w:spacing w:before="160" w:after="120"/>
        <w:rPr>
          <w:rFonts w:eastAsia="Calibri"/>
          <w:lang w:val="en-GB"/>
        </w:rPr>
      </w:pPr>
      <w:r w:rsidRPr="00CB1D64">
        <w:rPr>
          <w:rFonts w:eastAsia="Calibri"/>
          <w:lang w:val="en-GB"/>
        </w:rPr>
        <w:t>Who did we study?</w:t>
      </w:r>
    </w:p>
    <w:p w:rsidR="008A2604" w:rsidRPr="00D54A87" w:rsidRDefault="007B5DA9" w:rsidP="003A5B3C">
      <w:pPr>
        <w:pStyle w:val="ListParagraph"/>
        <w:spacing w:before="160" w:after="120"/>
        <w:rPr>
          <w:rFonts w:eastAsia="Calibri"/>
        </w:rPr>
      </w:pPr>
      <w:r w:rsidRPr="00D54A87">
        <w:rPr>
          <w:rFonts w:eastAsia="Calibri"/>
        </w:rPr>
        <w:t xml:space="preserve">The </w:t>
      </w:r>
      <w:r w:rsidR="008A2604" w:rsidRPr="00D54A87">
        <w:rPr>
          <w:rFonts w:eastAsia="Calibri"/>
        </w:rPr>
        <w:t>main focus of the report is data from the 2014/15 Australian Workplace Barometer (</w:t>
      </w:r>
      <w:proofErr w:type="spellStart"/>
      <w:r w:rsidR="008A2604" w:rsidRPr="00D54A87">
        <w:rPr>
          <w:rFonts w:eastAsia="Calibri"/>
        </w:rPr>
        <w:t>AWB</w:t>
      </w:r>
      <w:proofErr w:type="spellEnd"/>
      <w:r w:rsidR="008A2604" w:rsidRPr="00D54A87">
        <w:rPr>
          <w:rFonts w:eastAsia="Calibri"/>
        </w:rPr>
        <w:t xml:space="preserve">) project. Participants were randomly selected across all states and territories and the data were weighted to ensure the sample was representative of </w:t>
      </w:r>
      <w:r w:rsidRPr="00D54A87">
        <w:rPr>
          <w:rFonts w:eastAsia="Calibri"/>
        </w:rPr>
        <w:t xml:space="preserve">the </w:t>
      </w:r>
      <w:r w:rsidR="008A2604" w:rsidRPr="00D54A87">
        <w:rPr>
          <w:rFonts w:eastAsia="Calibri"/>
        </w:rPr>
        <w:t xml:space="preserve">working population in </w:t>
      </w:r>
      <w:r w:rsidRPr="00D54A87">
        <w:rPr>
          <w:rFonts w:eastAsia="Calibri"/>
        </w:rPr>
        <w:t xml:space="preserve">the </w:t>
      </w:r>
      <w:r w:rsidR="008A2604" w:rsidRPr="00D54A87">
        <w:rPr>
          <w:rFonts w:eastAsia="Calibri"/>
        </w:rPr>
        <w:t>res</w:t>
      </w:r>
      <w:r w:rsidR="003A5B3C">
        <w:rPr>
          <w:rFonts w:eastAsia="Calibri"/>
        </w:rPr>
        <w:t>pective states and territories.</w:t>
      </w:r>
    </w:p>
    <w:p w:rsidR="008A2604" w:rsidRPr="00CB1D64" w:rsidRDefault="008A2604" w:rsidP="003A5B3C">
      <w:pPr>
        <w:pStyle w:val="Heading2"/>
        <w:spacing w:before="160" w:after="120"/>
        <w:rPr>
          <w:rFonts w:eastAsia="Calibri"/>
          <w:lang w:val="en-GB"/>
        </w:rPr>
      </w:pPr>
      <w:r w:rsidRPr="00CB1D64">
        <w:rPr>
          <w:rFonts w:eastAsia="Calibri"/>
          <w:lang w:val="en-GB"/>
        </w:rPr>
        <w:t>What did we find?</w:t>
      </w:r>
    </w:p>
    <w:p w:rsidR="008A2604" w:rsidRPr="00DE432D" w:rsidRDefault="008A2604" w:rsidP="003A5B3C">
      <w:pPr>
        <w:pStyle w:val="ListParagraph"/>
        <w:spacing w:before="160" w:after="120"/>
      </w:pPr>
      <w:r w:rsidRPr="00DE432D">
        <w:t>Bullying was measured using both a widely accepted international definition and the Australian definition used by Safe Work Australia. The six-month prevalence rates using the international and the Australian definitions were similar at 9.7 per cent and 9.4 per cent of workers respectively.</w:t>
      </w:r>
    </w:p>
    <w:p w:rsidR="008A2604" w:rsidRPr="00DE432D" w:rsidRDefault="008A2604" w:rsidP="003A5B3C">
      <w:pPr>
        <w:pStyle w:val="ListParagraph"/>
        <w:spacing w:before="160" w:after="120"/>
      </w:pPr>
      <w:r w:rsidRPr="00DE432D">
        <w:t xml:space="preserve">Relatively high levels of bullying were reported in the Electricity, gas and water supply; Health </w:t>
      </w:r>
      <w:r w:rsidR="009D7DD6">
        <w:t>and community services</w:t>
      </w:r>
      <w:r w:rsidRPr="00DE432D">
        <w:t>; and Government adminis</w:t>
      </w:r>
      <w:r w:rsidR="003A5B3C">
        <w:t>tration and defence industries.</w:t>
      </w:r>
    </w:p>
    <w:p w:rsidR="008A2604" w:rsidRPr="00DE432D" w:rsidRDefault="008A2604" w:rsidP="003A5B3C">
      <w:pPr>
        <w:pStyle w:val="ListParagraph"/>
        <w:spacing w:before="160" w:after="120"/>
      </w:pPr>
      <w:r w:rsidRPr="00DE432D">
        <w:t>Of those who reported that they were bullied,</w:t>
      </w:r>
      <w:r w:rsidR="00C1054A" w:rsidRPr="00DE432D">
        <w:t xml:space="preserve"> </w:t>
      </w:r>
      <w:r w:rsidR="00DB7A2F" w:rsidRPr="00DB7A2F">
        <w:t xml:space="preserve">approximately </w:t>
      </w:r>
      <w:r w:rsidR="000C55DA" w:rsidRPr="00DB7A2F">
        <w:t>3</w:t>
      </w:r>
      <w:r w:rsidR="00DA15AB">
        <w:t>2.6</w:t>
      </w:r>
      <w:r w:rsidR="00EB7478" w:rsidRPr="00DB7A2F">
        <w:t xml:space="preserve"> per</w:t>
      </w:r>
      <w:r w:rsidR="00EB7478" w:rsidRPr="00A650E4">
        <w:t xml:space="preserve"> cent</w:t>
      </w:r>
      <w:r w:rsidRPr="00DE432D">
        <w:t xml:space="preserve"> were bullied at least once a week.</w:t>
      </w:r>
    </w:p>
    <w:p w:rsidR="008A2604" w:rsidRPr="00DE432D" w:rsidRDefault="008A2604" w:rsidP="003A5B3C">
      <w:pPr>
        <w:pStyle w:val="ListParagraph"/>
        <w:spacing w:before="160" w:after="120"/>
      </w:pPr>
      <w:r w:rsidRPr="00DE432D">
        <w:t xml:space="preserve">The prevalence of workplace bullying in Australia has </w:t>
      </w:r>
      <w:r w:rsidRPr="004B0ED8">
        <w:t>increased from 7</w:t>
      </w:r>
      <w:r w:rsidR="00E45511" w:rsidRPr="00DA15AB">
        <w:t>.0</w:t>
      </w:r>
      <w:r w:rsidRPr="004B0ED8">
        <w:t xml:space="preserve"> per cent</w:t>
      </w:r>
      <w:r w:rsidRPr="00DE432D">
        <w:t xml:space="preserve"> in 2009─1</w:t>
      </w:r>
      <w:r w:rsidR="00E45511">
        <w:t>1</w:t>
      </w:r>
      <w:r w:rsidRPr="00DE432D">
        <w:t>. At this time Australia had the 6th highest rate of workplace bullying when compared to 34 European countries. Australia’s current rate now exceeds the rates measured in Europe in 2009─1</w:t>
      </w:r>
      <w:r w:rsidR="00E45511">
        <w:t>1</w:t>
      </w:r>
      <w:r w:rsidRPr="00DE432D">
        <w:t xml:space="preserve">. However, more recent European data are not available for comparison and it is possible that there has been a corresponding increase in </w:t>
      </w:r>
      <w:r w:rsidR="00945599">
        <w:t xml:space="preserve">the </w:t>
      </w:r>
      <w:r w:rsidRPr="00DE432D">
        <w:t>prevalence of bullying in Europe.</w:t>
      </w:r>
    </w:p>
    <w:p w:rsidR="008A2604" w:rsidRPr="001C7C73" w:rsidRDefault="008A2604" w:rsidP="003A5B3C">
      <w:pPr>
        <w:pStyle w:val="ListParagraph"/>
        <w:spacing w:before="160" w:after="120"/>
      </w:pPr>
      <w:r w:rsidRPr="004B0ED8">
        <w:t>Of the seven types of harassment measured, the most common forms of harassment reported were: being sworn at or yelled at (3</w:t>
      </w:r>
      <w:r w:rsidR="00ED4D0B" w:rsidRPr="001C7C73">
        <w:t>7</w:t>
      </w:r>
      <w:r w:rsidR="004B0ED8" w:rsidRPr="00DA15AB">
        <w:t>.2</w:t>
      </w:r>
      <w:r w:rsidRPr="004B0ED8">
        <w:t xml:space="preserve"> per cent); being</w:t>
      </w:r>
      <w:r w:rsidRPr="001C7C73">
        <w:t xml:space="preserve"> humiliated in front of others (2</w:t>
      </w:r>
      <w:r w:rsidR="004B0ED8" w:rsidRPr="00DA15AB">
        <w:t>3.2</w:t>
      </w:r>
      <w:r w:rsidRPr="004B0ED8">
        <w:t xml:space="preserve"> per cent</w:t>
      </w:r>
      <w:r w:rsidR="002A4700">
        <w:t xml:space="preserve">); and being physically </w:t>
      </w:r>
      <w:r w:rsidRPr="001C7C73">
        <w:t>assaulted or threatened by patients/clients (2</w:t>
      </w:r>
      <w:r w:rsidR="004B0ED8" w:rsidRPr="00DA15AB">
        <w:t>1.8</w:t>
      </w:r>
      <w:r w:rsidRPr="004B0ED8">
        <w:t xml:space="preserve"> per cent</w:t>
      </w:r>
      <w:r w:rsidRPr="001C7C73">
        <w:t>).</w:t>
      </w:r>
    </w:p>
    <w:p w:rsidR="007E0F3F" w:rsidRDefault="007E0F3F" w:rsidP="003A5B3C">
      <w:pPr>
        <w:pStyle w:val="ListParagraph"/>
        <w:spacing w:before="160" w:after="120"/>
        <w:rPr>
          <w:u w:color="000000"/>
          <w:bdr w:val="nil"/>
        </w:rPr>
      </w:pPr>
      <w:r w:rsidRPr="001C7C73">
        <w:rPr>
          <w:u w:color="000000"/>
          <w:bdr w:val="nil"/>
        </w:rPr>
        <w:t>Negative comments due to</w:t>
      </w:r>
      <w:r>
        <w:rPr>
          <w:u w:color="000000"/>
          <w:bdr w:val="nil"/>
        </w:rPr>
        <w:t xml:space="preserve"> race or ethnicity were experienced </w:t>
      </w:r>
      <w:r w:rsidRPr="00F42C59">
        <w:rPr>
          <w:u w:color="000000"/>
          <w:bdr w:val="nil"/>
        </w:rPr>
        <w:t xml:space="preserve">by </w:t>
      </w:r>
      <w:r w:rsidR="00D61893">
        <w:rPr>
          <w:u w:color="000000"/>
          <w:bdr w:val="nil"/>
        </w:rPr>
        <w:t>7.4</w:t>
      </w:r>
      <w:r w:rsidR="00D61893" w:rsidRPr="00F42C59">
        <w:rPr>
          <w:u w:color="000000"/>
          <w:bdr w:val="nil"/>
        </w:rPr>
        <w:t xml:space="preserve"> </w:t>
      </w:r>
      <w:r w:rsidRPr="00F42C59">
        <w:rPr>
          <w:u w:color="000000"/>
          <w:bdr w:val="nil"/>
        </w:rPr>
        <w:t>per cent</w:t>
      </w:r>
      <w:r>
        <w:rPr>
          <w:u w:color="000000"/>
          <w:bdr w:val="nil"/>
        </w:rPr>
        <w:t xml:space="preserve"> of respondents.</w:t>
      </w:r>
    </w:p>
    <w:p w:rsidR="007E0F3F" w:rsidRPr="00F43118" w:rsidRDefault="007E0F3F" w:rsidP="003A5B3C">
      <w:pPr>
        <w:pStyle w:val="ListParagraph"/>
        <w:spacing w:before="160" w:after="120"/>
        <w:rPr>
          <w:u w:color="000000"/>
          <w:bdr w:val="nil"/>
        </w:rPr>
      </w:pPr>
      <w:r>
        <w:rPr>
          <w:u w:color="000000"/>
          <w:bdr w:val="nil"/>
        </w:rPr>
        <w:t xml:space="preserve">Unfair treatment due to gender was experienced by </w:t>
      </w:r>
      <w:r w:rsidR="00F42C59" w:rsidRPr="00DA15AB">
        <w:rPr>
          <w:u w:color="000000"/>
          <w:bdr w:val="nil"/>
        </w:rPr>
        <w:t>10.9</w:t>
      </w:r>
      <w:r w:rsidRPr="00F42C59">
        <w:rPr>
          <w:u w:color="000000"/>
          <w:bdr w:val="nil"/>
        </w:rPr>
        <w:t xml:space="preserve"> per cent of</w:t>
      </w:r>
      <w:r w:rsidR="003A5B3C">
        <w:rPr>
          <w:u w:color="000000"/>
          <w:bdr w:val="nil"/>
        </w:rPr>
        <w:t xml:space="preserve"> respondents.</w:t>
      </w:r>
    </w:p>
    <w:p w:rsidR="007E0F3F" w:rsidRDefault="007E0F3F" w:rsidP="003A5B3C">
      <w:pPr>
        <w:pStyle w:val="ListParagraph"/>
        <w:spacing w:before="160" w:after="120"/>
        <w:rPr>
          <w:u w:color="000000"/>
          <w:bdr w:val="nil"/>
        </w:rPr>
      </w:pPr>
      <w:r>
        <w:t xml:space="preserve">Women were more likely than men to be bullied and experience </w:t>
      </w:r>
      <w:r w:rsidRPr="00F43118">
        <w:rPr>
          <w:u w:color="000000"/>
          <w:bdr w:val="nil"/>
        </w:rPr>
        <w:t xml:space="preserve">unwanted sexual advances, unfair treatment because of their gender, and experience being physically assaulted or threatened by a client or patient. </w:t>
      </w:r>
    </w:p>
    <w:p w:rsidR="007E0F3F" w:rsidRDefault="007E0F3F" w:rsidP="003A5B3C">
      <w:pPr>
        <w:pStyle w:val="ListParagraph"/>
        <w:spacing w:before="160" w:after="120"/>
        <w:rPr>
          <w:u w:color="000000"/>
          <w:bdr w:val="nil"/>
        </w:rPr>
      </w:pPr>
      <w:r w:rsidRPr="00F43118">
        <w:rPr>
          <w:u w:color="000000"/>
          <w:bdr w:val="nil"/>
        </w:rPr>
        <w:t>Men were significantly more likely to experience being sworn at or yelled at in the workplace</w:t>
      </w:r>
      <w:r w:rsidR="003A5B3C">
        <w:rPr>
          <w:u w:color="000000"/>
          <w:bdr w:val="nil"/>
        </w:rPr>
        <w:t>.</w:t>
      </w:r>
    </w:p>
    <w:p w:rsidR="008A2604" w:rsidRPr="00DE432D" w:rsidRDefault="008A2604" w:rsidP="003A5B3C">
      <w:pPr>
        <w:pStyle w:val="ListParagraph"/>
        <w:spacing w:before="160" w:after="120"/>
      </w:pPr>
      <w:r w:rsidRPr="00DE432D">
        <w:lastRenderedPageBreak/>
        <w:t>As worker psychological demands and emotional demands increased so did the prevalence of bullying. In contrast, as job resources and Psychosocial Safety Climate (PSC</w:t>
      </w:r>
      <w:r w:rsidR="003B1A22">
        <w:t>; management commitment to psychological health and safety</w:t>
      </w:r>
      <w:r w:rsidRPr="00DE432D">
        <w:t>) increased the prevalence of bullying decreas</w:t>
      </w:r>
      <w:r w:rsidR="003A5B3C">
        <w:t>ed.</w:t>
      </w:r>
    </w:p>
    <w:p w:rsidR="008A2604" w:rsidRPr="00DE432D" w:rsidRDefault="008A2604" w:rsidP="003A5B3C">
      <w:pPr>
        <w:pStyle w:val="ListParagraph"/>
        <w:spacing w:before="160" w:after="120"/>
      </w:pPr>
      <w:r w:rsidRPr="00DE432D">
        <w:t>Bullying and most forms of harassment were associated with adverse psychological health outcomes including depre</w:t>
      </w:r>
      <w:r w:rsidR="003A5B3C">
        <w:t>ssion and emotional exhaustion.</w:t>
      </w:r>
    </w:p>
    <w:p w:rsidR="002E6D6C" w:rsidRPr="004B457A" w:rsidRDefault="008A2604" w:rsidP="003A5B3C">
      <w:pPr>
        <w:pStyle w:val="ListParagraph"/>
        <w:spacing w:before="160" w:after="120"/>
      </w:pPr>
      <w:r w:rsidRPr="00DE432D">
        <w:t>Poor PSC</w:t>
      </w:r>
      <w:r w:rsidR="00C553D2">
        <w:t xml:space="preserve">, </w:t>
      </w:r>
      <w:r w:rsidRPr="00DE432D">
        <w:t>lack of job control</w:t>
      </w:r>
      <w:r w:rsidR="00C553D2">
        <w:t>, and emotional demands</w:t>
      </w:r>
      <w:r w:rsidRPr="00DE432D">
        <w:t xml:space="preserve"> </w:t>
      </w:r>
      <w:r w:rsidR="007E0F3F" w:rsidRPr="00DE432D">
        <w:t>w</w:t>
      </w:r>
      <w:r w:rsidR="007E0F3F">
        <w:t>ere</w:t>
      </w:r>
      <w:r w:rsidR="007E0F3F" w:rsidRPr="00DE432D">
        <w:t xml:space="preserve"> </w:t>
      </w:r>
      <w:r w:rsidRPr="00DE432D">
        <w:t>associated with bullying four years later.</w:t>
      </w:r>
    </w:p>
    <w:p w:rsidR="00B939B3" w:rsidRPr="00CB1D64" w:rsidRDefault="008A2604" w:rsidP="003A5B3C">
      <w:pPr>
        <w:pStyle w:val="Heading2"/>
        <w:spacing w:before="160" w:after="120"/>
        <w:rPr>
          <w:rFonts w:eastAsia="Calibri"/>
          <w:lang w:val="en-GB"/>
        </w:rPr>
      </w:pPr>
      <w:r w:rsidRPr="00CB1D64">
        <w:rPr>
          <w:rFonts w:eastAsia="Calibri"/>
          <w:lang w:val="en-GB"/>
        </w:rPr>
        <w:t>What do the findings suggest?</w:t>
      </w:r>
    </w:p>
    <w:p w:rsidR="008A2604" w:rsidRPr="00D54A87" w:rsidRDefault="008A2604" w:rsidP="003A5B3C">
      <w:pPr>
        <w:pStyle w:val="ListParagraph"/>
        <w:spacing w:before="160" w:after="120"/>
        <w:rPr>
          <w:rFonts w:eastAsia="Calibri"/>
        </w:rPr>
      </w:pPr>
      <w:r w:rsidRPr="00D54A87">
        <w:rPr>
          <w:rFonts w:eastAsia="Calibri"/>
        </w:rPr>
        <w:t>Self-reported bullying and harassment are common in Australian workplaces and are associated with poor psychological health. PSC and psychosocial factors such as job demands, job control and job resources are also related to the occurrence of bullying and harassment.</w:t>
      </w:r>
    </w:p>
    <w:p w:rsidR="002B4C13" w:rsidRPr="00CB1D64" w:rsidRDefault="008A2604" w:rsidP="003A5B3C">
      <w:pPr>
        <w:pStyle w:val="Heading2"/>
        <w:spacing w:before="160" w:after="120"/>
        <w:rPr>
          <w:rFonts w:eastAsia="Calibri"/>
          <w:color w:val="000000"/>
          <w:lang w:val="en-US"/>
        </w:rPr>
      </w:pPr>
      <w:r w:rsidRPr="00CB1D64">
        <w:rPr>
          <w:rFonts w:eastAsia="Calibri"/>
          <w:lang w:val="en-GB"/>
        </w:rPr>
        <w:t>What can be done</w:t>
      </w:r>
      <w:r w:rsidR="002B4C13" w:rsidRPr="00B91544">
        <w:rPr>
          <w:rFonts w:eastAsia="Calibri"/>
          <w:lang w:val="en-GB"/>
        </w:rPr>
        <w:t>?</w:t>
      </w:r>
    </w:p>
    <w:p w:rsidR="008344E8" w:rsidRPr="006760E7" w:rsidRDefault="008344E8" w:rsidP="003A5B3C">
      <w:pPr>
        <w:pStyle w:val="ListParagraph"/>
        <w:spacing w:before="160" w:after="120"/>
      </w:pPr>
      <w:r w:rsidRPr="006760E7">
        <w:t>Interventions to reduce bullying and harassment should focus on improving PSC and the priority of regard for psycho</w:t>
      </w:r>
      <w:r w:rsidR="00FB130B" w:rsidRPr="006760E7">
        <w:t xml:space="preserve">logical health in the workplace. One approach </w:t>
      </w:r>
      <w:r w:rsidR="0026096D">
        <w:t>is</w:t>
      </w:r>
      <w:r w:rsidR="006760E7" w:rsidRPr="006760E7">
        <w:t xml:space="preserve"> </w:t>
      </w:r>
      <w:r w:rsidR="00AE7D53">
        <w:t>awareness</w:t>
      </w:r>
      <w:r w:rsidR="00AE7D53" w:rsidRPr="006760E7">
        <w:t xml:space="preserve"> </w:t>
      </w:r>
      <w:proofErr w:type="gramStart"/>
      <w:r w:rsidRPr="006760E7">
        <w:t>raising</w:t>
      </w:r>
      <w:proofErr w:type="gramEnd"/>
      <w:r w:rsidRPr="006760E7">
        <w:t xml:space="preserve"> for managers and supervisors about the profound effects of bullying and harass</w:t>
      </w:r>
      <w:r w:rsidR="00FB130B" w:rsidRPr="006760E7">
        <w:t>ment at work (</w:t>
      </w:r>
      <w:r w:rsidRPr="006760E7">
        <w:t>at a personal and organisational level</w:t>
      </w:r>
      <w:r w:rsidR="00F549C4">
        <w:rPr>
          <w:rStyle w:val="FootnoteReference"/>
          <w:rFonts w:cs="Arial"/>
        </w:rPr>
        <w:footnoteReference w:id="1"/>
      </w:r>
      <w:r w:rsidR="00FB130B" w:rsidRPr="006760E7">
        <w:t xml:space="preserve">), as well as </w:t>
      </w:r>
      <w:r w:rsidRPr="006760E7">
        <w:t>the causes of workplace bullying and harassment</w:t>
      </w:r>
      <w:r w:rsidR="0026096D">
        <w:t xml:space="preserve">. Another is </w:t>
      </w:r>
      <w:r w:rsidR="006760E7" w:rsidRPr="006760E7">
        <w:t>establishing worker psychological health as a core business value</w:t>
      </w:r>
      <w:r w:rsidRPr="006760E7">
        <w:t>.</w:t>
      </w:r>
    </w:p>
    <w:p w:rsidR="008344E8" w:rsidRPr="001310E9" w:rsidRDefault="008344E8" w:rsidP="003A5B3C">
      <w:pPr>
        <w:pStyle w:val="ListParagraph"/>
        <w:spacing w:before="160" w:after="120"/>
      </w:pPr>
      <w:r w:rsidRPr="001310E9">
        <w:t xml:space="preserve">Workplace interventions to improve PSC should focus on establishing systems to enable </w:t>
      </w:r>
      <w:r w:rsidRPr="006760E7">
        <w:t xml:space="preserve">upwards and downwards </w:t>
      </w:r>
      <w:r w:rsidR="00FB130B" w:rsidRPr="006760E7">
        <w:t>communication</w:t>
      </w:r>
      <w:r w:rsidR="00FB130B" w:rsidRPr="001310E9">
        <w:t xml:space="preserve"> </w:t>
      </w:r>
      <w:r w:rsidRPr="001310E9">
        <w:t>about bullying and harassment, and participation of all levels of the organisation in monitoring, establishing controls, awareness raising, education and training on matters relevant to bullying</w:t>
      </w:r>
      <w:r w:rsidR="003A5B3C">
        <w:t>, harassment, and risk factors.</w:t>
      </w:r>
    </w:p>
    <w:p w:rsidR="0045601F" w:rsidRPr="00AB1540" w:rsidRDefault="008344E8" w:rsidP="003A5B3C">
      <w:pPr>
        <w:pStyle w:val="ListParagraph"/>
        <w:spacing w:before="160" w:after="120"/>
      </w:pPr>
      <w:r w:rsidRPr="00AB1540">
        <w:t>Monitoring PSC within organisations is recommended; as a leading indicator it should provide early signs of ris</w:t>
      </w:r>
      <w:r w:rsidR="003A5B3C">
        <w:t>ks for bullying and harassment.</w:t>
      </w:r>
    </w:p>
    <w:p w:rsidR="0045601F" w:rsidRPr="00DD3A77" w:rsidRDefault="008344E8" w:rsidP="003A5B3C">
      <w:pPr>
        <w:pStyle w:val="ListParagraph"/>
        <w:spacing w:before="160" w:after="120"/>
      </w:pPr>
      <w:r w:rsidRPr="00DD3A77">
        <w:t>Imp</w:t>
      </w:r>
      <w:r w:rsidR="001C5EAD" w:rsidRPr="00DD3A77">
        <w:t xml:space="preserve">roving PSC </w:t>
      </w:r>
      <w:r w:rsidR="00AE7D53">
        <w:t>can be achieved by changing</w:t>
      </w:r>
      <w:r w:rsidRPr="00DD3A77">
        <w:t xml:space="preserve"> work conditions that predispose bullying such as high demand, high pressure, high competition, and low control/power situations in the workplace</w:t>
      </w:r>
      <w:r w:rsidR="0045601F" w:rsidRPr="00DD3A77">
        <w:t xml:space="preserve"> via job redesign p</w:t>
      </w:r>
      <w:r w:rsidR="006F1D5B" w:rsidRPr="00DD3A77">
        <w:t>rinciples</w:t>
      </w:r>
      <w:r w:rsidR="0045601F" w:rsidRPr="00DD3A77">
        <w:t xml:space="preserve"> (</w:t>
      </w:r>
      <w:r w:rsidR="006F1D5B" w:rsidRPr="00DD3A77">
        <w:t>Parker, 2015).</w:t>
      </w:r>
    </w:p>
    <w:p w:rsidR="008344E8" w:rsidRPr="001310E9" w:rsidRDefault="008344E8" w:rsidP="003A5B3C">
      <w:pPr>
        <w:pStyle w:val="ListParagraph"/>
        <w:spacing w:before="160" w:after="120"/>
      </w:pPr>
      <w:r w:rsidRPr="001310E9">
        <w:t>Since supervisors are most commonly perceived as the source of bullying behaviours, efforts should be made to provide education and training regarding appropriate supervisory behaviours, particularly in relation to managin</w:t>
      </w:r>
      <w:r w:rsidR="003A5B3C">
        <w:t>g the performance of employees.</w:t>
      </w:r>
    </w:p>
    <w:p w:rsidR="008344E8" w:rsidRPr="001310E9" w:rsidRDefault="008344E8" w:rsidP="003A5B3C">
      <w:pPr>
        <w:pStyle w:val="ListParagraph"/>
        <w:spacing w:before="160" w:after="120"/>
      </w:pPr>
      <w:r w:rsidRPr="001310E9">
        <w:t xml:space="preserve">Workplaces should establish policies or guidelines for respectful </w:t>
      </w:r>
      <w:r w:rsidR="007E0F3F">
        <w:t>behavio</w:t>
      </w:r>
      <w:r w:rsidR="00507F16">
        <w:t>u</w:t>
      </w:r>
      <w:r w:rsidR="007E0F3F">
        <w:t>r, particularly toward women and people from diverse ethnic backgrounds</w:t>
      </w:r>
      <w:r w:rsidRPr="001310E9">
        <w:t xml:space="preserve">, and how to address bullying and harassment should it occur; attention should be drawn to the legal and </w:t>
      </w:r>
      <w:proofErr w:type="spellStart"/>
      <w:r w:rsidRPr="001310E9">
        <w:t>WHS</w:t>
      </w:r>
      <w:proofErr w:type="spellEnd"/>
      <w:r w:rsidRPr="001310E9">
        <w:t xml:space="preserve"> implication</w:t>
      </w:r>
      <w:r w:rsidR="003A5B3C">
        <w:t>s and organisational sanctions.</w:t>
      </w:r>
    </w:p>
    <w:p w:rsidR="003F754F" w:rsidRPr="00D54A87" w:rsidRDefault="003F754F" w:rsidP="00D54A87">
      <w:pPr>
        <w:pStyle w:val="ListParagraph"/>
        <w:rPr>
          <w:rFonts w:asciiTheme="minorHAnsi" w:eastAsia="Calibri" w:hAnsiTheme="minorHAnsi" w:cstheme="minorHAnsi"/>
          <w:color w:val="000000"/>
          <w:szCs w:val="22"/>
          <w:lang w:val="en-US" w:eastAsia="en-US"/>
        </w:rPr>
      </w:pPr>
      <w:r w:rsidRPr="00D54A87">
        <w:rPr>
          <w:rFonts w:eastAsia="Calibri" w:cs="Arial"/>
          <w:color w:val="000000"/>
          <w:szCs w:val="22"/>
          <w:lang w:val="en-US" w:eastAsia="en-US"/>
        </w:rPr>
        <w:br w:type="page"/>
      </w:r>
    </w:p>
    <w:p w:rsidR="00F43118" w:rsidRPr="00DD3A77" w:rsidRDefault="00F43118" w:rsidP="004B457A">
      <w:pPr>
        <w:pStyle w:val="Heading1"/>
        <w:rPr>
          <w:rFonts w:eastAsia="Cambria"/>
          <w:u w:color="000000"/>
          <w:bdr w:val="nil"/>
          <w:lang w:val="en-US"/>
        </w:rPr>
      </w:pPr>
      <w:r w:rsidRPr="00DD3A77">
        <w:rPr>
          <w:rFonts w:eastAsia="Cambria"/>
          <w:u w:color="000000"/>
          <w:bdr w:val="nil"/>
          <w:lang w:val="en-US"/>
        </w:rPr>
        <w:lastRenderedPageBreak/>
        <w:t>Executive Summary</w:t>
      </w:r>
    </w:p>
    <w:p w:rsidR="00F43118" w:rsidRPr="00F43118" w:rsidRDefault="00F43118" w:rsidP="003A5B3C">
      <w:pPr>
        <w:spacing w:after="120"/>
      </w:pPr>
      <w:r w:rsidRPr="00F43118">
        <w:t xml:space="preserve">Workplace bullying and harassment cause serious harm to worker health and organisations (Bond, Tuckey, &amp; Dollard, 2010). The costs of workplace bullying in various forms are widespread. Economically, bullying is estimated to cost up to </w:t>
      </w:r>
      <w:r w:rsidRPr="00F43118">
        <w:rPr>
          <w:bCs/>
        </w:rPr>
        <w:t>$36 billion annually in Australia</w:t>
      </w:r>
      <w:r w:rsidRPr="00F43118">
        <w:t xml:space="preserve"> (Productivity Commission, 2010) and £13.75 billion per annum in the UK (Giga et al., 2008). At a personal level, workers experience a range of psychological and physical health problems after they are bullied. Specifically, Nielsen and </w:t>
      </w:r>
      <w:proofErr w:type="spellStart"/>
      <w:r w:rsidRPr="00F43118">
        <w:t>Einarsen’s</w:t>
      </w:r>
      <w:proofErr w:type="spellEnd"/>
      <w:r w:rsidRPr="00F43118">
        <w:t xml:space="preserve"> (2012) recent meta-analysis found a significant cross-sectional relationship between workplace bullying and a range of psychological health and well-being outcomes (anxiety, depression, post-traumatic stress, strain, psychosomatic symptoms, burnout, and physical health complaints), along with a positive lagged relationship from reported exposure to bullying at work with later mental health problems after controll</w:t>
      </w:r>
      <w:r w:rsidR="003A5B3C">
        <w:t>ing for baseline mental health.</w:t>
      </w:r>
    </w:p>
    <w:p w:rsidR="00F43118" w:rsidRPr="00F43118" w:rsidRDefault="00F43118" w:rsidP="003A5B3C">
      <w:pPr>
        <w:spacing w:after="120"/>
      </w:pPr>
      <w:r w:rsidRPr="00F43118">
        <w:t xml:space="preserve">Organisations should also take </w:t>
      </w:r>
      <w:r w:rsidR="005F2060">
        <w:t>bullying</w:t>
      </w:r>
      <w:r w:rsidRPr="00F43118">
        <w:t xml:space="preserve"> consequences seriously. Nielsen and </w:t>
      </w:r>
      <w:proofErr w:type="spellStart"/>
      <w:r w:rsidRPr="00F43118">
        <w:t>Einarsen’s</w:t>
      </w:r>
      <w:proofErr w:type="spellEnd"/>
      <w:r w:rsidRPr="00F43118">
        <w:t xml:space="preserve"> (2012) meta-analytic data showed that, cross-</w:t>
      </w:r>
      <w:proofErr w:type="spellStart"/>
      <w:r w:rsidRPr="00F43118">
        <w:t>sectionally</w:t>
      </w:r>
      <w:proofErr w:type="spellEnd"/>
      <w:r w:rsidRPr="00F43118">
        <w:t xml:space="preserve">, bullying is associated with increased intention to leave and absenteeism, and decreased job satisfaction and commitment (see also the recent review by </w:t>
      </w:r>
      <w:proofErr w:type="spellStart"/>
      <w:r w:rsidRPr="00F43118">
        <w:t>Samnani</w:t>
      </w:r>
      <w:proofErr w:type="spellEnd"/>
      <w:r w:rsidRPr="00F43118">
        <w:t xml:space="preserve"> &amp; Singh, 2012). In addition, research has shown that the effects of observing bullying may be similar to actually being bullied (</w:t>
      </w:r>
      <w:proofErr w:type="spellStart"/>
      <w:r w:rsidRPr="00F43118">
        <w:t>Hoe</w:t>
      </w:r>
      <w:r w:rsidR="003A5B3C">
        <w:t>l</w:t>
      </w:r>
      <w:proofErr w:type="spellEnd"/>
      <w:r w:rsidR="003A5B3C">
        <w:t xml:space="preserve"> &amp; Cooper, 2000; </w:t>
      </w:r>
      <w:proofErr w:type="spellStart"/>
      <w:r w:rsidR="003A5B3C">
        <w:t>Vartia</w:t>
      </w:r>
      <w:proofErr w:type="spellEnd"/>
      <w:r w:rsidR="003A5B3C">
        <w:t>, 2001).</w:t>
      </w:r>
      <w:r w:rsidRPr="00F43118">
        <w:t> </w:t>
      </w:r>
    </w:p>
    <w:p w:rsidR="00F43118" w:rsidRPr="00F43118" w:rsidRDefault="00F43118" w:rsidP="003A5B3C">
      <w:pPr>
        <w:spacing w:after="120"/>
        <w:rPr>
          <w:rFonts w:ascii="Times New Roman" w:hAnsi="Times New Roman"/>
          <w:sz w:val="24"/>
        </w:rPr>
      </w:pPr>
      <w:r w:rsidRPr="00F43118">
        <w:t>The purpose of this report is to present evidence regarding bullying and harassment in Australian workplaces based on Australian Workplace Barometer (</w:t>
      </w:r>
      <w:proofErr w:type="spellStart"/>
      <w:r w:rsidRPr="00F43118">
        <w:t>AWB</w:t>
      </w:r>
      <w:proofErr w:type="spellEnd"/>
      <w:r w:rsidRPr="00F43118">
        <w:t xml:space="preserve">; Dollard &amp; Bailey, 2014) data collected from telephone interviews of employees from all Australian states and territories between 2014/2015. The main aims are to ascertain national prevalence data, provide insights into the nature and extent of bullying and harassment, identify high-risk industries through the process of bench-marking, and build an </w:t>
      </w:r>
      <w:r w:rsidR="003A5B3C">
        <w:t>explanatory model of bullying.</w:t>
      </w:r>
    </w:p>
    <w:p w:rsidR="00F43118" w:rsidRPr="00F43118" w:rsidRDefault="00F43118" w:rsidP="003A5B3C">
      <w:pPr>
        <w:spacing w:after="120"/>
        <w:rPr>
          <w:rFonts w:eastAsia="Cambria" w:cs="Calibri"/>
          <w:i/>
          <w:color w:val="000000"/>
          <w:u w:color="000000"/>
          <w:bdr w:val="nil"/>
          <w:lang w:val="en-US"/>
        </w:rPr>
      </w:pPr>
      <w:r w:rsidRPr="00F43118">
        <w:t xml:space="preserve">To assess the prevalence of bullying </w:t>
      </w:r>
      <w:proofErr w:type="spellStart"/>
      <w:r w:rsidRPr="00F43118">
        <w:t>AWB</w:t>
      </w:r>
      <w:proofErr w:type="spellEnd"/>
      <w:r w:rsidRPr="00F43118">
        <w:t xml:space="preserve"> participants were given a commonly agreed upon international definition: “</w:t>
      </w:r>
      <w:r w:rsidRPr="00F43118">
        <w:rPr>
          <w:rFonts w:eastAsia="Cambria" w:cs="Calibri"/>
          <w:i/>
          <w:color w:val="000000"/>
          <w:u w:color="000000"/>
          <w:bdr w:val="nil"/>
          <w:lang w:val="en-US"/>
        </w:rPr>
        <w:t xml:space="preserve">Bullying is a problem at some work-places and for some workers. To label something as bullying, the offensive </w:t>
      </w:r>
      <w:proofErr w:type="spellStart"/>
      <w:r w:rsidRPr="00F43118">
        <w:rPr>
          <w:rFonts w:eastAsia="Cambria" w:cs="Calibri"/>
          <w:i/>
          <w:color w:val="000000"/>
          <w:u w:color="000000"/>
          <w:bdr w:val="nil"/>
          <w:lang w:val="en-US"/>
        </w:rPr>
        <w:t>behaviour</w:t>
      </w:r>
      <w:proofErr w:type="spellEnd"/>
      <w:r w:rsidRPr="00F43118">
        <w:rPr>
          <w:rFonts w:eastAsia="Cambria" w:cs="Calibri"/>
          <w:i/>
          <w:color w:val="000000"/>
          <w:u w:color="000000"/>
          <w:bdr w:val="nil"/>
          <w:lang w:val="en-US"/>
        </w:rPr>
        <w:t xml:space="preserve"> has to occur repeatedly over a period of time, and the person confronted has to experience difficulties defending him or herself. </w:t>
      </w:r>
      <w:proofErr w:type="gramStart"/>
      <w:r w:rsidRPr="00F43118">
        <w:rPr>
          <w:rFonts w:eastAsia="Cambria" w:cs="Calibri"/>
          <w:i/>
          <w:color w:val="000000"/>
          <w:u w:color="000000"/>
          <w:bdr w:val="nil"/>
          <w:lang w:val="en-US"/>
        </w:rPr>
        <w:t xml:space="preserve">The </w:t>
      </w:r>
      <w:proofErr w:type="spellStart"/>
      <w:r w:rsidRPr="00F43118">
        <w:rPr>
          <w:rFonts w:eastAsia="Cambria" w:cs="Calibri"/>
          <w:i/>
          <w:color w:val="000000"/>
          <w:u w:color="000000"/>
          <w:bdr w:val="nil"/>
          <w:lang w:val="en-US"/>
        </w:rPr>
        <w:t>behaviour</w:t>
      </w:r>
      <w:proofErr w:type="spellEnd"/>
      <w:r w:rsidRPr="00F43118">
        <w:rPr>
          <w:rFonts w:eastAsia="Cambria" w:cs="Calibri"/>
          <w:i/>
          <w:color w:val="000000"/>
          <w:u w:color="000000"/>
          <w:bdr w:val="nil"/>
          <w:lang w:val="en-US"/>
        </w:rPr>
        <w:t xml:space="preserve"> is not bullying if two parties of approximate equal ‘strength’ are in conflict or the incident is an isolated event” (</w:t>
      </w:r>
      <w:proofErr w:type="spellStart"/>
      <w:r w:rsidRPr="00F43118">
        <w:rPr>
          <w:rFonts w:eastAsia="Cambria" w:cs="Calibri"/>
          <w:i/>
          <w:color w:val="000000"/>
          <w:u w:color="000000"/>
          <w:bdr w:val="nil"/>
          <w:lang w:val="en-US"/>
        </w:rPr>
        <w:t>Lindström</w:t>
      </w:r>
      <w:proofErr w:type="spellEnd"/>
      <w:r w:rsidRPr="00F43118">
        <w:rPr>
          <w:rFonts w:eastAsia="Cambria" w:cs="Calibri"/>
          <w:i/>
          <w:color w:val="000000"/>
          <w:u w:color="000000"/>
          <w:bdr w:val="nil"/>
          <w:lang w:val="en-US"/>
        </w:rPr>
        <w:t xml:space="preserve">, </w:t>
      </w:r>
      <w:proofErr w:type="spellStart"/>
      <w:r w:rsidRPr="00F43118">
        <w:rPr>
          <w:rFonts w:eastAsia="Cambria" w:cs="Calibri"/>
          <w:i/>
          <w:color w:val="000000"/>
          <w:u w:color="000000"/>
          <w:bdr w:val="nil"/>
          <w:lang w:val="en-US"/>
        </w:rPr>
        <w:t>Hottinen</w:t>
      </w:r>
      <w:proofErr w:type="spellEnd"/>
      <w:r w:rsidRPr="00F43118">
        <w:rPr>
          <w:rFonts w:eastAsia="Cambria" w:cs="Calibri"/>
          <w:i/>
          <w:color w:val="000000"/>
          <w:u w:color="000000"/>
          <w:bdr w:val="nil"/>
          <w:lang w:val="en-US"/>
        </w:rPr>
        <w:t xml:space="preserve">, &amp; </w:t>
      </w:r>
      <w:proofErr w:type="spellStart"/>
      <w:r w:rsidRPr="00F43118">
        <w:rPr>
          <w:rFonts w:eastAsia="Cambria" w:cs="Calibri"/>
          <w:i/>
          <w:color w:val="000000"/>
          <w:u w:color="000000"/>
          <w:bdr w:val="nil"/>
          <w:lang w:val="en-US"/>
        </w:rPr>
        <w:t>Bredenberg</w:t>
      </w:r>
      <w:proofErr w:type="spellEnd"/>
      <w:r w:rsidRPr="00F43118">
        <w:rPr>
          <w:rFonts w:eastAsia="Cambria" w:cs="Calibri"/>
          <w:i/>
          <w:color w:val="000000"/>
          <w:u w:color="000000"/>
          <w:bdr w:val="nil"/>
          <w:lang w:val="en-US"/>
        </w:rPr>
        <w:t>, 2000).</w:t>
      </w:r>
      <w:proofErr w:type="gramEnd"/>
    </w:p>
    <w:p w:rsidR="005F2060" w:rsidRDefault="00F43118" w:rsidP="003A5B3C">
      <w:pPr>
        <w:spacing w:after="120"/>
        <w:rPr>
          <w:rFonts w:eastAsia="Cambria" w:cs="Calibri"/>
          <w:i/>
          <w:color w:val="000000"/>
          <w:u w:color="000000"/>
          <w:bdr w:val="nil"/>
          <w:lang w:val="en-US"/>
        </w:rPr>
      </w:pPr>
      <w:r w:rsidRPr="00F43118">
        <w:t>Safe Work Australia</w:t>
      </w:r>
      <w:r w:rsidR="00145F24">
        <w:t xml:space="preserve"> </w:t>
      </w:r>
      <w:r w:rsidR="006E3155" w:rsidRPr="00F43118">
        <w:t>ha</w:t>
      </w:r>
      <w:r w:rsidR="006E3155">
        <w:t>s</w:t>
      </w:r>
      <w:r w:rsidR="006E3155" w:rsidRPr="00F43118">
        <w:t xml:space="preserve"> </w:t>
      </w:r>
      <w:r w:rsidRPr="00F43118">
        <w:t>adopted a slightly different definition</w:t>
      </w:r>
      <w:r w:rsidR="00145F24">
        <w:t xml:space="preserve">, as specified in the </w:t>
      </w:r>
      <w:r w:rsidR="00C42063">
        <w:rPr>
          <w:i/>
        </w:rPr>
        <w:t>Guide for Preventing and Responding to Workplace B</w:t>
      </w:r>
      <w:r w:rsidR="00145F24" w:rsidRPr="00145F24">
        <w:rPr>
          <w:i/>
        </w:rPr>
        <w:t xml:space="preserve">ullying </w:t>
      </w:r>
      <w:r w:rsidR="00145F24">
        <w:t>(Safe Work Australia, 2013)</w:t>
      </w:r>
      <w:r w:rsidRPr="00F43118">
        <w:t xml:space="preserve">: </w:t>
      </w:r>
      <w:r w:rsidRPr="00F43118">
        <w:rPr>
          <w:rFonts w:eastAsia="Cambria" w:cs="Calibri"/>
          <w:i/>
          <w:color w:val="000000"/>
          <w:u w:color="000000"/>
          <w:bdr w:val="nil"/>
          <w:lang w:val="en-US"/>
        </w:rPr>
        <w:t xml:space="preserve">“Workplace bullying is defined as repeated and unreasonable </w:t>
      </w:r>
      <w:proofErr w:type="spellStart"/>
      <w:r w:rsidRPr="00F43118">
        <w:rPr>
          <w:rFonts w:eastAsia="Cambria" w:cs="Calibri"/>
          <w:i/>
          <w:color w:val="000000"/>
          <w:u w:color="000000"/>
          <w:bdr w:val="nil"/>
          <w:lang w:val="en-US"/>
        </w:rPr>
        <w:t>behaviour</w:t>
      </w:r>
      <w:proofErr w:type="spellEnd"/>
      <w:r w:rsidRPr="00F43118">
        <w:rPr>
          <w:rFonts w:eastAsia="Cambria" w:cs="Calibri"/>
          <w:i/>
          <w:color w:val="000000"/>
          <w:u w:color="000000"/>
          <w:bdr w:val="nil"/>
          <w:lang w:val="en-US"/>
        </w:rPr>
        <w:t xml:space="preserve"> directed towards a worker or a group of workers that creates a risk to health and safety. Unreasonable </w:t>
      </w:r>
      <w:proofErr w:type="spellStart"/>
      <w:r w:rsidRPr="00F43118">
        <w:rPr>
          <w:rFonts w:eastAsia="Cambria" w:cs="Calibri"/>
          <w:i/>
          <w:color w:val="000000"/>
          <w:u w:color="000000"/>
          <w:bdr w:val="nil"/>
          <w:lang w:val="en-US"/>
        </w:rPr>
        <w:t>behaviour</w:t>
      </w:r>
      <w:proofErr w:type="spellEnd"/>
      <w:r w:rsidRPr="00F43118">
        <w:rPr>
          <w:rFonts w:eastAsia="Cambria" w:cs="Calibri"/>
          <w:i/>
          <w:color w:val="000000"/>
          <w:u w:color="000000"/>
          <w:bdr w:val="nil"/>
          <w:lang w:val="en-US"/>
        </w:rPr>
        <w:t xml:space="preserve"> does not include reasonable management action, such as discussions about work performance, as long as they </w:t>
      </w:r>
      <w:r w:rsidR="003A5B3C">
        <w:rPr>
          <w:rFonts w:eastAsia="Cambria" w:cs="Calibri"/>
          <w:i/>
          <w:color w:val="000000"/>
          <w:u w:color="000000"/>
          <w:bdr w:val="nil"/>
          <w:lang w:val="en-US"/>
        </w:rPr>
        <w:t>are taken in a reasonable way”.</w:t>
      </w:r>
    </w:p>
    <w:p w:rsidR="006E37E9" w:rsidRPr="00F43118" w:rsidRDefault="006E37E9" w:rsidP="003A5B3C">
      <w:pPr>
        <w:spacing w:after="120"/>
        <w:rPr>
          <w:rFonts w:eastAsia="Cambria" w:cs="Calibri"/>
          <w:color w:val="000000"/>
          <w:u w:color="000000"/>
          <w:bdr w:val="nil"/>
          <w:lang w:val="en-US"/>
        </w:rPr>
      </w:pPr>
      <w:r w:rsidRPr="00F43118">
        <w:rPr>
          <w:rFonts w:eastAsia="Cambria" w:cs="Calibri"/>
          <w:color w:val="000000"/>
          <w:u w:color="000000"/>
          <w:bdr w:val="nil"/>
          <w:lang w:val="en-US"/>
        </w:rPr>
        <w:t xml:space="preserve">Bullying incidents may include psychological acts (e.g., humiliation), physical acts (e.g., violence) or indirect </w:t>
      </w:r>
      <w:proofErr w:type="spellStart"/>
      <w:r w:rsidRPr="00F43118">
        <w:rPr>
          <w:rFonts w:eastAsia="Cambria" w:cs="Calibri"/>
          <w:color w:val="000000"/>
          <w:u w:color="000000"/>
          <w:bdr w:val="nil"/>
          <w:lang w:val="en-US"/>
        </w:rPr>
        <w:t>behaviours</w:t>
      </w:r>
      <w:proofErr w:type="spellEnd"/>
      <w:r w:rsidRPr="00F43118">
        <w:rPr>
          <w:rFonts w:eastAsia="Cambria" w:cs="Calibri"/>
          <w:color w:val="000000"/>
          <w:u w:color="000000"/>
          <w:bdr w:val="nil"/>
          <w:lang w:val="en-US"/>
        </w:rPr>
        <w:t xml:space="preserve"> (e.g., social exclusion), all of which place the target in a</w:t>
      </w:r>
      <w:r w:rsidR="003A5B3C">
        <w:rPr>
          <w:rFonts w:eastAsia="Cambria" w:cs="Calibri"/>
          <w:color w:val="000000"/>
          <w:u w:color="000000"/>
          <w:bdr w:val="nil"/>
          <w:lang w:val="en-US"/>
        </w:rPr>
        <w:t xml:space="preserve"> state of fear and inferiority.</w:t>
      </w:r>
    </w:p>
    <w:p w:rsidR="00F43118" w:rsidRPr="00F43118" w:rsidRDefault="00F43118" w:rsidP="003A5B3C">
      <w:pPr>
        <w:spacing w:after="120"/>
        <w:rPr>
          <w:rFonts w:eastAsia="Cambria" w:cs="Cambria"/>
          <w:color w:val="000000"/>
          <w:u w:color="000000"/>
          <w:bdr w:val="nil"/>
          <w:lang w:val="en-US"/>
        </w:rPr>
      </w:pPr>
      <w:r w:rsidRPr="00F43118">
        <w:rPr>
          <w:rFonts w:eastAsia="Cambria" w:cs="Calibri"/>
          <w:color w:val="000000"/>
          <w:u w:color="000000"/>
          <w:bdr w:val="nil"/>
          <w:lang w:val="en-US"/>
        </w:rPr>
        <w:t xml:space="preserve">To verify bullying rates, both definitions were presented separately in the telephone interview, and, participants were asked, given the definitions, if they had been subjected to </w:t>
      </w:r>
      <w:r w:rsidRPr="00F43118">
        <w:rPr>
          <w:rFonts w:eastAsia="Cambria" w:cs="Cambria"/>
          <w:color w:val="000000"/>
          <w:u w:color="000000"/>
          <w:bdr w:val="nil"/>
          <w:lang w:val="en-US"/>
        </w:rPr>
        <w:t>bullying at the workp</w:t>
      </w:r>
      <w:r w:rsidR="003A5B3C">
        <w:rPr>
          <w:rFonts w:eastAsia="Cambria" w:cs="Cambria"/>
          <w:color w:val="000000"/>
          <w:u w:color="000000"/>
          <w:bdr w:val="nil"/>
          <w:lang w:val="en-US"/>
        </w:rPr>
        <w:t>lace during the last 6 months.</w:t>
      </w:r>
    </w:p>
    <w:p w:rsidR="00F43118" w:rsidRPr="00F43118" w:rsidRDefault="00F43118" w:rsidP="003A5B3C">
      <w:pPr>
        <w:spacing w:after="120"/>
        <w:rPr>
          <w:rFonts w:eastAsia="Cambria" w:cs="Calibri"/>
          <w:color w:val="000000"/>
          <w:u w:color="000000"/>
          <w:bdr w:val="nil"/>
          <w:lang w:val="en-US"/>
        </w:rPr>
      </w:pPr>
      <w:r w:rsidRPr="00F43118">
        <w:rPr>
          <w:rFonts w:eastAsia="Cambria" w:cs="Calibri"/>
          <w:color w:val="000000"/>
          <w:u w:color="000000"/>
          <w:bdr w:val="nil"/>
          <w:lang w:val="en-US"/>
        </w:rPr>
        <w:t>Both definitions characterize bullying as harmful interpersonal interactions that incorporate some sense of repetition and longevity but the international definition specifies an imbalance of</w:t>
      </w:r>
      <w:r w:rsidR="00C51661">
        <w:rPr>
          <w:rFonts w:eastAsia="Cambria" w:cs="Calibri"/>
          <w:color w:val="000000"/>
          <w:u w:color="000000"/>
          <w:bdr w:val="nil"/>
          <w:lang w:val="en-US"/>
        </w:rPr>
        <w:t xml:space="preserve"> power between the parties (</w:t>
      </w:r>
      <w:proofErr w:type="spellStart"/>
      <w:r w:rsidR="00C51661">
        <w:rPr>
          <w:rFonts w:eastAsia="Cambria" w:cs="Calibri"/>
          <w:color w:val="000000"/>
          <w:u w:color="000000"/>
          <w:bdr w:val="nil"/>
          <w:lang w:val="en-US"/>
        </w:rPr>
        <w:t>Eina</w:t>
      </w:r>
      <w:r w:rsidRPr="00F43118">
        <w:rPr>
          <w:rFonts w:eastAsia="Cambria" w:cs="Calibri"/>
          <w:color w:val="000000"/>
          <w:u w:color="000000"/>
          <w:bdr w:val="nil"/>
          <w:lang w:val="en-US"/>
        </w:rPr>
        <w:t>rsen</w:t>
      </w:r>
      <w:proofErr w:type="spellEnd"/>
      <w:r w:rsidRPr="00F43118">
        <w:rPr>
          <w:rFonts w:eastAsia="Cambria" w:cs="Calibri"/>
          <w:color w:val="000000"/>
          <w:u w:color="000000"/>
          <w:bdr w:val="nil"/>
          <w:lang w:val="en-US"/>
        </w:rPr>
        <w:t xml:space="preserve"> &amp; </w:t>
      </w:r>
      <w:proofErr w:type="spellStart"/>
      <w:r w:rsidRPr="00F43118">
        <w:rPr>
          <w:rFonts w:eastAsia="Cambria" w:cs="Calibri"/>
          <w:color w:val="000000"/>
          <w:u w:color="000000"/>
          <w:bdr w:val="nil"/>
          <w:lang w:val="en-US"/>
        </w:rPr>
        <w:t>Skogstad</w:t>
      </w:r>
      <w:proofErr w:type="spellEnd"/>
      <w:r w:rsidRPr="00F43118">
        <w:rPr>
          <w:rFonts w:eastAsia="Cambria" w:cs="Calibri"/>
          <w:color w:val="000000"/>
          <w:u w:color="000000"/>
          <w:bdr w:val="nil"/>
          <w:lang w:val="en-US"/>
        </w:rPr>
        <w:t xml:space="preserve">, 1996). Both definitions were used in this </w:t>
      </w:r>
      <w:r w:rsidR="003A5B3C">
        <w:rPr>
          <w:rFonts w:eastAsia="Cambria" w:cs="Calibri"/>
          <w:color w:val="000000"/>
          <w:u w:color="000000"/>
          <w:bdr w:val="nil"/>
          <w:lang w:val="en-US"/>
        </w:rPr>
        <w:t>report to determine prevalence.</w:t>
      </w:r>
    </w:p>
    <w:p w:rsidR="00343CD1" w:rsidRPr="007272CD" w:rsidRDefault="00235F71" w:rsidP="003A5B3C">
      <w:pPr>
        <w:spacing w:after="120"/>
      </w:pPr>
      <w:r w:rsidRPr="007272CD">
        <w:t xml:space="preserve">The new standard definition of harassment adopted by Safe Work Australia is unwelcome behaviour that intimidates, offends or humiliates a person. It may target personal characteristics such as race, age, gender, disability, religion or sexuality. The measure of harassment used in this study </w:t>
      </w:r>
      <w:r w:rsidR="009114E2" w:rsidRPr="007272CD">
        <w:t>was largely consistent with this</w:t>
      </w:r>
      <w:r w:rsidR="001C5EAD">
        <w:t xml:space="preserve"> conceptualisation</w:t>
      </w:r>
      <w:r w:rsidR="003A5B3C">
        <w:t>.</w:t>
      </w:r>
    </w:p>
    <w:p w:rsidR="009114E2" w:rsidRPr="004B0ED8" w:rsidRDefault="009114E2" w:rsidP="003A5B3C">
      <w:pPr>
        <w:spacing w:after="120"/>
      </w:pPr>
      <w:r w:rsidRPr="007272CD">
        <w:lastRenderedPageBreak/>
        <w:t>The key differentiation between bullying and harassment is that bullying is repeated, whilst harassment can be inferred from a single incident. A systematic methodological review of the literature by Neal</w:t>
      </w:r>
      <w:r w:rsidR="00343CD1" w:rsidRPr="007272CD">
        <w:t>l</w:t>
      </w:r>
      <w:r w:rsidRPr="007272CD">
        <w:t xml:space="preserve"> and Tuckey (2014) revealed that workplace bullying constituted 36</w:t>
      </w:r>
      <w:r w:rsidR="006B163A">
        <w:t xml:space="preserve"> per cent</w:t>
      </w:r>
      <w:r w:rsidR="006B163A" w:rsidRPr="007272CD">
        <w:t xml:space="preserve"> </w:t>
      </w:r>
      <w:r w:rsidRPr="007272CD">
        <w:t>of the research in this field, whereas workplace harassment only constituted 10</w:t>
      </w:r>
      <w:r w:rsidR="006B163A">
        <w:t xml:space="preserve"> per cent</w:t>
      </w:r>
      <w:r w:rsidR="006B163A" w:rsidRPr="007272CD">
        <w:t xml:space="preserve">. </w:t>
      </w:r>
      <w:r w:rsidR="00343CD1" w:rsidRPr="007272CD">
        <w:t xml:space="preserve">Within the literature </w:t>
      </w:r>
      <w:r w:rsidRPr="007272CD">
        <w:t>the terms are often used interchangeably</w:t>
      </w:r>
      <w:r w:rsidR="00343CD1" w:rsidRPr="007272CD">
        <w:t xml:space="preserve">, and share the same </w:t>
      </w:r>
      <w:proofErr w:type="gramStart"/>
      <w:r w:rsidR="00343CD1" w:rsidRPr="007272CD">
        <w:t>antecedents,</w:t>
      </w:r>
      <w:proofErr w:type="gramEnd"/>
      <w:r w:rsidR="00343CD1" w:rsidRPr="007272CD">
        <w:t xml:space="preserve"> however bullying is viewed as more severe than harassment. Research by </w:t>
      </w:r>
      <w:proofErr w:type="spellStart"/>
      <w:r w:rsidR="007D1669" w:rsidRPr="007272CD">
        <w:t>Hershcovis</w:t>
      </w:r>
      <w:proofErr w:type="spellEnd"/>
      <w:r w:rsidR="007D1669" w:rsidRPr="007272CD" w:rsidDel="007D1669">
        <w:t xml:space="preserve"> </w:t>
      </w:r>
      <w:r w:rsidR="00343CD1" w:rsidRPr="007272CD">
        <w:t xml:space="preserve">(2011) calls for consolidation of the wealth of constructs and terms, such as bullying, harassment and incivility, stating that fragmenting constructs and distinguishing between different forms can constrain research and detract from workplace knowledge in mitigating these issues. Therefore the main emphasis should be on investigating the </w:t>
      </w:r>
      <w:r w:rsidR="00343CD1" w:rsidRPr="004B0ED8">
        <w:t xml:space="preserve">antecedents to adverse workplace conflicts. </w:t>
      </w:r>
      <w:r w:rsidR="00784852" w:rsidRPr="004B0ED8">
        <w:t>In predictive modelling we focus on bu</w:t>
      </w:r>
      <w:r w:rsidR="003A5B3C">
        <w:t>llying because of its severity.</w:t>
      </w:r>
    </w:p>
    <w:p w:rsidR="00FB130B" w:rsidRDefault="00FB130B" w:rsidP="003A5B3C">
      <w:pPr>
        <w:spacing w:after="120"/>
        <w:rPr>
          <w:rFonts w:eastAsia="Cambria" w:cs="Calibri"/>
          <w:color w:val="000000"/>
          <w:u w:color="000000"/>
          <w:bdr w:val="nil"/>
          <w:lang w:val="en-US"/>
        </w:rPr>
      </w:pPr>
      <w:r w:rsidRPr="004B0ED8">
        <w:t>Under the Model Work Health</w:t>
      </w:r>
      <w:r w:rsidR="002A4700">
        <w:t xml:space="preserve"> and</w:t>
      </w:r>
      <w:r w:rsidRPr="004B0ED8">
        <w:t xml:space="preserve"> Safety Act, all workers should receive the highest level of protection of their health and welfare against workplace hazards as</w:t>
      </w:r>
      <w:r w:rsidR="002A4700">
        <w:t xml:space="preserve"> is</w:t>
      </w:r>
      <w:r w:rsidRPr="004B0ED8">
        <w:t xml:space="preserve"> reasonably practicable, and employers are required to provide a safe working environment. Yet recent national data collected by </w:t>
      </w:r>
      <w:r w:rsidRPr="00727D20">
        <w:rPr>
          <w:i/>
        </w:rPr>
        <w:t>beyondblue</w:t>
      </w:r>
      <w:r w:rsidRPr="004B0ED8">
        <w:t xml:space="preserve"> (2014) revealed that only </w:t>
      </w:r>
      <w:r w:rsidRPr="001C7C73">
        <w:t xml:space="preserve">52 per cent of employees perceive their workplace to be mentally healthy, compared to </w:t>
      </w:r>
      <w:r w:rsidRPr="002149A9">
        <w:t>76 per cent for physical safety. These statistics refle</w:t>
      </w:r>
      <w:r w:rsidRPr="00F42C59">
        <w:t>ct a discrepancy that is not ethically or legally sustainable and one that must be urgently addressed.</w:t>
      </w:r>
      <w:r w:rsidRPr="00F42C59">
        <w:rPr>
          <w:rFonts w:eastAsia="Cambria" w:cs="Calibri"/>
          <w:color w:val="000000"/>
          <w:u w:color="000000"/>
          <w:bdr w:val="nil"/>
          <w:lang w:val="en-US"/>
        </w:rPr>
        <w:t xml:space="preserve"> </w:t>
      </w:r>
      <w:r w:rsidR="00F216B4" w:rsidRPr="00F42C59">
        <w:t>In terms of legislation, workplace bullying and other psychosocial risks are covered under the Model Work Health and Safety Act</w:t>
      </w:r>
      <w:r w:rsidR="002E6D6C">
        <w:t>.</w:t>
      </w:r>
    </w:p>
    <w:p w:rsidR="00F43118" w:rsidRPr="00F43118" w:rsidRDefault="00F43118" w:rsidP="003A5B3C">
      <w:pPr>
        <w:pStyle w:val="Heading2"/>
        <w:spacing w:before="240" w:after="120"/>
        <w:rPr>
          <w:rFonts w:eastAsia="Cambria"/>
          <w:u w:color="000000"/>
          <w:bdr w:val="nil"/>
          <w:lang w:val="en-US"/>
        </w:rPr>
      </w:pPr>
      <w:r w:rsidRPr="00F43118">
        <w:rPr>
          <w:rFonts w:eastAsia="Cambria"/>
          <w:u w:color="000000"/>
          <w:bdr w:val="nil"/>
          <w:lang w:val="en-US"/>
        </w:rPr>
        <w:t>Prevalence</w:t>
      </w:r>
    </w:p>
    <w:p w:rsidR="00F43118" w:rsidRPr="00F43118" w:rsidRDefault="00F43118" w:rsidP="003A5B3C">
      <w:pPr>
        <w:spacing w:after="120"/>
        <w:rPr>
          <w:u w:color="000000"/>
          <w:bdr w:val="nil"/>
          <w:lang w:val="en-US"/>
        </w:rPr>
      </w:pPr>
      <w:r w:rsidRPr="00F43118">
        <w:rPr>
          <w:u w:color="000000"/>
          <w:bdr w:val="nil"/>
          <w:lang w:val="en-US"/>
        </w:rPr>
        <w:t>The national prevalence rate for workplace bullying is 9.7</w:t>
      </w:r>
      <w:r w:rsidR="005B5215">
        <w:rPr>
          <w:u w:color="000000"/>
          <w:bdr w:val="nil"/>
          <w:lang w:val="en-US"/>
        </w:rPr>
        <w:t xml:space="preserve"> per cent</w:t>
      </w:r>
      <w:r w:rsidRPr="00F43118">
        <w:rPr>
          <w:u w:color="000000"/>
          <w:bdr w:val="nil"/>
          <w:lang w:val="en-US"/>
        </w:rPr>
        <w:t>, based on population-based data (</w:t>
      </w:r>
      <w:r w:rsidRPr="00F43118">
        <w:rPr>
          <w:i/>
          <w:u w:color="000000"/>
          <w:bdr w:val="nil"/>
          <w:lang w:val="en-US"/>
        </w:rPr>
        <w:t>n</w:t>
      </w:r>
      <w:r w:rsidRPr="00F43118">
        <w:rPr>
          <w:u w:color="000000"/>
          <w:bdr w:val="nil"/>
          <w:lang w:val="en-US"/>
        </w:rPr>
        <w:t xml:space="preserve"> = 4242) from all Australian states and territories in 2014/2015, using the international definition. Using the Safe Work Australia definition, the rate was highly consistent at 9.4</w:t>
      </w:r>
      <w:r w:rsidR="005B5215">
        <w:rPr>
          <w:u w:color="000000"/>
          <w:bdr w:val="nil"/>
          <w:lang w:val="en-US"/>
        </w:rPr>
        <w:t xml:space="preserve"> per cent</w:t>
      </w:r>
      <w:r w:rsidRPr="00F43118">
        <w:rPr>
          <w:u w:color="000000"/>
          <w:bdr w:val="nil"/>
          <w:lang w:val="en-US"/>
        </w:rPr>
        <w:t>. There was a high correlation between the two definitions (</w:t>
      </w:r>
      <w:r w:rsidRPr="00DE432D">
        <w:rPr>
          <w:i/>
          <w:u w:color="000000"/>
          <w:bdr w:val="nil"/>
          <w:lang w:val="en-US"/>
        </w:rPr>
        <w:t>r</w:t>
      </w:r>
      <w:r w:rsidRPr="00F43118">
        <w:rPr>
          <w:u w:color="000000"/>
          <w:bdr w:val="nil"/>
          <w:lang w:val="en-US"/>
        </w:rPr>
        <w:t xml:space="preserve"> = .69). The national average workplace bullying rate was 9.6</w:t>
      </w:r>
      <w:r w:rsidR="005B5215">
        <w:rPr>
          <w:u w:color="000000"/>
          <w:bdr w:val="nil"/>
          <w:lang w:val="en-US"/>
        </w:rPr>
        <w:t xml:space="preserve"> per cent</w:t>
      </w:r>
      <w:r w:rsidRPr="00F43118">
        <w:rPr>
          <w:u w:color="000000"/>
          <w:bdr w:val="nil"/>
          <w:lang w:val="en-US"/>
        </w:rPr>
        <w:t>.</w:t>
      </w:r>
    </w:p>
    <w:p w:rsidR="00F43118" w:rsidRPr="004B0ED8" w:rsidRDefault="00F43118" w:rsidP="003A5B3C">
      <w:pPr>
        <w:spacing w:after="120"/>
        <w:rPr>
          <w:u w:color="000000"/>
          <w:bdr w:val="nil"/>
          <w:lang w:val="en-US"/>
        </w:rPr>
      </w:pPr>
      <w:r w:rsidRPr="00F43118">
        <w:rPr>
          <w:u w:color="000000"/>
          <w:bdr w:val="nil"/>
          <w:lang w:val="en-US"/>
        </w:rPr>
        <w:t xml:space="preserve">Nearly one in 10 people report that they have been bullied at work using these strict definitions. This is a sizeable increase since 2009-11, </w:t>
      </w:r>
      <w:r w:rsidRPr="004B0ED8">
        <w:rPr>
          <w:u w:color="000000"/>
          <w:bdr w:val="nil"/>
          <w:lang w:val="en-US"/>
        </w:rPr>
        <w:t>where 7</w:t>
      </w:r>
      <w:r w:rsidR="00E45511" w:rsidRPr="00DA15AB">
        <w:rPr>
          <w:u w:color="000000"/>
          <w:bdr w:val="nil"/>
          <w:lang w:val="en-US"/>
        </w:rPr>
        <w:t>.0</w:t>
      </w:r>
      <w:r w:rsidR="005B5215" w:rsidRPr="004B0ED8">
        <w:rPr>
          <w:u w:color="000000"/>
          <w:bdr w:val="nil"/>
          <w:lang w:val="en-US"/>
        </w:rPr>
        <w:t xml:space="preserve"> per cent</w:t>
      </w:r>
      <w:r w:rsidRPr="00F43118">
        <w:rPr>
          <w:u w:color="000000"/>
          <w:bdr w:val="nil"/>
          <w:lang w:val="en-US"/>
        </w:rPr>
        <w:t xml:space="preserve"> of Australian workers reported they experienced workplace bullying, using the international definition. At that time, Australia recorded the 6</w:t>
      </w:r>
      <w:r w:rsidRPr="00F43118">
        <w:rPr>
          <w:u w:color="000000"/>
          <w:bdr w:val="nil"/>
          <w:vertAlign w:val="superscript"/>
          <w:lang w:val="en-US"/>
        </w:rPr>
        <w:t>th</w:t>
      </w:r>
      <w:r w:rsidRPr="00F43118">
        <w:rPr>
          <w:u w:color="000000"/>
          <w:bdr w:val="nil"/>
          <w:lang w:val="en-US"/>
        </w:rPr>
        <w:t xml:space="preserve"> highest prevalence of workplace bullying when compared with the European Conditions Survey 2010 data from 34 European countries. There is no new data on the prevalence of workplace bullying available for Europe so it is impossible to determine the current ranking of Australia’s bullying prevalence </w:t>
      </w:r>
      <w:r w:rsidRPr="004B0ED8">
        <w:rPr>
          <w:u w:color="000000"/>
          <w:bdr w:val="nil"/>
          <w:lang w:val="en-US"/>
        </w:rPr>
        <w:t>rate, suffice to say that it now exceeds the European bullying prev</w:t>
      </w:r>
      <w:r w:rsidR="003A5B3C">
        <w:rPr>
          <w:u w:color="000000"/>
          <w:bdr w:val="nil"/>
          <w:lang w:val="en-US"/>
        </w:rPr>
        <w:t>alence estimates of 2010.</w:t>
      </w:r>
    </w:p>
    <w:p w:rsidR="00F43118" w:rsidRPr="00F43118" w:rsidRDefault="00F43118" w:rsidP="003A5B3C">
      <w:pPr>
        <w:spacing w:after="120"/>
        <w:rPr>
          <w:u w:color="000000"/>
          <w:bdr w:val="nil"/>
          <w:lang w:val="en-US"/>
        </w:rPr>
      </w:pPr>
      <w:r w:rsidRPr="004B0ED8">
        <w:rPr>
          <w:u w:color="000000"/>
          <w:bdr w:val="nil"/>
          <w:lang w:val="en-US"/>
        </w:rPr>
        <w:t xml:space="preserve">In addition, the data revealed that, of the bullied workers, </w:t>
      </w:r>
      <w:r w:rsidRPr="001C7C73">
        <w:rPr>
          <w:u w:color="000000"/>
          <w:bdr w:val="nil"/>
          <w:lang w:val="en-US"/>
        </w:rPr>
        <w:t>12</w:t>
      </w:r>
      <w:r w:rsidR="004B0ED8" w:rsidRPr="00DA15AB">
        <w:rPr>
          <w:u w:color="000000"/>
          <w:bdr w:val="nil"/>
          <w:lang w:val="en-US"/>
        </w:rPr>
        <w:t>.2</w:t>
      </w:r>
      <w:r w:rsidR="005B5215" w:rsidRPr="004B0ED8">
        <w:rPr>
          <w:u w:color="000000"/>
          <w:bdr w:val="nil"/>
          <w:lang w:val="en-US"/>
        </w:rPr>
        <w:t xml:space="preserve"> per cent</w:t>
      </w:r>
      <w:r w:rsidRPr="004B0ED8">
        <w:rPr>
          <w:u w:color="000000"/>
          <w:bdr w:val="nil"/>
          <w:lang w:val="en-US"/>
        </w:rPr>
        <w:t xml:space="preserve"> were bullied daily, </w:t>
      </w:r>
      <w:r w:rsidR="004B0ED8" w:rsidRPr="001C7C73">
        <w:rPr>
          <w:u w:color="000000"/>
          <w:bdr w:val="nil"/>
          <w:lang w:val="en-US"/>
        </w:rPr>
        <w:t>3</w:t>
      </w:r>
      <w:r w:rsidR="004B0ED8" w:rsidRPr="002149A9">
        <w:rPr>
          <w:u w:color="000000"/>
          <w:bdr w:val="nil"/>
          <w:lang w:val="en-US"/>
        </w:rPr>
        <w:t>2.6</w:t>
      </w:r>
      <w:r w:rsidR="005B5215" w:rsidRPr="002149A9">
        <w:rPr>
          <w:u w:color="000000"/>
          <w:bdr w:val="nil"/>
          <w:lang w:val="en-US"/>
        </w:rPr>
        <w:t xml:space="preserve"> per cent per cent</w:t>
      </w:r>
      <w:r w:rsidR="00A10C95" w:rsidRPr="00F42C59">
        <w:rPr>
          <w:u w:color="000000"/>
          <w:bdr w:val="nil"/>
          <w:lang w:val="en-US"/>
        </w:rPr>
        <w:t xml:space="preserve"> were bullied </w:t>
      </w:r>
      <w:r w:rsidRPr="00F42C59">
        <w:rPr>
          <w:u w:color="000000"/>
          <w:bdr w:val="nil"/>
          <w:lang w:val="en-US"/>
        </w:rPr>
        <w:t xml:space="preserve">at least once a week and </w:t>
      </w:r>
      <w:r w:rsidR="004B0ED8" w:rsidRPr="00F42C59">
        <w:rPr>
          <w:u w:color="000000"/>
          <w:bdr w:val="nil"/>
          <w:lang w:val="en-US"/>
        </w:rPr>
        <w:t>2</w:t>
      </w:r>
      <w:r w:rsidR="004B0ED8" w:rsidRPr="00DA15AB">
        <w:rPr>
          <w:u w:color="000000"/>
          <w:bdr w:val="nil"/>
          <w:lang w:val="en-US"/>
        </w:rPr>
        <w:t>7.9</w:t>
      </w:r>
      <w:r w:rsidR="004B0ED8" w:rsidRPr="004B0ED8">
        <w:rPr>
          <w:u w:color="000000"/>
          <w:bdr w:val="nil"/>
          <w:lang w:val="en-US"/>
        </w:rPr>
        <w:t xml:space="preserve"> </w:t>
      </w:r>
      <w:r w:rsidR="005B5215" w:rsidRPr="004B0ED8">
        <w:rPr>
          <w:u w:color="000000"/>
          <w:bdr w:val="nil"/>
          <w:lang w:val="en-US"/>
        </w:rPr>
        <w:t>per cent</w:t>
      </w:r>
      <w:r w:rsidRPr="004B0ED8">
        <w:rPr>
          <w:u w:color="000000"/>
          <w:bdr w:val="nil"/>
          <w:lang w:val="en-US"/>
        </w:rPr>
        <w:t xml:space="preserve"> experienced bullying at least once a month. Findings also showed that </w:t>
      </w:r>
      <w:r w:rsidR="004B0ED8" w:rsidRPr="002149A9">
        <w:rPr>
          <w:u w:color="000000"/>
          <w:bdr w:val="nil"/>
          <w:lang w:val="en-US"/>
        </w:rPr>
        <w:t>13.6</w:t>
      </w:r>
      <w:r w:rsidR="00CB1D64" w:rsidRPr="00F42C59">
        <w:rPr>
          <w:u w:color="000000"/>
          <w:bdr w:val="nil"/>
          <w:lang w:val="en-US"/>
        </w:rPr>
        <w:t xml:space="preserve"> </w:t>
      </w:r>
      <w:r w:rsidR="005B5215" w:rsidRPr="00F42C59">
        <w:rPr>
          <w:u w:color="000000"/>
          <w:bdr w:val="nil"/>
          <w:lang w:val="en-US"/>
        </w:rPr>
        <w:t>per cent</w:t>
      </w:r>
      <w:r w:rsidRPr="00F42C59">
        <w:rPr>
          <w:u w:color="000000"/>
          <w:bdr w:val="nil"/>
          <w:lang w:val="en-US"/>
        </w:rPr>
        <w:t xml:space="preserve"> had been bullied for less than one month, 38.6</w:t>
      </w:r>
      <w:r w:rsidR="005B5215" w:rsidRPr="00F42C59">
        <w:rPr>
          <w:u w:color="000000"/>
          <w:bdr w:val="nil"/>
          <w:lang w:val="en-US"/>
        </w:rPr>
        <w:t xml:space="preserve"> per cent</w:t>
      </w:r>
      <w:r w:rsidRPr="00F42C59">
        <w:rPr>
          <w:u w:color="000000"/>
          <w:bdr w:val="nil"/>
          <w:lang w:val="en-US"/>
        </w:rPr>
        <w:t xml:space="preserve"> had been bullied for </w:t>
      </w:r>
      <w:r w:rsidR="00CB1D64" w:rsidRPr="00F42C59">
        <w:rPr>
          <w:u w:color="000000"/>
          <w:bdr w:val="nil"/>
          <w:lang w:val="en-US"/>
        </w:rPr>
        <w:t xml:space="preserve">between one and six months, </w:t>
      </w:r>
      <w:r w:rsidR="004B0ED8" w:rsidRPr="00DA15AB">
        <w:rPr>
          <w:u w:color="000000"/>
          <w:bdr w:val="nil"/>
          <w:lang w:val="en-US"/>
        </w:rPr>
        <w:t>12.9</w:t>
      </w:r>
      <w:r w:rsidR="004B0ED8" w:rsidRPr="004B0ED8">
        <w:rPr>
          <w:u w:color="000000"/>
          <w:bdr w:val="nil"/>
          <w:lang w:val="en-US"/>
        </w:rPr>
        <w:t xml:space="preserve"> </w:t>
      </w:r>
      <w:r w:rsidR="005B5215" w:rsidRPr="004B0ED8">
        <w:rPr>
          <w:u w:color="000000"/>
          <w:bdr w:val="nil"/>
          <w:lang w:val="en-US"/>
        </w:rPr>
        <w:t>per cent</w:t>
      </w:r>
      <w:r w:rsidRPr="001C7C73">
        <w:rPr>
          <w:u w:color="000000"/>
          <w:bdr w:val="nil"/>
          <w:lang w:val="en-US"/>
        </w:rPr>
        <w:t xml:space="preserve"> had been bullied for between seven and </w:t>
      </w:r>
      <w:r w:rsidR="00A46C2A" w:rsidRPr="001C7C73">
        <w:rPr>
          <w:u w:color="000000"/>
          <w:bdr w:val="nil"/>
          <w:lang w:val="en-US"/>
        </w:rPr>
        <w:t>12</w:t>
      </w:r>
      <w:r w:rsidRPr="002149A9">
        <w:rPr>
          <w:u w:color="000000"/>
          <w:bdr w:val="nil"/>
          <w:lang w:val="en-US"/>
        </w:rPr>
        <w:t xml:space="preserve"> months and </w:t>
      </w:r>
      <w:r w:rsidRPr="00F42C59">
        <w:rPr>
          <w:u w:color="000000"/>
          <w:bdr w:val="nil"/>
          <w:lang w:val="en-US"/>
        </w:rPr>
        <w:t>16</w:t>
      </w:r>
      <w:r w:rsidR="004B0ED8" w:rsidRPr="00DA15AB">
        <w:rPr>
          <w:u w:color="000000"/>
          <w:bdr w:val="nil"/>
          <w:lang w:val="en-US"/>
        </w:rPr>
        <w:t>.3</w:t>
      </w:r>
      <w:r w:rsidR="00CB1D64" w:rsidRPr="004B0ED8">
        <w:rPr>
          <w:u w:color="000000"/>
          <w:bdr w:val="nil"/>
          <w:lang w:val="en-US"/>
        </w:rPr>
        <w:t xml:space="preserve"> </w:t>
      </w:r>
      <w:r w:rsidR="005B5215" w:rsidRPr="004B0ED8">
        <w:rPr>
          <w:u w:color="000000"/>
          <w:bdr w:val="nil"/>
          <w:lang w:val="en-US"/>
        </w:rPr>
        <w:t>per cent</w:t>
      </w:r>
      <w:r w:rsidRPr="004B0ED8">
        <w:rPr>
          <w:u w:color="000000"/>
          <w:bdr w:val="nil"/>
          <w:lang w:val="en-US"/>
        </w:rPr>
        <w:t xml:space="preserve"> of workers had been</w:t>
      </w:r>
      <w:r w:rsidRPr="00F43118">
        <w:rPr>
          <w:u w:color="000000"/>
          <w:bdr w:val="nil"/>
          <w:lang w:val="en-US"/>
        </w:rPr>
        <w:t xml:space="preserve"> bullied </w:t>
      </w:r>
      <w:r w:rsidRPr="00F42C59">
        <w:rPr>
          <w:u w:color="000000"/>
          <w:bdr w:val="nil"/>
          <w:lang w:val="en-US"/>
        </w:rPr>
        <w:t xml:space="preserve">for more than two years. In </w:t>
      </w:r>
      <w:r w:rsidR="00F42C59" w:rsidRPr="00DA15AB">
        <w:rPr>
          <w:u w:color="000000"/>
          <w:bdr w:val="nil"/>
          <w:lang w:val="en-US"/>
        </w:rPr>
        <w:t>62.3</w:t>
      </w:r>
      <w:r w:rsidR="00F42C59" w:rsidRPr="00F42C59">
        <w:rPr>
          <w:u w:color="000000"/>
          <w:bdr w:val="nil"/>
          <w:lang w:val="en-US"/>
        </w:rPr>
        <w:t xml:space="preserve"> </w:t>
      </w:r>
      <w:r w:rsidR="005B5215" w:rsidRPr="00F42C59">
        <w:rPr>
          <w:u w:color="000000"/>
          <w:bdr w:val="nil"/>
          <w:lang w:val="en-US"/>
        </w:rPr>
        <w:t>per cent</w:t>
      </w:r>
      <w:r w:rsidRPr="00F42C59">
        <w:rPr>
          <w:u w:color="000000"/>
          <w:bdr w:val="nil"/>
          <w:lang w:val="en-US"/>
        </w:rPr>
        <w:t xml:space="preserve"> of cases, the bully </w:t>
      </w:r>
      <w:r w:rsidR="00005D31" w:rsidRPr="00F42C59">
        <w:rPr>
          <w:u w:color="000000"/>
          <w:bdr w:val="nil"/>
          <w:lang w:val="en-US"/>
        </w:rPr>
        <w:t>was</w:t>
      </w:r>
      <w:r w:rsidRPr="00F42C59">
        <w:rPr>
          <w:u w:color="000000"/>
          <w:bdr w:val="nil"/>
          <w:lang w:val="en-US"/>
        </w:rPr>
        <w:t xml:space="preserve"> a supervisor, </w:t>
      </w:r>
      <w:r w:rsidR="00005D31" w:rsidRPr="00D61893">
        <w:rPr>
          <w:u w:color="000000"/>
          <w:bdr w:val="nil"/>
          <w:lang w:val="en-US"/>
        </w:rPr>
        <w:t xml:space="preserve">at </w:t>
      </w:r>
      <w:r w:rsidR="00F42C59" w:rsidRPr="00D61893">
        <w:rPr>
          <w:u w:color="000000"/>
          <w:bdr w:val="nil"/>
          <w:lang w:val="en-US"/>
        </w:rPr>
        <w:t xml:space="preserve">more than </w:t>
      </w:r>
      <w:r w:rsidRPr="00D61893">
        <w:rPr>
          <w:u w:color="000000"/>
          <w:bdr w:val="nil"/>
          <w:lang w:val="en-US"/>
        </w:rPr>
        <w:t>twice the rate of the next most highly cited bully perpetrator (</w:t>
      </w:r>
      <w:r w:rsidR="00F42C59" w:rsidRPr="00AC75D7">
        <w:rPr>
          <w:u w:color="000000"/>
          <w:bdr w:val="nil"/>
          <w:lang w:val="en-US"/>
        </w:rPr>
        <w:t>2</w:t>
      </w:r>
      <w:r w:rsidR="004031DE" w:rsidRPr="004031DE">
        <w:rPr>
          <w:u w:color="000000"/>
          <w:bdr w:val="nil"/>
          <w:lang w:val="en-US"/>
        </w:rPr>
        <w:t>8.0</w:t>
      </w:r>
      <w:r w:rsidR="00F42C59" w:rsidRPr="00F42C59">
        <w:rPr>
          <w:u w:color="000000"/>
          <w:bdr w:val="nil"/>
          <w:lang w:val="en-US"/>
        </w:rPr>
        <w:t xml:space="preserve"> </w:t>
      </w:r>
      <w:r w:rsidR="005B5215" w:rsidRPr="00F42C59">
        <w:rPr>
          <w:u w:color="000000"/>
          <w:bdr w:val="nil"/>
          <w:lang w:val="en-US"/>
        </w:rPr>
        <w:t>per cent</w:t>
      </w:r>
      <w:r w:rsidRPr="00F42C59">
        <w:rPr>
          <w:u w:color="000000"/>
          <w:bdr w:val="nil"/>
          <w:lang w:val="en-US"/>
        </w:rPr>
        <w:t xml:space="preserve"> due to coworker).</w:t>
      </w:r>
    </w:p>
    <w:p w:rsidR="00F43118" w:rsidRPr="00F43118" w:rsidRDefault="00F43118" w:rsidP="003A5B3C">
      <w:pPr>
        <w:spacing w:after="120"/>
        <w:rPr>
          <w:u w:color="000000"/>
          <w:bdr w:val="nil"/>
          <w:lang w:val="en-US"/>
        </w:rPr>
      </w:pPr>
      <w:r w:rsidRPr="00F43118">
        <w:rPr>
          <w:u w:color="000000"/>
          <w:bdr w:val="nil"/>
          <w:lang w:val="en-US"/>
        </w:rPr>
        <w:t xml:space="preserve">Industries with the highest levels of bullying were </w:t>
      </w:r>
      <w:r w:rsidRPr="00F43118">
        <w:t>Electricity, gas and water supply (caveats apply); Health and community services; Government administration and defence; Transport and storage; Mining; and Education.</w:t>
      </w:r>
    </w:p>
    <w:p w:rsidR="00F43118" w:rsidRPr="002149A9" w:rsidRDefault="00F43118" w:rsidP="003A5B3C">
      <w:pPr>
        <w:spacing w:after="120"/>
        <w:rPr>
          <w:u w:color="000000"/>
          <w:bdr w:val="nil"/>
          <w:lang w:val="en-US"/>
        </w:rPr>
      </w:pPr>
      <w:r w:rsidRPr="00F43118">
        <w:rPr>
          <w:u w:color="000000"/>
          <w:bdr w:val="nil"/>
          <w:lang w:val="en-US"/>
        </w:rPr>
        <w:t xml:space="preserve">Increases in the prevalence of bullying were observed in most states and territories. Specifically, when comparing rates from 2009, 2010, and 2011 to the 2014/15 surveillance data, workers in Western Australia, New South Wales, Tasmania, and the Australian Capital Territory all show an increase in the prevalence of bullying. However, while the Northern Territory still records the highest prevalence of bullying (caveats apply), there has been a </w:t>
      </w:r>
      <w:r w:rsidRPr="00F43118">
        <w:rPr>
          <w:u w:color="000000"/>
          <w:bdr w:val="nil"/>
          <w:lang w:val="en-US"/>
        </w:rPr>
        <w:lastRenderedPageBreak/>
        <w:t xml:space="preserve">slight decline since 2011. South Australia has the lowest rate </w:t>
      </w:r>
      <w:r w:rsidRPr="004B0ED8">
        <w:rPr>
          <w:u w:color="000000"/>
          <w:bdr w:val="nil"/>
          <w:lang w:val="en-US"/>
        </w:rPr>
        <w:t>of workplace bullying in the country, and this has</w:t>
      </w:r>
      <w:r w:rsidRPr="001C7C73">
        <w:rPr>
          <w:u w:color="000000"/>
          <w:bdr w:val="nil"/>
          <w:lang w:val="en-US"/>
        </w:rPr>
        <w:t xml:space="preserve"> </w:t>
      </w:r>
      <w:r w:rsidR="00005D31" w:rsidRPr="001C7C73">
        <w:rPr>
          <w:u w:color="000000"/>
          <w:bdr w:val="nil"/>
          <w:lang w:val="en-US"/>
        </w:rPr>
        <w:t xml:space="preserve">also </w:t>
      </w:r>
      <w:r w:rsidRPr="002149A9">
        <w:rPr>
          <w:u w:color="000000"/>
          <w:bdr w:val="nil"/>
          <w:lang w:val="en-US"/>
        </w:rPr>
        <w:t>declined since 2011.</w:t>
      </w:r>
    </w:p>
    <w:p w:rsidR="00F43118" w:rsidRDefault="00F43118" w:rsidP="003A5B3C">
      <w:pPr>
        <w:spacing w:after="120"/>
        <w:rPr>
          <w:u w:color="000000"/>
          <w:bdr w:val="nil"/>
          <w:lang w:val="en-US"/>
        </w:rPr>
      </w:pPr>
      <w:r w:rsidRPr="001D2BBC">
        <w:rPr>
          <w:u w:color="000000"/>
          <w:bdr w:val="nil"/>
          <w:lang w:val="en-US"/>
        </w:rPr>
        <w:t xml:space="preserve">As for workplace harassment, </w:t>
      </w:r>
      <w:proofErr w:type="spellStart"/>
      <w:r w:rsidRPr="001D2BBC">
        <w:rPr>
          <w:u w:color="000000"/>
          <w:bdr w:val="nil"/>
          <w:lang w:val="en-US"/>
        </w:rPr>
        <w:t>AWB</w:t>
      </w:r>
      <w:proofErr w:type="spellEnd"/>
      <w:r w:rsidRPr="001D2BBC">
        <w:rPr>
          <w:u w:color="000000"/>
          <w:bdr w:val="nil"/>
          <w:lang w:val="en-US"/>
        </w:rPr>
        <w:t xml:space="preserve"> results established that the most prominent form of harassment was being sworn at or yelled at in the workplace (</w:t>
      </w:r>
      <w:r w:rsidRPr="001C7C73">
        <w:rPr>
          <w:u w:color="000000"/>
          <w:bdr w:val="nil"/>
          <w:lang w:val="en-US"/>
        </w:rPr>
        <w:t>3</w:t>
      </w:r>
      <w:r w:rsidR="00ED4D0B" w:rsidRPr="001C7C73">
        <w:rPr>
          <w:u w:color="000000"/>
          <w:bdr w:val="nil"/>
          <w:lang w:val="en-US"/>
        </w:rPr>
        <w:t>7</w:t>
      </w:r>
      <w:r w:rsidR="004B0ED8" w:rsidRPr="00DA15AB">
        <w:rPr>
          <w:u w:color="000000"/>
          <w:bdr w:val="nil"/>
          <w:lang w:val="en-US"/>
        </w:rPr>
        <w:t>.2</w:t>
      </w:r>
      <w:r w:rsidR="005B5215" w:rsidRPr="004B0ED8">
        <w:rPr>
          <w:u w:color="000000"/>
          <w:bdr w:val="nil"/>
          <w:lang w:val="en-US"/>
        </w:rPr>
        <w:t xml:space="preserve"> per cent</w:t>
      </w:r>
      <w:r w:rsidRPr="001C7C73">
        <w:rPr>
          <w:u w:color="000000"/>
          <w:bdr w:val="nil"/>
          <w:lang w:val="en-US"/>
        </w:rPr>
        <w:t>), and it showed the greatest impact on health and work outcomes. The other most prevalent harassment forms were humiliation in front of others (</w:t>
      </w:r>
      <w:r w:rsidRPr="002149A9">
        <w:rPr>
          <w:u w:color="000000"/>
          <w:bdr w:val="nil"/>
          <w:lang w:val="en-US"/>
        </w:rPr>
        <w:t>2</w:t>
      </w:r>
      <w:r w:rsidR="004B0ED8" w:rsidRPr="00DA15AB">
        <w:rPr>
          <w:u w:color="000000"/>
          <w:bdr w:val="nil"/>
          <w:lang w:val="en-US"/>
        </w:rPr>
        <w:t>3.2</w:t>
      </w:r>
      <w:r w:rsidR="005B5215" w:rsidRPr="001C7C73">
        <w:rPr>
          <w:u w:color="000000"/>
          <w:bdr w:val="nil"/>
          <w:lang w:val="en-US"/>
        </w:rPr>
        <w:t xml:space="preserve"> per cent</w:t>
      </w:r>
      <w:r w:rsidRPr="001C7C73">
        <w:rPr>
          <w:u w:color="000000"/>
          <w:bdr w:val="nil"/>
          <w:lang w:val="en-US"/>
        </w:rPr>
        <w:t>), being physically assaulted or threatened by clients or patient (</w:t>
      </w:r>
      <w:r w:rsidRPr="002149A9">
        <w:rPr>
          <w:u w:color="000000"/>
          <w:bdr w:val="nil"/>
          <w:lang w:val="en-US"/>
        </w:rPr>
        <w:t>2</w:t>
      </w:r>
      <w:r w:rsidR="004B0ED8" w:rsidRPr="00DA15AB">
        <w:rPr>
          <w:u w:color="000000"/>
          <w:bdr w:val="nil"/>
          <w:lang w:val="en-US"/>
        </w:rPr>
        <w:t>1.8</w:t>
      </w:r>
      <w:r w:rsidR="005B5215" w:rsidRPr="004B0ED8">
        <w:rPr>
          <w:u w:color="000000"/>
          <w:bdr w:val="nil"/>
          <w:lang w:val="en-US"/>
        </w:rPr>
        <w:t xml:space="preserve"> per cent</w:t>
      </w:r>
      <w:r w:rsidRPr="001C7C73">
        <w:rPr>
          <w:u w:color="000000"/>
          <w:bdr w:val="nil"/>
          <w:lang w:val="en-US"/>
        </w:rPr>
        <w:t xml:space="preserve">), and experiencing discomfort listening to sexual </w:t>
      </w:r>
      <w:proofErr w:type="spellStart"/>
      <w:r w:rsidRPr="001C7C73">
        <w:rPr>
          <w:u w:color="000000"/>
          <w:bdr w:val="nil"/>
          <w:lang w:val="en-US"/>
        </w:rPr>
        <w:t>humour</w:t>
      </w:r>
      <w:proofErr w:type="spellEnd"/>
      <w:r w:rsidRPr="001C7C73">
        <w:rPr>
          <w:u w:color="000000"/>
          <w:bdr w:val="nil"/>
          <w:lang w:val="en-US"/>
        </w:rPr>
        <w:t xml:space="preserve"> (1</w:t>
      </w:r>
      <w:r w:rsidR="004B0ED8" w:rsidRPr="00DA15AB">
        <w:rPr>
          <w:u w:color="000000"/>
          <w:bdr w:val="nil"/>
          <w:lang w:val="en-US"/>
        </w:rPr>
        <w:t>7.9</w:t>
      </w:r>
      <w:r w:rsidR="005B5215" w:rsidRPr="001C7C73">
        <w:rPr>
          <w:u w:color="000000"/>
          <w:bdr w:val="nil"/>
          <w:lang w:val="en-US"/>
        </w:rPr>
        <w:t xml:space="preserve"> per cent</w:t>
      </w:r>
      <w:r w:rsidRPr="001C7C73">
        <w:rPr>
          <w:u w:color="000000"/>
          <w:bdr w:val="nil"/>
          <w:lang w:val="en-US"/>
        </w:rPr>
        <w:t>).</w:t>
      </w:r>
    </w:p>
    <w:p w:rsidR="00F43118" w:rsidRPr="00F43118" w:rsidRDefault="00F43118" w:rsidP="003A5B3C">
      <w:pPr>
        <w:pStyle w:val="Heading2"/>
        <w:spacing w:before="240" w:after="120"/>
        <w:rPr>
          <w:rFonts w:eastAsia="Cambria"/>
          <w:u w:color="000000"/>
          <w:lang w:eastAsia="en-US"/>
        </w:rPr>
      </w:pPr>
      <w:r w:rsidRPr="00F43118">
        <w:rPr>
          <w:rFonts w:eastAsia="Cambria"/>
          <w:u w:color="000000"/>
          <w:lang w:eastAsia="en-US"/>
        </w:rPr>
        <w:t xml:space="preserve">Impacts of Workplace Bullying and Harassment </w:t>
      </w:r>
    </w:p>
    <w:p w:rsidR="00F43118" w:rsidRPr="00F43118" w:rsidRDefault="00F43118" w:rsidP="003A5B3C">
      <w:pPr>
        <w:spacing w:after="120"/>
        <w:rPr>
          <w:u w:color="000000"/>
          <w:bdr w:val="nil"/>
          <w:lang w:val="en-US"/>
        </w:rPr>
      </w:pPr>
      <w:r w:rsidRPr="00F43118">
        <w:rPr>
          <w:u w:color="000000"/>
          <w:bdr w:val="nil"/>
          <w:lang w:val="en-US"/>
        </w:rPr>
        <w:t>The results clearly demonstrate the deleterious effects of bullying</w:t>
      </w:r>
      <w:r w:rsidR="00FB130B">
        <w:rPr>
          <w:u w:color="000000"/>
          <w:bdr w:val="nil"/>
          <w:lang w:val="en-US"/>
        </w:rPr>
        <w:t xml:space="preserve"> and </w:t>
      </w:r>
      <w:r w:rsidR="00516DE6">
        <w:rPr>
          <w:u w:color="000000"/>
          <w:bdr w:val="nil"/>
          <w:lang w:val="en-US"/>
        </w:rPr>
        <w:t>harassment</w:t>
      </w:r>
      <w:r w:rsidRPr="00F43118">
        <w:rPr>
          <w:u w:color="000000"/>
          <w:bdr w:val="nil"/>
          <w:lang w:val="en-US"/>
        </w:rPr>
        <w:t>. In relation to health outcomes, bullying was related to emotional exh</w:t>
      </w:r>
      <w:r w:rsidR="00A46C2A">
        <w:rPr>
          <w:u w:color="000000"/>
          <w:bdr w:val="nil"/>
          <w:lang w:val="en-US"/>
        </w:rPr>
        <w:t>austion, psychological distress and</w:t>
      </w:r>
      <w:r w:rsidRPr="00F43118">
        <w:rPr>
          <w:u w:color="000000"/>
          <w:bdr w:val="nil"/>
          <w:lang w:val="en-US"/>
        </w:rPr>
        <w:t xml:space="preserve"> depression. In relation to work outcomes, it was significantly negatively associated with job satisfaction and work engagement, and positively with in</w:t>
      </w:r>
      <w:r w:rsidR="003A5B3C">
        <w:rPr>
          <w:u w:color="000000"/>
          <w:bdr w:val="nil"/>
          <w:lang w:val="en-US"/>
        </w:rPr>
        <w:t>tention to leave the workplace.</w:t>
      </w:r>
    </w:p>
    <w:p w:rsidR="00F43118" w:rsidRPr="00F43118" w:rsidRDefault="00F43118" w:rsidP="003A5B3C">
      <w:pPr>
        <w:spacing w:after="120"/>
        <w:rPr>
          <w:u w:color="000000"/>
          <w:bdr w:val="nil"/>
          <w:lang w:val="en-US"/>
        </w:rPr>
      </w:pPr>
      <w:r w:rsidRPr="00F43118">
        <w:rPr>
          <w:u w:color="000000"/>
          <w:bdr w:val="nil"/>
          <w:lang w:val="en-US"/>
        </w:rPr>
        <w:t>For harassment, the majority of these relationships were mirrored; harassment forms were associated with increased emotional exhaustion, psychological distress,</w:t>
      </w:r>
      <w:r w:rsidR="00A46C2A">
        <w:rPr>
          <w:u w:color="000000"/>
          <w:bdr w:val="nil"/>
          <w:lang w:val="en-US"/>
        </w:rPr>
        <w:t xml:space="preserve"> depression, intention to leave and</w:t>
      </w:r>
      <w:r w:rsidRPr="00F43118">
        <w:rPr>
          <w:u w:color="000000"/>
          <w:bdr w:val="nil"/>
          <w:lang w:val="en-US"/>
        </w:rPr>
        <w:t xml:space="preserve"> reduced work engagement and job satisfaction. </w:t>
      </w:r>
    </w:p>
    <w:p w:rsidR="00F43118" w:rsidRDefault="00F43118" w:rsidP="003A5B3C">
      <w:pPr>
        <w:spacing w:after="120"/>
        <w:rPr>
          <w:u w:color="000000"/>
          <w:bdr w:val="nil"/>
          <w:lang w:val="en-US"/>
        </w:rPr>
      </w:pPr>
      <w:r w:rsidRPr="00F43118">
        <w:rPr>
          <w:u w:color="000000"/>
          <w:bdr w:val="nil"/>
          <w:lang w:val="en-US"/>
        </w:rPr>
        <w:t xml:space="preserve">These findings are consistent with the literature, which has linked bullying and harassment to a range of psychological health and well-being outcomes, including general mental health outcomes, anxiety, depression, post-traumatic stress, </w:t>
      </w:r>
      <w:proofErr w:type="spellStart"/>
      <w:r w:rsidRPr="00F43118">
        <w:rPr>
          <w:u w:color="000000"/>
          <w:bdr w:val="nil"/>
          <w:lang w:val="en-US"/>
        </w:rPr>
        <w:t>generalised</w:t>
      </w:r>
      <w:proofErr w:type="spellEnd"/>
      <w:r w:rsidRPr="00F43118">
        <w:rPr>
          <w:u w:color="000000"/>
          <w:bdr w:val="nil"/>
          <w:lang w:val="en-US"/>
        </w:rPr>
        <w:t xml:space="preserve"> strain, psychosomatic symptoms, burnout, and physical health problems (Nielson &amp; </w:t>
      </w:r>
      <w:proofErr w:type="spellStart"/>
      <w:r w:rsidRPr="00F43118">
        <w:rPr>
          <w:u w:color="000000"/>
          <w:bdr w:val="nil"/>
          <w:lang w:val="en-US"/>
        </w:rPr>
        <w:t>Einarsen</w:t>
      </w:r>
      <w:proofErr w:type="spellEnd"/>
      <w:r w:rsidRPr="00F43118">
        <w:rPr>
          <w:u w:color="000000"/>
          <w:bdr w:val="nil"/>
          <w:lang w:val="en-US"/>
        </w:rPr>
        <w:t>, 2012), and work outcomes such as increased intention to leave (</w:t>
      </w:r>
      <w:proofErr w:type="spellStart"/>
      <w:r w:rsidRPr="00F43118">
        <w:rPr>
          <w:u w:color="000000"/>
          <w:bdr w:val="nil"/>
          <w:lang w:val="en-US"/>
        </w:rPr>
        <w:t>Kieseker</w:t>
      </w:r>
      <w:proofErr w:type="spellEnd"/>
      <w:r w:rsidRPr="00F43118">
        <w:rPr>
          <w:u w:color="000000"/>
          <w:bdr w:val="nil"/>
          <w:lang w:val="en-US"/>
        </w:rPr>
        <w:t xml:space="preserve"> &amp; Marchant, 1999; </w:t>
      </w:r>
      <w:proofErr w:type="spellStart"/>
      <w:r w:rsidRPr="00F43118">
        <w:rPr>
          <w:u w:color="000000"/>
          <w:bdr w:val="nil"/>
          <w:lang w:val="en-US"/>
        </w:rPr>
        <w:t>Salin</w:t>
      </w:r>
      <w:proofErr w:type="spellEnd"/>
      <w:r w:rsidRPr="00F43118">
        <w:rPr>
          <w:u w:color="000000"/>
          <w:bdr w:val="nil"/>
          <w:lang w:val="en-US"/>
        </w:rPr>
        <w:t>, 2003).</w:t>
      </w:r>
    </w:p>
    <w:p w:rsidR="00F43118" w:rsidRPr="00F43118" w:rsidRDefault="00F43118" w:rsidP="003A5B3C">
      <w:pPr>
        <w:pStyle w:val="Heading2"/>
        <w:spacing w:before="240" w:after="120"/>
        <w:rPr>
          <w:rFonts w:eastAsia="Cambria"/>
          <w:u w:color="000000"/>
          <w:bdr w:val="nil"/>
          <w:lang w:val="en-US"/>
        </w:rPr>
      </w:pPr>
      <w:r w:rsidRPr="00F43118">
        <w:rPr>
          <w:rFonts w:eastAsia="Cambria"/>
          <w:u w:color="000000"/>
          <w:bdr w:val="nil"/>
          <w:lang w:val="en-US"/>
        </w:rPr>
        <w:t xml:space="preserve">Reasons for Workplace Bullying and Harassment </w:t>
      </w:r>
    </w:p>
    <w:p w:rsidR="00F43118" w:rsidRDefault="00F43118" w:rsidP="003A5B3C">
      <w:pPr>
        <w:spacing w:after="120"/>
        <w:rPr>
          <w:rFonts w:eastAsia="Cambria"/>
          <w:u w:color="000000"/>
          <w:bdr w:val="nil"/>
          <w:lang w:val="en-US"/>
        </w:rPr>
      </w:pPr>
      <w:r w:rsidRPr="00F43118">
        <w:rPr>
          <w:rFonts w:eastAsia="Cambria"/>
          <w:u w:color="000000"/>
          <w:bdr w:val="nil"/>
          <w:lang w:val="en-US"/>
        </w:rPr>
        <w:t xml:space="preserve">There are various explanations as to why workplace bullying and harassment occurs. Although workplace bullying and harassment may result from the interplay between several factors such as individual,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and external aspects, research reveals that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level factors are the most central determinants of bullying (Nielsen &amp; </w:t>
      </w:r>
      <w:proofErr w:type="spellStart"/>
      <w:r w:rsidRPr="00F43118">
        <w:rPr>
          <w:rFonts w:eastAsia="Cambria"/>
          <w:u w:color="000000"/>
          <w:bdr w:val="nil"/>
          <w:lang w:val="en-US"/>
        </w:rPr>
        <w:t>Einarsen</w:t>
      </w:r>
      <w:proofErr w:type="spellEnd"/>
      <w:r w:rsidRPr="00F43118">
        <w:rPr>
          <w:rFonts w:eastAsia="Cambria"/>
          <w:u w:color="000000"/>
          <w:bdr w:val="nil"/>
          <w:lang w:val="en-US"/>
        </w:rPr>
        <w:t>, 2012).</w:t>
      </w:r>
      <w:r w:rsidR="008B7555">
        <w:rPr>
          <w:rFonts w:eastAsia="Cambria"/>
          <w:u w:color="000000"/>
          <w:bdr w:val="nil"/>
          <w:lang w:val="en-US"/>
        </w:rPr>
        <w:t xml:space="preserve"> </w:t>
      </w:r>
      <w:r w:rsidRPr="00F43118">
        <w:rPr>
          <w:rFonts w:eastAsia="Cambria"/>
          <w:u w:color="000000"/>
          <w:bdr w:val="nil"/>
          <w:lang w:val="en-US"/>
        </w:rPr>
        <w:t xml:space="preserve">The report reviews </w:t>
      </w:r>
      <w:r w:rsidR="006E3155">
        <w:rPr>
          <w:rFonts w:eastAsia="Cambria"/>
          <w:u w:color="000000"/>
          <w:bdr w:val="nil"/>
          <w:lang w:val="en-US"/>
        </w:rPr>
        <w:t>the following</w:t>
      </w:r>
      <w:r w:rsidR="006E3155" w:rsidRPr="00F43118">
        <w:rPr>
          <w:rFonts w:eastAsia="Cambria"/>
          <w:u w:color="000000"/>
          <w:bdr w:val="nil"/>
          <w:lang w:val="en-US"/>
        </w:rPr>
        <w:t xml:space="preserve"> </w:t>
      </w:r>
      <w:r w:rsidRPr="00F43118">
        <w:rPr>
          <w:rFonts w:eastAsia="Cambria"/>
          <w:u w:color="000000"/>
          <w:bdr w:val="nil"/>
          <w:lang w:val="en-US"/>
        </w:rPr>
        <w:t>explanations for workplace bullying</w:t>
      </w:r>
      <w:r w:rsidR="009B39EA">
        <w:rPr>
          <w:rFonts w:eastAsia="Cambria"/>
          <w:u w:color="000000"/>
          <w:bdr w:val="nil"/>
          <w:lang w:val="en-US"/>
        </w:rPr>
        <w:t xml:space="preserve"> and harassment (explanations for discrimination are beyond the scope of the paper)</w:t>
      </w:r>
      <w:r w:rsidR="006E3155">
        <w:rPr>
          <w:rFonts w:eastAsia="Cambria"/>
          <w:u w:color="000000"/>
          <w:bdr w:val="nil"/>
          <w:lang w:val="en-US"/>
        </w:rPr>
        <w:t>:</w:t>
      </w:r>
      <w:r w:rsidR="008B7555">
        <w:rPr>
          <w:rFonts w:eastAsia="Cambria"/>
          <w:u w:color="000000"/>
          <w:bdr w:val="nil"/>
          <w:lang w:val="en-US"/>
        </w:rPr>
        <w:t xml:space="preserve"> </w:t>
      </w:r>
    </w:p>
    <w:p w:rsidR="00F43118" w:rsidRPr="00F43118" w:rsidRDefault="00F43118" w:rsidP="003A5B3C">
      <w:pPr>
        <w:pStyle w:val="ListParagraph"/>
        <w:spacing w:after="120"/>
        <w:rPr>
          <w:rFonts w:eastAsia="Cambria"/>
          <w:u w:color="000000"/>
          <w:bdr w:val="nil"/>
          <w:lang w:val="en-US"/>
        </w:rPr>
      </w:pPr>
      <w:r w:rsidRPr="00F43118">
        <w:rPr>
          <w:rFonts w:eastAsia="Cambria"/>
          <w:u w:color="000000"/>
          <w:bdr w:val="nil"/>
          <w:lang w:val="en-US"/>
        </w:rPr>
        <w:t xml:space="preserve">‘Psychosocial Safety Climate Hypothesis’ — </w:t>
      </w:r>
      <w:proofErr w:type="gramStart"/>
      <w:r w:rsidRPr="00F43118">
        <w:rPr>
          <w:rFonts w:eastAsia="Cambria"/>
          <w:u w:color="000000"/>
          <w:bdr w:val="nil"/>
          <w:lang w:val="en-US"/>
        </w:rPr>
        <w:t>A</w:t>
      </w:r>
      <w:proofErr w:type="gramEnd"/>
      <w:r w:rsidRPr="00F43118">
        <w:rPr>
          <w:rFonts w:eastAsia="Cambria"/>
          <w:u w:color="000000"/>
          <w:bdr w:val="nil"/>
          <w:lang w:val="en-US"/>
        </w:rPr>
        <w:t xml:space="preserve"> lack of managerial regard for workplace psychological health and safety leads to poor quality work and in turn bullying</w:t>
      </w:r>
      <w:r w:rsidR="009B39EA">
        <w:rPr>
          <w:rFonts w:eastAsia="Cambria"/>
          <w:u w:color="000000"/>
          <w:bdr w:val="nil"/>
          <w:lang w:val="en-US"/>
        </w:rPr>
        <w:t xml:space="preserve"> and harassment</w:t>
      </w:r>
      <w:r w:rsidRPr="00F43118">
        <w:rPr>
          <w:rFonts w:eastAsia="Cambria"/>
          <w:u w:color="000000"/>
          <w:bdr w:val="nil"/>
          <w:lang w:val="en-US"/>
        </w:rPr>
        <w:t xml:space="preserve">. </w:t>
      </w:r>
    </w:p>
    <w:p w:rsidR="00F43118" w:rsidRPr="00F43118" w:rsidRDefault="00F43118" w:rsidP="003A5B3C">
      <w:pPr>
        <w:pStyle w:val="ListParagraph"/>
        <w:spacing w:after="120"/>
        <w:rPr>
          <w:rFonts w:eastAsia="Cambria"/>
          <w:u w:color="000000"/>
          <w:bdr w:val="nil"/>
          <w:lang w:val="en-US"/>
        </w:rPr>
      </w:pPr>
      <w:r w:rsidRPr="00F43118">
        <w:rPr>
          <w:rFonts w:eastAsia="Cambria"/>
          <w:u w:color="000000"/>
          <w:bdr w:val="nil"/>
          <w:lang w:val="en-US"/>
        </w:rPr>
        <w:t xml:space="preserve">‘Productivity Hypothesis’ — Bullying </w:t>
      </w:r>
      <w:r w:rsidR="009B39EA">
        <w:rPr>
          <w:rFonts w:eastAsia="Cambria"/>
          <w:u w:color="000000"/>
          <w:bdr w:val="nil"/>
          <w:lang w:val="en-US"/>
        </w:rPr>
        <w:t xml:space="preserve">and harassment are </w:t>
      </w:r>
      <w:r w:rsidRPr="00F43118">
        <w:rPr>
          <w:rFonts w:eastAsia="Cambria"/>
          <w:u w:color="000000"/>
          <w:bdr w:val="nil"/>
          <w:lang w:val="en-US"/>
        </w:rPr>
        <w:t>a means to obtain more productivity from workers.</w:t>
      </w:r>
    </w:p>
    <w:p w:rsidR="00F43118" w:rsidRPr="00F43118" w:rsidRDefault="00F43118" w:rsidP="003A5B3C">
      <w:pPr>
        <w:pStyle w:val="ListParagraph"/>
        <w:spacing w:after="120"/>
        <w:rPr>
          <w:rFonts w:eastAsia="Cambria"/>
          <w:u w:color="000000"/>
          <w:bdr w:val="nil"/>
          <w:lang w:val="en-US"/>
        </w:rPr>
      </w:pPr>
      <w:r w:rsidRPr="00F43118">
        <w:rPr>
          <w:rFonts w:eastAsia="Cambria"/>
          <w:u w:color="000000"/>
          <w:bdr w:val="nil"/>
          <w:lang w:val="en-US"/>
        </w:rPr>
        <w:t xml:space="preserve">‘Retain-and-build Personal Power Hypothesis’ — Bullying </w:t>
      </w:r>
      <w:r w:rsidR="009B39EA">
        <w:rPr>
          <w:rFonts w:eastAsia="Cambria"/>
          <w:u w:color="000000"/>
          <w:bdr w:val="nil"/>
          <w:lang w:val="en-US"/>
        </w:rPr>
        <w:t xml:space="preserve">and harassment are </w:t>
      </w:r>
      <w:r w:rsidRPr="00F43118">
        <w:rPr>
          <w:rFonts w:eastAsia="Cambria"/>
          <w:u w:color="000000"/>
          <w:bdr w:val="nil"/>
          <w:lang w:val="en-US"/>
        </w:rPr>
        <w:t>tactic</w:t>
      </w:r>
      <w:r w:rsidR="009B39EA">
        <w:rPr>
          <w:rFonts w:eastAsia="Cambria"/>
          <w:u w:color="000000"/>
          <w:bdr w:val="nil"/>
          <w:lang w:val="en-US"/>
        </w:rPr>
        <w:t>s</w:t>
      </w:r>
      <w:r w:rsidRPr="00F43118">
        <w:rPr>
          <w:rFonts w:eastAsia="Cambria"/>
          <w:u w:color="000000"/>
          <w:bdr w:val="nil"/>
          <w:lang w:val="en-US"/>
        </w:rPr>
        <w:t xml:space="preserve"> to maintain the status quo of personal power or power distribution within </w:t>
      </w:r>
      <w:proofErr w:type="spellStart"/>
      <w:r w:rsidRPr="00F43118">
        <w:rPr>
          <w:rFonts w:eastAsia="Cambria"/>
          <w:u w:color="000000"/>
          <w:bdr w:val="nil"/>
          <w:lang w:val="en-US"/>
        </w:rPr>
        <w:t>organisations</w:t>
      </w:r>
      <w:proofErr w:type="spellEnd"/>
      <w:r w:rsidRPr="00F43118">
        <w:rPr>
          <w:rFonts w:eastAsia="Cambria"/>
          <w:u w:color="000000"/>
          <w:bdr w:val="nil"/>
          <w:lang w:val="en-US"/>
        </w:rPr>
        <w:t>.</w:t>
      </w:r>
    </w:p>
    <w:p w:rsidR="00F43118" w:rsidRPr="00F43118" w:rsidRDefault="00F43118" w:rsidP="003A5B3C">
      <w:pPr>
        <w:pStyle w:val="ListParagraph"/>
        <w:spacing w:after="120"/>
        <w:rPr>
          <w:rFonts w:eastAsia="Cambria"/>
          <w:u w:color="000000"/>
          <w:bdr w:val="nil"/>
          <w:lang w:val="en-US"/>
        </w:rPr>
      </w:pPr>
      <w:r w:rsidRPr="00F43118">
        <w:rPr>
          <w:rFonts w:eastAsia="Cambria"/>
          <w:u w:color="000000"/>
          <w:bdr w:val="nil"/>
          <w:lang w:val="en-US"/>
        </w:rPr>
        <w:t>‘Work Environment Hypothesis’ — Poor quality work, in terms of task and job design, such as high levels of demands and low levels of resources, precipitates bullying</w:t>
      </w:r>
      <w:r w:rsidR="009B39EA">
        <w:rPr>
          <w:rFonts w:eastAsia="Cambria"/>
          <w:u w:color="000000"/>
          <w:bdr w:val="nil"/>
          <w:lang w:val="en-US"/>
        </w:rPr>
        <w:t xml:space="preserve"> and harassment</w:t>
      </w:r>
      <w:r w:rsidRPr="00F43118">
        <w:rPr>
          <w:rFonts w:eastAsia="Cambria"/>
          <w:u w:color="000000"/>
          <w:bdr w:val="nil"/>
          <w:lang w:val="en-US"/>
        </w:rPr>
        <w:t xml:space="preserve">.  </w:t>
      </w:r>
    </w:p>
    <w:p w:rsidR="00F43118" w:rsidRPr="00F43118" w:rsidRDefault="00F43118" w:rsidP="003A5B3C">
      <w:pPr>
        <w:spacing w:after="120"/>
        <w:rPr>
          <w:u w:color="000000"/>
          <w:bdr w:val="nil"/>
          <w:lang w:val="en-US"/>
        </w:rPr>
      </w:pPr>
      <w:r w:rsidRPr="00F43118">
        <w:rPr>
          <w:u w:color="000000"/>
          <w:bdr w:val="nil"/>
          <w:lang w:val="en-US"/>
        </w:rPr>
        <w:t xml:space="preserve">In considering these explanations we examined job design aspects (job demands and resources) that are consistently linked with higher incidences of bullying (Tuckey et al., 2009). </w:t>
      </w:r>
    </w:p>
    <w:p w:rsidR="00F43118" w:rsidRPr="00F43118" w:rsidRDefault="00F43118" w:rsidP="003A5B3C">
      <w:pPr>
        <w:spacing w:after="120"/>
        <w:rPr>
          <w:u w:color="000000"/>
          <w:bdr w:val="nil"/>
          <w:lang w:val="en-US"/>
        </w:rPr>
      </w:pPr>
      <w:r w:rsidRPr="00F43118">
        <w:rPr>
          <w:u w:color="000000"/>
          <w:bdr w:val="nil"/>
          <w:lang w:val="en-US"/>
        </w:rPr>
        <w:t xml:space="preserve">Results showed that high psychological (work pressure) and emotional job demands were related to higher levels of bullying. In addition, job resources (i.e., supervisor social support, job control, and </w:t>
      </w:r>
      <w:proofErr w:type="spellStart"/>
      <w:r w:rsidRPr="00F43118">
        <w:rPr>
          <w:u w:color="000000"/>
          <w:bdr w:val="nil"/>
          <w:lang w:val="en-US"/>
        </w:rPr>
        <w:t>organisational</w:t>
      </w:r>
      <w:proofErr w:type="spellEnd"/>
      <w:r w:rsidRPr="00F43118">
        <w:rPr>
          <w:u w:color="000000"/>
          <w:bdr w:val="nil"/>
          <w:lang w:val="en-US"/>
        </w:rPr>
        <w:t xml:space="preserve"> rewards) were negatively associated with bullying: </w:t>
      </w:r>
      <w:r w:rsidR="006E3155">
        <w:rPr>
          <w:u w:color="000000"/>
          <w:bdr w:val="nil"/>
          <w:lang w:val="en-US"/>
        </w:rPr>
        <w:t xml:space="preserve">i.e. </w:t>
      </w:r>
      <w:r w:rsidRPr="00F43118">
        <w:rPr>
          <w:u w:color="000000"/>
          <w:bdr w:val="nil"/>
          <w:lang w:val="en-US"/>
        </w:rPr>
        <w:t>increases in these resources were associated with a decrease in workplace bullying and harassment. These job design aspects were also related to different forms of harassme</w:t>
      </w:r>
      <w:r w:rsidR="003A5B3C">
        <w:rPr>
          <w:u w:color="000000"/>
          <w:bdr w:val="nil"/>
          <w:lang w:val="en-US"/>
        </w:rPr>
        <w:t>nt.</w:t>
      </w:r>
    </w:p>
    <w:p w:rsidR="00F43118" w:rsidRPr="00F43118" w:rsidRDefault="00F43118" w:rsidP="003A5B3C">
      <w:pPr>
        <w:spacing w:after="120"/>
        <w:rPr>
          <w:u w:color="000000"/>
          <w:bdr w:val="nil"/>
          <w:lang w:val="en-US"/>
        </w:rPr>
      </w:pPr>
      <w:r w:rsidRPr="00F43118">
        <w:lastRenderedPageBreak/>
        <w:t xml:space="preserve">The main focus of the </w:t>
      </w:r>
      <w:r w:rsidR="00005D31">
        <w:t xml:space="preserve">empirical </w:t>
      </w:r>
      <w:r w:rsidRPr="00F43118">
        <w:t xml:space="preserve">analysis was on the ‘Psychosocial Safety Climate Hypothesis’.  There was strong support for this hypothesis. </w:t>
      </w:r>
      <w:r w:rsidRPr="00F43118">
        <w:rPr>
          <w:u w:color="000000"/>
          <w:bdr w:val="nil"/>
          <w:lang w:val="en-US"/>
        </w:rPr>
        <w:t xml:space="preserve">Psychosocial </w:t>
      </w:r>
      <w:r w:rsidR="00FB130B">
        <w:rPr>
          <w:u w:color="000000"/>
          <w:bdr w:val="nil"/>
          <w:lang w:val="en-US"/>
        </w:rPr>
        <w:t xml:space="preserve">safety climate (PSC) refers to </w:t>
      </w:r>
      <w:r w:rsidRPr="00F43118">
        <w:rPr>
          <w:u w:color="000000"/>
          <w:bdr w:val="nil"/>
          <w:lang w:val="en-US"/>
        </w:rPr>
        <w:t>policies, practices and procedures for the protection of worker psychological he</w:t>
      </w:r>
      <w:r w:rsidR="00FB130B">
        <w:rPr>
          <w:u w:color="000000"/>
          <w:bdr w:val="nil"/>
          <w:lang w:val="en-US"/>
        </w:rPr>
        <w:t>alth</w:t>
      </w:r>
      <w:r w:rsidRPr="00F43118">
        <w:rPr>
          <w:u w:color="000000"/>
          <w:bdr w:val="nil"/>
          <w:lang w:val="en-US"/>
        </w:rPr>
        <w:t>. PSC largely reflects senior management commitment and support for stress prevention, and a priority of regard for worker psychological health in the conte</w:t>
      </w:r>
      <w:r w:rsidR="003A5B3C">
        <w:rPr>
          <w:u w:color="000000"/>
          <w:bdr w:val="nil"/>
          <w:lang w:val="en-US"/>
        </w:rPr>
        <w:t>xt of productivity imperatives.</w:t>
      </w:r>
    </w:p>
    <w:p w:rsidR="00F43118" w:rsidRPr="00F43118" w:rsidRDefault="00F43118" w:rsidP="003A5B3C">
      <w:pPr>
        <w:spacing w:after="120"/>
        <w:rPr>
          <w:u w:color="000000"/>
          <w:bdr w:val="nil"/>
        </w:rPr>
      </w:pPr>
      <w:r w:rsidRPr="00F43118">
        <w:t>As expected PSC was significantly negatively correlated to bullying and all forms of harassment, which is also supported by prior studies (Bond et al., 2010; Law et al., 2011). PSC predicted future</w:t>
      </w:r>
      <w:r w:rsidR="00FB130B">
        <w:t xml:space="preserve"> bullying over a four year lag.</w:t>
      </w:r>
      <w:r w:rsidRPr="00F43118">
        <w:t xml:space="preserve"> The results support PSC as a leading indicator for the occurrence </w:t>
      </w:r>
      <w:r w:rsidR="00A46C2A">
        <w:t xml:space="preserve">of </w:t>
      </w:r>
      <w:r w:rsidRPr="00F43118">
        <w:t xml:space="preserve">bullying; </w:t>
      </w:r>
      <w:r w:rsidRPr="00F43118">
        <w:rPr>
          <w:u w:color="000000"/>
          <w:bdr w:val="nil"/>
          <w:lang w:val="en-US"/>
        </w:rPr>
        <w:t>the relationship between PSC and bullying, after controlling fo</w:t>
      </w:r>
      <w:r w:rsidR="00F549C4">
        <w:rPr>
          <w:u w:color="000000"/>
          <w:bdr w:val="nil"/>
          <w:lang w:val="en-US"/>
        </w:rPr>
        <w:t xml:space="preserve">r baseline levels of bullying, </w:t>
      </w:r>
      <w:r w:rsidRPr="00F43118">
        <w:rPr>
          <w:u w:color="000000"/>
          <w:bdr w:val="nil"/>
          <w:lang w:val="en-US"/>
        </w:rPr>
        <w:t>was explained by job design factors — low PSC led to high emotional demands and low job control</w:t>
      </w:r>
      <w:r w:rsidR="006E3155">
        <w:rPr>
          <w:u w:color="000000"/>
          <w:bdr w:val="nil"/>
          <w:lang w:val="en-US"/>
        </w:rPr>
        <w:t>,</w:t>
      </w:r>
      <w:r w:rsidRPr="00F43118">
        <w:rPr>
          <w:u w:color="000000"/>
          <w:bdr w:val="nil"/>
          <w:lang w:val="en-US"/>
        </w:rPr>
        <w:t xml:space="preserve"> which led to bullying. </w:t>
      </w:r>
      <w:r w:rsidRPr="00F43118">
        <w:t>The results highlight the value of PSC as a litmus test for identifying industries, work units, and workers at risk of bullying at work, and as a prime avenue for preventative action.</w:t>
      </w:r>
    </w:p>
    <w:p w:rsidR="00C11A05" w:rsidRPr="000B14E9" w:rsidRDefault="00F43118" w:rsidP="003A5B3C">
      <w:pPr>
        <w:spacing w:after="120"/>
        <w:rPr>
          <w:u w:color="000000"/>
          <w:bdr w:val="nil"/>
        </w:rPr>
      </w:pPr>
      <w:r w:rsidRPr="00F43118">
        <w:rPr>
          <w:u w:color="000000"/>
          <w:bdr w:val="nil"/>
        </w:rPr>
        <w:t xml:space="preserve">The finding that PSC predicted future bullying is strong because it </w:t>
      </w:r>
      <w:r w:rsidR="00005D31">
        <w:rPr>
          <w:u w:color="000000"/>
          <w:bdr w:val="nil"/>
        </w:rPr>
        <w:t>wa</w:t>
      </w:r>
      <w:r w:rsidRPr="00F43118">
        <w:rPr>
          <w:u w:color="000000"/>
          <w:bdr w:val="nil"/>
        </w:rPr>
        <w:t>s based on an analysis that controlled for initial levels of bullying. Moreover the finding is remarkable because the time lag was roughly four years</w:t>
      </w:r>
      <w:r w:rsidR="003915DE">
        <w:rPr>
          <w:u w:color="000000"/>
          <w:bdr w:val="nil"/>
        </w:rPr>
        <w:t xml:space="preserve"> and it would be reasonable to predict</w:t>
      </w:r>
      <w:r w:rsidRPr="00F43118">
        <w:rPr>
          <w:u w:color="000000"/>
          <w:bdr w:val="nil"/>
        </w:rPr>
        <w:t xml:space="preserve"> that those who had been bullied may have left the organisation, potentially weakening the relationship.</w:t>
      </w:r>
    </w:p>
    <w:p w:rsidR="00F43118" w:rsidRPr="00F43118" w:rsidRDefault="00F43118" w:rsidP="003A5B3C">
      <w:pPr>
        <w:pStyle w:val="Heading2"/>
        <w:spacing w:before="240" w:after="120"/>
        <w:rPr>
          <w:rFonts w:eastAsia="Cambria"/>
          <w:u w:color="000000"/>
          <w:lang w:eastAsia="en-US"/>
        </w:rPr>
      </w:pPr>
      <w:r w:rsidRPr="00F43118">
        <w:rPr>
          <w:rFonts w:eastAsia="Cambria"/>
          <w:u w:color="000000"/>
          <w:lang w:eastAsia="en-US"/>
        </w:rPr>
        <w:t xml:space="preserve">Practical Implications </w:t>
      </w:r>
    </w:p>
    <w:p w:rsidR="00905947" w:rsidRDefault="00F43118" w:rsidP="003A5B3C">
      <w:pPr>
        <w:spacing w:after="120"/>
      </w:pPr>
      <w:r w:rsidRPr="009359D9">
        <w:rPr>
          <w:u w:color="000000"/>
          <w:bdr w:val="nil"/>
        </w:rPr>
        <w:t>Since PSC is a lead indicator of bullying</w:t>
      </w:r>
      <w:r w:rsidR="009B39EA" w:rsidRPr="009359D9">
        <w:rPr>
          <w:u w:color="000000"/>
          <w:bdr w:val="nil"/>
        </w:rPr>
        <w:t xml:space="preserve"> and harassment</w:t>
      </w:r>
      <w:r w:rsidRPr="009359D9">
        <w:rPr>
          <w:u w:color="000000"/>
          <w:bdr w:val="nil"/>
        </w:rPr>
        <w:t>, cultivating a robust organisational PSC is the best target for intervention and prevention strategies</w:t>
      </w:r>
      <w:r w:rsidR="001C5EAD">
        <w:rPr>
          <w:u w:color="000000"/>
          <w:bdr w:val="nil"/>
        </w:rPr>
        <w:t>.</w:t>
      </w:r>
      <w:r w:rsidR="00586584">
        <w:rPr>
          <w:u w:color="000000"/>
          <w:bdr w:val="nil"/>
        </w:rPr>
        <w:t xml:space="preserve"> </w:t>
      </w:r>
      <w:r w:rsidRPr="00A77C93">
        <w:rPr>
          <w:u w:color="000000"/>
          <w:bdr w:val="nil"/>
        </w:rPr>
        <w:t>At the heart of PSC</w:t>
      </w:r>
      <w:r w:rsidR="00005D31" w:rsidRPr="00A77C93">
        <w:rPr>
          <w:u w:color="000000"/>
          <w:bdr w:val="nil"/>
        </w:rPr>
        <w:t xml:space="preserve"> development </w:t>
      </w:r>
      <w:r w:rsidRPr="00A77C93">
        <w:rPr>
          <w:u w:color="000000"/>
          <w:bdr w:val="nil"/>
        </w:rPr>
        <w:t xml:space="preserve">is the premise that senior management </w:t>
      </w:r>
      <w:r w:rsidR="001C5EAD">
        <w:rPr>
          <w:u w:color="000000"/>
          <w:bdr w:val="nil"/>
        </w:rPr>
        <w:t>is</w:t>
      </w:r>
      <w:r w:rsidRPr="00A77C93">
        <w:rPr>
          <w:u w:color="000000"/>
          <w:bdr w:val="nil"/>
        </w:rPr>
        <w:t xml:space="preserve"> committed to worker psychological health</w:t>
      </w:r>
      <w:r w:rsidR="001C5EAD">
        <w:rPr>
          <w:u w:color="000000"/>
          <w:bdr w:val="nil"/>
        </w:rPr>
        <w:t>.</w:t>
      </w:r>
      <w:r w:rsidR="00586584">
        <w:rPr>
          <w:u w:color="000000"/>
          <w:bdr w:val="nil"/>
        </w:rPr>
        <w:t xml:space="preserve"> </w:t>
      </w:r>
      <w:r w:rsidR="000D3954">
        <w:rPr>
          <w:u w:color="000000"/>
          <w:bdr w:val="nil"/>
        </w:rPr>
        <w:t>T</w:t>
      </w:r>
      <w:r w:rsidR="00601E24" w:rsidRPr="00F43118">
        <w:rPr>
          <w:u w:color="000000"/>
          <w:bdr w:val="nil"/>
        </w:rPr>
        <w:t>o mitigate the deleterious impact of bullying and harassment there must be a solid commitment from senior management to prioritise and communicate good work health and safety policies, practices, and procedures</w:t>
      </w:r>
      <w:r w:rsidR="00601E24">
        <w:rPr>
          <w:u w:color="000000"/>
          <w:bdr w:val="nil"/>
        </w:rPr>
        <w:t>. In addition, m</w:t>
      </w:r>
      <w:r w:rsidR="00601E24" w:rsidRPr="00F43118">
        <w:rPr>
          <w:u w:color="000000"/>
          <w:bdr w:val="nil"/>
        </w:rPr>
        <w:t xml:space="preserve">anagement personnel must make a notable effort to </w:t>
      </w:r>
      <w:r w:rsidR="00601E24">
        <w:rPr>
          <w:u w:color="000000"/>
          <w:bdr w:val="nil"/>
        </w:rPr>
        <w:t xml:space="preserve">create jobs with manageable work demands and </w:t>
      </w:r>
      <w:r w:rsidR="00601E24" w:rsidRPr="00F43118">
        <w:rPr>
          <w:u w:color="000000"/>
          <w:bdr w:val="nil"/>
        </w:rPr>
        <w:t>concentrate resources into fostering a work environment where workers feel valued, psychologically safe, and healthy.</w:t>
      </w:r>
      <w:r w:rsidR="00601E24" w:rsidRPr="009359D9">
        <w:t xml:space="preserve"> </w:t>
      </w:r>
      <w:r w:rsidR="00601E24" w:rsidRPr="008344E8">
        <w:t xml:space="preserve">Workplaces should establish policies or guidelines for respectful behaviour and how to address bullying and harassment should it occur; attention should be drawn to the legal and </w:t>
      </w:r>
      <w:proofErr w:type="spellStart"/>
      <w:r w:rsidR="00601E24" w:rsidRPr="008344E8">
        <w:t>WHS</w:t>
      </w:r>
      <w:proofErr w:type="spellEnd"/>
      <w:r w:rsidR="00601E24" w:rsidRPr="008344E8">
        <w:t xml:space="preserve"> implications and organisational sanctions.</w:t>
      </w:r>
      <w:r w:rsidR="00601E24">
        <w:t xml:space="preserve"> Furthermore there should be greater </w:t>
      </w:r>
      <w:r w:rsidR="0075339E">
        <w:t>awareness</w:t>
      </w:r>
      <w:r w:rsidR="0075339E" w:rsidRPr="008344E8">
        <w:t xml:space="preserve"> </w:t>
      </w:r>
      <w:proofErr w:type="gramStart"/>
      <w:r w:rsidR="009359D9" w:rsidRPr="008344E8">
        <w:t>raising</w:t>
      </w:r>
      <w:proofErr w:type="gramEnd"/>
      <w:r w:rsidR="009359D9" w:rsidRPr="008344E8">
        <w:t xml:space="preserve"> for managers and supervisors about the profound effects of bullying and haras</w:t>
      </w:r>
      <w:r w:rsidR="00905947">
        <w:t>sment at work (</w:t>
      </w:r>
      <w:r w:rsidR="009359D9" w:rsidRPr="008344E8">
        <w:t>at a personal and organisational level</w:t>
      </w:r>
      <w:r w:rsidR="00601E24">
        <w:t>)</w:t>
      </w:r>
      <w:r w:rsidR="00601E24">
        <w:rPr>
          <w:rFonts w:cs="Arial"/>
          <w:vertAlign w:val="superscript"/>
        </w:rPr>
        <w:t>,</w:t>
      </w:r>
      <w:r w:rsidR="00601E24">
        <w:t xml:space="preserve"> as well as </w:t>
      </w:r>
      <w:r w:rsidR="009359D9" w:rsidRPr="008344E8">
        <w:t>the causes of workplace bullying and harassment.</w:t>
      </w:r>
    </w:p>
    <w:p w:rsidR="00FB130B" w:rsidRDefault="00FB130B" w:rsidP="003A5B3C">
      <w:pPr>
        <w:spacing w:after="120"/>
      </w:pPr>
      <w:r w:rsidRPr="008344E8">
        <w:t xml:space="preserve">Overall, strategies to address workplace bullying should emphasise organisational-level primary prevention through monitoring and modifying the risk factors for bullying in the organisational system. Strategies that focus on bullying behaviour (such as reporting mechanisms) are important complementary actions, but not sufficient for prevention. </w:t>
      </w:r>
      <w:r>
        <w:t>Rather, p</w:t>
      </w:r>
      <w:r w:rsidRPr="008344E8">
        <w:t>olicy and regulation interventions should focus on motivating and rewarding organisations to tackle bullying as a work health and safety hazard via a risk management process.</w:t>
      </w:r>
      <w:r>
        <w:t xml:space="preserve"> </w:t>
      </w:r>
      <w:r w:rsidRPr="008344E8">
        <w:t>Practical tools to support the risk management of bullying as a psychosocial hazard should be develo</w:t>
      </w:r>
      <w:r w:rsidR="003A5B3C">
        <w:t>ped and made widely available. </w:t>
      </w:r>
    </w:p>
    <w:p w:rsidR="003A5B3C" w:rsidRDefault="00905947" w:rsidP="003A5B3C">
      <w:pPr>
        <w:spacing w:after="120"/>
        <w:rPr>
          <w:u w:color="000000"/>
          <w:bdr w:val="nil"/>
          <w:lang w:val="en-US"/>
        </w:rPr>
      </w:pPr>
      <w:r w:rsidRPr="008344E8">
        <w:t>Monitoring PSC within organisations is</w:t>
      </w:r>
      <w:r w:rsidR="00601E24">
        <w:t xml:space="preserve"> strongly</w:t>
      </w:r>
      <w:r w:rsidRPr="008344E8">
        <w:t xml:space="preserve"> recommended; as a leading indicator it should provide early signs of risks for bullying and harassment.</w:t>
      </w:r>
      <w:r w:rsidR="00FB130B">
        <w:t xml:space="preserve"> </w:t>
      </w:r>
      <w:r w:rsidRPr="00F43118">
        <w:rPr>
          <w:u w:color="000000"/>
          <w:bdr w:val="nil"/>
          <w:lang w:val="en-US"/>
        </w:rPr>
        <w:t xml:space="preserve">Recent </w:t>
      </w:r>
      <w:proofErr w:type="spellStart"/>
      <w:r w:rsidRPr="00F43118">
        <w:rPr>
          <w:u w:color="000000"/>
          <w:bdr w:val="nil"/>
          <w:lang w:val="en-US"/>
        </w:rPr>
        <w:t>AWB</w:t>
      </w:r>
      <w:proofErr w:type="spellEnd"/>
      <w:r w:rsidRPr="00F43118">
        <w:rPr>
          <w:u w:color="000000"/>
          <w:bdr w:val="nil"/>
          <w:lang w:val="en-US"/>
        </w:rPr>
        <w:t xml:space="preserve"> research has established PSC benchmarks (range 12–60) for low-risk (</w:t>
      </w:r>
      <w:r w:rsidRPr="001C7C73">
        <w:rPr>
          <w:u w:color="000000"/>
          <w:bdr w:val="nil"/>
          <w:lang w:val="en-US"/>
        </w:rPr>
        <w:t>PSC at 41 or above) and high-risk (PSC at 37 or below) of employee job strain and depressive</w:t>
      </w:r>
      <w:r w:rsidRPr="002149A9">
        <w:rPr>
          <w:u w:color="000000"/>
          <w:bdr w:val="nil"/>
          <w:lang w:val="en-US"/>
        </w:rPr>
        <w:t xml:space="preserve"> symptoms. Researchers found using the population attributable risk (PAR) that improving PSC in </w:t>
      </w:r>
      <w:proofErr w:type="spellStart"/>
      <w:r w:rsidRPr="002149A9">
        <w:rPr>
          <w:u w:color="000000"/>
          <w:bdr w:val="nil"/>
          <w:lang w:val="en-US"/>
        </w:rPr>
        <w:t>organisations</w:t>
      </w:r>
      <w:proofErr w:type="spellEnd"/>
      <w:r w:rsidRPr="002149A9">
        <w:rPr>
          <w:u w:color="000000"/>
          <w:bdr w:val="nil"/>
          <w:lang w:val="en-US"/>
        </w:rPr>
        <w:t xml:space="preserve"> to above 37 could reduce 14</w:t>
      </w:r>
      <w:r w:rsidRPr="00F42C59">
        <w:rPr>
          <w:u w:color="000000"/>
          <w:bdr w:val="nil"/>
          <w:lang w:val="en-US"/>
        </w:rPr>
        <w:t xml:space="preserve"> per cent of job strain and 16 per cent of depressive symptoms in the working population </w:t>
      </w:r>
      <w:r w:rsidRPr="001D2BBC">
        <w:rPr>
          <w:u w:color="000000"/>
          <w:bdr w:val="nil"/>
          <w:lang w:val="en-US"/>
        </w:rPr>
        <w:t xml:space="preserve">(Bailey, Dollard, &amp; Richards, </w:t>
      </w:r>
      <w:r w:rsidRPr="001C7C73">
        <w:rPr>
          <w:u w:color="000000"/>
          <w:bdr w:val="nil"/>
          <w:lang w:val="en-US"/>
        </w:rPr>
        <w:t xml:space="preserve">2015). These benchmarks are already being used by some Australian </w:t>
      </w:r>
      <w:proofErr w:type="spellStart"/>
      <w:r w:rsidRPr="001C7C73">
        <w:rPr>
          <w:u w:color="000000"/>
          <w:bdr w:val="nil"/>
          <w:lang w:val="en-US"/>
        </w:rPr>
        <w:t>organisations</w:t>
      </w:r>
      <w:proofErr w:type="spellEnd"/>
      <w:r w:rsidRPr="001C7C73">
        <w:rPr>
          <w:u w:color="000000"/>
          <w:bdr w:val="nil"/>
          <w:lang w:val="en-US"/>
        </w:rPr>
        <w:t xml:space="preserve"> but </w:t>
      </w:r>
      <w:r w:rsidR="000D3954" w:rsidRPr="001C7C73">
        <w:rPr>
          <w:u w:color="000000"/>
          <w:bdr w:val="nil"/>
          <w:lang w:val="en-US"/>
        </w:rPr>
        <w:t xml:space="preserve">should </w:t>
      </w:r>
      <w:r w:rsidRPr="001C7C73">
        <w:rPr>
          <w:u w:color="000000"/>
          <w:bdr w:val="nil"/>
          <w:lang w:val="en-US"/>
        </w:rPr>
        <w:t>be used more</w:t>
      </w:r>
      <w:r w:rsidRPr="00F43118">
        <w:rPr>
          <w:u w:color="000000"/>
          <w:bdr w:val="nil"/>
          <w:lang w:val="en-US"/>
        </w:rPr>
        <w:t xml:space="preserve"> widely and incorporated into national policy frameworks fo</w:t>
      </w:r>
      <w:r w:rsidR="003A5B3C">
        <w:rPr>
          <w:u w:color="000000"/>
          <w:bdr w:val="nil"/>
          <w:lang w:val="en-US"/>
        </w:rPr>
        <w:t>r psychosocial risk prevention.</w:t>
      </w:r>
    </w:p>
    <w:p w:rsidR="000D3954" w:rsidRDefault="000D3954" w:rsidP="003A5B3C">
      <w:pPr>
        <w:spacing w:after="120"/>
        <w:rPr>
          <w:u w:color="000000"/>
          <w:bdr w:val="nil"/>
          <w:lang w:val="en-US"/>
        </w:rPr>
      </w:pPr>
      <w:r w:rsidRPr="00FB0F05">
        <w:rPr>
          <w:u w:color="000000"/>
          <w:bdr w:val="nil"/>
          <w:lang w:val="en-US"/>
        </w:rPr>
        <w:lastRenderedPageBreak/>
        <w:t xml:space="preserve">Improving PSC also has the added value of reducing productivity costs due to sickness absence and </w:t>
      </w:r>
      <w:proofErr w:type="spellStart"/>
      <w:r w:rsidRPr="00FB0F05">
        <w:rPr>
          <w:u w:color="000000"/>
          <w:bdr w:val="nil"/>
          <w:lang w:val="en-US"/>
        </w:rPr>
        <w:t>presenteeism</w:t>
      </w:r>
      <w:proofErr w:type="spellEnd"/>
      <w:r w:rsidRPr="00FB0F05">
        <w:rPr>
          <w:u w:color="000000"/>
          <w:bdr w:val="nil"/>
          <w:lang w:val="en-US"/>
        </w:rPr>
        <w:t xml:space="preserve">; estimates are that $6 billion dollars per annum could be saved by Australian employers by improving PSC levels in </w:t>
      </w:r>
      <w:proofErr w:type="spellStart"/>
      <w:r w:rsidRPr="00FB0F05">
        <w:rPr>
          <w:u w:color="000000"/>
          <w:bdr w:val="nil"/>
          <w:lang w:val="en-US"/>
        </w:rPr>
        <w:t>organisations</w:t>
      </w:r>
      <w:proofErr w:type="spellEnd"/>
      <w:r w:rsidRPr="00FB0F05">
        <w:rPr>
          <w:u w:color="000000"/>
          <w:bdr w:val="nil"/>
          <w:lang w:val="en-US"/>
        </w:rPr>
        <w:t xml:space="preserve"> (Becher &amp; Dollard, 201</w:t>
      </w:r>
      <w:r w:rsidR="00115BA3">
        <w:rPr>
          <w:u w:color="000000"/>
          <w:bdr w:val="nil"/>
          <w:lang w:val="en-US"/>
        </w:rPr>
        <w:t>6</w:t>
      </w:r>
      <w:r w:rsidRPr="00FB0F05">
        <w:rPr>
          <w:u w:color="000000"/>
          <w:bdr w:val="nil"/>
          <w:lang w:val="en-US"/>
        </w:rPr>
        <w:t>).</w:t>
      </w:r>
    </w:p>
    <w:p w:rsidR="00601E24" w:rsidRDefault="00601E24" w:rsidP="003A5B3C">
      <w:pPr>
        <w:spacing w:after="120"/>
      </w:pPr>
      <w:r w:rsidRPr="00F43118">
        <w:rPr>
          <w:u w:color="000000"/>
          <w:bdr w:val="nil"/>
          <w:lang w:val="en-US"/>
        </w:rPr>
        <w:t xml:space="preserve">High PSC </w:t>
      </w:r>
      <w:proofErr w:type="spellStart"/>
      <w:r w:rsidRPr="00F43118">
        <w:rPr>
          <w:u w:color="000000"/>
          <w:bdr w:val="nil"/>
          <w:lang w:val="en-US"/>
        </w:rPr>
        <w:t>organisations</w:t>
      </w:r>
      <w:proofErr w:type="spellEnd"/>
      <w:r w:rsidRPr="00F43118">
        <w:rPr>
          <w:u w:color="000000"/>
          <w:bdr w:val="nil"/>
          <w:lang w:val="en-US"/>
        </w:rPr>
        <w:t xml:space="preserve"> are mentally healthy workplaces (</w:t>
      </w:r>
      <w:r w:rsidRPr="00F43118">
        <w:rPr>
          <w:i/>
          <w:u w:color="000000"/>
          <w:bdr w:val="nil"/>
          <w:lang w:val="en-US"/>
        </w:rPr>
        <w:t xml:space="preserve">beyondblue, </w:t>
      </w:r>
      <w:r w:rsidRPr="00F43118">
        <w:rPr>
          <w:u w:color="000000"/>
          <w:bdr w:val="nil"/>
          <w:lang w:val="en-US"/>
        </w:rPr>
        <w:t xml:space="preserve">2014), and improvements in PSC could improve the mental health status of workplaces in Australia. </w:t>
      </w:r>
      <w:r w:rsidRPr="008344E8">
        <w:t xml:space="preserve">Workplace interventions to improve PSC should focus on establishing systems to enable upwards and downwards </w:t>
      </w:r>
      <w:r w:rsidR="00FB130B" w:rsidRPr="008344E8">
        <w:t xml:space="preserve">communication </w:t>
      </w:r>
      <w:r w:rsidRPr="008344E8">
        <w:t>about bullying and harassment, and enable participation of all levels of the organisation in monitoring, establishing controls, awareness raising, education and training on matters relevant to bullying, harassment, and risk factors. Improving PSC should entail organi</w:t>
      </w:r>
      <w:r>
        <w:t>s</w:t>
      </w:r>
      <w:r w:rsidRPr="008344E8">
        <w:t>ational efforts to reduce work conditions that predispose bullying such as high demand, high pressure, high competition, and low control/power situations in the workplace.</w:t>
      </w:r>
      <w:r w:rsidR="000D3954" w:rsidRPr="000D3954">
        <w:rPr>
          <w:u w:color="000000"/>
          <w:bdr w:val="nil"/>
          <w:lang w:val="en-US"/>
        </w:rPr>
        <w:t xml:space="preserve"> </w:t>
      </w:r>
      <w:r w:rsidR="000D3954">
        <w:rPr>
          <w:u w:color="000000"/>
          <w:bdr w:val="nil"/>
          <w:lang w:val="en-US"/>
        </w:rPr>
        <w:t xml:space="preserve">This preventative </w:t>
      </w:r>
      <w:proofErr w:type="spellStart"/>
      <w:r w:rsidR="000D3954">
        <w:rPr>
          <w:u w:color="000000"/>
          <w:bdr w:val="nil"/>
          <w:lang w:val="en-US"/>
        </w:rPr>
        <w:t>organis</w:t>
      </w:r>
      <w:r w:rsidR="000D3954" w:rsidRPr="00F43118">
        <w:rPr>
          <w:u w:color="000000"/>
          <w:bdr w:val="nil"/>
          <w:lang w:val="en-US"/>
        </w:rPr>
        <w:t>ational</w:t>
      </w:r>
      <w:proofErr w:type="spellEnd"/>
      <w:r w:rsidR="000D3954" w:rsidRPr="00F43118">
        <w:rPr>
          <w:u w:color="000000"/>
          <w:bdr w:val="nil"/>
          <w:lang w:val="en-US"/>
        </w:rPr>
        <w:t xml:space="preserve"> intervention approach also addresses a common critique that interventions are often reactive, supporting individuals and </w:t>
      </w:r>
      <w:proofErr w:type="spellStart"/>
      <w:r w:rsidR="000D3954" w:rsidRPr="00F43118">
        <w:rPr>
          <w:u w:color="000000"/>
          <w:bdr w:val="nil"/>
          <w:lang w:val="en-US"/>
        </w:rPr>
        <w:t>organisations</w:t>
      </w:r>
      <w:proofErr w:type="spellEnd"/>
      <w:r w:rsidR="000D3954" w:rsidRPr="00F43118">
        <w:rPr>
          <w:u w:color="000000"/>
          <w:bdr w:val="nil"/>
          <w:lang w:val="en-US"/>
        </w:rPr>
        <w:t xml:space="preserve"> in dealing with problems they experience rather than re-</w:t>
      </w:r>
      <w:proofErr w:type="spellStart"/>
      <w:r w:rsidR="000D3954" w:rsidRPr="00F43118">
        <w:rPr>
          <w:u w:color="000000"/>
          <w:bdr w:val="nil"/>
          <w:lang w:val="en-US"/>
        </w:rPr>
        <w:t>organising</w:t>
      </w:r>
      <w:proofErr w:type="spellEnd"/>
      <w:r w:rsidR="000D3954" w:rsidRPr="00F43118">
        <w:rPr>
          <w:u w:color="000000"/>
          <w:bdr w:val="nil"/>
          <w:lang w:val="en-US"/>
        </w:rPr>
        <w:t xml:space="preserve"> the work environment, systems and processes to prevent problems occurring in the first place.</w:t>
      </w:r>
    </w:p>
    <w:p w:rsidR="00601E24" w:rsidRPr="008344E8" w:rsidRDefault="00601E24" w:rsidP="003A5B3C">
      <w:pPr>
        <w:spacing w:after="120"/>
      </w:pPr>
      <w:r>
        <w:t>In addition to targeting PSC as a primary intervention, organisations can also introduce secondary and tertiary interventions to tackle bullying and harassment. A secondary intervention could comprise further education for managers and supervisors on good leadership behaviours. As</w:t>
      </w:r>
      <w:r w:rsidRPr="008344E8">
        <w:t xml:space="preserve"> </w:t>
      </w:r>
      <w:r>
        <w:t xml:space="preserve">managers and </w:t>
      </w:r>
      <w:r w:rsidRPr="008344E8">
        <w:t>supervisors are most commonly perceived as the source of bullying behaviours, efforts should be made to provide education and training regarding appropriate supervisory behaviours, particularly in relation to managing the performance of employees. As a tertiary measure workplaces should provide access to services such as employee assistance programs or counselling services.</w:t>
      </w:r>
    </w:p>
    <w:p w:rsidR="00F43118" w:rsidRPr="00F43118" w:rsidRDefault="00F43118" w:rsidP="003A5B3C">
      <w:pPr>
        <w:spacing w:after="120"/>
        <w:rPr>
          <w:u w:color="000000"/>
          <w:bdr w:val="nil"/>
          <w:lang w:val="en-US"/>
        </w:rPr>
      </w:pPr>
      <w:r w:rsidRPr="00F43118">
        <w:rPr>
          <w:u w:color="000000"/>
          <w:bdr w:val="nil"/>
          <w:lang w:val="en-US"/>
        </w:rPr>
        <w:t xml:space="preserve">Importantly, as highlighted in the </w:t>
      </w:r>
      <w:r w:rsidRPr="00F43118">
        <w:rPr>
          <w:u w:color="000000"/>
          <w:bdr w:val="nil"/>
          <w:shd w:val="clear" w:color="auto" w:fill="FFFFFF"/>
          <w:lang w:val="en-US"/>
        </w:rPr>
        <w:t>WHO Health Workplace Framework and Model</w:t>
      </w:r>
      <w:r w:rsidRPr="00F43118">
        <w:rPr>
          <w:u w:color="000000"/>
          <w:bdr w:val="nil"/>
          <w:lang w:val="en-US"/>
        </w:rPr>
        <w:t>, the management of psychosocial issues and risks, such as bullying</w:t>
      </w:r>
      <w:r w:rsidR="009B39EA">
        <w:rPr>
          <w:u w:color="000000"/>
          <w:bdr w:val="nil"/>
          <w:lang w:val="en-US"/>
        </w:rPr>
        <w:t xml:space="preserve"> and harassment</w:t>
      </w:r>
      <w:r w:rsidRPr="00F43118">
        <w:rPr>
          <w:u w:color="000000"/>
          <w:bdr w:val="nil"/>
          <w:lang w:val="en-US"/>
        </w:rPr>
        <w:t xml:space="preserve">, is also about ethics and values—it is about awareness, responsible </w:t>
      </w:r>
      <w:proofErr w:type="spellStart"/>
      <w:r w:rsidRPr="00F43118">
        <w:rPr>
          <w:u w:color="000000"/>
          <w:bdr w:val="nil"/>
          <w:lang w:val="en-US"/>
        </w:rPr>
        <w:t>behaviour</w:t>
      </w:r>
      <w:proofErr w:type="spellEnd"/>
      <w:r w:rsidRPr="00F43118">
        <w:rPr>
          <w:u w:color="000000"/>
          <w:bdr w:val="nil"/>
          <w:lang w:val="en-US"/>
        </w:rPr>
        <w:t>, and accepting a legal and moral obligation to care for employees’ wellbeing (World Health Organi</w:t>
      </w:r>
      <w:r w:rsidR="00FB130B">
        <w:rPr>
          <w:u w:color="000000"/>
          <w:bdr w:val="nil"/>
          <w:lang w:val="en-US"/>
        </w:rPr>
        <w:t>z</w:t>
      </w:r>
      <w:r w:rsidRPr="00F43118">
        <w:rPr>
          <w:u w:color="000000"/>
          <w:bdr w:val="nil"/>
          <w:lang w:val="en-US"/>
        </w:rPr>
        <w:t xml:space="preserve">ation, 2010). Internationally, corporate social responsibility (Jain, </w:t>
      </w:r>
      <w:proofErr w:type="spellStart"/>
      <w:r w:rsidRPr="00F43118">
        <w:rPr>
          <w:u w:color="000000"/>
          <w:bdr w:val="nil"/>
          <w:lang w:val="en-US"/>
        </w:rPr>
        <w:t>Leka</w:t>
      </w:r>
      <w:proofErr w:type="spellEnd"/>
      <w:r w:rsidRPr="00F43118">
        <w:rPr>
          <w:u w:color="000000"/>
          <w:bdr w:val="nil"/>
          <w:lang w:val="en-US"/>
        </w:rPr>
        <w:t xml:space="preserve">, &amp; </w:t>
      </w:r>
      <w:proofErr w:type="spellStart"/>
      <w:r w:rsidRPr="00F43118">
        <w:rPr>
          <w:u w:color="000000"/>
          <w:bdr w:val="nil"/>
          <w:lang w:val="en-US"/>
        </w:rPr>
        <w:t>Zwetsloot</w:t>
      </w:r>
      <w:proofErr w:type="spellEnd"/>
      <w:r w:rsidRPr="00F43118">
        <w:rPr>
          <w:u w:color="000000"/>
          <w:bdr w:val="nil"/>
          <w:lang w:val="en-US"/>
        </w:rPr>
        <w:t xml:space="preserve">, 2011; Jain, </w:t>
      </w:r>
      <w:proofErr w:type="spellStart"/>
      <w:r w:rsidRPr="00F43118">
        <w:rPr>
          <w:u w:color="000000"/>
          <w:bdr w:val="nil"/>
          <w:lang w:val="en-US"/>
        </w:rPr>
        <w:t>Ripa</w:t>
      </w:r>
      <w:proofErr w:type="spellEnd"/>
      <w:r w:rsidRPr="00F43118">
        <w:rPr>
          <w:u w:color="000000"/>
          <w:bdr w:val="nil"/>
          <w:lang w:val="en-US"/>
        </w:rPr>
        <w:t>, &amp; Herrero, 2014)</w:t>
      </w:r>
      <w:r w:rsidR="00B6229F">
        <w:rPr>
          <w:u w:color="000000"/>
          <w:bdr w:val="nil"/>
          <w:lang w:val="en-US"/>
        </w:rPr>
        <w:t>,</w:t>
      </w:r>
      <w:r w:rsidRPr="00F43118">
        <w:rPr>
          <w:u w:color="000000"/>
          <w:bdr w:val="nil"/>
          <w:lang w:val="en-US"/>
        </w:rPr>
        <w:t xml:space="preserve"> which also </w:t>
      </w:r>
      <w:proofErr w:type="spellStart"/>
      <w:r w:rsidRPr="00F43118">
        <w:rPr>
          <w:u w:color="000000"/>
          <w:bdr w:val="nil"/>
          <w:lang w:val="en-US"/>
        </w:rPr>
        <w:t>emphasises</w:t>
      </w:r>
      <w:proofErr w:type="spellEnd"/>
      <w:r w:rsidRPr="00F43118">
        <w:rPr>
          <w:u w:color="000000"/>
          <w:bdr w:val="nil"/>
          <w:lang w:val="en-US"/>
        </w:rPr>
        <w:t xml:space="preserve"> morals, values and ethics, is gaining momentum as a mechanism to prevent and manage psychosocial risks at work, and broader health and safety issues. Through education and increased social dialogue, </w:t>
      </w:r>
      <w:proofErr w:type="spellStart"/>
      <w:r w:rsidRPr="00F43118">
        <w:rPr>
          <w:u w:color="000000"/>
          <w:bdr w:val="nil"/>
          <w:lang w:val="en-US"/>
        </w:rPr>
        <w:t>organisations</w:t>
      </w:r>
      <w:proofErr w:type="spellEnd"/>
      <w:r w:rsidRPr="00F43118">
        <w:rPr>
          <w:u w:color="000000"/>
          <w:bdr w:val="nil"/>
          <w:lang w:val="en-US"/>
        </w:rPr>
        <w:t xml:space="preserve"> should not only shift the perception away from merely removing the harmful risks, but also promote a positive environment that </w:t>
      </w:r>
      <w:proofErr w:type="spellStart"/>
      <w:r w:rsidRPr="00F43118">
        <w:rPr>
          <w:u w:color="000000"/>
          <w:bdr w:val="nil"/>
          <w:lang w:val="en-US"/>
        </w:rPr>
        <w:t>internalises</w:t>
      </w:r>
      <w:proofErr w:type="spellEnd"/>
      <w:r w:rsidRPr="00F43118">
        <w:rPr>
          <w:u w:color="000000"/>
          <w:bdr w:val="nil"/>
          <w:lang w:val="en-US"/>
        </w:rPr>
        <w:t xml:space="preserve"> ethical values and </w:t>
      </w:r>
      <w:proofErr w:type="spellStart"/>
      <w:r w:rsidRPr="00F43118">
        <w:rPr>
          <w:u w:color="000000"/>
          <w:bdr w:val="nil"/>
          <w:lang w:val="en-US"/>
        </w:rPr>
        <w:t>behavioural</w:t>
      </w:r>
      <w:proofErr w:type="spellEnd"/>
      <w:r w:rsidRPr="00F43118">
        <w:rPr>
          <w:u w:color="000000"/>
          <w:bdr w:val="nil"/>
          <w:lang w:val="en-US"/>
        </w:rPr>
        <w:t xml:space="preserve"> practices into the </w:t>
      </w:r>
      <w:proofErr w:type="spellStart"/>
      <w:r w:rsidRPr="00F43118">
        <w:rPr>
          <w:u w:color="000000"/>
          <w:bdr w:val="nil"/>
          <w:lang w:val="en-US"/>
        </w:rPr>
        <w:t>organisational</w:t>
      </w:r>
      <w:proofErr w:type="spellEnd"/>
      <w:r w:rsidRPr="00F43118">
        <w:rPr>
          <w:u w:color="000000"/>
          <w:bdr w:val="nil"/>
          <w:lang w:val="en-US"/>
        </w:rPr>
        <w:t xml:space="preserve"> culture (World Health Orga</w:t>
      </w:r>
      <w:r w:rsidR="00FB130B">
        <w:rPr>
          <w:u w:color="000000"/>
          <w:bdr w:val="nil"/>
          <w:lang w:val="en-US"/>
        </w:rPr>
        <w:t>niz</w:t>
      </w:r>
      <w:r w:rsidRPr="00F43118">
        <w:rPr>
          <w:u w:color="000000"/>
          <w:bdr w:val="nil"/>
          <w:lang w:val="en-US"/>
        </w:rPr>
        <w:t xml:space="preserve">ation, 2010). </w:t>
      </w:r>
      <w:proofErr w:type="spellStart"/>
      <w:r w:rsidR="000D3954">
        <w:rPr>
          <w:u w:color="000000"/>
          <w:bdr w:val="nil"/>
          <w:lang w:val="en-US"/>
        </w:rPr>
        <w:t>Organisations</w:t>
      </w:r>
      <w:proofErr w:type="spellEnd"/>
      <w:r w:rsidR="000D3954">
        <w:rPr>
          <w:u w:color="000000"/>
          <w:bdr w:val="nil"/>
          <w:lang w:val="en-US"/>
        </w:rPr>
        <w:t xml:space="preserve"> should incorporate worker psychological health as a core value, and w</w:t>
      </w:r>
      <w:r w:rsidR="000D3954" w:rsidRPr="00F43118">
        <w:rPr>
          <w:u w:color="000000"/>
          <w:bdr w:val="nil"/>
          <w:lang w:val="en-US"/>
        </w:rPr>
        <w:t xml:space="preserve">ork </w:t>
      </w:r>
      <w:r w:rsidRPr="00F43118">
        <w:rPr>
          <w:u w:color="000000"/>
          <w:bdr w:val="nil"/>
          <w:lang w:val="en-US"/>
        </w:rPr>
        <w:t xml:space="preserve">should become a place that promotes good health — this </w:t>
      </w:r>
      <w:r w:rsidR="003C6972">
        <w:rPr>
          <w:u w:color="000000"/>
          <w:bdr w:val="nil"/>
          <w:lang w:val="en-US"/>
        </w:rPr>
        <w:t xml:space="preserve">stance </w:t>
      </w:r>
      <w:r w:rsidRPr="00F43118">
        <w:rPr>
          <w:u w:color="000000"/>
          <w:bdr w:val="nil"/>
          <w:lang w:val="en-US"/>
        </w:rPr>
        <w:t>may also reduce stigma associated with workplace mental health problems. Although there has been progress in the form of laws, stop bullying orders, and guidance, revisiting the recommendations o</w:t>
      </w:r>
      <w:r w:rsidR="00D218FD">
        <w:rPr>
          <w:u w:color="000000"/>
          <w:bdr w:val="nil"/>
          <w:lang w:val="en-US"/>
        </w:rPr>
        <w:t>f the Australian parliamentary i</w:t>
      </w:r>
      <w:r w:rsidRPr="00F43118">
        <w:rPr>
          <w:u w:color="000000"/>
          <w:bdr w:val="nil"/>
          <w:lang w:val="en-US"/>
        </w:rPr>
        <w:t xml:space="preserve">nquiry into bullying </w:t>
      </w:r>
      <w:r w:rsidRPr="00F43118">
        <w:rPr>
          <w:i/>
          <w:iCs/>
          <w:u w:color="000000"/>
        </w:rPr>
        <w:t xml:space="preserve">Workplace Bullying, we just want it to stop </w:t>
      </w:r>
      <w:r w:rsidRPr="00F43118">
        <w:rPr>
          <w:u w:color="000000"/>
          <w:bdr w:val="nil"/>
          <w:lang w:val="en-US"/>
        </w:rPr>
        <w:t>(House of Representatives Standing Committee on Education and Employment, 2012),</w:t>
      </w:r>
      <w:r w:rsidRPr="00F43118">
        <w:rPr>
          <w:iCs/>
          <w:u w:color="000000"/>
        </w:rPr>
        <w:t xml:space="preserve"> seems warranted. </w:t>
      </w:r>
      <w:r w:rsidR="00D218FD">
        <w:rPr>
          <w:u w:color="000000"/>
          <w:bdr w:val="nil"/>
          <w:lang w:val="en-US"/>
        </w:rPr>
        <w:t>The i</w:t>
      </w:r>
      <w:r w:rsidRPr="00F43118">
        <w:rPr>
          <w:u w:color="000000"/>
          <w:bdr w:val="nil"/>
          <w:lang w:val="en-US"/>
        </w:rPr>
        <w:t xml:space="preserve">nquiry </w:t>
      </w:r>
      <w:proofErr w:type="spellStart"/>
      <w:r w:rsidR="00B6229F" w:rsidRPr="00F43118">
        <w:rPr>
          <w:u w:color="000000"/>
          <w:bdr w:val="nil"/>
          <w:lang w:val="en-US"/>
        </w:rPr>
        <w:t>emphasise</w:t>
      </w:r>
      <w:r w:rsidR="00B6229F">
        <w:rPr>
          <w:u w:color="000000"/>
          <w:bdr w:val="nil"/>
          <w:lang w:val="en-US"/>
        </w:rPr>
        <w:t>d</w:t>
      </w:r>
      <w:proofErr w:type="spellEnd"/>
      <w:r w:rsidR="00B6229F" w:rsidRPr="00F43118">
        <w:rPr>
          <w:u w:color="000000"/>
          <w:bdr w:val="nil"/>
          <w:lang w:val="en-US"/>
        </w:rPr>
        <w:t xml:space="preserve"> </w:t>
      </w:r>
      <w:r w:rsidRPr="00F43118">
        <w:rPr>
          <w:u w:color="000000"/>
          <w:bdr w:val="nil"/>
          <w:lang w:val="en-US"/>
        </w:rPr>
        <w:t>the need to invest in workplace culture – consistent with the findings of this report.</w:t>
      </w:r>
    </w:p>
    <w:p w:rsidR="00F43118" w:rsidRDefault="00F43118" w:rsidP="003A5B3C">
      <w:pPr>
        <w:spacing w:after="120"/>
        <w:rPr>
          <w:u w:color="000000"/>
          <w:bdr w:val="nil"/>
          <w:lang w:val="en-US"/>
        </w:rPr>
      </w:pPr>
      <w:r w:rsidRPr="00F43118">
        <w:rPr>
          <w:u w:color="000000"/>
          <w:bdr w:val="nil"/>
          <w:lang w:val="en-US"/>
        </w:rPr>
        <w:t xml:space="preserve">Further research is required to ascertain the specific actions </w:t>
      </w:r>
      <w:r w:rsidR="009B69D9">
        <w:rPr>
          <w:u w:color="000000"/>
          <w:bdr w:val="nil"/>
          <w:lang w:val="en-US"/>
        </w:rPr>
        <w:t xml:space="preserve">required </w:t>
      </w:r>
      <w:r w:rsidR="00B6229F">
        <w:rPr>
          <w:u w:color="000000"/>
          <w:bdr w:val="nil"/>
          <w:lang w:val="en-US"/>
        </w:rPr>
        <w:t xml:space="preserve">to be performed </w:t>
      </w:r>
      <w:r w:rsidR="009B69D9">
        <w:rPr>
          <w:u w:color="000000"/>
          <w:bdr w:val="nil"/>
          <w:lang w:val="en-US"/>
        </w:rPr>
        <w:t>by</w:t>
      </w:r>
      <w:r w:rsidR="00B944E5">
        <w:rPr>
          <w:u w:color="000000"/>
          <w:bdr w:val="nil"/>
          <w:lang w:val="en-US"/>
        </w:rPr>
        <w:t xml:space="preserve"> executives,</w:t>
      </w:r>
      <w:r w:rsidR="009B69D9">
        <w:rPr>
          <w:u w:color="000000"/>
          <w:bdr w:val="nil"/>
          <w:lang w:val="en-US"/>
        </w:rPr>
        <w:t xml:space="preserve"> </w:t>
      </w:r>
      <w:r w:rsidRPr="00F43118">
        <w:rPr>
          <w:u w:color="000000"/>
          <w:bdr w:val="nil"/>
          <w:lang w:val="en-US"/>
        </w:rPr>
        <w:t xml:space="preserve">managers, employees and their representatives to produce high PSC </w:t>
      </w:r>
      <w:proofErr w:type="spellStart"/>
      <w:r w:rsidRPr="00F43118">
        <w:rPr>
          <w:u w:color="000000"/>
          <w:bdr w:val="nil"/>
          <w:lang w:val="en-US"/>
        </w:rPr>
        <w:t>organisations</w:t>
      </w:r>
      <w:proofErr w:type="spellEnd"/>
      <w:r w:rsidR="0075339E">
        <w:rPr>
          <w:u w:color="000000"/>
          <w:bdr w:val="nil"/>
          <w:lang w:val="en-US"/>
        </w:rPr>
        <w:t>. Outcomes of</w:t>
      </w:r>
      <w:r w:rsidR="00B944E5">
        <w:rPr>
          <w:u w:color="000000"/>
          <w:bdr w:val="nil"/>
          <w:lang w:val="en-US"/>
        </w:rPr>
        <w:t xml:space="preserve"> r</w:t>
      </w:r>
      <w:r w:rsidR="0075339E">
        <w:rPr>
          <w:u w:color="000000"/>
          <w:bdr w:val="nil"/>
          <w:lang w:val="en-US"/>
        </w:rPr>
        <w:t>esearch such as this</w:t>
      </w:r>
      <w:r w:rsidRPr="00F43118">
        <w:rPr>
          <w:u w:color="000000"/>
          <w:bdr w:val="nil"/>
          <w:lang w:val="en-US"/>
        </w:rPr>
        <w:t xml:space="preserve"> could be </w:t>
      </w:r>
      <w:r w:rsidR="0075339E">
        <w:rPr>
          <w:u w:color="000000"/>
          <w:bdr w:val="nil"/>
          <w:lang w:val="en-US"/>
        </w:rPr>
        <w:t>adopted</w:t>
      </w:r>
      <w:r w:rsidR="0075339E" w:rsidRPr="00F43118">
        <w:rPr>
          <w:u w:color="000000"/>
          <w:bdr w:val="nil"/>
          <w:lang w:val="en-US"/>
        </w:rPr>
        <w:t xml:space="preserve"> </w:t>
      </w:r>
      <w:r w:rsidRPr="00F43118">
        <w:rPr>
          <w:u w:color="000000"/>
          <w:bdr w:val="nil"/>
          <w:lang w:val="en-US"/>
        </w:rPr>
        <w:t>by regulator</w:t>
      </w:r>
      <w:r w:rsidR="00A46C2A">
        <w:rPr>
          <w:u w:color="000000"/>
          <w:bdr w:val="nil"/>
          <w:lang w:val="en-US"/>
        </w:rPr>
        <w:t>s</w:t>
      </w:r>
      <w:r w:rsidR="0075339E">
        <w:rPr>
          <w:u w:color="000000"/>
          <w:bdr w:val="nil"/>
          <w:lang w:val="en-US"/>
        </w:rPr>
        <w:t>,</w:t>
      </w:r>
      <w:r w:rsidRPr="00F43118">
        <w:rPr>
          <w:u w:color="000000"/>
          <w:bdr w:val="nil"/>
          <w:lang w:val="en-US"/>
        </w:rPr>
        <w:t xml:space="preserve"> and</w:t>
      </w:r>
      <w:r w:rsidR="0075339E">
        <w:rPr>
          <w:u w:color="000000"/>
          <w:bdr w:val="nil"/>
          <w:lang w:val="en-US"/>
        </w:rPr>
        <w:t xml:space="preserve"> potentially</w:t>
      </w:r>
      <w:r w:rsidRPr="00F43118">
        <w:rPr>
          <w:u w:color="000000"/>
          <w:bdr w:val="nil"/>
          <w:lang w:val="en-US"/>
        </w:rPr>
        <w:t xml:space="preserve"> included in </w:t>
      </w:r>
      <w:r w:rsidR="00C67B18">
        <w:rPr>
          <w:u w:color="000000"/>
          <w:bdr w:val="nil"/>
          <w:lang w:val="en-US"/>
        </w:rPr>
        <w:t>guidance material.</w:t>
      </w:r>
    </w:p>
    <w:p w:rsidR="00F43118" w:rsidRPr="00F43118" w:rsidRDefault="00F43118" w:rsidP="003A5B3C">
      <w:pPr>
        <w:spacing w:after="120"/>
        <w:rPr>
          <w:rFonts w:eastAsia="Cambria" w:cs="Calibri"/>
          <w:color w:val="000000"/>
          <w:u w:color="000000"/>
          <w:bdr w:val="nil"/>
          <w:lang w:val="en-US"/>
        </w:rPr>
      </w:pPr>
      <w:r w:rsidRPr="00F43118">
        <w:rPr>
          <w:rFonts w:eastAsia="Cambria" w:cs="Calibri"/>
          <w:color w:val="000000"/>
          <w:u w:color="000000"/>
          <w:bdr w:val="nil"/>
          <w:lang w:val="en-US"/>
        </w:rPr>
        <w:br w:type="page"/>
      </w:r>
    </w:p>
    <w:p w:rsidR="00F43118" w:rsidRPr="00F43118" w:rsidRDefault="00F43118" w:rsidP="004B457A">
      <w:pPr>
        <w:pStyle w:val="Heading1"/>
        <w:rPr>
          <w:rFonts w:eastAsia="Cambria"/>
          <w:u w:color="000000"/>
          <w:bdr w:val="nil"/>
          <w:lang w:val="en-US"/>
        </w:rPr>
      </w:pPr>
      <w:r w:rsidRPr="00F43118">
        <w:rPr>
          <w:rFonts w:eastAsia="Cambria"/>
          <w:u w:color="000000"/>
          <w:bdr w:val="nil"/>
          <w:lang w:val="en-US"/>
        </w:rPr>
        <w:lastRenderedPageBreak/>
        <w:t>Introduction</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Work-related bullying and harassment are severe psychosocial risks that have devastating consequences on worker psychological health and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processes (</w:t>
      </w:r>
      <w:proofErr w:type="spellStart"/>
      <w:r w:rsidRPr="00F43118">
        <w:rPr>
          <w:rFonts w:eastAsia="Cambria"/>
          <w:u w:color="000000"/>
          <w:bdr w:val="nil"/>
          <w:lang w:val="en-US"/>
        </w:rPr>
        <w:t>Hoel</w:t>
      </w:r>
      <w:proofErr w:type="spellEnd"/>
      <w:r w:rsidRPr="00F43118">
        <w:rPr>
          <w:rFonts w:eastAsia="Cambria"/>
          <w:u w:color="000000"/>
          <w:bdr w:val="nil"/>
          <w:lang w:val="en-US"/>
        </w:rPr>
        <w:t xml:space="preserve"> &amp; Cooper, 2001). Over the past </w:t>
      </w:r>
      <w:r w:rsidR="00A46C2A">
        <w:rPr>
          <w:rFonts w:eastAsia="Cambria"/>
          <w:u w:color="000000"/>
          <w:bdr w:val="nil"/>
          <w:lang w:val="en-US"/>
        </w:rPr>
        <w:t>20</w:t>
      </w:r>
      <w:r w:rsidRPr="00F43118">
        <w:rPr>
          <w:rFonts w:eastAsia="Cambria"/>
          <w:u w:color="000000"/>
          <w:bdr w:val="nil"/>
          <w:lang w:val="en-US"/>
        </w:rPr>
        <w:t xml:space="preserve"> years, research has consistently linked bullying and harassment to a range of psychological health and well-being outcomes, including general mental health outcomes, anxiety, depression, post-traumatic stress, </w:t>
      </w:r>
      <w:proofErr w:type="spellStart"/>
      <w:r w:rsidRPr="00F43118">
        <w:rPr>
          <w:rFonts w:eastAsia="Cambria"/>
          <w:u w:color="000000"/>
          <w:bdr w:val="nil"/>
          <w:lang w:val="en-US"/>
        </w:rPr>
        <w:t>generalised</w:t>
      </w:r>
      <w:proofErr w:type="spellEnd"/>
      <w:r w:rsidRPr="00F43118">
        <w:rPr>
          <w:rFonts w:eastAsia="Cambria"/>
          <w:u w:color="000000"/>
          <w:bdr w:val="nil"/>
          <w:lang w:val="en-US"/>
        </w:rPr>
        <w:t xml:space="preserve"> strain, psychosomatic symptoms, burnout, and physical health problems (Nielson &amp; </w:t>
      </w:r>
      <w:proofErr w:type="spellStart"/>
      <w:r w:rsidRPr="00F43118">
        <w:rPr>
          <w:rFonts w:eastAsia="Cambria"/>
          <w:u w:color="000000"/>
          <w:bdr w:val="nil"/>
          <w:lang w:val="en-US"/>
        </w:rPr>
        <w:t>Einarsen</w:t>
      </w:r>
      <w:proofErr w:type="spellEnd"/>
      <w:r w:rsidRPr="00F43118">
        <w:rPr>
          <w:rFonts w:eastAsia="Cambria"/>
          <w:u w:color="000000"/>
          <w:bdr w:val="nil"/>
          <w:lang w:val="en-US"/>
        </w:rPr>
        <w:t xml:space="preserve">, 2012). Furthermore, work-related bullying and harassment comprise nearly a third of mental stress compensation claims, which in turn generate the largest proportion of cost relative to all other claims (Safe Work Australia, 2013). Findings from longitudinal studies also reveal that bullying, over time, is related to mental health problems, even after accounting for the effects of any prior mental health conditions (Nielson &amp; </w:t>
      </w:r>
      <w:proofErr w:type="spellStart"/>
      <w:r w:rsidRPr="00F43118">
        <w:rPr>
          <w:rFonts w:eastAsia="Cambria"/>
          <w:u w:color="000000"/>
          <w:bdr w:val="nil"/>
          <w:lang w:val="en-US"/>
        </w:rPr>
        <w:t>Einarsen</w:t>
      </w:r>
      <w:proofErr w:type="spellEnd"/>
      <w:r w:rsidRPr="00F43118">
        <w:rPr>
          <w:rFonts w:eastAsia="Cambria"/>
          <w:u w:color="000000"/>
          <w:bdr w:val="nil"/>
          <w:lang w:val="en-US"/>
        </w:rPr>
        <w:t>, 2012). These consequences of bullying and harassment inevitably extend to the organisation, contributing to increased absenteeism, higher intentions to leave, and lower worker job satisfaction and commitment (</w:t>
      </w:r>
      <w:proofErr w:type="spellStart"/>
      <w:r w:rsidRPr="00F43118">
        <w:rPr>
          <w:rFonts w:eastAsia="Cambria"/>
          <w:u w:color="000000"/>
          <w:bdr w:val="nil"/>
          <w:lang w:val="en-US"/>
        </w:rPr>
        <w:t>Kieseker</w:t>
      </w:r>
      <w:proofErr w:type="spellEnd"/>
      <w:r w:rsidRPr="00F43118">
        <w:rPr>
          <w:rFonts w:eastAsia="Cambria"/>
          <w:u w:color="000000"/>
          <w:bdr w:val="nil"/>
          <w:lang w:val="en-US"/>
        </w:rPr>
        <w:t xml:space="preserve"> &amp; Marchant, 1999; </w:t>
      </w:r>
      <w:proofErr w:type="spellStart"/>
      <w:r w:rsidRPr="00F43118">
        <w:rPr>
          <w:rFonts w:eastAsia="Cambria"/>
          <w:u w:color="000000"/>
          <w:bdr w:val="nil"/>
          <w:lang w:val="en-US"/>
        </w:rPr>
        <w:t>Salin</w:t>
      </w:r>
      <w:proofErr w:type="spellEnd"/>
      <w:r w:rsidRPr="00F43118">
        <w:rPr>
          <w:rFonts w:eastAsia="Cambria"/>
          <w:u w:color="000000"/>
          <w:bdr w:val="nil"/>
          <w:lang w:val="en-US"/>
        </w:rPr>
        <w:t>, 2003). Therefore, in view of the negative social and economic effects, it is important to understand risk levels of bullying and harassment within Australia, as well as aspects that m</w:t>
      </w:r>
      <w:r w:rsidR="0094070E">
        <w:rPr>
          <w:rFonts w:eastAsia="Cambria"/>
          <w:u w:color="000000"/>
          <w:bdr w:val="nil"/>
          <w:lang w:val="en-US"/>
        </w:rPr>
        <w:t>ay influence their development.</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Historically, most Australian bullying and harassment research has focused on specific workplaces or occupations, in particular, the nursing industry (Dollard, Tuckey, Bailey, &amp; </w:t>
      </w:r>
      <w:proofErr w:type="spellStart"/>
      <w:r w:rsidRPr="00F43118">
        <w:rPr>
          <w:rFonts w:eastAsia="Cambria"/>
          <w:u w:color="000000"/>
          <w:bdr w:val="nil"/>
          <w:lang w:val="en-US"/>
        </w:rPr>
        <w:t>McLinton</w:t>
      </w:r>
      <w:proofErr w:type="spellEnd"/>
      <w:r w:rsidRPr="00F43118">
        <w:rPr>
          <w:rFonts w:eastAsia="Cambria"/>
          <w:u w:color="000000"/>
          <w:bdr w:val="nil"/>
          <w:lang w:val="en-US"/>
        </w:rPr>
        <w:t>, 2012). Although these studies have produced valuable knowledge, occupational investigations are not able to provide insight</w:t>
      </w:r>
      <w:r w:rsidR="003C6972">
        <w:rPr>
          <w:rFonts w:eastAsia="Cambria"/>
          <w:u w:color="000000"/>
          <w:bdr w:val="nil"/>
          <w:lang w:val="en-US"/>
        </w:rPr>
        <w:t>s</w:t>
      </w:r>
      <w:r w:rsidRPr="00F43118">
        <w:rPr>
          <w:rFonts w:eastAsia="Cambria"/>
          <w:u w:color="000000"/>
          <w:bdr w:val="nil"/>
          <w:lang w:val="en-US"/>
        </w:rPr>
        <w:t xml:space="preserve"> into national prevalence rates across occupations. Obtaining representative and scientifically driven surveillance data is critical </w:t>
      </w:r>
      <w:r w:rsidR="003C6972">
        <w:rPr>
          <w:rFonts w:eastAsia="Cambria"/>
          <w:u w:color="000000"/>
          <w:bdr w:val="nil"/>
          <w:lang w:val="en-US"/>
        </w:rPr>
        <w:t>for</w:t>
      </w:r>
      <w:r w:rsidRPr="00F43118">
        <w:rPr>
          <w:rFonts w:eastAsia="Cambria"/>
          <w:u w:color="000000"/>
          <w:bdr w:val="nil"/>
          <w:lang w:val="en-US"/>
        </w:rPr>
        <w:t xml:space="preserve"> mitigat</w:t>
      </w:r>
      <w:r w:rsidR="003C6972">
        <w:rPr>
          <w:rFonts w:eastAsia="Cambria"/>
          <w:u w:color="000000"/>
          <w:bdr w:val="nil"/>
          <w:lang w:val="en-US"/>
        </w:rPr>
        <w:t>ing</w:t>
      </w:r>
      <w:r w:rsidRPr="00F43118">
        <w:rPr>
          <w:rFonts w:eastAsia="Cambria"/>
          <w:u w:color="000000"/>
          <w:bdr w:val="nil"/>
          <w:lang w:val="en-US"/>
        </w:rPr>
        <w:t xml:space="preserve"> bullying and harassment as it: (a) provides evidence-based data for the development and improvement of relevant policies; (b) best directs the focus of resources and preventative initiatives and intervention-type approaches to high-risk industries; and (c) provides baseline data against which these approaches can be evaluated for their effectiveness (Dollard &amp; Bailey, 2014). To address a prior lack of national data within Australia, the Australian Workplace Barometer (</w:t>
      </w:r>
      <w:proofErr w:type="spellStart"/>
      <w:r w:rsidRPr="00F43118">
        <w:rPr>
          <w:rFonts w:eastAsia="Cambria"/>
          <w:u w:color="000000"/>
          <w:bdr w:val="nil"/>
          <w:lang w:val="en-US"/>
        </w:rPr>
        <w:t>AWB</w:t>
      </w:r>
      <w:proofErr w:type="spellEnd"/>
      <w:r w:rsidRPr="00F43118">
        <w:rPr>
          <w:rFonts w:eastAsia="Cambria"/>
          <w:u w:color="000000"/>
          <w:bdr w:val="nil"/>
          <w:lang w:val="en-US"/>
        </w:rPr>
        <w:t>) project was established in 2009 as a national surveillance system to evaluate Australian working conditions and obtain reliable prevalence rates for workplace psychosocial factors at both the national and industry level. The aim of this report is to investigate the prevalence of bullying and harassment in Australia, its antecedents an</w:t>
      </w:r>
      <w:r w:rsidR="003C6972">
        <w:rPr>
          <w:rFonts w:eastAsia="Cambria"/>
          <w:u w:color="000000"/>
          <w:bdr w:val="nil"/>
          <w:lang w:val="en-US"/>
        </w:rPr>
        <w:t xml:space="preserve">d impacts, using </w:t>
      </w:r>
      <w:proofErr w:type="spellStart"/>
      <w:r w:rsidR="002E6D6C">
        <w:rPr>
          <w:rFonts w:eastAsia="Cambria"/>
          <w:u w:color="000000"/>
          <w:bdr w:val="nil"/>
          <w:lang w:val="en-US"/>
        </w:rPr>
        <w:t>AWB</w:t>
      </w:r>
      <w:proofErr w:type="spellEnd"/>
      <w:r w:rsidR="002E6D6C">
        <w:rPr>
          <w:rFonts w:eastAsia="Cambria"/>
          <w:u w:color="000000"/>
          <w:bdr w:val="nil"/>
          <w:lang w:val="en-US"/>
        </w:rPr>
        <w:t xml:space="preserve"> data</w:t>
      </w:r>
      <w:r w:rsidRPr="00F43118">
        <w:rPr>
          <w:rFonts w:eastAsia="Cambria"/>
          <w:u w:color="000000"/>
          <w:bdr w:val="nil"/>
          <w:lang w:val="en-US"/>
        </w:rPr>
        <w:t>.</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Currently the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is Australia’s leading method of work-related psychosocial surveillance, designed to obtain rigorous scientific evidence on work-related issues across states and territories, industries, and time-frames. As a result,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findings may be regarded as best-practice guidance for any national, state,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or industry initiatives targeted at protecting worker health (Dollard, Skinner, Tuckey, &amp; Bailey, 2007). A central objective of the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is to ascertain both national prevalence data and </w:t>
      </w:r>
      <w:r w:rsidR="00471259">
        <w:rPr>
          <w:rFonts w:eastAsia="Cambria"/>
          <w:u w:color="000000"/>
          <w:bdr w:val="nil"/>
          <w:lang w:val="en-US"/>
        </w:rPr>
        <w:t xml:space="preserve">provide </w:t>
      </w:r>
      <w:r w:rsidRPr="00F43118">
        <w:rPr>
          <w:rFonts w:eastAsia="Cambria"/>
          <w:u w:color="000000"/>
          <w:bdr w:val="nil"/>
          <w:lang w:val="en-US"/>
        </w:rPr>
        <w:t>insight</w:t>
      </w:r>
      <w:r w:rsidR="00471259">
        <w:rPr>
          <w:rFonts w:eastAsia="Cambria"/>
          <w:u w:color="000000"/>
          <w:bdr w:val="nil"/>
          <w:lang w:val="en-US"/>
        </w:rPr>
        <w:t>s</w:t>
      </w:r>
      <w:r w:rsidRPr="00F43118">
        <w:rPr>
          <w:rFonts w:eastAsia="Cambria"/>
          <w:u w:color="000000"/>
          <w:bdr w:val="nil"/>
          <w:lang w:val="en-US"/>
        </w:rPr>
        <w:t xml:space="preserve"> into psychosocial risks, and to identify high-risk industries through the process of bench-marking. Consequently, valuable resources, including prevention and intervention efforts, can be directed most effectively towards these industries.</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An additional advantage of the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national surveillance system is that it enables investigation into relationships between psychosocial risk factors (such as bullying), </w:t>
      </w:r>
      <w:r w:rsidR="003C6972">
        <w:rPr>
          <w:rFonts w:eastAsia="Cambria"/>
          <w:u w:color="000000"/>
          <w:bdr w:val="nil"/>
          <w:lang w:val="en-US"/>
        </w:rPr>
        <w:t>and</w:t>
      </w:r>
      <w:r w:rsidRPr="00F43118">
        <w:rPr>
          <w:rFonts w:eastAsia="Cambria"/>
          <w:u w:color="000000"/>
          <w:bdr w:val="nil"/>
          <w:lang w:val="en-US"/>
        </w:rPr>
        <w:t xml:space="preserve"> the</w:t>
      </w:r>
      <w:r w:rsidR="00471259">
        <w:rPr>
          <w:rFonts w:eastAsia="Cambria"/>
          <w:u w:color="000000"/>
          <w:bdr w:val="nil"/>
          <w:lang w:val="en-US"/>
        </w:rPr>
        <w:t>ir</w:t>
      </w:r>
      <w:r w:rsidRPr="00F43118">
        <w:rPr>
          <w:rFonts w:eastAsia="Cambria"/>
          <w:u w:color="000000"/>
          <w:bdr w:val="nil"/>
          <w:lang w:val="en-US"/>
        </w:rPr>
        <w:t xml:space="preserve"> relative impact on workers’ psychological and physical health outcomes (Bail</w:t>
      </w:r>
      <w:r w:rsidR="0094070E">
        <w:rPr>
          <w:rFonts w:eastAsia="Cambria"/>
          <w:u w:color="000000"/>
          <w:bdr w:val="nil"/>
          <w:lang w:val="en-US"/>
        </w:rPr>
        <w:t>ey, Dollard, &amp; Richards, 2015).</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A major strength of the following report is that </w:t>
      </w:r>
      <w:r w:rsidR="00471259">
        <w:rPr>
          <w:rFonts w:eastAsia="Cambria"/>
          <w:u w:color="000000"/>
          <w:bdr w:val="nil"/>
          <w:lang w:val="en-US"/>
        </w:rPr>
        <w:t xml:space="preserve">it will provide insights into the causes of bullying; </w:t>
      </w:r>
      <w:r w:rsidRPr="00F43118">
        <w:rPr>
          <w:rFonts w:eastAsia="Cambria"/>
          <w:u w:color="000000"/>
          <w:bdr w:val="nil"/>
          <w:lang w:val="en-US"/>
        </w:rPr>
        <w:t xml:space="preserve">a longitudinal analysis </w:t>
      </w:r>
      <w:r w:rsidR="00471259">
        <w:rPr>
          <w:rFonts w:eastAsia="Cambria"/>
          <w:u w:color="000000"/>
          <w:bdr w:val="nil"/>
          <w:lang w:val="en-US"/>
        </w:rPr>
        <w:t>will be undert</w:t>
      </w:r>
      <w:r w:rsidR="00D218FD">
        <w:rPr>
          <w:rFonts w:eastAsia="Cambria"/>
          <w:u w:color="000000"/>
          <w:bdr w:val="nil"/>
          <w:lang w:val="en-US"/>
        </w:rPr>
        <w:t>aken to predict bullying in 2014/2015</w:t>
      </w:r>
      <w:r w:rsidR="00471259">
        <w:rPr>
          <w:rFonts w:eastAsia="Cambria"/>
          <w:u w:color="000000"/>
          <w:bdr w:val="nil"/>
          <w:lang w:val="en-US"/>
        </w:rPr>
        <w:t xml:space="preserve"> from data pertaining to potential risk factors measured in </w:t>
      </w:r>
      <w:r w:rsidRPr="00F43118">
        <w:rPr>
          <w:rFonts w:eastAsia="Cambria"/>
          <w:u w:color="000000"/>
          <w:bdr w:val="nil"/>
          <w:lang w:val="en-US"/>
        </w:rPr>
        <w:t>20</w:t>
      </w:r>
      <w:r w:rsidR="00D218FD">
        <w:rPr>
          <w:rFonts w:eastAsia="Cambria"/>
          <w:u w:color="000000"/>
          <w:bdr w:val="nil"/>
          <w:lang w:val="en-US"/>
        </w:rPr>
        <w:t>10</w:t>
      </w:r>
      <w:r w:rsidRPr="00F43118">
        <w:rPr>
          <w:rFonts w:eastAsia="Cambria"/>
          <w:u w:color="000000"/>
          <w:bdr w:val="nil"/>
          <w:lang w:val="en-US"/>
        </w:rPr>
        <w:t>/2011</w:t>
      </w:r>
      <w:r w:rsidR="0094070E">
        <w:rPr>
          <w:rFonts w:eastAsia="Cambria"/>
          <w:u w:color="000000"/>
          <w:bdr w:val="nil"/>
          <w:lang w:val="en-US"/>
        </w:rPr>
        <w:t>.</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The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tool provides a clear definition of bullying</w:t>
      </w:r>
      <w:r w:rsidR="00471259">
        <w:rPr>
          <w:rFonts w:eastAsia="Cambria"/>
          <w:u w:color="000000"/>
          <w:bdr w:val="nil"/>
          <w:lang w:val="en-US"/>
        </w:rPr>
        <w:t xml:space="preserve"> commonly used in the international literature</w:t>
      </w:r>
      <w:r w:rsidRPr="00F43118">
        <w:rPr>
          <w:rFonts w:eastAsia="Cambria"/>
          <w:u w:color="000000"/>
          <w:bdr w:val="nil"/>
          <w:lang w:val="en-US"/>
        </w:rPr>
        <w:t xml:space="preserve">. This overcomes a limitation noted in the majority of research that </w:t>
      </w:r>
      <w:r w:rsidR="003C6972">
        <w:rPr>
          <w:rFonts w:eastAsia="Cambria"/>
          <w:u w:color="000000"/>
          <w:bdr w:val="nil"/>
          <w:lang w:val="en-US"/>
        </w:rPr>
        <w:t xml:space="preserve">found </w:t>
      </w:r>
      <w:r w:rsidRPr="00F43118">
        <w:rPr>
          <w:rFonts w:eastAsia="Cambria"/>
          <w:u w:color="000000"/>
          <w:bdr w:val="nil"/>
          <w:lang w:val="en-US"/>
        </w:rPr>
        <w:t>rates determined without bullying definitions tend</w:t>
      </w:r>
      <w:r w:rsidR="003C6972">
        <w:rPr>
          <w:rFonts w:eastAsia="Cambria"/>
          <w:u w:color="000000"/>
          <w:bdr w:val="nil"/>
          <w:lang w:val="en-US"/>
        </w:rPr>
        <w:t>ed</w:t>
      </w:r>
      <w:r w:rsidRPr="00F43118">
        <w:rPr>
          <w:rFonts w:eastAsia="Cambria"/>
          <w:u w:color="000000"/>
          <w:bdr w:val="nil"/>
          <w:lang w:val="en-US"/>
        </w:rPr>
        <w:t xml:space="preserve"> to over-report exposures to bullying (see </w:t>
      </w:r>
      <w:r w:rsidRPr="00F43118">
        <w:rPr>
          <w:rFonts w:eastAsia="Cambria"/>
          <w:u w:color="000000"/>
          <w:bdr w:val="nil"/>
          <w:lang w:val="en-US"/>
        </w:rPr>
        <w:lastRenderedPageBreak/>
        <w:t xml:space="preserve">meta-analysis by </w:t>
      </w:r>
      <w:proofErr w:type="spellStart"/>
      <w:r w:rsidRPr="00F43118">
        <w:rPr>
          <w:rFonts w:eastAsia="Cambria"/>
          <w:u w:color="000000"/>
          <w:bdr w:val="nil"/>
          <w:lang w:val="en-US"/>
        </w:rPr>
        <w:t>Matthiesen</w:t>
      </w:r>
      <w:proofErr w:type="spellEnd"/>
      <w:r w:rsidRPr="00F43118">
        <w:rPr>
          <w:rFonts w:eastAsia="Cambria"/>
          <w:u w:color="000000"/>
          <w:bdr w:val="nil"/>
          <w:lang w:val="en-US"/>
        </w:rPr>
        <w:t xml:space="preserve"> &amp; </w:t>
      </w:r>
      <w:proofErr w:type="spellStart"/>
      <w:r w:rsidRPr="00F43118">
        <w:rPr>
          <w:rFonts w:eastAsia="Cambria"/>
          <w:u w:color="000000"/>
          <w:bdr w:val="nil"/>
          <w:lang w:val="en-US"/>
        </w:rPr>
        <w:t>Einarsen</w:t>
      </w:r>
      <w:proofErr w:type="spellEnd"/>
      <w:r w:rsidRPr="00F43118">
        <w:rPr>
          <w:rFonts w:eastAsia="Cambria"/>
          <w:u w:color="000000"/>
          <w:bdr w:val="nil"/>
          <w:lang w:val="en-US"/>
        </w:rPr>
        <w:t xml:space="preserve">, 2010). This is supported by researchers Zapf, </w:t>
      </w:r>
      <w:proofErr w:type="spellStart"/>
      <w:r w:rsidRPr="00F43118">
        <w:rPr>
          <w:rFonts w:eastAsia="Cambria"/>
          <w:u w:color="000000"/>
          <w:bdr w:val="nil"/>
          <w:lang w:val="en-US"/>
        </w:rPr>
        <w:t>Einarsen</w:t>
      </w:r>
      <w:proofErr w:type="spellEnd"/>
      <w:r w:rsidRPr="00F43118">
        <w:rPr>
          <w:rFonts w:eastAsia="Cambria"/>
          <w:u w:color="000000"/>
          <w:bdr w:val="nil"/>
          <w:lang w:val="en-US"/>
        </w:rPr>
        <w:t xml:space="preserve">, </w:t>
      </w:r>
      <w:proofErr w:type="spellStart"/>
      <w:r w:rsidRPr="00F43118">
        <w:rPr>
          <w:rFonts w:eastAsia="Cambria"/>
          <w:u w:color="000000"/>
          <w:bdr w:val="nil"/>
          <w:lang w:val="en-US"/>
        </w:rPr>
        <w:t>Hoel</w:t>
      </w:r>
      <w:proofErr w:type="spellEnd"/>
      <w:r w:rsidRPr="00F43118">
        <w:rPr>
          <w:rFonts w:eastAsia="Cambria"/>
          <w:u w:color="000000"/>
          <w:bdr w:val="nil"/>
          <w:lang w:val="en-US"/>
        </w:rPr>
        <w:t xml:space="preserve"> and </w:t>
      </w:r>
      <w:proofErr w:type="spellStart"/>
      <w:r w:rsidRPr="00F43118">
        <w:rPr>
          <w:rFonts w:eastAsia="Cambria"/>
          <w:u w:color="000000"/>
          <w:bdr w:val="nil"/>
          <w:lang w:val="en-US"/>
        </w:rPr>
        <w:t>Vartia</w:t>
      </w:r>
      <w:proofErr w:type="spellEnd"/>
      <w:r w:rsidRPr="00F43118">
        <w:rPr>
          <w:rFonts w:eastAsia="Cambria"/>
          <w:u w:color="000000"/>
          <w:bdr w:val="nil"/>
          <w:lang w:val="en-US"/>
        </w:rPr>
        <w:t xml:space="preserve"> (2011), who established that when participants were presented with a precise definition, the reported prevalence rates were </w:t>
      </w:r>
      <w:r w:rsidRPr="004B0ED8">
        <w:rPr>
          <w:rFonts w:eastAsia="Cambria"/>
          <w:u w:color="000000"/>
          <w:bdr w:val="nil"/>
          <w:lang w:val="en-US"/>
        </w:rPr>
        <w:t>1–4</w:t>
      </w:r>
      <w:r w:rsidR="00EB7478" w:rsidRPr="004B0ED8">
        <w:rPr>
          <w:rFonts w:eastAsia="Cambria"/>
          <w:u w:color="000000"/>
          <w:bdr w:val="nil"/>
          <w:lang w:val="en-US"/>
        </w:rPr>
        <w:t xml:space="preserve"> per cent, as opposed to 10</w:t>
      </w:r>
      <w:r w:rsidR="003C6972" w:rsidRPr="004B0ED8">
        <w:rPr>
          <w:rFonts w:eastAsia="Cambria"/>
          <w:u w:color="000000"/>
          <w:bdr w:val="nil"/>
          <w:lang w:val="en-US"/>
        </w:rPr>
        <w:t>–24 per cent</w:t>
      </w:r>
      <w:r w:rsidRPr="004B0ED8">
        <w:rPr>
          <w:rFonts w:eastAsia="Cambria"/>
          <w:u w:color="000000"/>
          <w:bdr w:val="nil"/>
          <w:lang w:val="en-US"/>
        </w:rPr>
        <w:t xml:space="preserve"> when</w:t>
      </w:r>
      <w:r w:rsidRPr="00F43118">
        <w:rPr>
          <w:rFonts w:eastAsia="Cambria"/>
          <w:u w:color="000000"/>
          <w:bdr w:val="nil"/>
          <w:lang w:val="en-US"/>
        </w:rPr>
        <w:t xml:space="preserve"> no definitio</w:t>
      </w:r>
      <w:r w:rsidR="0094070E">
        <w:rPr>
          <w:rFonts w:eastAsia="Cambria"/>
          <w:u w:color="000000"/>
          <w:bdr w:val="nil"/>
          <w:lang w:val="en-US"/>
        </w:rPr>
        <w:t>n was provided.</w:t>
      </w:r>
    </w:p>
    <w:p w:rsidR="00F43118" w:rsidRDefault="00F43118" w:rsidP="0094070E">
      <w:pPr>
        <w:spacing w:after="120"/>
        <w:rPr>
          <w:rFonts w:eastAsia="Cambria"/>
          <w:u w:color="000000"/>
          <w:bdr w:val="nil"/>
          <w:lang w:val="en-US"/>
        </w:rPr>
      </w:pPr>
      <w:r w:rsidRPr="00F43118">
        <w:rPr>
          <w:rFonts w:eastAsia="Cambria"/>
          <w:u w:color="000000"/>
          <w:bdr w:val="nil"/>
          <w:lang w:val="en-US"/>
        </w:rPr>
        <w:t>Since bullying rates fluctuate by measurement meth</w:t>
      </w:r>
      <w:r w:rsidR="003C6972">
        <w:rPr>
          <w:rFonts w:eastAsia="Cambria"/>
          <w:u w:color="000000"/>
          <w:bdr w:val="nil"/>
          <w:lang w:val="en-US"/>
        </w:rPr>
        <w:t xml:space="preserve">od, the </w:t>
      </w:r>
      <w:proofErr w:type="spellStart"/>
      <w:r w:rsidR="003C6972">
        <w:rPr>
          <w:rFonts w:eastAsia="Cambria"/>
          <w:u w:color="000000"/>
          <w:bdr w:val="nil"/>
          <w:lang w:val="en-US"/>
        </w:rPr>
        <w:t>AWB</w:t>
      </w:r>
      <w:proofErr w:type="spellEnd"/>
      <w:r w:rsidR="003C6972">
        <w:rPr>
          <w:rFonts w:eastAsia="Cambria"/>
          <w:u w:color="000000"/>
          <w:bdr w:val="nil"/>
          <w:lang w:val="en-US"/>
        </w:rPr>
        <w:t xml:space="preserve"> tool</w:t>
      </w:r>
      <w:r w:rsidRPr="00F43118">
        <w:rPr>
          <w:rFonts w:eastAsia="Cambria"/>
          <w:u w:color="000000"/>
          <w:bdr w:val="nil"/>
          <w:lang w:val="en-US"/>
        </w:rPr>
        <w:t xml:space="preserve"> adopted best-practice recommendations, and incorporated an international definition endorsed by leading bullying experts. In addition, the legal definition of bullying used by Safe Work Australia was also included to explore any differences between the rates produced by the two definitions. Overall, the purpose of this report is to outline the main findings on workplace bullying and harassment, based on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data obtained from all Australian state</w:t>
      </w:r>
      <w:r w:rsidR="0094070E">
        <w:rPr>
          <w:rFonts w:eastAsia="Cambria"/>
          <w:u w:color="000000"/>
          <w:bdr w:val="nil"/>
          <w:lang w:val="en-US"/>
        </w:rPr>
        <w:t>s and territories in 2014/2015.</w:t>
      </w:r>
    </w:p>
    <w:p w:rsidR="00F43118" w:rsidRPr="00DD3A77" w:rsidRDefault="00F43118" w:rsidP="0094070E">
      <w:pPr>
        <w:pStyle w:val="Heading2"/>
        <w:spacing w:before="240" w:after="120"/>
        <w:rPr>
          <w:rFonts w:eastAsia="Cambria"/>
          <w:u w:color="000000"/>
          <w:bdr w:val="nil"/>
          <w:lang w:val="en-US"/>
        </w:rPr>
      </w:pPr>
      <w:r w:rsidRPr="00DD3A77">
        <w:rPr>
          <w:rFonts w:eastAsia="Cambria"/>
          <w:u w:color="000000"/>
          <w:bdr w:val="nil"/>
          <w:lang w:val="en-US"/>
        </w:rPr>
        <w:t xml:space="preserve">Workplace Bullying and Harassment </w:t>
      </w:r>
    </w:p>
    <w:p w:rsidR="00F43118" w:rsidRDefault="00F43118" w:rsidP="0094070E">
      <w:pPr>
        <w:spacing w:after="120"/>
      </w:pPr>
      <w:r w:rsidRPr="00A77C93">
        <w:t>Despite slight variations between state legislation, Safe Work Australia define</w:t>
      </w:r>
      <w:r w:rsidR="00440193" w:rsidRPr="00A77C93">
        <w:t>s</w:t>
      </w:r>
      <w:r w:rsidRPr="00A77C93">
        <w:t xml:space="preserve"> workplace bullying as ‘repeated unreasonable behaviour directed towards workers or a group of workers, that creates a risk to health and safety’. Unreasonable behaviour does not include any reasonable management actions, such as discussion about work performance, provided that these actions are conducted in an appropriate way. In particular, incidences of workplace bullying may incorporate psychological acts (e.g., humiliation), physical acts (e.g., violence) or more indirect actions (e.g., social exclusion), all of which strive to position the target(s) in a psychological state of inferiority and fear (</w:t>
      </w:r>
      <w:proofErr w:type="spellStart"/>
      <w:r w:rsidRPr="00A77C93">
        <w:t>Samnani</w:t>
      </w:r>
      <w:proofErr w:type="spellEnd"/>
      <w:r w:rsidRPr="00A77C93">
        <w:t xml:space="preserve"> &amp; Singh, 2012). Within the academic literature, a fundamental characteristic of the most commonly used bullying definition is that there is an imbalance in power between the perpetrator and the victim, meaning the targeted individual encounters difficulty in protecting themselves (</w:t>
      </w:r>
      <w:proofErr w:type="spellStart"/>
      <w:r w:rsidRPr="00A77C93">
        <w:t>Einarsen</w:t>
      </w:r>
      <w:proofErr w:type="spellEnd"/>
      <w:r w:rsidRPr="00A77C93">
        <w:t xml:space="preserve"> &amp; </w:t>
      </w:r>
      <w:proofErr w:type="spellStart"/>
      <w:r w:rsidRPr="00A77C93">
        <w:t>Skogstad</w:t>
      </w:r>
      <w:proofErr w:type="spellEnd"/>
      <w:r w:rsidRPr="00A77C93">
        <w:t>, 1996).</w:t>
      </w:r>
      <w:r w:rsidR="00784852">
        <w:t xml:space="preserve"> </w:t>
      </w:r>
      <w:r w:rsidRPr="00A77C93">
        <w:t>Furthermore, incidences of bullying are characterised as repeated or systematised attacks on the target(s), reflecting behavioural frequency and endurance (</w:t>
      </w:r>
      <w:proofErr w:type="spellStart"/>
      <w:r w:rsidRPr="00A77C93">
        <w:t>Salin</w:t>
      </w:r>
      <w:proofErr w:type="spellEnd"/>
      <w:r w:rsidRPr="00A77C93">
        <w:t xml:space="preserve">, 2003). Harassment, which is similar to bullying, is also characterised by direct or indirect behaviours, as well as physical and verbal behaviours that endeavour to undermine an individuals’ self-worth in the workplace. However, harassment may be inferred from a single event, and is typically based on forms of discrimination relevant to the target’s (or targets’) personal characteristics, such as gender, sexual orientation, religion, age, race, or ethnicity (Scott-Lennon &amp; </w:t>
      </w:r>
      <w:proofErr w:type="spellStart"/>
      <w:r w:rsidRPr="00A77C93">
        <w:t>Considine</w:t>
      </w:r>
      <w:proofErr w:type="spellEnd"/>
      <w:r w:rsidRPr="00A77C93">
        <w:t>, 2008).</w:t>
      </w:r>
    </w:p>
    <w:p w:rsidR="00784852" w:rsidRPr="00A77C93" w:rsidRDefault="00784852" w:rsidP="0094070E">
      <w:pPr>
        <w:spacing w:after="120"/>
      </w:pPr>
      <w:r w:rsidRPr="00A77C93">
        <w:t>The new standard definition of harassment adopted by Safe Work Australia is unwelcome behaviour that intimidates, offends or humiliates a person. It may target personal characteristics such as race, age, gender, disability, religion or sexuality. The measure of harassment used in this study wa</w:t>
      </w:r>
      <w:r w:rsidR="0094070E">
        <w:t>s largely consistent with this.</w:t>
      </w:r>
    </w:p>
    <w:p w:rsidR="00784852" w:rsidRPr="00CB20E9" w:rsidRDefault="00784852" w:rsidP="0094070E">
      <w:pPr>
        <w:spacing w:after="120"/>
        <w:rPr>
          <w:rFonts w:eastAsia="SimSun"/>
          <w:color w:val="000000"/>
        </w:rPr>
      </w:pPr>
      <w:r w:rsidRPr="00A77C93">
        <w:rPr>
          <w:rFonts w:eastAsia="SimSun"/>
          <w:bCs/>
        </w:rPr>
        <w:t>The key differentiation between bullying and harassment is that bullying is repeated, whilst harassment can be inferred from a single incident. A systematic methodological review of the literature by Neall and Tuckey (2014) revealed that wor</w:t>
      </w:r>
      <w:r w:rsidR="00CB61DE">
        <w:rPr>
          <w:rFonts w:eastAsia="SimSun"/>
          <w:bCs/>
        </w:rPr>
        <w:t xml:space="preserve">kplace bullying constituted 36 per cent </w:t>
      </w:r>
      <w:r w:rsidRPr="00A77C93">
        <w:rPr>
          <w:rFonts w:eastAsia="SimSun"/>
          <w:bCs/>
        </w:rPr>
        <w:t>of the research in this field, whereas workplace</w:t>
      </w:r>
      <w:r w:rsidR="00CB61DE">
        <w:rPr>
          <w:rFonts w:eastAsia="SimSun"/>
          <w:bCs/>
        </w:rPr>
        <w:t xml:space="preserve"> harassment only constituted 10 per cent</w:t>
      </w:r>
      <w:r w:rsidRPr="00A77C93">
        <w:rPr>
          <w:rFonts w:eastAsia="SimSun"/>
          <w:bCs/>
        </w:rPr>
        <w:t xml:space="preserve">. Within the literature the terms are often used interchangeably, and share the same </w:t>
      </w:r>
      <w:proofErr w:type="gramStart"/>
      <w:r w:rsidRPr="00A77C93">
        <w:rPr>
          <w:rFonts w:eastAsia="SimSun"/>
          <w:bCs/>
        </w:rPr>
        <w:t>antecedents,</w:t>
      </w:r>
      <w:proofErr w:type="gramEnd"/>
      <w:r w:rsidRPr="00A77C93">
        <w:rPr>
          <w:rFonts w:eastAsia="SimSun"/>
          <w:bCs/>
        </w:rPr>
        <w:t xml:space="preserve"> however bullying is viewed as more severe than harassment. Research by </w:t>
      </w:r>
      <w:proofErr w:type="spellStart"/>
      <w:r w:rsidRPr="00A77C93">
        <w:rPr>
          <w:rFonts w:eastAsia="SimSun"/>
          <w:bCs/>
        </w:rPr>
        <w:t>Herchcovis</w:t>
      </w:r>
      <w:proofErr w:type="spellEnd"/>
      <w:r w:rsidRPr="00A77C93">
        <w:rPr>
          <w:rFonts w:eastAsia="SimSun"/>
          <w:bCs/>
        </w:rPr>
        <w:t xml:space="preserve"> (2011) calls for consolidation of the wealth of constructs and terms, such as bullying, harassment and incivility, stating that fragmenting constructs and distinguishing between different forms can constrain research and detract from workplace knowledge in mitigating these issues. Therefore the main emphasis should be on investigating the antecedents to adverse workplace conflicts. In predictive modelling we focus on bullying because of its severity.</w:t>
      </w:r>
    </w:p>
    <w:p w:rsidR="001F19D0" w:rsidRPr="000E3EEE" w:rsidRDefault="000241CA" w:rsidP="0094070E">
      <w:pPr>
        <w:spacing w:after="120"/>
      </w:pPr>
      <w:r w:rsidRPr="000E3EEE">
        <w:t>Neglecting to manage harmful workplace psychosocial risk factors such as bullying and harassment is in direct conflict with the model Work Health and Safety (</w:t>
      </w:r>
      <w:proofErr w:type="spellStart"/>
      <w:r w:rsidRPr="000E3EEE">
        <w:t>WHS</w:t>
      </w:r>
      <w:proofErr w:type="spellEnd"/>
      <w:r w:rsidRPr="000E3EEE">
        <w:t>) Act,</w:t>
      </w:r>
      <w:r w:rsidR="00CB61DE">
        <w:t xml:space="preserve"> which asserts that all workers</w:t>
      </w:r>
      <w:r w:rsidRPr="000E3EEE">
        <w:t xml:space="preserve"> should be given the highest</w:t>
      </w:r>
      <w:r w:rsidRPr="00FD178B">
        <w:t xml:space="preserve"> level of protection against harm to their health, safety and welfare from hazards and risks arising from work as is reasonably practicable’ (</w:t>
      </w:r>
      <w:proofErr w:type="spellStart"/>
      <w:r w:rsidRPr="00FD178B">
        <w:t>s3</w:t>
      </w:r>
      <w:proofErr w:type="spellEnd"/>
      <w:r w:rsidRPr="00FD178B">
        <w:t>(2)). The Commonwealth</w:t>
      </w:r>
      <w:r w:rsidR="00A46C2A" w:rsidRPr="000E3EEE">
        <w:t>,</w:t>
      </w:r>
      <w:r w:rsidRPr="000E3EEE">
        <w:t xml:space="preserve"> states and territories have implemented laws </w:t>
      </w:r>
      <w:r w:rsidRPr="000E3EEE">
        <w:lastRenderedPageBreak/>
        <w:t xml:space="preserve">based on the model </w:t>
      </w:r>
      <w:proofErr w:type="spellStart"/>
      <w:r w:rsidRPr="000E3EEE">
        <w:t>WHS</w:t>
      </w:r>
      <w:proofErr w:type="spellEnd"/>
      <w:r w:rsidRPr="000E3EEE">
        <w:t xml:space="preserve"> laws </w:t>
      </w:r>
      <w:r w:rsidR="00626BB0" w:rsidRPr="000E3EEE">
        <w:t>meaning health</w:t>
      </w:r>
      <w:r w:rsidRPr="000E3EEE">
        <w:t xml:space="preserve"> and safety requirements are harmonised (excluding Victoria and Western Australia). Under the model </w:t>
      </w:r>
      <w:proofErr w:type="spellStart"/>
      <w:r w:rsidRPr="000E3EEE">
        <w:t>WHS</w:t>
      </w:r>
      <w:proofErr w:type="spellEnd"/>
      <w:r w:rsidRPr="000E3EEE">
        <w:t xml:space="preserve"> Act employers have a legal obligation to protect workers’ physical and psychological wellbeing. The Act further states that workers’ physical and psychological health should be protected through the elimination or minimisation of work-related risks, with the legislation encouraging organisations to adopt more proactive roles in the improvement of work health and safety practices (</w:t>
      </w:r>
      <w:proofErr w:type="spellStart"/>
      <w:r w:rsidRPr="000E3EEE">
        <w:t>s3</w:t>
      </w:r>
      <w:proofErr w:type="spellEnd"/>
      <w:r w:rsidRPr="000E3EEE">
        <w:t>(1)).</w:t>
      </w:r>
    </w:p>
    <w:p w:rsidR="001F19D0" w:rsidRPr="000E3EEE" w:rsidRDefault="001F19D0" w:rsidP="0094070E">
      <w:pPr>
        <w:spacing w:after="120"/>
      </w:pPr>
      <w:r w:rsidRPr="000E3EEE">
        <w:t xml:space="preserve">A </w:t>
      </w:r>
      <w:proofErr w:type="spellStart"/>
      <w:r w:rsidRPr="000E3EEE">
        <w:t>PCBU</w:t>
      </w:r>
      <w:proofErr w:type="spellEnd"/>
      <w:r w:rsidRPr="000E3EEE">
        <w:t xml:space="preserve"> (or employer, in Vic</w:t>
      </w:r>
      <w:r w:rsidR="00CB61DE">
        <w:t>toria</w:t>
      </w:r>
      <w:r w:rsidRPr="000E3EEE">
        <w:t xml:space="preserve"> or W</w:t>
      </w:r>
      <w:r w:rsidR="00CB61DE">
        <w:t xml:space="preserve">estern </w:t>
      </w:r>
      <w:r w:rsidRPr="000E3EEE">
        <w:t>A</w:t>
      </w:r>
      <w:r w:rsidR="00CB61DE">
        <w:t>ustralia</w:t>
      </w:r>
      <w:r w:rsidRPr="000E3EEE">
        <w:t xml:space="preserve">) must manage the risks of physical or psychological harm by eliminating the risks, so far as is reasonably practicable. If elimination is not reasonably practicable, the risks must be minimised so far as is reasonably practicable. They can do this by implementing effective control measures aimed at the work environment and systems of work. Control measures aimed at individuals are usually less effective. The types of controls that should be used may vary depending on what is reasonably practicable for the </w:t>
      </w:r>
      <w:proofErr w:type="spellStart"/>
      <w:r w:rsidRPr="000E3EEE">
        <w:t>PCBU</w:t>
      </w:r>
      <w:proofErr w:type="spellEnd"/>
      <w:r w:rsidRPr="000E3EEE">
        <w:t xml:space="preserve"> (or employer) or workplace. A combination of controls may be required. </w:t>
      </w:r>
      <w:r w:rsidR="007F3985" w:rsidRPr="000E3EEE">
        <w:t>A worker’s physical and psychological health can be adversely affected by exposure</w:t>
      </w:r>
      <w:r w:rsidR="007F3985" w:rsidRPr="000E3EEE" w:rsidDel="001F19D0">
        <w:t xml:space="preserve"> </w:t>
      </w:r>
      <w:r w:rsidR="007F3985" w:rsidRPr="000E3EEE">
        <w:t>to a poorly designed or managed work environment, a traumatic event, workplace violence, fatigue, bullying, harassment or excessive or prolonged work pressures. Any of these factors can increase the likelihood of a worker experiencing a stress response. If job stress is excessive or prolonged, it may lead to psychological or physical injury.</w:t>
      </w:r>
    </w:p>
    <w:p w:rsidR="001F19D0" w:rsidRPr="000E3EEE" w:rsidRDefault="001F19D0" w:rsidP="0094070E">
      <w:pPr>
        <w:spacing w:after="120"/>
      </w:pPr>
      <w:r w:rsidRPr="000E3EEE">
        <w:t>At a workplace level, possible controls may include leadership commitment to a mentally healthy workplace, policies and procedures for the prevention of unreasonable behaviours such as bullying, aggression or violence, managing work-related fatigue and a process for consultation with workers.</w:t>
      </w:r>
    </w:p>
    <w:p w:rsidR="001F19D0" w:rsidRPr="000E3EEE" w:rsidRDefault="001F19D0" w:rsidP="0094070E">
      <w:pPr>
        <w:spacing w:after="120"/>
      </w:pPr>
      <w:r w:rsidRPr="000E3EEE">
        <w:t>At an organisational level, possible controls may include designing safe systems of work, workforce planning to ensure the balance between work demands and time pressures are within the workers’ capacity, role clarity, autonomy, recognition and reward and flexible work arrangements</w:t>
      </w:r>
      <w:r w:rsidR="00E748E0" w:rsidRPr="000E3EEE">
        <w:t xml:space="preserve"> (Parker, 2015)</w:t>
      </w:r>
      <w:r w:rsidR="0094070E">
        <w:t>.</w:t>
      </w:r>
    </w:p>
    <w:p w:rsidR="00AC1FBF" w:rsidRDefault="007F3985" w:rsidP="0094070E">
      <w:pPr>
        <w:spacing w:after="120"/>
      </w:pPr>
      <w:r w:rsidRPr="000E3EEE">
        <w:t xml:space="preserve">National and state-based bullying guidance materials are available to assist both workers and the organisation in addressing and tackling incidences of workplace bullying (Johnstone, Quinlan &amp; McNamara, 2011). </w:t>
      </w:r>
      <w:r w:rsidR="000241CA" w:rsidRPr="000E3EEE">
        <w:t xml:space="preserve"> Another major legislative development also occurred through the enactment of the Crimes Amendment (Bullying) Act 2011 (Vic), known as Brodie’s Law, following an incident of relentless workplace bullying that caused 19 year-old Brodie Panlock to take her own life. At the present time, Brodie’s Law has only been legislated within Victoria, where it is now legally recognised that serious bullying is a criminal offence</w:t>
      </w:r>
      <w:r w:rsidR="0081260D" w:rsidRPr="000E3EEE">
        <w:t>,</w:t>
      </w:r>
      <w:r w:rsidR="000241CA" w:rsidRPr="000E3EEE">
        <w:t xml:space="preserve"> and extends the application of stalking provisions in Victoria’s Crimes Act 1958</w:t>
      </w:r>
      <w:r w:rsidR="005C7129" w:rsidRPr="000E3EEE">
        <w:t>. Under Brodie’s L</w:t>
      </w:r>
      <w:r w:rsidR="000241CA" w:rsidRPr="000E3EEE">
        <w:t>aw, serious workplace bullying results in a maximum penalty of ten years’ imprisonment. In 20</w:t>
      </w:r>
      <w:r w:rsidR="00CB61DE">
        <w:t xml:space="preserve">10 </w:t>
      </w:r>
      <w:proofErr w:type="gramStart"/>
      <w:r w:rsidR="00CB61DE">
        <w:t>an</w:t>
      </w:r>
      <w:proofErr w:type="gramEnd"/>
      <w:r w:rsidR="00CB61DE">
        <w:t xml:space="preserve"> Australian Parliamentary I</w:t>
      </w:r>
      <w:r w:rsidR="000241CA" w:rsidRPr="000E3EEE">
        <w:t xml:space="preserve">nquiry into Bullying (House of Representatives Standing Committee on Education and Employment, 2012), </w:t>
      </w:r>
      <w:r w:rsidR="000241CA" w:rsidRPr="00CB61DE">
        <w:rPr>
          <w:i/>
        </w:rPr>
        <w:t>Workplace Bullying, we just want it to stop</w:t>
      </w:r>
      <w:r w:rsidR="000241CA" w:rsidRPr="000E3EEE">
        <w:t>, took place and produced 23 recommendations aimed at preventing workplace bullying. The Committee received 319 submissions, of which over 200 were from those with close-hand experience of bullying. From 2014, stop bullying orders were introduced by the Fair Work Commission (2016)</w:t>
      </w:r>
      <w:r w:rsidR="00FC35EC" w:rsidRPr="000E3EEE">
        <w:t>,</w:t>
      </w:r>
      <w:r w:rsidR="000241CA" w:rsidRPr="000E3EEE">
        <w:t xml:space="preserve"> meaning a worker who believes they are bullied can apply to the Commissio</w:t>
      </w:r>
      <w:r w:rsidR="006E37E9" w:rsidRPr="000E3EEE">
        <w:t>n</w:t>
      </w:r>
      <w:r w:rsidR="000241CA" w:rsidRPr="000E3EEE">
        <w:t xml:space="preserve"> for an order to stop bullying in the workplace. </w:t>
      </w:r>
      <w:r w:rsidR="006E37E9" w:rsidRPr="000E3EEE">
        <w:t>In this case, the Commission cho</w:t>
      </w:r>
      <w:r w:rsidR="0081260D" w:rsidRPr="000E3EEE">
        <w:t>o</w:t>
      </w:r>
      <w:r w:rsidR="006E37E9" w:rsidRPr="000E3EEE">
        <w:t xml:space="preserve">ses the best approach to resolve the matter, which may include </w:t>
      </w:r>
      <w:r w:rsidR="00BD3D3C" w:rsidRPr="000E3EEE">
        <w:t>attempting to settle the matter between the parties</w:t>
      </w:r>
      <w:r w:rsidR="006E37E9" w:rsidRPr="000E3EEE">
        <w:t xml:space="preserve"> or </w:t>
      </w:r>
      <w:r w:rsidR="00BD3D3C" w:rsidRPr="000E3EEE">
        <w:t>facilitating formal</w:t>
      </w:r>
      <w:r w:rsidR="006E37E9" w:rsidRPr="000E3EEE">
        <w:t xml:space="preserve"> court action</w:t>
      </w:r>
      <w:r w:rsidR="00BD3D3C" w:rsidRPr="000E3EEE">
        <w:t xml:space="preserve"> if necessary</w:t>
      </w:r>
      <w:r w:rsidR="006E37E9" w:rsidRPr="000E3EEE">
        <w:t xml:space="preserve">. If the bullying incident involves a hearing, the </w:t>
      </w:r>
      <w:r w:rsidR="00AC1FBF" w:rsidRPr="000E3EEE">
        <w:t>Commission</w:t>
      </w:r>
      <w:r w:rsidR="006E37E9" w:rsidRPr="000E3EEE">
        <w:t xml:space="preserve"> </w:t>
      </w:r>
      <w:r w:rsidR="00BD3D3C" w:rsidRPr="000E3EEE">
        <w:t xml:space="preserve">may </w:t>
      </w:r>
      <w:r w:rsidR="006E37E9" w:rsidRPr="000E3EEE">
        <w:t xml:space="preserve">make any order </w:t>
      </w:r>
      <w:r w:rsidR="00BD3D3C" w:rsidRPr="000E3EEE">
        <w:t>that is</w:t>
      </w:r>
      <w:r w:rsidR="006E37E9" w:rsidRPr="000E3EEE">
        <w:t xml:space="preserve"> most fitting to prevent the </w:t>
      </w:r>
      <w:r w:rsidR="00450D91" w:rsidRPr="000E3EEE">
        <w:t>inciden</w:t>
      </w:r>
      <w:r w:rsidR="0081260D" w:rsidRPr="000E3EEE">
        <w:t>ce</w:t>
      </w:r>
      <w:r w:rsidR="00450D91" w:rsidRPr="000E3EEE">
        <w:t xml:space="preserve"> of the</w:t>
      </w:r>
      <w:r w:rsidR="006E37E9" w:rsidRPr="000E3EEE">
        <w:t xml:space="preserve"> bullying. Such action may include providing orders that require the perpetrator to cease the bullying, </w:t>
      </w:r>
      <w:r w:rsidR="00AC1FBF" w:rsidRPr="000E3EEE">
        <w:t>to comply with (or review) the employers’ bullying policy and/or ensure workers receive more information or fu</w:t>
      </w:r>
      <w:r w:rsidR="00CB61DE">
        <w:t>rther support or training. T</w:t>
      </w:r>
      <w:r w:rsidR="00AC1FBF" w:rsidRPr="000E3EEE">
        <w:t>he Commission cannot order any monetary compensation for the bullying victim.</w:t>
      </w:r>
      <w:r w:rsidR="00AC1FBF" w:rsidRPr="007272CD">
        <w:t xml:space="preserve"> </w:t>
      </w:r>
    </w:p>
    <w:p w:rsidR="00F43118" w:rsidRPr="00F43118" w:rsidRDefault="00F43118" w:rsidP="0094070E">
      <w:pPr>
        <w:pStyle w:val="Heading2"/>
        <w:keepNext/>
        <w:spacing w:before="240" w:after="120"/>
        <w:rPr>
          <w:rFonts w:eastAsia="Cambria"/>
          <w:u w:color="000000"/>
          <w:bdr w:val="nil"/>
          <w:lang w:val="en-US"/>
        </w:rPr>
      </w:pPr>
      <w:r w:rsidRPr="00F43118">
        <w:rPr>
          <w:rFonts w:eastAsia="Cambria"/>
          <w:u w:color="000000"/>
          <w:bdr w:val="nil"/>
          <w:lang w:val="en-US"/>
        </w:rPr>
        <w:lastRenderedPageBreak/>
        <w:t xml:space="preserve">Explanations for </w:t>
      </w:r>
      <w:r w:rsidRPr="00EF23DC">
        <w:rPr>
          <w:rFonts w:eastAsia="Cambria"/>
          <w:u w:color="000000"/>
          <w:bdr w:val="nil"/>
          <w:lang w:val="en-US"/>
        </w:rPr>
        <w:t xml:space="preserve">Workplace Bullying </w:t>
      </w:r>
      <w:r w:rsidR="00235F71" w:rsidRPr="00EF23DC">
        <w:rPr>
          <w:rFonts w:eastAsia="Cambria"/>
          <w:u w:color="000000"/>
          <w:bdr w:val="nil"/>
          <w:lang w:val="en-US"/>
        </w:rPr>
        <w:t>and Harassment</w:t>
      </w:r>
    </w:p>
    <w:p w:rsidR="00F43118" w:rsidRDefault="00F43118" w:rsidP="0094070E">
      <w:pPr>
        <w:spacing w:after="120"/>
        <w:rPr>
          <w:rFonts w:eastAsia="Cambria"/>
          <w:u w:color="000000"/>
          <w:bdr w:val="nil"/>
          <w:lang w:val="en-US"/>
        </w:rPr>
      </w:pPr>
      <w:r w:rsidRPr="00F43118">
        <w:rPr>
          <w:rFonts w:eastAsia="Cambria"/>
          <w:u w:color="000000"/>
          <w:bdr w:val="nil"/>
          <w:lang w:val="en-US"/>
        </w:rPr>
        <w:t xml:space="preserve">Bullying and harassment are often the result of a complex interplay between various individual factors, </w:t>
      </w:r>
      <w:proofErr w:type="spellStart"/>
      <w:r w:rsidRPr="00E34502">
        <w:rPr>
          <w:rFonts w:eastAsia="Cambria"/>
          <w:u w:color="000000"/>
          <w:bdr w:val="nil"/>
          <w:lang w:val="en-US"/>
        </w:rPr>
        <w:t>organisational</w:t>
      </w:r>
      <w:proofErr w:type="spellEnd"/>
      <w:r w:rsidRPr="00E34502">
        <w:rPr>
          <w:rFonts w:eastAsia="Cambria"/>
          <w:u w:color="000000"/>
          <w:bdr w:val="nil"/>
          <w:lang w:val="en-US"/>
        </w:rPr>
        <w:t xml:space="preserve"> aspects, and broader environmental influences (Bowling &amp; </w:t>
      </w:r>
      <w:proofErr w:type="spellStart"/>
      <w:r w:rsidRPr="00E34502">
        <w:rPr>
          <w:rFonts w:eastAsia="Cambria"/>
          <w:u w:color="000000"/>
          <w:bdr w:val="nil"/>
          <w:lang w:val="en-US"/>
        </w:rPr>
        <w:t>Beehr</w:t>
      </w:r>
      <w:proofErr w:type="spellEnd"/>
      <w:r w:rsidRPr="00E34502">
        <w:rPr>
          <w:rFonts w:eastAsia="Cambria"/>
          <w:u w:color="000000"/>
          <w:bdr w:val="nil"/>
          <w:lang w:val="en-US"/>
        </w:rPr>
        <w:t>, 2006). However, meta-analytic evidence from 90 mostly cross-sectional studies shows that organisation-level factors are more fundamental determinants of bullying than individual targe</w:t>
      </w:r>
      <w:r w:rsidR="00C51661" w:rsidRPr="00E34502">
        <w:rPr>
          <w:rFonts w:eastAsia="Cambria"/>
          <w:u w:color="000000"/>
          <w:bdr w:val="nil"/>
          <w:lang w:val="en-US"/>
        </w:rPr>
        <w:t xml:space="preserve">t characteristics (Nielsen &amp; </w:t>
      </w:r>
      <w:proofErr w:type="spellStart"/>
      <w:r w:rsidR="00C51661" w:rsidRPr="00E34502">
        <w:rPr>
          <w:rFonts w:eastAsia="Cambria"/>
          <w:u w:color="000000"/>
          <w:bdr w:val="nil"/>
          <w:lang w:val="en-US"/>
        </w:rPr>
        <w:t>Einarsen</w:t>
      </w:r>
      <w:proofErr w:type="spellEnd"/>
      <w:r w:rsidRPr="00E34502">
        <w:rPr>
          <w:rFonts w:eastAsia="Cambria"/>
          <w:u w:color="000000"/>
          <w:bdr w:val="nil"/>
          <w:lang w:val="en-US"/>
        </w:rPr>
        <w:t>, 2012).</w:t>
      </w:r>
      <w:r w:rsidR="00E34502" w:rsidRPr="00E34502">
        <w:rPr>
          <w:rFonts w:eastAsia="Cambria"/>
          <w:u w:color="000000"/>
          <w:bdr w:val="nil"/>
          <w:lang w:val="en-US"/>
        </w:rPr>
        <w:t xml:space="preserve"> Therefore a focus on job design and work environment factors </w:t>
      </w:r>
      <w:r w:rsidR="00E748E0">
        <w:rPr>
          <w:rFonts w:eastAsia="Cambria"/>
          <w:u w:color="000000"/>
          <w:bdr w:val="nil"/>
          <w:lang w:val="en-US"/>
        </w:rPr>
        <w:t xml:space="preserve">rather </w:t>
      </w:r>
      <w:r w:rsidR="008F1022">
        <w:rPr>
          <w:rFonts w:eastAsia="Cambria"/>
          <w:u w:color="000000"/>
          <w:bdr w:val="nil"/>
          <w:lang w:val="en-US"/>
        </w:rPr>
        <w:t xml:space="preserve">than </w:t>
      </w:r>
      <w:r w:rsidR="00E748E0">
        <w:rPr>
          <w:rFonts w:eastAsia="Cambria"/>
          <w:u w:color="000000"/>
          <w:bdr w:val="nil"/>
          <w:lang w:val="en-US"/>
        </w:rPr>
        <w:t xml:space="preserve">individual factors </w:t>
      </w:r>
      <w:r w:rsidR="00E34502" w:rsidRPr="00E34502">
        <w:rPr>
          <w:rFonts w:eastAsia="Cambria"/>
          <w:u w:color="000000"/>
          <w:bdr w:val="nil"/>
          <w:lang w:val="en-US"/>
        </w:rPr>
        <w:t>is mo</w:t>
      </w:r>
      <w:r w:rsidR="00E748E0">
        <w:rPr>
          <w:rFonts w:eastAsia="Cambria"/>
          <w:u w:color="000000"/>
          <w:bdr w:val="nil"/>
          <w:lang w:val="en-US"/>
        </w:rPr>
        <w:t>re</w:t>
      </w:r>
      <w:r w:rsidR="00E34502" w:rsidRPr="00E34502">
        <w:rPr>
          <w:rFonts w:eastAsia="Cambria"/>
          <w:u w:color="000000"/>
          <w:bdr w:val="nil"/>
          <w:lang w:val="en-US"/>
        </w:rPr>
        <w:t xml:space="preserve"> important (</w:t>
      </w:r>
      <w:proofErr w:type="spellStart"/>
      <w:r w:rsidR="00E34502" w:rsidRPr="00E34502">
        <w:rPr>
          <w:rFonts w:eastAsia="Cambria"/>
          <w:u w:color="000000"/>
          <w:bdr w:val="nil"/>
          <w:lang w:val="en-US"/>
        </w:rPr>
        <w:t>Notelaers</w:t>
      </w:r>
      <w:proofErr w:type="spellEnd"/>
      <w:r w:rsidR="00E34502" w:rsidRPr="00E34502">
        <w:rPr>
          <w:rFonts w:eastAsia="Cambria"/>
          <w:u w:color="000000"/>
          <w:bdr w:val="nil"/>
          <w:lang w:val="en-US"/>
        </w:rPr>
        <w:t xml:space="preserve">, </w:t>
      </w:r>
      <w:proofErr w:type="spellStart"/>
      <w:r w:rsidR="00E34502" w:rsidRPr="00E34502">
        <w:rPr>
          <w:rFonts w:eastAsia="Cambria"/>
          <w:u w:color="000000"/>
          <w:bdr w:val="nil"/>
          <w:lang w:val="en-US"/>
        </w:rPr>
        <w:t>Naillien</w:t>
      </w:r>
      <w:proofErr w:type="spellEnd"/>
      <w:r w:rsidR="00E34502" w:rsidRPr="00E34502">
        <w:rPr>
          <w:rFonts w:eastAsia="Cambria"/>
          <w:u w:color="000000"/>
          <w:bdr w:val="nil"/>
          <w:lang w:val="en-US"/>
        </w:rPr>
        <w:t xml:space="preserve">, De Witte, </w:t>
      </w:r>
      <w:proofErr w:type="spellStart"/>
      <w:r w:rsidR="00E34502" w:rsidRPr="00E34502">
        <w:rPr>
          <w:rFonts w:eastAsia="Cambria"/>
          <w:u w:color="000000"/>
          <w:bdr w:val="nil"/>
          <w:lang w:val="en-US"/>
        </w:rPr>
        <w:t>Einarsen</w:t>
      </w:r>
      <w:proofErr w:type="spellEnd"/>
      <w:r w:rsidR="00E34502" w:rsidRPr="00E34502">
        <w:rPr>
          <w:rFonts w:eastAsia="Cambria"/>
          <w:u w:color="000000"/>
          <w:bdr w:val="nil"/>
          <w:lang w:val="en-US"/>
        </w:rPr>
        <w:t xml:space="preserve">, &amp; </w:t>
      </w:r>
      <w:proofErr w:type="spellStart"/>
      <w:r w:rsidR="00E34502" w:rsidRPr="00E34502">
        <w:rPr>
          <w:rFonts w:eastAsia="Cambria"/>
          <w:u w:color="000000"/>
          <w:bdr w:val="nil"/>
          <w:lang w:val="en-US"/>
        </w:rPr>
        <w:t>Vermunt</w:t>
      </w:r>
      <w:proofErr w:type="spellEnd"/>
      <w:r w:rsidR="00E34502" w:rsidRPr="00E34502">
        <w:rPr>
          <w:rFonts w:eastAsia="Cambria"/>
          <w:u w:color="000000"/>
          <w:bdr w:val="nil"/>
          <w:lang w:val="en-US"/>
        </w:rPr>
        <w:t xml:space="preserve">, 2012). </w:t>
      </w:r>
      <w:proofErr w:type="spellStart"/>
      <w:r w:rsidR="00E34502" w:rsidRPr="00E34502">
        <w:rPr>
          <w:rFonts w:eastAsia="Cambria"/>
          <w:u w:color="000000"/>
          <w:bdr w:val="nil"/>
          <w:lang w:val="en-US"/>
        </w:rPr>
        <w:t>Organisational</w:t>
      </w:r>
      <w:proofErr w:type="spellEnd"/>
      <w:r w:rsidR="00E34502" w:rsidRPr="00E34502">
        <w:rPr>
          <w:rFonts w:eastAsia="Cambria"/>
          <w:u w:color="000000"/>
          <w:bdr w:val="nil"/>
          <w:lang w:val="en-US"/>
        </w:rPr>
        <w:t xml:space="preserve"> </w:t>
      </w:r>
      <w:r w:rsidR="00E748E0">
        <w:rPr>
          <w:rFonts w:eastAsia="Cambria"/>
          <w:u w:color="000000"/>
          <w:bdr w:val="nil"/>
          <w:lang w:val="en-US"/>
        </w:rPr>
        <w:t xml:space="preserve">risk </w:t>
      </w:r>
      <w:r w:rsidR="00E34502" w:rsidRPr="00E34502">
        <w:rPr>
          <w:rFonts w:eastAsia="Cambria"/>
          <w:u w:color="000000"/>
          <w:bdr w:val="nil"/>
          <w:lang w:val="en-US"/>
        </w:rPr>
        <w:t xml:space="preserve">factors include </w:t>
      </w:r>
      <w:r w:rsidR="00E748E0">
        <w:rPr>
          <w:rFonts w:eastAsia="Cambria"/>
          <w:u w:color="000000"/>
          <w:bdr w:val="nil"/>
          <w:lang w:val="en-US"/>
        </w:rPr>
        <w:t>low psychosocial safety climate (Dollard &amp; Bakker, 2010),</w:t>
      </w:r>
      <w:r w:rsidR="00296871">
        <w:rPr>
          <w:rFonts w:eastAsia="Cambria"/>
          <w:u w:color="000000"/>
          <w:bdr w:val="nil"/>
          <w:lang w:val="en-US"/>
        </w:rPr>
        <w:t xml:space="preserve"> </w:t>
      </w:r>
      <w:r w:rsidR="00E34502" w:rsidRPr="00E34502">
        <w:rPr>
          <w:rFonts w:eastAsia="Cambria"/>
          <w:u w:color="000000"/>
          <w:bdr w:val="nil"/>
          <w:lang w:val="en-US"/>
        </w:rPr>
        <w:t xml:space="preserve">higher levels of role stressors, greater </w:t>
      </w:r>
      <w:proofErr w:type="spellStart"/>
      <w:r w:rsidR="00E34502" w:rsidRPr="00E34502">
        <w:rPr>
          <w:rFonts w:eastAsia="Cambria"/>
          <w:u w:color="000000"/>
          <w:bdr w:val="nil"/>
          <w:lang w:val="en-US"/>
        </w:rPr>
        <w:t>organisational</w:t>
      </w:r>
      <w:proofErr w:type="spellEnd"/>
      <w:r w:rsidR="00E34502" w:rsidRPr="00E34502">
        <w:rPr>
          <w:rFonts w:eastAsia="Cambria"/>
          <w:u w:color="000000"/>
          <w:bdr w:val="nil"/>
          <w:lang w:val="en-US"/>
        </w:rPr>
        <w:t xml:space="preserve"> constraints and lower levels of job autonomy (Coyne, Smith-Lee Chong, </w:t>
      </w:r>
      <w:proofErr w:type="spellStart"/>
      <w:r w:rsidR="00E34502" w:rsidRPr="00E34502">
        <w:rPr>
          <w:rFonts w:eastAsia="Cambria"/>
          <w:u w:color="000000"/>
          <w:bdr w:val="nil"/>
          <w:lang w:val="en-US"/>
        </w:rPr>
        <w:t>Seigne</w:t>
      </w:r>
      <w:proofErr w:type="spellEnd"/>
      <w:r w:rsidR="00E34502" w:rsidRPr="00E34502">
        <w:rPr>
          <w:rFonts w:eastAsia="Cambria"/>
          <w:u w:color="000000"/>
          <w:bdr w:val="nil"/>
          <w:lang w:val="en-US"/>
        </w:rPr>
        <w:t>, &amp; Randall, 2003). T</w:t>
      </w:r>
      <w:r w:rsidR="00C51661" w:rsidRPr="00E34502">
        <w:rPr>
          <w:rFonts w:eastAsia="Cambria"/>
          <w:u w:color="000000"/>
          <w:bdr w:val="nil"/>
          <w:lang w:val="en-US"/>
        </w:rPr>
        <w:t>hese</w:t>
      </w:r>
      <w:r w:rsidR="00E34502" w:rsidRPr="00E34502">
        <w:rPr>
          <w:rFonts w:eastAsia="Cambria"/>
          <w:u w:color="000000"/>
          <w:bdr w:val="nil"/>
          <w:lang w:val="en-US"/>
        </w:rPr>
        <w:t xml:space="preserve"> work-related</w:t>
      </w:r>
      <w:r w:rsidR="00C51661" w:rsidRPr="00E34502">
        <w:rPr>
          <w:rFonts w:eastAsia="Cambria"/>
          <w:u w:color="000000"/>
          <w:bdr w:val="nil"/>
          <w:lang w:val="en-US"/>
        </w:rPr>
        <w:t xml:space="preserve"> aspects are most </w:t>
      </w:r>
      <w:r w:rsidR="00E34502" w:rsidRPr="00E34502">
        <w:rPr>
          <w:rFonts w:eastAsia="Cambria"/>
          <w:u w:color="000000"/>
          <w:bdr w:val="nil"/>
          <w:lang w:val="en-US"/>
        </w:rPr>
        <w:t>amenable</w:t>
      </w:r>
      <w:r w:rsidR="00C51661" w:rsidRPr="00E34502">
        <w:rPr>
          <w:rFonts w:eastAsia="Cambria"/>
          <w:u w:color="000000"/>
          <w:bdr w:val="nil"/>
          <w:lang w:val="en-US"/>
        </w:rPr>
        <w:t xml:space="preserve"> to change</w:t>
      </w:r>
      <w:r w:rsidR="00E34502" w:rsidRPr="00E34502">
        <w:rPr>
          <w:rFonts w:eastAsia="Cambria"/>
          <w:u w:color="000000"/>
          <w:bdr w:val="nil"/>
          <w:lang w:val="en-US"/>
        </w:rPr>
        <w:t xml:space="preserve"> in comparison to individual-level traits. Overall, t</w:t>
      </w:r>
      <w:r w:rsidRPr="00E34502">
        <w:rPr>
          <w:rFonts w:eastAsia="Cambria"/>
          <w:u w:color="000000"/>
          <w:bdr w:val="nil"/>
          <w:lang w:val="en-US"/>
        </w:rPr>
        <w:t>here are four central explanations for the occurrence of bullying</w:t>
      </w:r>
      <w:r w:rsidR="009B39EA">
        <w:rPr>
          <w:rFonts w:eastAsia="Cambria"/>
          <w:u w:color="000000"/>
          <w:bdr w:val="nil"/>
          <w:lang w:val="en-US"/>
        </w:rPr>
        <w:t xml:space="preserve"> and harassment (excluding discrimination)</w:t>
      </w:r>
      <w:r w:rsidRPr="00E34502">
        <w:rPr>
          <w:rFonts w:eastAsia="Cambria"/>
          <w:u w:color="000000"/>
          <w:bdr w:val="nil"/>
          <w:lang w:val="en-US"/>
        </w:rPr>
        <w:t>:</w:t>
      </w:r>
    </w:p>
    <w:p w:rsidR="00F43118" w:rsidRPr="00F43118" w:rsidRDefault="00F43118" w:rsidP="0094070E">
      <w:pPr>
        <w:pStyle w:val="ListParagraph"/>
        <w:spacing w:after="120"/>
        <w:rPr>
          <w:rFonts w:eastAsia="Cambria"/>
          <w:u w:color="000000"/>
          <w:bdr w:val="nil"/>
          <w:lang w:val="en-US"/>
        </w:rPr>
      </w:pPr>
      <w:r w:rsidRPr="00F43118">
        <w:rPr>
          <w:rFonts w:eastAsia="Cambria"/>
          <w:u w:color="000000"/>
          <w:bdr w:val="nil"/>
          <w:lang w:val="en-US"/>
        </w:rPr>
        <w:t xml:space="preserve">‘Psychosocial Safety Climate Hypothesis’ — PSC is a leading antecedent to all worker </w:t>
      </w:r>
      <w:r w:rsidR="00E748E0">
        <w:rPr>
          <w:rFonts w:eastAsia="Cambria"/>
          <w:u w:color="000000"/>
          <w:bdr w:val="nil"/>
          <w:lang w:val="en-US"/>
        </w:rPr>
        <w:t xml:space="preserve">psychosocial risk factors </w:t>
      </w:r>
      <w:r w:rsidRPr="00F43118">
        <w:rPr>
          <w:rFonts w:eastAsia="Cambria"/>
          <w:u w:color="000000"/>
          <w:bdr w:val="nil"/>
          <w:lang w:val="en-US"/>
        </w:rPr>
        <w:t>and refers to managerial regard for workplace p</w:t>
      </w:r>
      <w:r w:rsidR="0094070E">
        <w:rPr>
          <w:rFonts w:eastAsia="Cambria"/>
          <w:u w:color="000000"/>
          <w:bdr w:val="nil"/>
          <w:lang w:val="en-US"/>
        </w:rPr>
        <w:t>sychological health and safety.</w:t>
      </w:r>
    </w:p>
    <w:p w:rsidR="00F43118" w:rsidRPr="00F43118" w:rsidRDefault="00F43118" w:rsidP="0094070E">
      <w:pPr>
        <w:pStyle w:val="ListParagraph"/>
        <w:spacing w:after="120"/>
        <w:rPr>
          <w:rFonts w:eastAsia="Cambria"/>
          <w:u w:color="000000"/>
          <w:bdr w:val="nil"/>
          <w:lang w:val="en-US"/>
        </w:rPr>
      </w:pPr>
      <w:r w:rsidRPr="00F43118">
        <w:rPr>
          <w:rFonts w:eastAsia="Cambria"/>
          <w:u w:color="000000"/>
          <w:bdr w:val="nil"/>
          <w:lang w:val="en-US"/>
        </w:rPr>
        <w:t>‘Productivity Hypothesis’ — A means to obtain more productivity from workers.</w:t>
      </w:r>
    </w:p>
    <w:p w:rsidR="00F43118" w:rsidRPr="00F43118" w:rsidRDefault="00F43118" w:rsidP="0094070E">
      <w:pPr>
        <w:pStyle w:val="ListParagraph"/>
        <w:spacing w:after="120"/>
        <w:rPr>
          <w:rFonts w:eastAsia="Cambria"/>
          <w:u w:color="000000"/>
          <w:bdr w:val="nil"/>
          <w:lang w:val="en-US"/>
        </w:rPr>
      </w:pPr>
      <w:r w:rsidRPr="00F43118">
        <w:rPr>
          <w:rFonts w:eastAsia="Cambria"/>
          <w:u w:color="000000"/>
          <w:bdr w:val="nil"/>
          <w:lang w:val="en-US"/>
        </w:rPr>
        <w:t>‘Retain-and-build Personal Power Hypothesis’ — A tactic to maintain the status quo of personal power or power distribution within the organisation.</w:t>
      </w:r>
    </w:p>
    <w:p w:rsidR="00F43118" w:rsidRDefault="00F43118" w:rsidP="0094070E">
      <w:pPr>
        <w:pStyle w:val="ListParagraph"/>
        <w:spacing w:after="120"/>
        <w:rPr>
          <w:rFonts w:eastAsia="Cambria"/>
          <w:u w:color="000000"/>
          <w:bdr w:val="nil"/>
          <w:lang w:val="en-US"/>
        </w:rPr>
      </w:pPr>
      <w:r w:rsidRPr="00F43118">
        <w:rPr>
          <w:rFonts w:eastAsia="Cambria"/>
          <w:u w:color="000000"/>
          <w:bdr w:val="nil"/>
          <w:lang w:val="en-US"/>
        </w:rPr>
        <w:t>‘Work Environment Hypothesis’ — Poor work quality, whereby aspects of task and job design give rise to levels o</w:t>
      </w:r>
      <w:r w:rsidR="0094070E">
        <w:rPr>
          <w:rFonts w:eastAsia="Cambria"/>
          <w:u w:color="000000"/>
          <w:bdr w:val="nil"/>
          <w:lang w:val="en-US"/>
        </w:rPr>
        <w:t>f demands, control and support.</w:t>
      </w:r>
    </w:p>
    <w:p w:rsidR="00F43118" w:rsidRPr="0094070E" w:rsidRDefault="00F43118" w:rsidP="0094070E">
      <w:pPr>
        <w:pStyle w:val="Heading2"/>
        <w:spacing w:before="240" w:after="120"/>
        <w:rPr>
          <w:rFonts w:eastAsia="Cambria"/>
          <w:u w:color="000000"/>
          <w:bdr w:val="nil"/>
          <w:lang w:val="en-US"/>
        </w:rPr>
      </w:pPr>
      <w:r w:rsidRPr="0094070E">
        <w:rPr>
          <w:rFonts w:eastAsia="Cambria"/>
          <w:u w:color="000000"/>
          <w:bdr w:val="nil"/>
          <w:lang w:val="en-US"/>
        </w:rPr>
        <w:t>Psychosocial safety climate: A leading organisational factor</w:t>
      </w:r>
    </w:p>
    <w:p w:rsidR="00392A7D" w:rsidRPr="00F43118" w:rsidRDefault="00392A7D" w:rsidP="0094070E">
      <w:pPr>
        <w:spacing w:after="120"/>
        <w:rPr>
          <w:u w:color="000000"/>
          <w:bdr w:val="nil"/>
          <w:lang w:val="en-US"/>
        </w:rPr>
      </w:pPr>
      <w:r>
        <w:rPr>
          <w:u w:color="000000"/>
          <w:bdr w:val="nil"/>
          <w:lang w:val="en-US"/>
        </w:rPr>
        <w:t xml:space="preserve">The PSC of an </w:t>
      </w:r>
      <w:proofErr w:type="spellStart"/>
      <w:r>
        <w:rPr>
          <w:u w:color="000000"/>
          <w:bdr w:val="nil"/>
          <w:lang w:val="en-US"/>
        </w:rPr>
        <w:t>organis</w:t>
      </w:r>
      <w:r w:rsidRPr="00F43118">
        <w:rPr>
          <w:u w:color="000000"/>
          <w:bdr w:val="nil"/>
          <w:lang w:val="en-US"/>
        </w:rPr>
        <w:t>ation</w:t>
      </w:r>
      <w:proofErr w:type="spellEnd"/>
      <w:r w:rsidRPr="00F43118">
        <w:rPr>
          <w:u w:color="000000"/>
          <w:bdr w:val="nil"/>
          <w:lang w:val="en-US"/>
        </w:rPr>
        <w:t xml:space="preserve"> encapsulates the value that senior management places on worker </w:t>
      </w:r>
      <w:r w:rsidR="00603526">
        <w:rPr>
          <w:u w:color="000000"/>
          <w:bdr w:val="nil"/>
          <w:lang w:val="en-US"/>
        </w:rPr>
        <w:t xml:space="preserve">psychological health and </w:t>
      </w:r>
      <w:r w:rsidRPr="00F43118">
        <w:rPr>
          <w:u w:color="000000"/>
          <w:bdr w:val="nil"/>
          <w:lang w:val="en-US"/>
        </w:rPr>
        <w:t xml:space="preserve">well-being, particularly </w:t>
      </w:r>
      <w:r>
        <w:rPr>
          <w:u w:color="000000"/>
          <w:bdr w:val="nil"/>
          <w:lang w:val="en-US"/>
        </w:rPr>
        <w:t xml:space="preserve">evident </w:t>
      </w:r>
      <w:r w:rsidRPr="00F43118">
        <w:rPr>
          <w:u w:color="000000"/>
          <w:bdr w:val="nil"/>
          <w:lang w:val="en-US"/>
        </w:rPr>
        <w:t>through the degree of communication about and commitment to psychological health and safety matters at work. It is defined as the enacted “</w:t>
      </w:r>
      <w:proofErr w:type="spellStart"/>
      <w:r w:rsidRPr="00F43118">
        <w:rPr>
          <w:u w:color="000000"/>
          <w:bdr w:val="nil"/>
          <w:lang w:val="en-US"/>
        </w:rPr>
        <w:t>organisational</w:t>
      </w:r>
      <w:proofErr w:type="spellEnd"/>
      <w:r w:rsidRPr="00F43118">
        <w:rPr>
          <w:u w:color="000000"/>
          <w:bdr w:val="nil"/>
          <w:lang w:val="en-US"/>
        </w:rPr>
        <w:t xml:space="preserve"> policies, practices, and procedures for the protection of worker psychological health and safety” (Dollard &amp; Bakker, 2010, p. 580). To assess an </w:t>
      </w:r>
      <w:proofErr w:type="spellStart"/>
      <w:r w:rsidRPr="00F43118">
        <w:rPr>
          <w:u w:color="000000"/>
          <w:bdr w:val="nil"/>
          <w:lang w:val="en-US"/>
        </w:rPr>
        <w:t>organisations’</w:t>
      </w:r>
      <w:proofErr w:type="spellEnd"/>
      <w:r w:rsidRPr="00F43118">
        <w:rPr>
          <w:u w:color="000000"/>
          <w:bdr w:val="nil"/>
          <w:lang w:val="en-US"/>
        </w:rPr>
        <w:t xml:space="preserve"> </w:t>
      </w:r>
      <w:r>
        <w:rPr>
          <w:u w:color="000000"/>
          <w:bdr w:val="nil"/>
          <w:lang w:val="en-US"/>
        </w:rPr>
        <w:t>PSC</w:t>
      </w:r>
      <w:r w:rsidRPr="00F43118">
        <w:rPr>
          <w:u w:color="000000"/>
          <w:bdr w:val="nil"/>
          <w:lang w:val="en-US"/>
        </w:rPr>
        <w:t>, levels are derived through aggregating</w:t>
      </w:r>
      <w:r>
        <w:rPr>
          <w:u w:color="000000"/>
          <w:bdr w:val="nil"/>
          <w:lang w:val="en-US"/>
        </w:rPr>
        <w:t xml:space="preserve"> scores</w:t>
      </w:r>
      <w:r w:rsidR="00FC35EC">
        <w:rPr>
          <w:u w:color="000000"/>
          <w:bdr w:val="nil"/>
          <w:lang w:val="en-US"/>
        </w:rPr>
        <w:t>,</w:t>
      </w:r>
      <w:r w:rsidRPr="00F43118">
        <w:rPr>
          <w:u w:color="000000"/>
          <w:bdr w:val="nil"/>
          <w:lang w:val="en-US"/>
        </w:rPr>
        <w:t xml:space="preserve"> based on the individual perception</w:t>
      </w:r>
      <w:r>
        <w:rPr>
          <w:u w:color="000000"/>
          <w:bdr w:val="nil"/>
          <w:lang w:val="en-US"/>
        </w:rPr>
        <w:t>s</w:t>
      </w:r>
      <w:r w:rsidR="00FC35EC">
        <w:rPr>
          <w:u w:color="000000"/>
          <w:bdr w:val="nil"/>
          <w:lang w:val="en-US"/>
        </w:rPr>
        <w:t>,</w:t>
      </w:r>
      <w:r w:rsidRPr="00F43118">
        <w:rPr>
          <w:u w:color="000000"/>
          <w:bdr w:val="nil"/>
          <w:lang w:val="en-US"/>
        </w:rPr>
        <w:t xml:space="preserve"> to the level of the organ</w:t>
      </w:r>
      <w:r>
        <w:rPr>
          <w:u w:color="000000"/>
          <w:bdr w:val="nil"/>
          <w:lang w:val="en-US"/>
        </w:rPr>
        <w:t>isation or work group. Using</w:t>
      </w:r>
      <w:r w:rsidRPr="00F43118">
        <w:rPr>
          <w:u w:color="000000"/>
          <w:bdr w:val="nil"/>
          <w:lang w:val="en-US"/>
        </w:rPr>
        <w:t xml:space="preserve"> aggregat</w:t>
      </w:r>
      <w:r>
        <w:rPr>
          <w:u w:color="000000"/>
          <w:bdr w:val="nil"/>
          <w:lang w:val="en-US"/>
        </w:rPr>
        <w:t>ed</w:t>
      </w:r>
      <w:r w:rsidRPr="00F43118">
        <w:rPr>
          <w:u w:color="000000"/>
          <w:bdr w:val="nil"/>
          <w:lang w:val="en-US"/>
        </w:rPr>
        <w:t xml:space="preserve"> scores is recommended practice, as ultimately the </w:t>
      </w:r>
      <w:r w:rsidR="00CB61DE">
        <w:rPr>
          <w:u w:color="000000"/>
          <w:bdr w:val="nil"/>
          <w:lang w:val="en-US"/>
        </w:rPr>
        <w:t>PSC</w:t>
      </w:r>
      <w:r w:rsidRPr="00F43118">
        <w:rPr>
          <w:u w:color="000000"/>
          <w:bdr w:val="nil"/>
          <w:lang w:val="en-US"/>
        </w:rPr>
        <w:t xml:space="preserve"> is </w:t>
      </w:r>
      <w:r>
        <w:rPr>
          <w:u w:color="000000"/>
          <w:bdr w:val="nil"/>
          <w:lang w:val="en-US"/>
        </w:rPr>
        <w:t>the</w:t>
      </w:r>
      <w:r w:rsidRPr="00F43118">
        <w:rPr>
          <w:u w:color="000000"/>
          <w:bdr w:val="nil"/>
          <w:lang w:val="en-US"/>
        </w:rPr>
        <w:t xml:space="preserve"> shared view of </w:t>
      </w:r>
      <w:r>
        <w:rPr>
          <w:u w:color="000000"/>
          <w:bdr w:val="nil"/>
          <w:lang w:val="en-US"/>
        </w:rPr>
        <w:t xml:space="preserve">employees about </w:t>
      </w:r>
      <w:r w:rsidRPr="00F43118">
        <w:rPr>
          <w:u w:color="000000"/>
          <w:bdr w:val="nil"/>
          <w:lang w:val="en-US"/>
        </w:rPr>
        <w:t xml:space="preserve">how the </w:t>
      </w:r>
      <w:proofErr w:type="spellStart"/>
      <w:r w:rsidR="00642EA3">
        <w:rPr>
          <w:u w:color="000000"/>
          <w:bdr w:val="nil"/>
          <w:lang w:val="en-US"/>
        </w:rPr>
        <w:t>organisation</w:t>
      </w:r>
      <w:proofErr w:type="spellEnd"/>
      <w:r w:rsidRPr="00F43118">
        <w:rPr>
          <w:u w:color="000000"/>
          <w:bdr w:val="nil"/>
          <w:lang w:val="en-US"/>
        </w:rPr>
        <w:t xml:space="preserve"> </w:t>
      </w:r>
      <w:proofErr w:type="spellStart"/>
      <w:r w:rsidRPr="00F43118">
        <w:rPr>
          <w:u w:color="000000"/>
          <w:bdr w:val="nil"/>
          <w:lang w:val="en-US"/>
        </w:rPr>
        <w:t>prioritises</w:t>
      </w:r>
      <w:proofErr w:type="spellEnd"/>
      <w:r w:rsidRPr="00F43118">
        <w:rPr>
          <w:u w:color="000000"/>
          <w:bdr w:val="nil"/>
          <w:lang w:val="en-US"/>
        </w:rPr>
        <w:t xml:space="preserve"> psychological healt</w:t>
      </w:r>
      <w:r w:rsidR="00642EA3">
        <w:rPr>
          <w:u w:color="000000"/>
          <w:bdr w:val="nil"/>
          <w:lang w:val="en-US"/>
        </w:rPr>
        <w:t>h</w:t>
      </w:r>
      <w:r w:rsidR="00BF7B31">
        <w:rPr>
          <w:u w:color="000000"/>
          <w:bdr w:val="nil"/>
          <w:lang w:val="en-US"/>
        </w:rPr>
        <w:t xml:space="preserve"> versus productivity concerns</w:t>
      </w:r>
      <w:r w:rsidRPr="00F43118">
        <w:rPr>
          <w:u w:color="000000"/>
          <w:bdr w:val="nil"/>
          <w:lang w:val="en-US"/>
        </w:rPr>
        <w:t>. In this way, PSC is conceived as a property of the organisation.</w:t>
      </w:r>
    </w:p>
    <w:p w:rsidR="00087E75" w:rsidRDefault="00392A7D" w:rsidP="0094070E">
      <w:pPr>
        <w:spacing w:after="120"/>
        <w:rPr>
          <w:u w:color="000000"/>
          <w:bdr w:val="nil"/>
          <w:lang w:val="en-US"/>
        </w:rPr>
      </w:pPr>
      <w:r>
        <w:rPr>
          <w:u w:color="000000"/>
          <w:bdr w:val="nil"/>
          <w:lang w:val="en-US"/>
        </w:rPr>
        <w:t xml:space="preserve">PSC is related to bullying and harassment </w:t>
      </w:r>
      <w:r w:rsidR="00087E75">
        <w:rPr>
          <w:u w:color="000000"/>
          <w:bdr w:val="nil"/>
          <w:lang w:val="en-US"/>
        </w:rPr>
        <w:t>in two main ways; (1) in</w:t>
      </w:r>
      <w:r>
        <w:rPr>
          <w:u w:color="000000"/>
          <w:bdr w:val="nil"/>
          <w:lang w:val="en-US"/>
        </w:rPr>
        <w:t xml:space="preserve">directly, via </w:t>
      </w:r>
      <w:r w:rsidR="00087E75">
        <w:rPr>
          <w:u w:color="000000"/>
          <w:bdr w:val="nil"/>
          <w:lang w:val="en-US"/>
        </w:rPr>
        <w:t>the kinds of work conditions it creates</w:t>
      </w:r>
      <w:r w:rsidR="009D08A3">
        <w:rPr>
          <w:u w:color="000000"/>
          <w:bdr w:val="nil"/>
          <w:lang w:val="en-US"/>
        </w:rPr>
        <w:t>; since PSC predicts work contexts that predict bullying and harassment it may be referred to as the</w:t>
      </w:r>
      <w:r w:rsidR="000C3F65">
        <w:rPr>
          <w:u w:color="000000"/>
          <w:bdr w:val="nil"/>
          <w:lang w:val="en-US"/>
        </w:rPr>
        <w:t xml:space="preserve"> ‘cause of the causes’ of bullying and harassment</w:t>
      </w:r>
      <w:r w:rsidR="00087E75">
        <w:rPr>
          <w:u w:color="000000"/>
          <w:bdr w:val="nil"/>
          <w:lang w:val="en-US"/>
        </w:rPr>
        <w:t>; or (2) directly</w:t>
      </w:r>
      <w:r w:rsidR="00FC35EC">
        <w:rPr>
          <w:u w:color="000000"/>
          <w:bdr w:val="nil"/>
          <w:lang w:val="en-US"/>
        </w:rPr>
        <w:t>,</w:t>
      </w:r>
      <w:r w:rsidR="00087E75">
        <w:rPr>
          <w:u w:color="000000"/>
          <w:bdr w:val="nil"/>
          <w:lang w:val="en-US"/>
        </w:rPr>
        <w:t xml:space="preserve"> via policies and practices against wor</w:t>
      </w:r>
      <w:r w:rsidR="0094070E">
        <w:rPr>
          <w:u w:color="000000"/>
          <w:bdr w:val="nil"/>
          <w:lang w:val="en-US"/>
        </w:rPr>
        <w:t>kplace bullying and harassment.</w:t>
      </w:r>
    </w:p>
    <w:p w:rsidR="006F1D5B" w:rsidRDefault="00FC35EC" w:rsidP="0094070E">
      <w:pPr>
        <w:spacing w:after="120"/>
        <w:rPr>
          <w:u w:color="000000"/>
          <w:bdr w:val="nil"/>
          <w:lang w:val="en-US"/>
        </w:rPr>
      </w:pPr>
      <w:r>
        <w:rPr>
          <w:u w:color="000000"/>
          <w:bdr w:val="nil"/>
          <w:lang w:val="en-US"/>
        </w:rPr>
        <w:t xml:space="preserve">In relation to its indirect effect, there is </w:t>
      </w:r>
      <w:r w:rsidRPr="00F43118">
        <w:rPr>
          <w:u w:color="000000"/>
          <w:bdr w:val="nil"/>
          <w:lang w:val="en-US"/>
        </w:rPr>
        <w:t xml:space="preserve">growing evidence </w:t>
      </w:r>
      <w:r>
        <w:rPr>
          <w:u w:color="000000"/>
          <w:bdr w:val="nil"/>
          <w:lang w:val="en-US"/>
        </w:rPr>
        <w:t>to</w:t>
      </w:r>
      <w:r w:rsidRPr="00F43118">
        <w:rPr>
          <w:u w:color="000000"/>
          <w:bdr w:val="nil"/>
          <w:lang w:val="en-US"/>
        </w:rPr>
        <w:t xml:space="preserve"> support the theory that it is an </w:t>
      </w:r>
      <w:proofErr w:type="spellStart"/>
      <w:r w:rsidRPr="00F43118">
        <w:rPr>
          <w:u w:color="000000"/>
          <w:bdr w:val="nil"/>
          <w:lang w:val="en-US"/>
        </w:rPr>
        <w:t>organisations’</w:t>
      </w:r>
      <w:proofErr w:type="spellEnd"/>
      <w:r w:rsidRPr="00F43118">
        <w:rPr>
          <w:u w:color="000000"/>
          <w:bdr w:val="nil"/>
          <w:lang w:val="en-US"/>
        </w:rPr>
        <w:t xml:space="preserve"> climate, specifically t</w:t>
      </w:r>
      <w:r w:rsidR="00CB61DE">
        <w:rPr>
          <w:u w:color="000000"/>
          <w:bdr w:val="nil"/>
          <w:lang w:val="en-US"/>
        </w:rPr>
        <w:t>he PSC</w:t>
      </w:r>
      <w:r w:rsidRPr="00F43118">
        <w:rPr>
          <w:u w:color="000000"/>
          <w:bdr w:val="nil"/>
          <w:lang w:val="en-US"/>
        </w:rPr>
        <w:t xml:space="preserve">, which precedes work risk factors </w:t>
      </w:r>
      <w:r w:rsidR="00C43AE6">
        <w:rPr>
          <w:u w:color="000000"/>
          <w:bdr w:val="nil"/>
          <w:lang w:val="en-US"/>
        </w:rPr>
        <w:t>that are themselves risk factors for b</w:t>
      </w:r>
      <w:r w:rsidRPr="00F43118">
        <w:rPr>
          <w:u w:color="000000"/>
          <w:bdr w:val="nil"/>
          <w:lang w:val="en-US"/>
        </w:rPr>
        <w:t xml:space="preserve">ullying and harassment (Law, Dollard, Tuckey, &amp; </w:t>
      </w:r>
      <w:proofErr w:type="spellStart"/>
      <w:r w:rsidRPr="00F43118">
        <w:rPr>
          <w:u w:color="000000"/>
          <w:bdr w:val="nil"/>
          <w:lang w:val="en-US"/>
        </w:rPr>
        <w:t>Dorma</w:t>
      </w:r>
      <w:r>
        <w:rPr>
          <w:u w:color="000000"/>
          <w:bdr w:val="nil"/>
          <w:lang w:val="en-US"/>
        </w:rPr>
        <w:t>nn</w:t>
      </w:r>
      <w:proofErr w:type="spellEnd"/>
      <w:r>
        <w:rPr>
          <w:u w:color="000000"/>
          <w:bdr w:val="nil"/>
          <w:lang w:val="en-US"/>
        </w:rPr>
        <w:t xml:space="preserve">, 2011). </w:t>
      </w:r>
      <w:r w:rsidR="00F43118" w:rsidRPr="00F43118">
        <w:rPr>
          <w:u w:color="000000"/>
          <w:bdr w:val="nil"/>
          <w:lang w:val="en-US"/>
        </w:rPr>
        <w:t>Research evidence supports the notion that bullying often arises in work environme</w:t>
      </w:r>
      <w:r w:rsidR="0081260D">
        <w:rPr>
          <w:u w:color="000000"/>
          <w:bdr w:val="nil"/>
          <w:lang w:val="en-US"/>
        </w:rPr>
        <w:t>nts with risky job design</w:t>
      </w:r>
      <w:r w:rsidR="00F43118" w:rsidRPr="00F43118">
        <w:rPr>
          <w:u w:color="000000"/>
          <w:bdr w:val="nil"/>
          <w:lang w:val="en-US"/>
        </w:rPr>
        <w:t xml:space="preserve">, such as </w:t>
      </w:r>
      <w:r w:rsidR="0081260D">
        <w:rPr>
          <w:u w:color="000000"/>
          <w:bdr w:val="nil"/>
          <w:lang w:val="en-US"/>
        </w:rPr>
        <w:t>excessive</w:t>
      </w:r>
      <w:r w:rsidR="00F43118" w:rsidRPr="00F43118">
        <w:rPr>
          <w:u w:color="000000"/>
          <w:bdr w:val="nil"/>
          <w:lang w:val="en-US"/>
        </w:rPr>
        <w:t xml:space="preserve"> job </w:t>
      </w:r>
      <w:r w:rsidR="0094070E">
        <w:rPr>
          <w:u w:color="000000"/>
          <w:bdr w:val="nil"/>
          <w:lang w:val="en-US"/>
        </w:rPr>
        <w:t>demands or a lack of resources.</w:t>
      </w:r>
    </w:p>
    <w:p w:rsidR="00F43118" w:rsidRPr="00F43118" w:rsidRDefault="009D08A3" w:rsidP="0094070E">
      <w:pPr>
        <w:spacing w:after="120"/>
        <w:rPr>
          <w:u w:color="000000"/>
          <w:bdr w:val="nil"/>
          <w:lang w:val="en-US"/>
        </w:rPr>
      </w:pPr>
      <w:r>
        <w:rPr>
          <w:u w:color="000000"/>
          <w:bdr w:val="nil"/>
          <w:lang w:val="en-US"/>
        </w:rPr>
        <w:t xml:space="preserve">Senior managers largely have the remit to influence the way jobs are designed. Their actions in relation to job design are guided by the values they hold in relation to worker psychological health. </w:t>
      </w:r>
      <w:r w:rsidR="00F43118" w:rsidRPr="00F43118">
        <w:rPr>
          <w:u w:color="000000"/>
          <w:bdr w:val="nil"/>
          <w:lang w:val="en-US"/>
        </w:rPr>
        <w:t xml:space="preserve">PSC theory </w:t>
      </w:r>
      <w:r>
        <w:rPr>
          <w:u w:color="000000"/>
          <w:bdr w:val="nil"/>
          <w:lang w:val="en-US"/>
        </w:rPr>
        <w:t>explains how this might occur via t</w:t>
      </w:r>
      <w:r w:rsidR="00F43118" w:rsidRPr="00F43118">
        <w:rPr>
          <w:u w:color="000000"/>
          <w:bdr w:val="nil"/>
          <w:lang w:val="en-US"/>
        </w:rPr>
        <w:t>he</w:t>
      </w:r>
      <w:r>
        <w:rPr>
          <w:u w:color="000000"/>
          <w:bdr w:val="nil"/>
          <w:lang w:val="en-US"/>
        </w:rPr>
        <w:t xml:space="preserve"> PSC</w:t>
      </w:r>
      <w:r w:rsidR="00F43118" w:rsidRPr="00F43118">
        <w:rPr>
          <w:u w:color="000000"/>
          <w:bdr w:val="nil"/>
          <w:lang w:val="en-US"/>
        </w:rPr>
        <w:t xml:space="preserve"> </w:t>
      </w:r>
      <w:r>
        <w:rPr>
          <w:u w:color="000000"/>
          <w:bdr w:val="nil"/>
          <w:lang w:val="en-US"/>
        </w:rPr>
        <w:t xml:space="preserve">extended </w:t>
      </w:r>
      <w:r w:rsidR="00F43118" w:rsidRPr="00F43118">
        <w:rPr>
          <w:u w:color="000000"/>
          <w:bdr w:val="nil"/>
          <w:lang w:val="en-US"/>
        </w:rPr>
        <w:t>Job Demands-Resources Model</w:t>
      </w:r>
      <w:r w:rsidR="00FE1767">
        <w:rPr>
          <w:u w:color="000000"/>
          <w:bdr w:val="nil"/>
          <w:lang w:val="en-US"/>
        </w:rPr>
        <w:t xml:space="preserve"> of work stress</w:t>
      </w:r>
      <w:r w:rsidR="00F43118" w:rsidRPr="00F43118">
        <w:rPr>
          <w:u w:color="000000"/>
          <w:bdr w:val="nil"/>
          <w:lang w:val="en-US"/>
        </w:rPr>
        <w:t xml:space="preserve">, </w:t>
      </w:r>
      <w:r>
        <w:rPr>
          <w:u w:color="000000"/>
          <w:bdr w:val="nil"/>
          <w:lang w:val="en-US"/>
        </w:rPr>
        <w:t>and its two</w:t>
      </w:r>
      <w:r w:rsidR="00F43118" w:rsidRPr="00F43118">
        <w:rPr>
          <w:u w:color="000000"/>
          <w:bdr w:val="nil"/>
          <w:lang w:val="en-US"/>
        </w:rPr>
        <w:t xml:space="preserve"> distinct psychological pathways (</w:t>
      </w:r>
      <w:r w:rsidR="00F43118" w:rsidRPr="00F43118">
        <w:rPr>
          <w:u w:color="000000"/>
          <w:bdr w:val="nil"/>
          <w:lang w:val="de-DE"/>
        </w:rPr>
        <w:t>Demerouti, Bakker, Nachreiner, &amp; Schaufeli, 2001)</w:t>
      </w:r>
      <w:r w:rsidR="00F43118" w:rsidRPr="00F43118">
        <w:rPr>
          <w:u w:color="000000"/>
          <w:bdr w:val="nil"/>
          <w:lang w:val="en-US"/>
        </w:rPr>
        <w:t>. The first pathway</w:t>
      </w:r>
      <w:r w:rsidR="00DC56E3">
        <w:rPr>
          <w:u w:color="000000"/>
          <w:bdr w:val="nil"/>
          <w:lang w:val="en-US"/>
        </w:rPr>
        <w:t>, the extended</w:t>
      </w:r>
      <w:r w:rsidR="00F43118" w:rsidRPr="00F43118">
        <w:rPr>
          <w:u w:color="000000"/>
          <w:bdr w:val="nil"/>
          <w:lang w:val="en-US"/>
        </w:rPr>
        <w:t xml:space="preserve"> health erosion pathway, </w:t>
      </w:r>
      <w:proofErr w:type="spellStart"/>
      <w:r w:rsidR="00F43118" w:rsidRPr="00F43118">
        <w:rPr>
          <w:u w:color="000000"/>
          <w:bdr w:val="nil"/>
          <w:lang w:val="en-US"/>
        </w:rPr>
        <w:t>theorises</w:t>
      </w:r>
      <w:proofErr w:type="spellEnd"/>
      <w:r w:rsidR="00F43118" w:rsidRPr="00F43118">
        <w:rPr>
          <w:u w:color="000000"/>
          <w:bdr w:val="nil"/>
          <w:lang w:val="en-US"/>
        </w:rPr>
        <w:t xml:space="preserve"> that </w:t>
      </w:r>
      <w:proofErr w:type="spellStart"/>
      <w:r w:rsidR="00F43118" w:rsidRPr="00F43118">
        <w:rPr>
          <w:u w:color="000000"/>
          <w:bdr w:val="nil"/>
          <w:lang w:val="en-US"/>
        </w:rPr>
        <w:t>organisations</w:t>
      </w:r>
      <w:proofErr w:type="spellEnd"/>
      <w:r w:rsidR="00F43118" w:rsidRPr="00F43118">
        <w:rPr>
          <w:u w:color="000000"/>
          <w:bdr w:val="nil"/>
          <w:lang w:val="en-US"/>
        </w:rPr>
        <w:t xml:space="preserve"> with poor PSC </w:t>
      </w:r>
      <w:r w:rsidR="006F1D5B">
        <w:rPr>
          <w:u w:color="000000"/>
          <w:bdr w:val="nil"/>
          <w:lang w:val="en-US"/>
        </w:rPr>
        <w:t xml:space="preserve">with little concern for worker psychological health, </w:t>
      </w:r>
      <w:r w:rsidR="00E748E0">
        <w:rPr>
          <w:u w:color="000000"/>
          <w:bdr w:val="nil"/>
          <w:lang w:val="en-US"/>
        </w:rPr>
        <w:t xml:space="preserve">may </w:t>
      </w:r>
      <w:r w:rsidR="00C553D2">
        <w:rPr>
          <w:u w:color="000000"/>
          <w:bdr w:val="nil"/>
          <w:lang w:val="en-US"/>
        </w:rPr>
        <w:t xml:space="preserve">generate </w:t>
      </w:r>
      <w:r w:rsidR="00E748E0">
        <w:rPr>
          <w:u w:color="000000"/>
          <w:bdr w:val="nil"/>
          <w:lang w:val="en-US"/>
        </w:rPr>
        <w:t xml:space="preserve">work conditions </w:t>
      </w:r>
      <w:r w:rsidR="00FC35EC">
        <w:rPr>
          <w:u w:color="000000"/>
          <w:bdr w:val="nil"/>
          <w:lang w:val="en-US"/>
        </w:rPr>
        <w:t>that are high in job demands</w:t>
      </w:r>
      <w:r w:rsidR="00751252">
        <w:rPr>
          <w:u w:color="000000"/>
          <w:bdr w:val="nil"/>
          <w:lang w:val="en-US"/>
        </w:rPr>
        <w:t>; excessive</w:t>
      </w:r>
      <w:r w:rsidR="00F43118" w:rsidRPr="00F43118">
        <w:rPr>
          <w:u w:color="000000"/>
          <w:bdr w:val="nil"/>
          <w:lang w:val="en-US"/>
        </w:rPr>
        <w:t xml:space="preserve"> </w:t>
      </w:r>
      <w:r w:rsidR="00FC35EC">
        <w:rPr>
          <w:u w:color="000000"/>
          <w:bdr w:val="nil"/>
          <w:lang w:val="en-US"/>
        </w:rPr>
        <w:t xml:space="preserve">job </w:t>
      </w:r>
      <w:r w:rsidR="00F43118" w:rsidRPr="00F43118">
        <w:rPr>
          <w:u w:color="000000"/>
          <w:bdr w:val="nil"/>
          <w:lang w:val="en-US"/>
        </w:rPr>
        <w:t>demands</w:t>
      </w:r>
      <w:r w:rsidR="00C553D2">
        <w:rPr>
          <w:u w:color="000000"/>
          <w:bdr w:val="nil"/>
          <w:lang w:val="en-US"/>
        </w:rPr>
        <w:t xml:space="preserve"> </w:t>
      </w:r>
      <w:r w:rsidR="00FC35EC">
        <w:rPr>
          <w:u w:color="000000"/>
          <w:bdr w:val="nil"/>
          <w:lang w:val="en-US"/>
        </w:rPr>
        <w:t>such as</w:t>
      </w:r>
      <w:r w:rsidR="00C553D2">
        <w:rPr>
          <w:u w:color="000000"/>
          <w:bdr w:val="nil"/>
          <w:lang w:val="en-US"/>
        </w:rPr>
        <w:t xml:space="preserve"> work pressure</w:t>
      </w:r>
      <w:r w:rsidR="00FC35EC">
        <w:rPr>
          <w:u w:color="000000"/>
          <w:bdr w:val="nil"/>
          <w:lang w:val="en-US"/>
        </w:rPr>
        <w:t xml:space="preserve"> may</w:t>
      </w:r>
      <w:r w:rsidR="006F1D5B">
        <w:rPr>
          <w:u w:color="000000"/>
          <w:bdr w:val="nil"/>
          <w:lang w:val="en-US"/>
        </w:rPr>
        <w:t xml:space="preserve"> give rise to worker distress. As explained below (</w:t>
      </w:r>
      <w:r w:rsidR="00FC35EC">
        <w:rPr>
          <w:u w:color="000000"/>
          <w:bdr w:val="nil"/>
          <w:lang w:val="en-US"/>
        </w:rPr>
        <w:t xml:space="preserve">see the </w:t>
      </w:r>
      <w:r w:rsidR="006F1D5B">
        <w:rPr>
          <w:u w:color="000000"/>
          <w:bdr w:val="nil"/>
          <w:lang w:val="en-US"/>
        </w:rPr>
        <w:t xml:space="preserve">work-environment hypothesis), high demands can engender competition and </w:t>
      </w:r>
      <w:r w:rsidR="006F1D5B">
        <w:rPr>
          <w:u w:color="000000"/>
          <w:bdr w:val="nil"/>
          <w:lang w:val="en-US"/>
        </w:rPr>
        <w:lastRenderedPageBreak/>
        <w:t xml:space="preserve">conflict, that can predispose bullying and harassment. </w:t>
      </w:r>
      <w:r w:rsidR="006F1D5B" w:rsidRPr="00F43118">
        <w:rPr>
          <w:u w:color="000000"/>
          <w:bdr w:val="nil"/>
          <w:lang w:val="en-US"/>
        </w:rPr>
        <w:t>Alternatively, in high</w:t>
      </w:r>
      <w:r w:rsidR="006F1D5B">
        <w:rPr>
          <w:u w:color="000000"/>
          <w:bdr w:val="nil"/>
          <w:lang w:val="en-US"/>
        </w:rPr>
        <w:t xml:space="preserve"> </w:t>
      </w:r>
      <w:r w:rsidR="006F1D5B" w:rsidRPr="00F43118">
        <w:rPr>
          <w:u w:color="000000"/>
          <w:bdr w:val="nil"/>
          <w:lang w:val="en-US"/>
        </w:rPr>
        <w:t>PSC contexts, it is expected that managers will create jobs that have manageable demands (</w:t>
      </w:r>
      <w:r w:rsidR="006F1D5B">
        <w:rPr>
          <w:u w:color="000000"/>
          <w:bdr w:val="nil"/>
          <w:lang w:val="en-US"/>
        </w:rPr>
        <w:t xml:space="preserve">with </w:t>
      </w:r>
      <w:r w:rsidR="006F1D5B" w:rsidRPr="00F43118">
        <w:rPr>
          <w:u w:color="000000"/>
          <w:bdr w:val="nil"/>
          <w:lang w:val="en-US"/>
        </w:rPr>
        <w:t xml:space="preserve">compensatory job resources), </w:t>
      </w:r>
      <w:r w:rsidR="00C553D2">
        <w:rPr>
          <w:u w:color="000000"/>
          <w:bdr w:val="nil"/>
          <w:lang w:val="en-US"/>
        </w:rPr>
        <w:t>thereby preventing bullying and harassment contexts from arising, an</w:t>
      </w:r>
      <w:r w:rsidR="006F1D5B" w:rsidRPr="00F43118">
        <w:rPr>
          <w:u w:color="000000"/>
          <w:bdr w:val="nil"/>
          <w:lang w:val="en-US"/>
        </w:rPr>
        <w:t>d there will be less psychological distress accordingly</w:t>
      </w:r>
      <w:r w:rsidR="00C553D2">
        <w:rPr>
          <w:u w:color="000000"/>
          <w:bdr w:val="nil"/>
          <w:lang w:val="en-US"/>
        </w:rPr>
        <w:t>.</w:t>
      </w:r>
    </w:p>
    <w:p w:rsidR="00392A7D" w:rsidRDefault="00DC56E3" w:rsidP="0094070E">
      <w:pPr>
        <w:spacing w:after="120"/>
        <w:rPr>
          <w:u w:color="000000"/>
          <w:bdr w:val="nil"/>
          <w:lang w:val="en-US"/>
        </w:rPr>
      </w:pPr>
      <w:r>
        <w:rPr>
          <w:u w:color="000000"/>
          <w:bdr w:val="nil"/>
          <w:lang w:val="en-US"/>
        </w:rPr>
        <w:t>T</w:t>
      </w:r>
      <w:r w:rsidR="00F43118" w:rsidRPr="00F43118">
        <w:rPr>
          <w:u w:color="000000"/>
          <w:bdr w:val="nil"/>
          <w:lang w:val="en-US"/>
        </w:rPr>
        <w:t>he second psychological pathway</w:t>
      </w:r>
      <w:r w:rsidR="00392A7D">
        <w:rPr>
          <w:u w:color="000000"/>
          <w:bdr w:val="nil"/>
          <w:lang w:val="en-US"/>
        </w:rPr>
        <w:t xml:space="preserve"> </w:t>
      </w:r>
      <w:r w:rsidR="00F43118" w:rsidRPr="00F43118">
        <w:rPr>
          <w:u w:color="000000"/>
          <w:bdr w:val="nil"/>
          <w:lang w:val="en-US"/>
        </w:rPr>
        <w:t>—</w:t>
      </w:r>
      <w:r w:rsidR="00392A7D">
        <w:rPr>
          <w:u w:color="000000"/>
          <w:bdr w:val="nil"/>
          <w:lang w:val="en-US"/>
        </w:rPr>
        <w:t xml:space="preserve"> </w:t>
      </w:r>
      <w:r w:rsidR="00F43118" w:rsidRPr="00F43118">
        <w:rPr>
          <w:u w:color="000000"/>
          <w:bdr w:val="nil"/>
          <w:lang w:val="en-US"/>
        </w:rPr>
        <w:t xml:space="preserve">the </w:t>
      </w:r>
      <w:r>
        <w:rPr>
          <w:u w:color="000000"/>
          <w:bdr w:val="nil"/>
          <w:lang w:val="en-US"/>
        </w:rPr>
        <w:t>extended motivational pathway</w:t>
      </w:r>
      <w:r w:rsidR="00392A7D">
        <w:rPr>
          <w:u w:color="000000"/>
          <w:bdr w:val="nil"/>
          <w:lang w:val="en-US"/>
        </w:rPr>
        <w:t xml:space="preserve"> </w:t>
      </w:r>
      <w:r>
        <w:rPr>
          <w:u w:color="000000"/>
          <w:bdr w:val="nil"/>
          <w:lang w:val="en-US"/>
        </w:rPr>
        <w:t>—</w:t>
      </w:r>
      <w:r w:rsidR="00392A7D">
        <w:rPr>
          <w:u w:color="000000"/>
          <w:bdr w:val="nil"/>
          <w:lang w:val="en-US"/>
        </w:rPr>
        <w:t xml:space="preserve"> </w:t>
      </w:r>
      <w:r>
        <w:rPr>
          <w:u w:color="000000"/>
          <w:bdr w:val="nil"/>
          <w:lang w:val="en-US"/>
        </w:rPr>
        <w:t xml:space="preserve">links PSC to work </w:t>
      </w:r>
      <w:r w:rsidR="001E33E0">
        <w:rPr>
          <w:u w:color="000000"/>
          <w:bdr w:val="nil"/>
          <w:lang w:val="en-US"/>
        </w:rPr>
        <w:t>engagement</w:t>
      </w:r>
      <w:r>
        <w:rPr>
          <w:u w:color="000000"/>
          <w:bdr w:val="nil"/>
          <w:lang w:val="en-US"/>
        </w:rPr>
        <w:t xml:space="preserve">. When an </w:t>
      </w:r>
      <w:proofErr w:type="spellStart"/>
      <w:r>
        <w:rPr>
          <w:u w:color="000000"/>
          <w:bdr w:val="nil"/>
          <w:lang w:val="en-US"/>
        </w:rPr>
        <w:t>organisation</w:t>
      </w:r>
      <w:proofErr w:type="spellEnd"/>
      <w:r>
        <w:rPr>
          <w:u w:color="000000"/>
          <w:bdr w:val="nil"/>
          <w:lang w:val="en-US"/>
        </w:rPr>
        <w:t xml:space="preserve"> </w:t>
      </w:r>
      <w:proofErr w:type="spellStart"/>
      <w:r w:rsidR="00F43118" w:rsidRPr="00F43118">
        <w:rPr>
          <w:u w:color="000000"/>
          <w:bdr w:val="nil"/>
          <w:lang w:val="en-US"/>
        </w:rPr>
        <w:t>prioritises</w:t>
      </w:r>
      <w:proofErr w:type="spellEnd"/>
      <w:r w:rsidR="00F43118" w:rsidRPr="00F43118">
        <w:rPr>
          <w:u w:color="000000"/>
          <w:bdr w:val="nil"/>
          <w:lang w:val="en-US"/>
        </w:rPr>
        <w:t xml:space="preserve"> worker well-being</w:t>
      </w:r>
      <w:r>
        <w:rPr>
          <w:u w:color="000000"/>
          <w:bdr w:val="nil"/>
          <w:lang w:val="en-US"/>
        </w:rPr>
        <w:t xml:space="preserve"> </w:t>
      </w:r>
      <w:r w:rsidR="001E33E0">
        <w:rPr>
          <w:u w:color="000000"/>
          <w:bdr w:val="nil"/>
          <w:lang w:val="en-US"/>
        </w:rPr>
        <w:t>it</w:t>
      </w:r>
      <w:r>
        <w:rPr>
          <w:u w:color="000000"/>
          <w:bdr w:val="nil"/>
          <w:lang w:val="en-US"/>
        </w:rPr>
        <w:t xml:space="preserve"> likely</w:t>
      </w:r>
      <w:r w:rsidR="00F43118" w:rsidRPr="00F43118">
        <w:rPr>
          <w:u w:color="000000"/>
          <w:bdr w:val="nil"/>
          <w:lang w:val="en-US"/>
        </w:rPr>
        <w:t xml:space="preserve"> provide</w:t>
      </w:r>
      <w:r w:rsidR="001E33E0">
        <w:rPr>
          <w:u w:color="000000"/>
          <w:bdr w:val="nil"/>
          <w:lang w:val="en-US"/>
        </w:rPr>
        <w:t>s</w:t>
      </w:r>
      <w:r>
        <w:rPr>
          <w:u w:color="000000"/>
          <w:bdr w:val="nil"/>
          <w:lang w:val="en-US"/>
        </w:rPr>
        <w:t xml:space="preserve"> </w:t>
      </w:r>
      <w:r w:rsidR="00F43118" w:rsidRPr="00F43118">
        <w:rPr>
          <w:u w:color="000000"/>
          <w:bdr w:val="nil"/>
          <w:lang w:val="en-US"/>
        </w:rPr>
        <w:t>job resources</w:t>
      </w:r>
      <w:r>
        <w:rPr>
          <w:u w:color="000000"/>
          <w:bdr w:val="nil"/>
          <w:lang w:val="en-US"/>
        </w:rPr>
        <w:t xml:space="preserve"> such as job control, rewards, </w:t>
      </w:r>
      <w:r w:rsidR="00392A7D">
        <w:rPr>
          <w:u w:color="000000"/>
          <w:bdr w:val="nil"/>
          <w:lang w:val="en-US"/>
        </w:rPr>
        <w:t xml:space="preserve">and </w:t>
      </w:r>
      <w:r>
        <w:rPr>
          <w:u w:color="000000"/>
          <w:bdr w:val="nil"/>
          <w:lang w:val="en-US"/>
        </w:rPr>
        <w:t xml:space="preserve">social support that can be intrinsically motivating </w:t>
      </w:r>
      <w:r w:rsidR="009D08A3">
        <w:rPr>
          <w:u w:color="000000"/>
          <w:bdr w:val="nil"/>
          <w:lang w:val="en-US"/>
        </w:rPr>
        <w:t>in their own right</w:t>
      </w:r>
      <w:r w:rsidR="001E33E0">
        <w:rPr>
          <w:u w:color="000000"/>
          <w:bdr w:val="nil"/>
          <w:lang w:val="en-US"/>
        </w:rPr>
        <w:t xml:space="preserve"> and increase work engagement; </w:t>
      </w:r>
      <w:r w:rsidR="009D08A3">
        <w:rPr>
          <w:u w:color="000000"/>
          <w:bdr w:val="nil"/>
          <w:lang w:val="en-US"/>
        </w:rPr>
        <w:t xml:space="preserve">but </w:t>
      </w:r>
      <w:r w:rsidR="001E33E0">
        <w:rPr>
          <w:u w:color="000000"/>
          <w:bdr w:val="nil"/>
          <w:lang w:val="en-US"/>
        </w:rPr>
        <w:t>resources</w:t>
      </w:r>
      <w:r>
        <w:rPr>
          <w:u w:color="000000"/>
          <w:bdr w:val="nil"/>
          <w:lang w:val="en-US"/>
        </w:rPr>
        <w:t xml:space="preserve"> can </w:t>
      </w:r>
      <w:r w:rsidR="00DC5A9C">
        <w:rPr>
          <w:u w:color="000000"/>
          <w:bdr w:val="nil"/>
          <w:lang w:val="en-US"/>
        </w:rPr>
        <w:t xml:space="preserve">also </w:t>
      </w:r>
      <w:r>
        <w:rPr>
          <w:u w:color="000000"/>
          <w:bdr w:val="nil"/>
          <w:lang w:val="en-US"/>
        </w:rPr>
        <w:t xml:space="preserve">help workers </w:t>
      </w:r>
      <w:r w:rsidR="00F43118" w:rsidRPr="00F43118">
        <w:rPr>
          <w:u w:color="000000"/>
          <w:bdr w:val="nil"/>
          <w:lang w:val="en-US"/>
        </w:rPr>
        <w:t>to handle job demands</w:t>
      </w:r>
      <w:r w:rsidR="00DC5A9C">
        <w:rPr>
          <w:u w:color="000000"/>
          <w:bdr w:val="nil"/>
          <w:lang w:val="en-US"/>
        </w:rPr>
        <w:t xml:space="preserve"> in order to meet personal and </w:t>
      </w:r>
      <w:proofErr w:type="spellStart"/>
      <w:r w:rsidR="00DC5A9C">
        <w:rPr>
          <w:u w:color="000000"/>
          <w:bdr w:val="nil"/>
          <w:lang w:val="en-US"/>
        </w:rPr>
        <w:t>organisational</w:t>
      </w:r>
      <w:proofErr w:type="spellEnd"/>
      <w:r w:rsidR="00DC5A9C">
        <w:rPr>
          <w:u w:color="000000"/>
          <w:bdr w:val="nil"/>
          <w:lang w:val="en-US"/>
        </w:rPr>
        <w:t xml:space="preserve"> goals</w:t>
      </w:r>
      <w:r w:rsidR="00F43118" w:rsidRPr="00F43118">
        <w:rPr>
          <w:u w:color="000000"/>
          <w:bdr w:val="nil"/>
          <w:lang w:val="en-US"/>
        </w:rPr>
        <w:t>. The other side to this is that in low</w:t>
      </w:r>
      <w:r w:rsidR="00C553D2">
        <w:rPr>
          <w:u w:color="000000"/>
          <w:bdr w:val="nil"/>
          <w:lang w:val="en-US"/>
        </w:rPr>
        <w:t xml:space="preserve"> </w:t>
      </w:r>
      <w:r w:rsidR="00F43118" w:rsidRPr="00F43118">
        <w:rPr>
          <w:u w:color="000000"/>
          <w:bdr w:val="nil"/>
          <w:lang w:val="en-US"/>
        </w:rPr>
        <w:t xml:space="preserve">PSC contexts, the level of resources is </w:t>
      </w:r>
      <w:r w:rsidR="001E33E0">
        <w:rPr>
          <w:u w:color="000000"/>
          <w:bdr w:val="nil"/>
          <w:lang w:val="en-US"/>
        </w:rPr>
        <w:t xml:space="preserve">also </w:t>
      </w:r>
      <w:r w:rsidR="00F43118" w:rsidRPr="00F43118">
        <w:rPr>
          <w:u w:color="000000"/>
          <w:bdr w:val="nil"/>
          <w:lang w:val="en-US"/>
        </w:rPr>
        <w:t>low</w:t>
      </w:r>
      <w:r w:rsidR="001E33E0">
        <w:rPr>
          <w:u w:color="000000"/>
          <w:bdr w:val="nil"/>
          <w:lang w:val="en-US"/>
        </w:rPr>
        <w:t>. B</w:t>
      </w:r>
      <w:r w:rsidR="00F43118" w:rsidRPr="00F43118">
        <w:rPr>
          <w:u w:color="000000"/>
          <w:bdr w:val="nil"/>
          <w:lang w:val="en-US"/>
        </w:rPr>
        <w:t>ullying</w:t>
      </w:r>
      <w:r w:rsidR="001E33E0">
        <w:rPr>
          <w:u w:color="000000"/>
          <w:bdr w:val="nil"/>
          <w:lang w:val="en-US"/>
        </w:rPr>
        <w:t xml:space="preserve"> and harassment </w:t>
      </w:r>
      <w:r w:rsidR="007C3738">
        <w:rPr>
          <w:u w:color="000000"/>
          <w:bdr w:val="nil"/>
          <w:lang w:val="en-US"/>
        </w:rPr>
        <w:t xml:space="preserve">are </w:t>
      </w:r>
      <w:r w:rsidR="001E33E0">
        <w:rPr>
          <w:u w:color="000000"/>
          <w:bdr w:val="nil"/>
          <w:lang w:val="en-US"/>
        </w:rPr>
        <w:t xml:space="preserve">likely to occur in low resource contexts, due to </w:t>
      </w:r>
      <w:r w:rsidR="00F43118" w:rsidRPr="00F43118">
        <w:rPr>
          <w:u w:color="000000"/>
          <w:bdr w:val="nil"/>
          <w:lang w:val="en-US"/>
        </w:rPr>
        <w:t xml:space="preserve">competition for resources. Overall, in higher PSC contexts, the </w:t>
      </w:r>
      <w:r w:rsidR="001E33E0">
        <w:rPr>
          <w:u w:color="000000"/>
          <w:bdr w:val="nil"/>
          <w:lang w:val="en-US"/>
        </w:rPr>
        <w:t xml:space="preserve">conditions </w:t>
      </w:r>
      <w:r w:rsidR="00F43118" w:rsidRPr="00F43118">
        <w:rPr>
          <w:u w:color="000000"/>
          <w:bdr w:val="nil"/>
          <w:lang w:val="en-US"/>
        </w:rPr>
        <w:t xml:space="preserve">that can fuel bullying </w:t>
      </w:r>
      <w:proofErr w:type="spellStart"/>
      <w:r w:rsidR="00F43118" w:rsidRPr="00F43118">
        <w:rPr>
          <w:u w:color="000000"/>
          <w:bdr w:val="nil"/>
          <w:lang w:val="en-US"/>
        </w:rPr>
        <w:t>behaviours</w:t>
      </w:r>
      <w:proofErr w:type="spellEnd"/>
      <w:r w:rsidR="00F43118" w:rsidRPr="00F43118">
        <w:rPr>
          <w:u w:color="000000"/>
          <w:bdr w:val="nil"/>
          <w:lang w:val="en-US"/>
        </w:rPr>
        <w:t xml:space="preserve"> </w:t>
      </w:r>
      <w:r w:rsidR="001E33E0">
        <w:rPr>
          <w:u w:color="000000"/>
          <w:bdr w:val="nil"/>
          <w:lang w:val="en-US"/>
        </w:rPr>
        <w:t xml:space="preserve">(high demands, low resources) </w:t>
      </w:r>
      <w:r w:rsidR="00F43118" w:rsidRPr="00F43118">
        <w:rPr>
          <w:u w:color="000000"/>
          <w:bdr w:val="nil"/>
          <w:lang w:val="en-US"/>
        </w:rPr>
        <w:t xml:space="preserve">would </w:t>
      </w:r>
      <w:r w:rsidR="001E33E0">
        <w:rPr>
          <w:u w:color="000000"/>
          <w:bdr w:val="nil"/>
          <w:lang w:val="en-US"/>
        </w:rPr>
        <w:t>be less likely</w:t>
      </w:r>
      <w:r w:rsidR="00F43118" w:rsidRPr="00F43118">
        <w:rPr>
          <w:u w:color="000000"/>
          <w:bdr w:val="nil"/>
          <w:lang w:val="en-US"/>
        </w:rPr>
        <w:t>; personal resources would not be</w:t>
      </w:r>
      <w:r w:rsidR="00FE1767">
        <w:rPr>
          <w:u w:color="000000"/>
          <w:bdr w:val="nil"/>
          <w:lang w:val="en-US"/>
        </w:rPr>
        <w:t xml:space="preserve"> </w:t>
      </w:r>
      <w:r w:rsidR="00F43118" w:rsidRPr="00F43118">
        <w:rPr>
          <w:u w:color="000000"/>
          <w:bdr w:val="nil"/>
          <w:lang w:val="en-US"/>
        </w:rPr>
        <w:t>over-taxed</w:t>
      </w:r>
      <w:r w:rsidR="001E33E0">
        <w:rPr>
          <w:u w:color="000000"/>
          <w:bdr w:val="nil"/>
          <w:lang w:val="en-US"/>
        </w:rPr>
        <w:t xml:space="preserve"> and </w:t>
      </w:r>
      <w:r w:rsidR="001E33E0" w:rsidRPr="00F43118">
        <w:rPr>
          <w:u w:color="000000"/>
          <w:bdr w:val="nil"/>
          <w:lang w:val="en-US"/>
        </w:rPr>
        <w:t xml:space="preserve">worker psychological needs </w:t>
      </w:r>
      <w:r w:rsidR="001E33E0">
        <w:rPr>
          <w:u w:color="000000"/>
          <w:bdr w:val="nil"/>
          <w:lang w:val="en-US"/>
        </w:rPr>
        <w:t xml:space="preserve">for meaning, control, and social connectedness </w:t>
      </w:r>
      <w:r w:rsidR="001E33E0" w:rsidRPr="00F43118">
        <w:rPr>
          <w:u w:color="000000"/>
          <w:bdr w:val="nil"/>
          <w:lang w:val="en-US"/>
        </w:rPr>
        <w:t>would be met</w:t>
      </w:r>
      <w:r w:rsidR="001E33E0">
        <w:rPr>
          <w:u w:color="000000"/>
          <w:bdr w:val="nil"/>
          <w:lang w:val="en-US"/>
        </w:rPr>
        <w:t>, leading to less stress and more work engagement.</w:t>
      </w:r>
    </w:p>
    <w:p w:rsidR="00F43118" w:rsidRPr="00F43118" w:rsidRDefault="009D08A3" w:rsidP="0094070E">
      <w:pPr>
        <w:spacing w:after="120"/>
        <w:rPr>
          <w:u w:color="000000"/>
          <w:bdr w:val="nil"/>
          <w:lang w:val="en-US"/>
        </w:rPr>
      </w:pPr>
      <w:r>
        <w:rPr>
          <w:u w:color="000000"/>
          <w:bdr w:val="nil"/>
          <w:lang w:val="en-US"/>
        </w:rPr>
        <w:t xml:space="preserve">PSC may </w:t>
      </w:r>
      <w:r w:rsidR="00FC35EC">
        <w:rPr>
          <w:u w:color="000000"/>
          <w:bdr w:val="nil"/>
          <w:lang w:val="en-US"/>
        </w:rPr>
        <w:t xml:space="preserve">also </w:t>
      </w:r>
      <w:r>
        <w:rPr>
          <w:u w:color="000000"/>
          <w:bdr w:val="nil"/>
          <w:lang w:val="en-US"/>
        </w:rPr>
        <w:t xml:space="preserve">have </w:t>
      </w:r>
      <w:r w:rsidRPr="00DD3A77">
        <w:rPr>
          <w:i/>
          <w:u w:color="000000"/>
          <w:bdr w:val="nil"/>
          <w:lang w:val="en-US"/>
        </w:rPr>
        <w:t xml:space="preserve">direct </w:t>
      </w:r>
      <w:r>
        <w:rPr>
          <w:u w:color="000000"/>
          <w:bdr w:val="nil"/>
          <w:lang w:val="en-US"/>
        </w:rPr>
        <w:t xml:space="preserve">effects via </w:t>
      </w:r>
      <w:r w:rsidR="00FC35EC">
        <w:rPr>
          <w:u w:color="000000"/>
          <w:bdr w:val="nil"/>
          <w:lang w:val="en-US"/>
        </w:rPr>
        <w:t xml:space="preserve">specific </w:t>
      </w:r>
      <w:r>
        <w:rPr>
          <w:u w:color="000000"/>
          <w:bdr w:val="nil"/>
          <w:lang w:val="en-US"/>
        </w:rPr>
        <w:t xml:space="preserve">policies and practices against bullying and harassment. </w:t>
      </w:r>
      <w:r w:rsidR="00FE1767">
        <w:rPr>
          <w:u w:color="000000"/>
          <w:bdr w:val="nil"/>
          <w:lang w:val="en-US"/>
        </w:rPr>
        <w:t>H</w:t>
      </w:r>
      <w:r w:rsidR="00392A7D" w:rsidRPr="00F43118">
        <w:rPr>
          <w:u w:color="000000"/>
          <w:bdr w:val="nil"/>
          <w:lang w:val="en-US"/>
        </w:rPr>
        <w:t>igh</w:t>
      </w:r>
      <w:r w:rsidR="00392A7D">
        <w:rPr>
          <w:u w:color="000000"/>
          <w:bdr w:val="nil"/>
          <w:lang w:val="en-US"/>
        </w:rPr>
        <w:t xml:space="preserve"> </w:t>
      </w:r>
      <w:r w:rsidR="00392A7D" w:rsidRPr="00F43118">
        <w:rPr>
          <w:u w:color="000000"/>
          <w:bdr w:val="nil"/>
          <w:lang w:val="en-US"/>
        </w:rPr>
        <w:t xml:space="preserve">PSC </w:t>
      </w:r>
      <w:proofErr w:type="spellStart"/>
      <w:r w:rsidR="00392A7D" w:rsidRPr="00F43118">
        <w:rPr>
          <w:u w:color="000000"/>
          <w:bdr w:val="nil"/>
          <w:lang w:val="en-US"/>
        </w:rPr>
        <w:t>organisations</w:t>
      </w:r>
      <w:proofErr w:type="spellEnd"/>
      <w:r w:rsidR="00392A7D" w:rsidRPr="00F43118">
        <w:rPr>
          <w:u w:color="000000"/>
          <w:bdr w:val="nil"/>
          <w:lang w:val="en-US"/>
        </w:rPr>
        <w:t xml:space="preserve"> have policies in place to </w:t>
      </w:r>
      <w:r w:rsidR="00FE1767">
        <w:rPr>
          <w:u w:color="000000"/>
          <w:bdr w:val="nil"/>
          <w:lang w:val="en-US"/>
        </w:rPr>
        <w:t>prevent and manage</w:t>
      </w:r>
      <w:r w:rsidR="00392A7D" w:rsidRPr="00F43118">
        <w:rPr>
          <w:u w:color="000000"/>
          <w:bdr w:val="nil"/>
          <w:lang w:val="en-US"/>
        </w:rPr>
        <w:t xml:space="preserve"> bullying </w:t>
      </w:r>
      <w:r w:rsidR="00392A7D">
        <w:rPr>
          <w:u w:color="000000"/>
          <w:bdr w:val="nil"/>
          <w:lang w:val="en-US"/>
        </w:rPr>
        <w:t xml:space="preserve">and harassment </w:t>
      </w:r>
      <w:r w:rsidR="00FC35EC">
        <w:rPr>
          <w:u w:color="000000"/>
          <w:bdr w:val="nil"/>
          <w:lang w:val="en-US"/>
        </w:rPr>
        <w:t>explicitly</w:t>
      </w:r>
      <w:r w:rsidR="00392A7D">
        <w:rPr>
          <w:u w:color="000000"/>
          <w:bdr w:val="nil"/>
          <w:lang w:val="en-US"/>
        </w:rPr>
        <w:t>.</w:t>
      </w:r>
      <w:r w:rsidR="00392A7D" w:rsidRPr="00F43118">
        <w:rPr>
          <w:u w:color="000000"/>
          <w:bdr w:val="nil"/>
          <w:lang w:val="en-US"/>
        </w:rPr>
        <w:t xml:space="preserve"> </w:t>
      </w:r>
      <w:r w:rsidR="00FE1767" w:rsidRPr="00F43118">
        <w:rPr>
          <w:u w:color="000000"/>
          <w:bdr w:val="nil"/>
          <w:lang w:val="en-US"/>
        </w:rPr>
        <w:t xml:space="preserve">Within </w:t>
      </w:r>
      <w:r w:rsidR="00FE1767">
        <w:rPr>
          <w:u w:color="000000"/>
          <w:bdr w:val="nil"/>
          <w:lang w:val="en-US"/>
        </w:rPr>
        <w:t>high PSC contexts</w:t>
      </w:r>
      <w:r w:rsidR="00FE1767" w:rsidRPr="00F43118">
        <w:rPr>
          <w:u w:color="000000"/>
          <w:bdr w:val="nil"/>
          <w:lang w:val="en-US"/>
        </w:rPr>
        <w:t xml:space="preserve">, bullying </w:t>
      </w:r>
      <w:r w:rsidR="00FE1767">
        <w:rPr>
          <w:u w:color="000000"/>
          <w:bdr w:val="nil"/>
          <w:lang w:val="en-US"/>
        </w:rPr>
        <w:t>and harassment is</w:t>
      </w:r>
      <w:r w:rsidR="00FE1767" w:rsidRPr="00F43118">
        <w:rPr>
          <w:u w:color="000000"/>
          <w:bdr w:val="nil"/>
          <w:lang w:val="en-US"/>
        </w:rPr>
        <w:t xml:space="preserve"> not tolerated and available resources to help mitigate bullying can </w:t>
      </w:r>
      <w:r w:rsidR="00FE1767">
        <w:rPr>
          <w:u w:color="000000"/>
          <w:bdr w:val="nil"/>
          <w:lang w:val="en-US"/>
        </w:rPr>
        <w:t xml:space="preserve">be safely accessed, therefore, </w:t>
      </w:r>
      <w:r w:rsidR="00FE1767" w:rsidRPr="00F43118">
        <w:rPr>
          <w:u w:color="000000"/>
          <w:bdr w:val="nil"/>
          <w:lang w:val="en-US"/>
        </w:rPr>
        <w:t xml:space="preserve">workers generally experience </w:t>
      </w:r>
      <w:r w:rsidR="00FE1767">
        <w:rPr>
          <w:u w:color="000000"/>
          <w:bdr w:val="nil"/>
          <w:lang w:val="en-US"/>
        </w:rPr>
        <w:t xml:space="preserve">less stress and </w:t>
      </w:r>
      <w:r w:rsidR="002017E9">
        <w:rPr>
          <w:u w:color="000000"/>
          <w:bdr w:val="nil"/>
          <w:lang w:val="en-US"/>
        </w:rPr>
        <w:t xml:space="preserve">more </w:t>
      </w:r>
      <w:r w:rsidR="00FE1767" w:rsidRPr="00F43118">
        <w:rPr>
          <w:u w:color="000000"/>
          <w:bdr w:val="nil"/>
          <w:lang w:val="en-US"/>
        </w:rPr>
        <w:t>positive outcomes such as work engagement and job satisfaction.</w:t>
      </w:r>
      <w:r w:rsidR="00FE1767">
        <w:rPr>
          <w:u w:color="000000"/>
          <w:bdr w:val="nil"/>
          <w:lang w:val="en-US"/>
        </w:rPr>
        <w:t xml:space="preserve"> </w:t>
      </w:r>
      <w:r w:rsidR="00392A7D" w:rsidRPr="00F43118">
        <w:rPr>
          <w:u w:color="000000"/>
          <w:bdr w:val="nil"/>
          <w:lang w:val="en-US"/>
        </w:rPr>
        <w:t>Th</w:t>
      </w:r>
      <w:r w:rsidR="00FE1767">
        <w:rPr>
          <w:u w:color="000000"/>
          <w:bdr w:val="nil"/>
          <w:lang w:val="en-US"/>
        </w:rPr>
        <w:t xml:space="preserve">ese propositions were </w:t>
      </w:r>
      <w:r w:rsidR="00392A7D" w:rsidRPr="00F43118">
        <w:rPr>
          <w:u w:color="000000"/>
          <w:bdr w:val="nil"/>
          <w:lang w:val="en-US"/>
        </w:rPr>
        <w:t xml:space="preserve">supported in </w:t>
      </w:r>
      <w:r w:rsidR="00FE1767">
        <w:rPr>
          <w:u w:color="000000"/>
          <w:bdr w:val="nil"/>
          <w:lang w:val="en-US"/>
        </w:rPr>
        <w:t xml:space="preserve">a </w:t>
      </w:r>
      <w:r w:rsidR="00392A7D" w:rsidRPr="00F43118">
        <w:rPr>
          <w:u w:color="000000"/>
          <w:bdr w:val="nil"/>
          <w:lang w:val="en-US"/>
        </w:rPr>
        <w:t xml:space="preserve">recent </w:t>
      </w:r>
      <w:r w:rsidR="00FE1767">
        <w:rPr>
          <w:u w:color="000000"/>
          <w:bdr w:val="nil"/>
          <w:lang w:val="en-US"/>
        </w:rPr>
        <w:t>study</w:t>
      </w:r>
      <w:r w:rsidR="00392A7D" w:rsidRPr="00F43118">
        <w:rPr>
          <w:u w:color="000000"/>
          <w:bdr w:val="nil"/>
          <w:lang w:val="en-US"/>
        </w:rPr>
        <w:t xml:space="preserve"> by Kwan, Tuckey, and Dollard (2015),</w:t>
      </w:r>
      <w:r w:rsidR="00392A7D">
        <w:rPr>
          <w:u w:color="000000"/>
          <w:bdr w:val="nil"/>
          <w:lang w:val="en-US"/>
        </w:rPr>
        <w:t xml:space="preserve"> which showed</w:t>
      </w:r>
      <w:r w:rsidR="00392A7D" w:rsidRPr="00F43118">
        <w:rPr>
          <w:u w:color="000000"/>
          <w:bdr w:val="nil"/>
          <w:lang w:val="en-US"/>
        </w:rPr>
        <w:t xml:space="preserve"> </w:t>
      </w:r>
      <w:r w:rsidR="00392A7D">
        <w:rPr>
          <w:u w:color="000000"/>
          <w:bdr w:val="nil"/>
          <w:lang w:val="en-US"/>
        </w:rPr>
        <w:t xml:space="preserve">that </w:t>
      </w:r>
      <w:proofErr w:type="spellStart"/>
      <w:r w:rsidR="00392A7D" w:rsidRPr="00F43118">
        <w:rPr>
          <w:u w:color="000000"/>
          <w:bdr w:val="nil"/>
          <w:lang w:val="en-US"/>
        </w:rPr>
        <w:t>organisations</w:t>
      </w:r>
      <w:proofErr w:type="spellEnd"/>
      <w:r w:rsidR="00392A7D" w:rsidRPr="00F43118">
        <w:rPr>
          <w:u w:color="000000"/>
          <w:bdr w:val="nil"/>
          <w:lang w:val="en-US"/>
        </w:rPr>
        <w:t xml:space="preserve"> with high PSC enable</w:t>
      </w:r>
      <w:r w:rsidR="00392A7D">
        <w:rPr>
          <w:u w:color="000000"/>
          <w:bdr w:val="nil"/>
          <w:lang w:val="en-US"/>
        </w:rPr>
        <w:t>d</w:t>
      </w:r>
      <w:r w:rsidR="00392A7D" w:rsidRPr="00F43118">
        <w:rPr>
          <w:u w:color="000000"/>
          <w:bdr w:val="nil"/>
          <w:lang w:val="en-US"/>
        </w:rPr>
        <w:t xml:space="preserve"> </w:t>
      </w:r>
      <w:r w:rsidR="00392A7D">
        <w:rPr>
          <w:u w:color="000000"/>
          <w:bdr w:val="nil"/>
          <w:lang w:val="en-US"/>
        </w:rPr>
        <w:t xml:space="preserve">their </w:t>
      </w:r>
      <w:r w:rsidR="00392A7D" w:rsidRPr="00F43118">
        <w:rPr>
          <w:u w:color="000000"/>
          <w:bdr w:val="nil"/>
          <w:lang w:val="en-US"/>
        </w:rPr>
        <w:t xml:space="preserve">workers to use </w:t>
      </w:r>
      <w:r w:rsidR="00392A7D">
        <w:rPr>
          <w:u w:color="000000"/>
          <w:bdr w:val="nil"/>
          <w:lang w:val="en-US"/>
        </w:rPr>
        <w:t xml:space="preserve">their </w:t>
      </w:r>
      <w:r w:rsidR="00392A7D" w:rsidRPr="00F43118">
        <w:rPr>
          <w:u w:color="000000"/>
          <w:bdr w:val="nil"/>
          <w:lang w:val="en-US"/>
        </w:rPr>
        <w:t xml:space="preserve">voice to raise bullying concerns, which led to swift resolutions of bullying. In </w:t>
      </w:r>
      <w:proofErr w:type="spellStart"/>
      <w:r w:rsidR="00392A7D" w:rsidRPr="00F43118">
        <w:rPr>
          <w:u w:color="000000"/>
          <w:bdr w:val="nil"/>
          <w:lang w:val="en-US"/>
        </w:rPr>
        <w:t>organisations</w:t>
      </w:r>
      <w:proofErr w:type="spellEnd"/>
      <w:r w:rsidR="00392A7D" w:rsidRPr="00F43118">
        <w:rPr>
          <w:u w:color="000000"/>
          <w:bdr w:val="nil"/>
          <w:lang w:val="en-US"/>
        </w:rPr>
        <w:t xml:space="preserve"> with poor PSC, the workers acquiesce</w:t>
      </w:r>
      <w:r w:rsidR="00392A7D">
        <w:rPr>
          <w:u w:color="000000"/>
          <w:bdr w:val="nil"/>
          <w:lang w:val="en-US"/>
        </w:rPr>
        <w:t>d</w:t>
      </w:r>
      <w:r w:rsidR="00392A7D" w:rsidRPr="00F43118">
        <w:rPr>
          <w:u w:color="000000"/>
          <w:bdr w:val="nil"/>
          <w:lang w:val="en-US"/>
        </w:rPr>
        <w:t xml:space="preserve"> to the bullying, and with no managerial </w:t>
      </w:r>
      <w:r w:rsidR="00FC35EC">
        <w:rPr>
          <w:u w:color="000000"/>
          <w:bdr w:val="nil"/>
          <w:lang w:val="en-US"/>
        </w:rPr>
        <w:t>support</w:t>
      </w:r>
      <w:r w:rsidR="00392A7D">
        <w:rPr>
          <w:u w:color="000000"/>
          <w:bdr w:val="nil"/>
          <w:lang w:val="en-US"/>
        </w:rPr>
        <w:t>,</w:t>
      </w:r>
      <w:r w:rsidR="00392A7D" w:rsidRPr="00F43118">
        <w:rPr>
          <w:u w:color="000000"/>
          <w:bdr w:val="nil"/>
          <w:lang w:val="en-US"/>
        </w:rPr>
        <w:t xml:space="preserve"> the</w:t>
      </w:r>
      <w:r w:rsidR="00392A7D">
        <w:rPr>
          <w:u w:color="000000"/>
          <w:bdr w:val="nil"/>
          <w:lang w:val="en-US"/>
        </w:rPr>
        <w:t xml:space="preserve"> situation was unresolved and workers</w:t>
      </w:r>
      <w:r w:rsidR="00392A7D" w:rsidRPr="00F43118">
        <w:rPr>
          <w:u w:color="000000"/>
          <w:bdr w:val="nil"/>
          <w:lang w:val="en-US"/>
        </w:rPr>
        <w:t xml:space="preserve"> were more likely to leave the organisation (Kwan, et al., 2015).</w:t>
      </w:r>
    </w:p>
    <w:p w:rsidR="00F43118" w:rsidRPr="00F43118" w:rsidRDefault="00C553D2" w:rsidP="0094070E">
      <w:pPr>
        <w:spacing w:after="120"/>
        <w:rPr>
          <w:u w:color="000000"/>
          <w:bdr w:val="nil"/>
          <w:lang w:val="en-US"/>
        </w:rPr>
      </w:pPr>
      <w:r>
        <w:rPr>
          <w:u w:color="000000"/>
          <w:bdr w:val="nil"/>
          <w:lang w:val="en-US"/>
        </w:rPr>
        <w:t>Above other work stress theories,</w:t>
      </w:r>
      <w:r w:rsidR="00F43118" w:rsidRPr="00F43118">
        <w:rPr>
          <w:u w:color="000000"/>
          <w:bdr w:val="nil"/>
          <w:lang w:val="en-US"/>
        </w:rPr>
        <w:t xml:space="preserve"> PSC is considered the leading indicator and major predictor for </w:t>
      </w:r>
      <w:r w:rsidR="00F43118" w:rsidRPr="00F43118">
        <w:rPr>
          <w:i/>
          <w:u w:color="000000"/>
          <w:bdr w:val="nil"/>
          <w:lang w:val="en-US"/>
        </w:rPr>
        <w:t>all</w:t>
      </w:r>
      <w:r w:rsidR="00F43118" w:rsidRPr="00F43118">
        <w:rPr>
          <w:u w:color="000000"/>
          <w:bdr w:val="nil"/>
          <w:lang w:val="en-US"/>
        </w:rPr>
        <w:t xml:space="preserve"> work-related psychosocial factors and their consequential health outcomes (Law et al., 2011). The extent of PSC’s ability to predict incidences </w:t>
      </w:r>
      <w:r w:rsidR="00BF6E24">
        <w:rPr>
          <w:u w:color="000000"/>
          <w:bdr w:val="nil"/>
          <w:lang w:val="en-US"/>
        </w:rPr>
        <w:t xml:space="preserve">of bullying and harassment </w:t>
      </w:r>
      <w:r w:rsidR="00FE1767">
        <w:rPr>
          <w:u w:color="000000"/>
          <w:bdr w:val="nil"/>
          <w:lang w:val="en-US"/>
        </w:rPr>
        <w:t>is evident in</w:t>
      </w:r>
      <w:r w:rsidR="00F43118" w:rsidRPr="00F43118">
        <w:rPr>
          <w:u w:color="000000"/>
          <w:bdr w:val="nil"/>
          <w:lang w:val="en-US"/>
        </w:rPr>
        <w:t xml:space="preserve"> research </w:t>
      </w:r>
      <w:r w:rsidR="007C3738">
        <w:rPr>
          <w:u w:color="000000"/>
          <w:bdr w:val="nil"/>
          <w:lang w:val="en-US"/>
        </w:rPr>
        <w:t>that</w:t>
      </w:r>
      <w:r w:rsidR="007C3738" w:rsidRPr="00F43118">
        <w:rPr>
          <w:u w:color="000000"/>
          <w:bdr w:val="nil"/>
          <w:lang w:val="en-US"/>
        </w:rPr>
        <w:t xml:space="preserve"> </w:t>
      </w:r>
      <w:r w:rsidR="00F43118" w:rsidRPr="00F43118">
        <w:rPr>
          <w:u w:color="000000"/>
          <w:bdr w:val="nil"/>
          <w:lang w:val="en-US"/>
        </w:rPr>
        <w:t>revealed that PSC in police</w:t>
      </w:r>
      <w:r w:rsidR="0045601F">
        <w:rPr>
          <w:u w:color="000000"/>
          <w:bdr w:val="nil"/>
          <w:lang w:val="en-US"/>
        </w:rPr>
        <w:t xml:space="preserve"> </w:t>
      </w:r>
      <w:r w:rsidR="00F43118" w:rsidRPr="00F43118">
        <w:rPr>
          <w:u w:color="000000"/>
          <w:bdr w:val="nil"/>
          <w:lang w:val="en-US"/>
        </w:rPr>
        <w:t>stations predicted bullying and harassment among poli</w:t>
      </w:r>
      <w:r w:rsidR="003365C3">
        <w:rPr>
          <w:u w:color="000000"/>
          <w:bdr w:val="nil"/>
          <w:lang w:val="en-US"/>
        </w:rPr>
        <w:t>c</w:t>
      </w:r>
      <w:r w:rsidR="00F43118" w:rsidRPr="00F43118">
        <w:rPr>
          <w:u w:color="000000"/>
          <w:bdr w:val="nil"/>
          <w:lang w:val="en-US"/>
        </w:rPr>
        <w:t>e officers 12</w:t>
      </w:r>
      <w:r w:rsidR="001E3B18">
        <w:rPr>
          <w:u w:color="000000"/>
          <w:bdr w:val="nil"/>
          <w:lang w:val="en-US"/>
        </w:rPr>
        <w:t xml:space="preserve"> </w:t>
      </w:r>
      <w:r w:rsidR="00F43118" w:rsidRPr="00F43118">
        <w:rPr>
          <w:u w:color="000000"/>
          <w:bdr w:val="nil"/>
          <w:lang w:val="en-US"/>
        </w:rPr>
        <w:t xml:space="preserve">months later (Bond, Tuckey, &amp; Dollard, 2010). Furthermore, using earlier </w:t>
      </w:r>
      <w:proofErr w:type="spellStart"/>
      <w:r w:rsidR="00F43118" w:rsidRPr="00F43118">
        <w:rPr>
          <w:u w:color="000000"/>
          <w:bdr w:val="nil"/>
          <w:lang w:val="en-US"/>
        </w:rPr>
        <w:t>AWB</w:t>
      </w:r>
      <w:proofErr w:type="spellEnd"/>
      <w:r w:rsidR="00F43118" w:rsidRPr="00F43118">
        <w:rPr>
          <w:u w:color="000000"/>
          <w:bdr w:val="nil"/>
          <w:lang w:val="en-US"/>
        </w:rPr>
        <w:t xml:space="preserve"> data, </w:t>
      </w:r>
      <w:r w:rsidR="005A755E">
        <w:rPr>
          <w:u w:color="000000"/>
          <w:bdr w:val="nil"/>
          <w:lang w:val="en-US"/>
        </w:rPr>
        <w:t>a</w:t>
      </w:r>
      <w:r w:rsidR="005A755E" w:rsidRPr="00F43118">
        <w:rPr>
          <w:u w:color="000000"/>
          <w:bdr w:val="nil"/>
          <w:lang w:val="en-US"/>
        </w:rPr>
        <w:t xml:space="preserve"> </w:t>
      </w:r>
      <w:r w:rsidR="00F43118" w:rsidRPr="00F43118">
        <w:rPr>
          <w:u w:color="000000"/>
          <w:bdr w:val="nil"/>
          <w:lang w:val="en-US"/>
        </w:rPr>
        <w:t xml:space="preserve">longitudinal study using a sample of 1095 workers showed that PSC predicted levels of bullying, harassment and violence 12 months later, even after accounting for baseline levels of these factors. In turn, bullying, harassment, and violence predicted increased levels of compensation claims even after accounting for the compensation claims due to other mental stress. This kind of longitudinal </w:t>
      </w:r>
      <w:r w:rsidR="00BF6E24">
        <w:rPr>
          <w:u w:color="000000"/>
          <w:bdr w:val="nil"/>
          <w:lang w:val="en-US"/>
        </w:rPr>
        <w:t xml:space="preserve">rather than cross-sectional </w:t>
      </w:r>
      <w:r w:rsidR="00F43118" w:rsidRPr="00F43118">
        <w:rPr>
          <w:u w:color="000000"/>
          <w:bdr w:val="nil"/>
          <w:lang w:val="en-US"/>
        </w:rPr>
        <w:t xml:space="preserve">research enables greater certainty </w:t>
      </w:r>
      <w:r w:rsidR="00BF6E24">
        <w:rPr>
          <w:u w:color="000000"/>
          <w:bdr w:val="nil"/>
          <w:lang w:val="en-US"/>
        </w:rPr>
        <w:t xml:space="preserve">in </w:t>
      </w:r>
      <w:r w:rsidR="00FC35EC">
        <w:rPr>
          <w:u w:color="000000"/>
          <w:bdr w:val="nil"/>
          <w:lang w:val="en-US"/>
        </w:rPr>
        <w:t xml:space="preserve">drawing the conclusion </w:t>
      </w:r>
      <w:r w:rsidR="00F43118" w:rsidRPr="00F43118">
        <w:rPr>
          <w:u w:color="000000"/>
          <w:bdr w:val="nil"/>
          <w:lang w:val="en-US"/>
        </w:rPr>
        <w:t xml:space="preserve">that low PSC may be the root cause of bullying and </w:t>
      </w:r>
      <w:r w:rsidR="00FC35EC">
        <w:rPr>
          <w:u w:color="000000"/>
          <w:bdr w:val="nil"/>
          <w:lang w:val="en-US"/>
        </w:rPr>
        <w:t xml:space="preserve">harassment, </w:t>
      </w:r>
      <w:r w:rsidR="002017E9">
        <w:rPr>
          <w:u w:color="000000"/>
          <w:bdr w:val="nil"/>
          <w:lang w:val="en-US"/>
        </w:rPr>
        <w:t xml:space="preserve">which </w:t>
      </w:r>
      <w:r w:rsidR="00F43118" w:rsidRPr="00F43118">
        <w:rPr>
          <w:u w:color="000000"/>
          <w:bdr w:val="nil"/>
          <w:lang w:val="en-US"/>
        </w:rPr>
        <w:t xml:space="preserve">in turn lead to detrimental outcomes such as compensation claims (Bailey, Dollard, Richards, &amp; </w:t>
      </w:r>
      <w:proofErr w:type="spellStart"/>
      <w:r w:rsidR="00F43118" w:rsidRPr="00F43118">
        <w:rPr>
          <w:u w:color="000000"/>
          <w:bdr w:val="nil"/>
          <w:lang w:val="en-US"/>
        </w:rPr>
        <w:t>McLinton</w:t>
      </w:r>
      <w:proofErr w:type="spellEnd"/>
      <w:r w:rsidR="00F43118" w:rsidRPr="00F43118">
        <w:rPr>
          <w:u w:color="000000"/>
          <w:bdr w:val="nil"/>
          <w:lang w:val="en-US"/>
        </w:rPr>
        <w:t>, 2015). Therefore, rather than</w:t>
      </w:r>
      <w:r w:rsidR="005A755E">
        <w:rPr>
          <w:u w:color="000000"/>
          <w:bdr w:val="nil"/>
          <w:lang w:val="en-US"/>
        </w:rPr>
        <w:t xml:space="preserve"> focusing on</w:t>
      </w:r>
      <w:r w:rsidR="00F43118" w:rsidRPr="00F43118">
        <w:rPr>
          <w:u w:color="000000"/>
          <w:bdr w:val="nil"/>
          <w:lang w:val="en-US"/>
        </w:rPr>
        <w:t xml:space="preserve"> lagged indicators of bullying and harassment, such as compensation claims, </w:t>
      </w:r>
      <w:r w:rsidR="00BF6E24">
        <w:rPr>
          <w:u w:color="000000"/>
          <w:bdr w:val="nil"/>
          <w:lang w:val="en-US"/>
        </w:rPr>
        <w:t xml:space="preserve">it is more effective to focus </w:t>
      </w:r>
      <w:r w:rsidR="00F43118" w:rsidRPr="00F43118">
        <w:rPr>
          <w:u w:color="000000"/>
          <w:bdr w:val="nil"/>
          <w:lang w:val="en-US"/>
        </w:rPr>
        <w:t xml:space="preserve">on assessing </w:t>
      </w:r>
      <w:proofErr w:type="spellStart"/>
      <w:r w:rsidR="00F43118" w:rsidRPr="00F43118">
        <w:rPr>
          <w:u w:color="000000"/>
          <w:bdr w:val="nil"/>
          <w:lang w:val="en-US"/>
        </w:rPr>
        <w:t>organisations’</w:t>
      </w:r>
      <w:proofErr w:type="spellEnd"/>
      <w:r w:rsidR="00F43118" w:rsidRPr="00F43118">
        <w:rPr>
          <w:u w:color="000000"/>
          <w:bdr w:val="nil"/>
          <w:lang w:val="en-US"/>
        </w:rPr>
        <w:t xml:space="preserve"> PSC and subsequently direct</w:t>
      </w:r>
      <w:r w:rsidR="00BF6E24">
        <w:rPr>
          <w:u w:color="000000"/>
          <w:bdr w:val="nil"/>
          <w:lang w:val="en-US"/>
        </w:rPr>
        <w:t>ing</w:t>
      </w:r>
      <w:r w:rsidR="00F43118" w:rsidRPr="00F43118">
        <w:rPr>
          <w:u w:color="000000"/>
          <w:bdr w:val="nil"/>
          <w:lang w:val="en-US"/>
        </w:rPr>
        <w:t xml:space="preserve"> efforts towards cultivating the </w:t>
      </w:r>
      <w:proofErr w:type="spellStart"/>
      <w:r w:rsidR="00F43118" w:rsidRPr="00F43118">
        <w:rPr>
          <w:u w:color="000000"/>
          <w:bdr w:val="nil"/>
          <w:lang w:val="en-US"/>
        </w:rPr>
        <w:t>organisational</w:t>
      </w:r>
      <w:proofErr w:type="spellEnd"/>
      <w:r w:rsidR="00F43118" w:rsidRPr="00F43118">
        <w:rPr>
          <w:u w:color="000000"/>
          <w:bdr w:val="nil"/>
          <w:lang w:val="en-US"/>
        </w:rPr>
        <w:t xml:space="preserve"> climate, rather than simply address</w:t>
      </w:r>
      <w:r w:rsidR="00FC35EC">
        <w:rPr>
          <w:u w:color="000000"/>
          <w:bdr w:val="nil"/>
          <w:lang w:val="en-US"/>
        </w:rPr>
        <w:t>ing</w:t>
      </w:r>
      <w:r w:rsidR="005A755E">
        <w:rPr>
          <w:u w:color="000000"/>
          <w:bdr w:val="nil"/>
          <w:lang w:val="en-US"/>
        </w:rPr>
        <w:t xml:space="preserve"> outcomes in a reactive fashion</w:t>
      </w:r>
      <w:r w:rsidR="0094070E">
        <w:rPr>
          <w:u w:color="000000"/>
          <w:bdr w:val="nil"/>
          <w:lang w:val="en-US"/>
        </w:rPr>
        <w:t>.</w:t>
      </w:r>
    </w:p>
    <w:p w:rsidR="00F43118" w:rsidRPr="0094070E" w:rsidRDefault="00F43118" w:rsidP="0094070E">
      <w:pPr>
        <w:pStyle w:val="Heading2"/>
        <w:spacing w:before="240" w:after="120"/>
        <w:rPr>
          <w:rFonts w:eastAsia="Cambria"/>
          <w:u w:color="000000"/>
          <w:bdr w:val="nil"/>
          <w:lang w:val="en-US"/>
        </w:rPr>
      </w:pPr>
      <w:r w:rsidRPr="0094070E">
        <w:rPr>
          <w:rFonts w:eastAsia="Cambria"/>
          <w:u w:color="000000"/>
          <w:bdr w:val="nil"/>
          <w:lang w:val="en-US"/>
        </w:rPr>
        <w:t>The productivity hypothesis</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This explanation of bullying </w:t>
      </w:r>
      <w:r w:rsidR="009B39EA">
        <w:rPr>
          <w:rFonts w:eastAsia="Cambria"/>
          <w:u w:color="000000"/>
          <w:bdr w:val="nil"/>
          <w:lang w:val="en-US"/>
        </w:rPr>
        <w:t xml:space="preserve">and harassment </w:t>
      </w:r>
      <w:r w:rsidRPr="00F43118">
        <w:rPr>
          <w:rFonts w:eastAsia="Cambria"/>
          <w:u w:color="000000"/>
          <w:bdr w:val="nil"/>
          <w:lang w:val="en-US"/>
        </w:rPr>
        <w:t xml:space="preserve">relates to a common core objective of management, which is to attain the best possible results from worker </w:t>
      </w:r>
      <w:proofErr w:type="spellStart"/>
      <w:r w:rsidRPr="00F43118">
        <w:rPr>
          <w:rFonts w:eastAsia="Cambria"/>
          <w:u w:color="000000"/>
          <w:bdr w:val="nil"/>
          <w:lang w:val="en-US"/>
        </w:rPr>
        <w:t>labour</w:t>
      </w:r>
      <w:proofErr w:type="spellEnd"/>
      <w:r w:rsidRPr="00F43118">
        <w:rPr>
          <w:rFonts w:eastAsia="Cambria"/>
          <w:u w:color="000000"/>
          <w:bdr w:val="nil"/>
          <w:lang w:val="en-US"/>
        </w:rPr>
        <w:t xml:space="preserve"> (Bailey, Dollard, &amp; Tuckey, 2014). Unfortunately, using intimidation or instilling fear in workers is a tactic often adopted to achieve greater outputs, particularly when particular workers are underperforming. However, managers accused of these bullying </w:t>
      </w:r>
      <w:proofErr w:type="spellStart"/>
      <w:r w:rsidRPr="00F43118">
        <w:rPr>
          <w:rFonts w:eastAsia="Cambria"/>
          <w:u w:color="000000"/>
          <w:bdr w:val="nil"/>
          <w:lang w:val="en-US"/>
        </w:rPr>
        <w:t>behaviours</w:t>
      </w:r>
      <w:proofErr w:type="spellEnd"/>
      <w:r w:rsidRPr="00F43118">
        <w:rPr>
          <w:rFonts w:eastAsia="Cambria"/>
          <w:u w:color="000000"/>
          <w:bdr w:val="nil"/>
          <w:lang w:val="en-US"/>
        </w:rPr>
        <w:t xml:space="preserve"> also report high levels of stress within their organisation, as well as staff shortages (Jenkins, Zapf, </w:t>
      </w:r>
      <w:proofErr w:type="spellStart"/>
      <w:r w:rsidRPr="00F43118">
        <w:rPr>
          <w:rFonts w:eastAsia="Cambria"/>
          <w:u w:color="000000"/>
          <w:bdr w:val="nil"/>
          <w:lang w:val="en-US"/>
        </w:rPr>
        <w:t>Winefield</w:t>
      </w:r>
      <w:proofErr w:type="spellEnd"/>
      <w:r w:rsidRPr="00F43118">
        <w:rPr>
          <w:rFonts w:eastAsia="Cambria"/>
          <w:u w:color="000000"/>
          <w:bdr w:val="nil"/>
          <w:lang w:val="en-US"/>
        </w:rPr>
        <w:t xml:space="preserve">, &amp; Sarris, 2012). Managers often then become personified as bullies, but they may also be feeling extreme stress as the critical point in the organisation that must discharge </w:t>
      </w:r>
      <w:proofErr w:type="spellStart"/>
      <w:r w:rsidRPr="00F43118">
        <w:rPr>
          <w:rFonts w:eastAsia="Cambria"/>
          <w:u w:color="000000"/>
          <w:bdr w:val="nil"/>
          <w:lang w:val="en-US"/>
        </w:rPr>
        <w:t>labour</w:t>
      </w:r>
      <w:proofErr w:type="spellEnd"/>
      <w:r w:rsidRPr="00F43118">
        <w:rPr>
          <w:rFonts w:eastAsia="Cambria"/>
          <w:u w:color="000000"/>
          <w:bdr w:val="nil"/>
          <w:lang w:val="en-US"/>
        </w:rPr>
        <w:t xml:space="preserve">. In </w:t>
      </w:r>
      <w:r w:rsidRPr="00F43118">
        <w:rPr>
          <w:rFonts w:eastAsia="Cambria"/>
          <w:u w:color="000000"/>
          <w:bdr w:val="nil"/>
          <w:lang w:val="en-US"/>
        </w:rPr>
        <w:lastRenderedPageBreak/>
        <w:t>addition, managers who implement bullying as a</w:t>
      </w:r>
      <w:r w:rsidR="005A755E">
        <w:rPr>
          <w:rFonts w:eastAsia="Cambria"/>
          <w:u w:color="000000"/>
          <w:bdr w:val="nil"/>
          <w:lang w:val="en-US"/>
        </w:rPr>
        <w:t xml:space="preserve"> productivity</w:t>
      </w:r>
      <w:r w:rsidRPr="00F43118">
        <w:rPr>
          <w:rFonts w:eastAsia="Cambria"/>
          <w:u w:color="000000"/>
          <w:bdr w:val="nil"/>
          <w:lang w:val="en-US"/>
        </w:rPr>
        <w:t xml:space="preserve"> tool may not have received adequate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training in leadership and/or they may lack insight into the destructive nature of their actions. </w:t>
      </w:r>
    </w:p>
    <w:p w:rsidR="00F43118" w:rsidRPr="0094070E" w:rsidRDefault="00F43118" w:rsidP="0094070E">
      <w:pPr>
        <w:pStyle w:val="Heading2"/>
        <w:spacing w:before="240" w:after="120"/>
        <w:rPr>
          <w:rFonts w:eastAsia="Cambria"/>
          <w:u w:color="000000"/>
          <w:bdr w:val="nil"/>
          <w:lang w:val="en-US"/>
        </w:rPr>
      </w:pPr>
      <w:r w:rsidRPr="0094070E">
        <w:rPr>
          <w:rFonts w:eastAsia="Cambria"/>
          <w:u w:color="000000"/>
          <w:bdr w:val="nil"/>
          <w:lang w:val="en-US"/>
        </w:rPr>
        <w:t>The retain-and-build personal power hypothesis</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A third explanation for bullying </w:t>
      </w:r>
      <w:r w:rsidR="009B39EA">
        <w:rPr>
          <w:rFonts w:eastAsia="Cambria"/>
          <w:u w:color="000000"/>
          <w:bdr w:val="nil"/>
          <w:lang w:val="en-US"/>
        </w:rPr>
        <w:t xml:space="preserve">and harassment </w:t>
      </w:r>
      <w:r w:rsidRPr="00F43118">
        <w:rPr>
          <w:rFonts w:eastAsia="Cambria"/>
          <w:u w:color="000000"/>
          <w:bdr w:val="nil"/>
          <w:lang w:val="en-US"/>
        </w:rPr>
        <w:t xml:space="preserve">is that it originates from attempts to protect power within the organisation (Bailey, Dollard, &amp; Tuckey, 2014). In this case, the goal of the perpetrators may not </w:t>
      </w:r>
      <w:r w:rsidR="00834300">
        <w:rPr>
          <w:rFonts w:eastAsia="Cambria"/>
          <w:u w:color="000000"/>
          <w:bdr w:val="nil"/>
          <w:lang w:val="en-US"/>
        </w:rPr>
        <w:t xml:space="preserve">necessarily </w:t>
      </w:r>
      <w:r w:rsidRPr="00F43118">
        <w:rPr>
          <w:rFonts w:eastAsia="Cambria"/>
          <w:u w:color="000000"/>
          <w:bdr w:val="nil"/>
          <w:lang w:val="en-US"/>
        </w:rPr>
        <w:t xml:space="preserve">align with strategic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goals, but rather, re</w:t>
      </w:r>
      <w:r w:rsidR="007624D0">
        <w:rPr>
          <w:rFonts w:eastAsia="Cambria"/>
          <w:u w:color="000000"/>
          <w:bdr w:val="nil"/>
          <w:lang w:val="en-US"/>
        </w:rPr>
        <w:t>flect</w:t>
      </w:r>
      <w:r w:rsidRPr="00F43118">
        <w:rPr>
          <w:rFonts w:eastAsia="Cambria"/>
          <w:u w:color="000000"/>
          <w:bdr w:val="nil"/>
          <w:lang w:val="en-US"/>
        </w:rPr>
        <w:t xml:space="preserve"> their own job insecurity and fear of losing personal status (</w:t>
      </w:r>
      <w:proofErr w:type="spellStart"/>
      <w:r w:rsidRPr="00F43118">
        <w:rPr>
          <w:rFonts w:eastAsia="Cambria"/>
          <w:u w:color="000000"/>
          <w:bdr w:val="nil"/>
          <w:lang w:val="en-US"/>
        </w:rPr>
        <w:t>Salin</w:t>
      </w:r>
      <w:proofErr w:type="spellEnd"/>
      <w:r w:rsidRPr="00F43118">
        <w:rPr>
          <w:rFonts w:eastAsia="Cambria"/>
          <w:u w:color="000000"/>
          <w:bdr w:val="nil"/>
          <w:lang w:val="en-US"/>
        </w:rPr>
        <w:t xml:space="preserve">, 2003). For instance, perpetrators may focus their bullying </w:t>
      </w:r>
      <w:proofErr w:type="spellStart"/>
      <w:r w:rsidRPr="00F43118">
        <w:rPr>
          <w:rFonts w:eastAsia="Cambria"/>
          <w:u w:color="000000"/>
          <w:bdr w:val="nil"/>
          <w:lang w:val="en-US"/>
        </w:rPr>
        <w:t>behaviours</w:t>
      </w:r>
      <w:proofErr w:type="spellEnd"/>
      <w:r w:rsidRPr="00F43118">
        <w:rPr>
          <w:rFonts w:eastAsia="Cambria"/>
          <w:u w:color="000000"/>
          <w:bdr w:val="nil"/>
          <w:lang w:val="en-US"/>
        </w:rPr>
        <w:t xml:space="preserve"> on high achieving workers, as these individuals are viewed as a threat to their personal power and level of resources. In the same fashion, this bullying </w:t>
      </w:r>
      <w:proofErr w:type="spellStart"/>
      <w:r w:rsidRPr="00F43118">
        <w:rPr>
          <w:rFonts w:eastAsia="Cambria"/>
          <w:u w:color="000000"/>
          <w:bdr w:val="nil"/>
          <w:lang w:val="en-US"/>
        </w:rPr>
        <w:t>behaviour</w:t>
      </w:r>
      <w:proofErr w:type="spellEnd"/>
      <w:r w:rsidRPr="00F43118">
        <w:rPr>
          <w:rFonts w:eastAsia="Cambria"/>
          <w:u w:color="000000"/>
          <w:bdr w:val="nil"/>
          <w:lang w:val="en-US"/>
        </w:rPr>
        <w:t xml:space="preserve"> may be </w:t>
      </w:r>
      <w:r w:rsidR="007624D0">
        <w:rPr>
          <w:rFonts w:eastAsia="Cambria"/>
          <w:u w:color="000000"/>
          <w:bdr w:val="nil"/>
          <w:lang w:val="en-US"/>
        </w:rPr>
        <w:t>used</w:t>
      </w:r>
      <w:r w:rsidRPr="00F43118">
        <w:rPr>
          <w:rFonts w:eastAsia="Cambria"/>
          <w:u w:color="000000"/>
          <w:bdr w:val="nil"/>
          <w:lang w:val="en-US"/>
        </w:rPr>
        <w:t xml:space="preserve"> to repel other workers who pose a threat to the dominant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culture, or who may disrupt the stability of power between </w:t>
      </w:r>
      <w:proofErr w:type="spellStart"/>
      <w:r w:rsidRPr="00F43118">
        <w:rPr>
          <w:rFonts w:eastAsia="Cambria"/>
          <w:u w:color="000000"/>
          <w:bdr w:val="nil"/>
          <w:lang w:val="en-US"/>
        </w:rPr>
        <w:t>org</w:t>
      </w:r>
      <w:r w:rsidR="00EF69E0">
        <w:rPr>
          <w:rFonts w:eastAsia="Cambria"/>
          <w:u w:color="000000"/>
          <w:bdr w:val="nil"/>
          <w:lang w:val="en-US"/>
        </w:rPr>
        <w:t>anisational</w:t>
      </w:r>
      <w:proofErr w:type="spellEnd"/>
      <w:r w:rsidR="00EF69E0">
        <w:rPr>
          <w:rFonts w:eastAsia="Cambria"/>
          <w:u w:color="000000"/>
          <w:bdr w:val="nil"/>
          <w:lang w:val="en-US"/>
        </w:rPr>
        <w:t xml:space="preserve"> members (Bailey et al.,</w:t>
      </w:r>
      <w:r w:rsidRPr="00F43118">
        <w:rPr>
          <w:rFonts w:eastAsia="Cambria"/>
          <w:u w:color="000000"/>
          <w:bdr w:val="nil"/>
          <w:lang w:val="en-US"/>
        </w:rPr>
        <w:t xml:space="preserve"> 2014). </w:t>
      </w:r>
      <w:proofErr w:type="gramStart"/>
      <w:r w:rsidRPr="00F43118">
        <w:rPr>
          <w:rFonts w:eastAsia="Cambria"/>
          <w:u w:color="000000"/>
          <w:bdr w:val="nil"/>
          <w:lang w:val="en-US"/>
        </w:rPr>
        <w:t xml:space="preserve">Therefore, those who are new to work groups, particularly through change resulting from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restructuring (i.e., downsizing), are especially vulnerable to workplace </w:t>
      </w:r>
      <w:r w:rsidR="0094070E">
        <w:rPr>
          <w:rFonts w:eastAsia="Cambria"/>
          <w:u w:color="000000"/>
          <w:bdr w:val="nil"/>
          <w:lang w:val="en-US"/>
        </w:rPr>
        <w:t>bullying (Bailey et al., 2014).</w:t>
      </w:r>
      <w:proofErr w:type="gramEnd"/>
    </w:p>
    <w:p w:rsidR="00F43118" w:rsidRPr="0094070E" w:rsidRDefault="00F43118" w:rsidP="0094070E">
      <w:pPr>
        <w:pStyle w:val="Heading2"/>
        <w:spacing w:before="240" w:after="120"/>
        <w:rPr>
          <w:rFonts w:eastAsia="Cambria"/>
          <w:u w:color="000000"/>
          <w:bdr w:val="nil"/>
          <w:lang w:val="en-US"/>
        </w:rPr>
      </w:pPr>
      <w:r w:rsidRPr="0094070E">
        <w:rPr>
          <w:rFonts w:eastAsia="Cambria"/>
          <w:u w:color="000000"/>
          <w:bdr w:val="nil"/>
          <w:lang w:val="en-US"/>
        </w:rPr>
        <w:t>The work environment hypothesis</w:t>
      </w:r>
    </w:p>
    <w:p w:rsidR="00F43118" w:rsidRPr="00F43118" w:rsidRDefault="00F43118" w:rsidP="0094070E">
      <w:pPr>
        <w:spacing w:after="120"/>
        <w:rPr>
          <w:u w:color="000000"/>
          <w:bdr w:val="nil"/>
          <w:lang w:val="en-US"/>
        </w:rPr>
      </w:pPr>
      <w:r w:rsidRPr="00F43118">
        <w:rPr>
          <w:u w:color="000000"/>
          <w:bdr w:val="nil"/>
          <w:lang w:val="en-US"/>
        </w:rPr>
        <w:t>Bullying and harassment may involve the misuse of power to increase productivity in stressful work conditions (through the Productivity Hypothesis) or to gain and maintain scarce res</w:t>
      </w:r>
      <w:r w:rsidR="007624D0">
        <w:rPr>
          <w:u w:color="000000"/>
          <w:bdr w:val="nil"/>
          <w:lang w:val="en-US"/>
        </w:rPr>
        <w:t>ources (in the Retain-and-B</w:t>
      </w:r>
      <w:r w:rsidRPr="00F43118">
        <w:rPr>
          <w:u w:color="000000"/>
          <w:bdr w:val="nil"/>
          <w:lang w:val="en-US"/>
        </w:rPr>
        <w:t xml:space="preserve">uild Personal Power Hypothesis); yet stressful work conditions themselves create hazardous workplace environments that enable, trigger, and motivate bullying and harassment (Bowling &amp; </w:t>
      </w:r>
      <w:proofErr w:type="spellStart"/>
      <w:r w:rsidRPr="00F43118">
        <w:rPr>
          <w:u w:color="000000"/>
          <w:bdr w:val="nil"/>
          <w:lang w:val="en-US"/>
        </w:rPr>
        <w:t>Beehr</w:t>
      </w:r>
      <w:proofErr w:type="spellEnd"/>
      <w:r w:rsidRPr="00F43118">
        <w:rPr>
          <w:u w:color="000000"/>
          <w:bdr w:val="nil"/>
          <w:lang w:val="en-US"/>
        </w:rPr>
        <w:t xml:space="preserve">, 2006; Tuckey, </w:t>
      </w:r>
      <w:proofErr w:type="spellStart"/>
      <w:r w:rsidRPr="00F43118">
        <w:rPr>
          <w:u w:color="000000"/>
          <w:bdr w:val="nil"/>
          <w:lang w:val="en-US"/>
        </w:rPr>
        <w:t>Chrisopoulos</w:t>
      </w:r>
      <w:proofErr w:type="spellEnd"/>
      <w:r w:rsidRPr="00F43118">
        <w:rPr>
          <w:u w:color="000000"/>
          <w:bdr w:val="nil"/>
          <w:lang w:val="en-US"/>
        </w:rPr>
        <w:t>, &amp; Dollard, 2012</w:t>
      </w:r>
      <w:r w:rsidR="007624D0">
        <w:rPr>
          <w:u w:color="000000"/>
          <w:bdr w:val="nil"/>
          <w:lang w:val="en-US"/>
        </w:rPr>
        <w:t>;</w:t>
      </w:r>
      <w:r w:rsidR="007624D0" w:rsidRPr="00F43118">
        <w:rPr>
          <w:u w:color="000000"/>
          <w:bdr w:val="nil"/>
          <w:lang w:val="en-US"/>
        </w:rPr>
        <w:t xml:space="preserve"> </w:t>
      </w:r>
      <w:proofErr w:type="spellStart"/>
      <w:r w:rsidR="007624D0" w:rsidRPr="00F43118">
        <w:rPr>
          <w:u w:color="000000"/>
          <w:bdr w:val="nil"/>
          <w:lang w:val="en-US"/>
        </w:rPr>
        <w:t>Salin</w:t>
      </w:r>
      <w:proofErr w:type="spellEnd"/>
      <w:r w:rsidR="007624D0" w:rsidRPr="00F43118">
        <w:rPr>
          <w:u w:color="000000"/>
          <w:bdr w:val="nil"/>
          <w:lang w:val="en-US"/>
        </w:rPr>
        <w:t>, 2003</w:t>
      </w:r>
      <w:r w:rsidRPr="00F43118">
        <w:rPr>
          <w:u w:color="000000"/>
          <w:bdr w:val="nil"/>
          <w:lang w:val="en-US"/>
        </w:rPr>
        <w:t>). This idea underscores the Work Environment Hypothesis, which posits that the quality of working conditions and the broader work environment are the major determinants of bullying at work.</w:t>
      </w:r>
    </w:p>
    <w:p w:rsidR="009B3759" w:rsidRDefault="00834300" w:rsidP="0094070E">
      <w:pPr>
        <w:spacing w:after="120"/>
        <w:rPr>
          <w:rFonts w:cs="Arial"/>
          <w:sz w:val="20"/>
          <w:szCs w:val="20"/>
          <w:u w:color="000000"/>
          <w:bdr w:val="nil"/>
          <w:lang w:val="en-US"/>
        </w:rPr>
      </w:pPr>
      <w:r>
        <w:rPr>
          <w:u w:color="000000"/>
          <w:bdr w:val="nil"/>
          <w:lang w:val="en-US"/>
        </w:rPr>
        <w:t xml:space="preserve">Clear evidence in the literature </w:t>
      </w:r>
      <w:r w:rsidR="00F43118" w:rsidRPr="00F43118">
        <w:rPr>
          <w:u w:color="000000"/>
          <w:bdr w:val="nil"/>
          <w:lang w:val="en-US"/>
        </w:rPr>
        <w:t xml:space="preserve">is that job design factors are associated with workplace bullying and harassment. </w:t>
      </w:r>
      <w:r w:rsidR="00642EA3">
        <w:rPr>
          <w:u w:color="000000"/>
          <w:bdr w:val="nil"/>
          <w:lang w:val="en-US"/>
        </w:rPr>
        <w:t>R</w:t>
      </w:r>
      <w:r w:rsidR="00F43118" w:rsidRPr="00F43118">
        <w:rPr>
          <w:u w:color="000000"/>
          <w:bdr w:val="nil"/>
          <w:lang w:val="en-US"/>
        </w:rPr>
        <w:t>elative to others, bullied individuals tend to report higher job demands (or stressors), such as time pressure, haste, and workload (</w:t>
      </w:r>
      <w:proofErr w:type="spellStart"/>
      <w:r w:rsidR="00F43118" w:rsidRPr="00F43118">
        <w:rPr>
          <w:u w:color="000000"/>
          <w:bdr w:val="nil"/>
          <w:lang w:val="en-US"/>
        </w:rPr>
        <w:t>Hoel</w:t>
      </w:r>
      <w:proofErr w:type="spellEnd"/>
      <w:r w:rsidR="00F43118" w:rsidRPr="00F43118">
        <w:rPr>
          <w:u w:color="000000"/>
          <w:bdr w:val="nil"/>
          <w:lang w:val="en-US"/>
        </w:rPr>
        <w:t xml:space="preserve"> &amp; Cooper, 2000: </w:t>
      </w:r>
      <w:proofErr w:type="spellStart"/>
      <w:r w:rsidR="00F43118" w:rsidRPr="00F43118">
        <w:rPr>
          <w:u w:color="000000"/>
          <w:bdr w:val="nil"/>
          <w:lang w:val="en-US"/>
        </w:rPr>
        <w:t>Vartia</w:t>
      </w:r>
      <w:proofErr w:type="spellEnd"/>
      <w:r w:rsidR="00F43118" w:rsidRPr="00F43118">
        <w:rPr>
          <w:u w:color="000000"/>
          <w:bdr w:val="nil"/>
          <w:lang w:val="en-US"/>
        </w:rPr>
        <w:t xml:space="preserve">, 2011; Zapf, </w:t>
      </w:r>
      <w:proofErr w:type="spellStart"/>
      <w:r w:rsidR="00F43118" w:rsidRPr="00F43118">
        <w:rPr>
          <w:u w:color="000000"/>
          <w:bdr w:val="nil"/>
          <w:lang w:val="en-US"/>
        </w:rPr>
        <w:t>Einarsen</w:t>
      </w:r>
      <w:proofErr w:type="spellEnd"/>
      <w:r w:rsidR="00F43118" w:rsidRPr="00F43118">
        <w:rPr>
          <w:u w:color="000000"/>
          <w:bdr w:val="nil"/>
          <w:lang w:val="en-US"/>
        </w:rPr>
        <w:t xml:space="preserve">, </w:t>
      </w:r>
      <w:proofErr w:type="spellStart"/>
      <w:r w:rsidR="00F43118" w:rsidRPr="00F43118">
        <w:rPr>
          <w:u w:color="000000"/>
          <w:bdr w:val="nil"/>
          <w:lang w:val="en-US"/>
        </w:rPr>
        <w:t>Hoel</w:t>
      </w:r>
      <w:proofErr w:type="spellEnd"/>
      <w:r w:rsidR="004B06BE">
        <w:rPr>
          <w:u w:color="000000"/>
          <w:bdr w:val="nil"/>
          <w:lang w:val="en-US"/>
        </w:rPr>
        <w:t>,</w:t>
      </w:r>
      <w:r w:rsidR="00F43118" w:rsidRPr="00F43118">
        <w:rPr>
          <w:u w:color="000000"/>
          <w:bdr w:val="nil"/>
          <w:lang w:val="en-US"/>
        </w:rPr>
        <w:t xml:space="preserve"> &amp; </w:t>
      </w:r>
      <w:proofErr w:type="spellStart"/>
      <w:r w:rsidR="00EF69E0">
        <w:rPr>
          <w:u w:color="000000"/>
          <w:bdr w:val="nil"/>
          <w:lang w:val="en-US"/>
        </w:rPr>
        <w:t>Vartia</w:t>
      </w:r>
      <w:proofErr w:type="spellEnd"/>
      <w:r w:rsidR="00F43118" w:rsidRPr="00F43118">
        <w:rPr>
          <w:u w:color="000000"/>
          <w:bdr w:val="nil"/>
          <w:lang w:val="en-US"/>
        </w:rPr>
        <w:t>, 2003) and lower job resources in the form of autonomy and job control (</w:t>
      </w:r>
      <w:proofErr w:type="spellStart"/>
      <w:r w:rsidR="00F43118" w:rsidRPr="00F43118">
        <w:rPr>
          <w:u w:color="000000"/>
          <w:bdr w:val="nil"/>
          <w:lang w:val="en-US"/>
        </w:rPr>
        <w:t>Vartia</w:t>
      </w:r>
      <w:proofErr w:type="spellEnd"/>
      <w:r w:rsidR="00F43118" w:rsidRPr="00F43118">
        <w:rPr>
          <w:u w:color="000000"/>
          <w:bdr w:val="nil"/>
          <w:lang w:val="en-US"/>
        </w:rPr>
        <w:t xml:space="preserve">, 2001; Zapf et al., 2003). More recently, studies have revealed that beyond the main effects of each component, a combination of job demands and job resources is also important for bullying. For example, in a study of 716 Australian frontline police officers using </w:t>
      </w:r>
      <w:proofErr w:type="gramStart"/>
      <w:r w:rsidR="00F43118" w:rsidRPr="00F43118">
        <w:rPr>
          <w:u w:color="000000"/>
          <w:bdr w:val="nil"/>
          <w:lang w:val="en-US"/>
        </w:rPr>
        <w:t>both</w:t>
      </w:r>
      <w:r w:rsidR="00704AA6">
        <w:rPr>
          <w:u w:color="000000"/>
          <w:bdr w:val="nil"/>
          <w:lang w:val="en-US"/>
        </w:rPr>
        <w:t xml:space="preserve"> </w:t>
      </w:r>
      <w:r w:rsidR="00F43118" w:rsidRPr="00F43118">
        <w:rPr>
          <w:u w:color="000000"/>
          <w:bdr w:val="nil"/>
          <w:lang w:val="en-US"/>
        </w:rPr>
        <w:t>target</w:t>
      </w:r>
      <w:proofErr w:type="gramEnd"/>
      <w:r w:rsidR="00F43118" w:rsidRPr="00F43118">
        <w:rPr>
          <w:u w:color="000000"/>
          <w:bdr w:val="nil"/>
          <w:lang w:val="en-US"/>
        </w:rPr>
        <w:t xml:space="preserve"> and observer information, increased levels of bullying were related to potentially high-stress situations, </w:t>
      </w:r>
      <w:r w:rsidR="007624D0">
        <w:rPr>
          <w:u w:color="000000"/>
          <w:bdr w:val="nil"/>
          <w:lang w:val="en-US"/>
        </w:rPr>
        <w:t>where</w:t>
      </w:r>
      <w:r w:rsidR="00F43118" w:rsidRPr="00F43118">
        <w:rPr>
          <w:u w:color="000000"/>
          <w:bdr w:val="nil"/>
          <w:lang w:val="en-US"/>
        </w:rPr>
        <w:t xml:space="preserve"> job demands increased in combination with decreasing support and control resources (Tuckey, Dollard, Hosking, &amp; </w:t>
      </w:r>
      <w:proofErr w:type="spellStart"/>
      <w:r w:rsidR="00F43118" w:rsidRPr="00F43118">
        <w:rPr>
          <w:u w:color="000000"/>
          <w:bdr w:val="nil"/>
          <w:lang w:val="en-US"/>
        </w:rPr>
        <w:t>Winefield</w:t>
      </w:r>
      <w:proofErr w:type="spellEnd"/>
      <w:r w:rsidR="00F43118" w:rsidRPr="00F43118">
        <w:rPr>
          <w:u w:color="000000"/>
          <w:bdr w:val="nil"/>
          <w:lang w:val="en-US"/>
        </w:rPr>
        <w:t>, 2009).</w:t>
      </w:r>
    </w:p>
    <w:p w:rsidR="00F43118" w:rsidRPr="00DD3A77" w:rsidRDefault="00F43118" w:rsidP="0094070E">
      <w:pPr>
        <w:pStyle w:val="Heading2"/>
        <w:spacing w:before="240" w:after="120"/>
        <w:rPr>
          <w:rFonts w:eastAsia="Cambria"/>
          <w:u w:color="000000"/>
          <w:bdr w:val="nil"/>
          <w:lang w:val="en-US"/>
        </w:rPr>
      </w:pPr>
      <w:r w:rsidRPr="00DD3A77">
        <w:rPr>
          <w:rFonts w:eastAsia="Cambria"/>
          <w:u w:color="000000"/>
          <w:bdr w:val="nil"/>
          <w:lang w:val="en-US"/>
        </w:rPr>
        <w:t xml:space="preserve">The Present Study </w:t>
      </w:r>
    </w:p>
    <w:p w:rsidR="00F43118" w:rsidRPr="00F43118" w:rsidRDefault="00F43118" w:rsidP="0094070E">
      <w:pPr>
        <w:spacing w:after="120"/>
        <w:rPr>
          <w:u w:color="000000"/>
          <w:bdr w:val="nil"/>
          <w:lang w:val="en-US"/>
        </w:rPr>
      </w:pPr>
      <w:r w:rsidRPr="00F43118">
        <w:rPr>
          <w:u w:color="000000"/>
          <w:bdr w:val="nil"/>
          <w:lang w:val="en-US"/>
        </w:rPr>
        <w:t xml:space="preserve">This study used </w:t>
      </w:r>
      <w:proofErr w:type="spellStart"/>
      <w:r w:rsidRPr="00F43118">
        <w:rPr>
          <w:u w:color="000000"/>
          <w:bdr w:val="nil"/>
          <w:lang w:val="en-US"/>
        </w:rPr>
        <w:t>AWB</w:t>
      </w:r>
      <w:proofErr w:type="spellEnd"/>
      <w:r w:rsidRPr="00F43118">
        <w:rPr>
          <w:u w:color="000000"/>
          <w:bdr w:val="nil"/>
          <w:lang w:val="en-US"/>
        </w:rPr>
        <w:t xml:space="preserve"> data from all Australian states and territories in 2014/2015 to provide national, state, and industry-based information on workplace bullying and harassment. Th</w:t>
      </w:r>
      <w:r w:rsidR="0094070E">
        <w:rPr>
          <w:u w:color="000000"/>
          <w:bdr w:val="nil"/>
          <w:lang w:val="en-US"/>
        </w:rPr>
        <w:t>is report addresses three aims.</w:t>
      </w:r>
    </w:p>
    <w:p w:rsidR="00F43118" w:rsidRPr="00F43118" w:rsidRDefault="00F43118" w:rsidP="0094070E">
      <w:pPr>
        <w:spacing w:after="120"/>
        <w:rPr>
          <w:u w:color="000000"/>
          <w:bdr w:val="nil"/>
          <w:lang w:val="en-US"/>
        </w:rPr>
      </w:pPr>
      <w:r w:rsidRPr="00F43118">
        <w:rPr>
          <w:u w:color="000000"/>
          <w:bdr w:val="nil"/>
          <w:lang w:val="en-US"/>
        </w:rPr>
        <w:t>The first aim was to examine current rates of workplace bullying within Australia, at the national, state, and industry level. Assessing national prevalence data will enable a comparative analysis of bullying prevalence with 34 European countries. However it is important to note that the European prevalence data may not be a solid basis for comparison, due to the year difference</w:t>
      </w:r>
      <w:r w:rsidR="007624D0">
        <w:rPr>
          <w:u w:color="000000"/>
          <w:bdr w:val="nil"/>
          <w:lang w:val="en-US"/>
        </w:rPr>
        <w:t>s</w:t>
      </w:r>
      <w:r w:rsidRPr="00F43118">
        <w:rPr>
          <w:u w:color="000000"/>
          <w:bdr w:val="nil"/>
          <w:lang w:val="en-US"/>
        </w:rPr>
        <w:t xml:space="preserve"> in data collection between the European countries</w:t>
      </w:r>
      <w:r w:rsidR="007624D0" w:rsidRPr="007624D0">
        <w:rPr>
          <w:u w:color="000000"/>
          <w:bdr w:val="nil"/>
          <w:lang w:val="en-US"/>
        </w:rPr>
        <w:t xml:space="preserve"> </w:t>
      </w:r>
      <w:r w:rsidR="007624D0">
        <w:rPr>
          <w:u w:color="000000"/>
          <w:bdr w:val="nil"/>
          <w:lang w:val="en-US"/>
        </w:rPr>
        <w:t xml:space="preserve">and final data collection in </w:t>
      </w:r>
      <w:r w:rsidR="007624D0" w:rsidRPr="00F43118">
        <w:rPr>
          <w:u w:color="000000"/>
          <w:bdr w:val="nil"/>
          <w:lang w:val="en-US"/>
        </w:rPr>
        <w:t>Australia</w:t>
      </w:r>
      <w:r w:rsidR="0094070E">
        <w:rPr>
          <w:u w:color="000000"/>
          <w:bdr w:val="nil"/>
          <w:lang w:val="en-US"/>
        </w:rPr>
        <w:t>.</w:t>
      </w:r>
    </w:p>
    <w:p w:rsidR="00F43118" w:rsidRPr="00F43118" w:rsidRDefault="00F43118" w:rsidP="0094070E">
      <w:pPr>
        <w:spacing w:after="120"/>
        <w:rPr>
          <w:u w:color="000000"/>
          <w:bdr w:val="nil"/>
          <w:lang w:val="en-US"/>
        </w:rPr>
      </w:pPr>
      <w:r w:rsidRPr="00F43118">
        <w:rPr>
          <w:u w:color="000000"/>
          <w:bdr w:val="nil"/>
          <w:lang w:val="en-US"/>
        </w:rPr>
        <w:t>To obtain the Australian prevalence data, participants were presented with two definitions: (1) a definition commonly presented within the workplace bullying literature, and (2) t</w:t>
      </w:r>
      <w:r w:rsidR="00440193">
        <w:rPr>
          <w:u w:color="000000"/>
          <w:bdr w:val="nil"/>
          <w:lang w:val="en-US"/>
        </w:rPr>
        <w:t>he legal definition provided by</w:t>
      </w:r>
      <w:r w:rsidRPr="00F43118">
        <w:rPr>
          <w:u w:color="000000"/>
          <w:bdr w:val="nil"/>
          <w:lang w:val="en-US"/>
        </w:rPr>
        <w:t xml:space="preserve"> Safe Work Australia. As </w:t>
      </w:r>
      <w:proofErr w:type="spellStart"/>
      <w:r w:rsidRPr="00F43118">
        <w:rPr>
          <w:u w:color="000000"/>
          <w:bdr w:val="nil"/>
          <w:lang w:val="en-US"/>
        </w:rPr>
        <w:t>AWB</w:t>
      </w:r>
      <w:proofErr w:type="spellEnd"/>
      <w:r w:rsidRPr="00F43118">
        <w:rPr>
          <w:u w:color="000000"/>
          <w:bdr w:val="nil"/>
          <w:lang w:val="en-US"/>
        </w:rPr>
        <w:t xml:space="preserve"> data collection also occurred </w:t>
      </w:r>
      <w:r w:rsidR="00C36F2F">
        <w:rPr>
          <w:u w:color="000000"/>
          <w:bdr w:val="nil"/>
          <w:lang w:val="en-US"/>
        </w:rPr>
        <w:t>across three time waves</w:t>
      </w:r>
      <w:r w:rsidRPr="00F43118">
        <w:rPr>
          <w:u w:color="000000"/>
          <w:bdr w:val="nil"/>
          <w:lang w:val="en-US"/>
        </w:rPr>
        <w:t xml:space="preserve"> it </w:t>
      </w:r>
      <w:r w:rsidR="00324A92">
        <w:rPr>
          <w:u w:color="000000"/>
          <w:bdr w:val="nil"/>
          <w:lang w:val="en-US"/>
        </w:rPr>
        <w:t>is</w:t>
      </w:r>
      <w:r w:rsidRPr="00F43118">
        <w:rPr>
          <w:u w:color="000000"/>
          <w:bdr w:val="nil"/>
          <w:lang w:val="en-US"/>
        </w:rPr>
        <w:t xml:space="preserve"> possible to explore bullying trends since this time across states and </w:t>
      </w:r>
      <w:r w:rsidRPr="00F43118">
        <w:rPr>
          <w:u w:color="000000"/>
          <w:bdr w:val="nil"/>
          <w:lang w:val="en-US"/>
        </w:rPr>
        <w:lastRenderedPageBreak/>
        <w:t xml:space="preserve">industries. Further, figures will be presented on the frequency and duration of bullying </w:t>
      </w:r>
      <w:proofErr w:type="spellStart"/>
      <w:r w:rsidRPr="00F43118">
        <w:rPr>
          <w:u w:color="000000"/>
          <w:bdr w:val="nil"/>
          <w:lang w:val="en-US"/>
        </w:rPr>
        <w:t>behaviours</w:t>
      </w:r>
      <w:proofErr w:type="spellEnd"/>
      <w:r w:rsidRPr="00F43118">
        <w:rPr>
          <w:u w:color="000000"/>
          <w:bdr w:val="nil"/>
          <w:lang w:val="en-US"/>
        </w:rPr>
        <w:t xml:space="preserve"> as reported by bullied workers. To explore the prevalence of harassment in Australian workplaces, we focus on eight different forms of harassment, giving insight into the extent to which workers experienced each of these </w:t>
      </w:r>
      <w:proofErr w:type="gramStart"/>
      <w:r w:rsidRPr="00F43118">
        <w:rPr>
          <w:u w:color="000000"/>
          <w:bdr w:val="nil"/>
          <w:lang w:val="en-US"/>
        </w:rPr>
        <w:t>types,</w:t>
      </w:r>
      <w:proofErr w:type="gramEnd"/>
      <w:r w:rsidRPr="00F43118">
        <w:rPr>
          <w:u w:color="000000"/>
          <w:bdr w:val="nil"/>
          <w:lang w:val="en-US"/>
        </w:rPr>
        <w:t xml:space="preserve"> and possible vulnerability of targets </w:t>
      </w:r>
      <w:r w:rsidR="00324A92">
        <w:rPr>
          <w:u w:color="000000"/>
          <w:bdr w:val="nil"/>
          <w:lang w:val="en-US"/>
        </w:rPr>
        <w:t xml:space="preserve">by </w:t>
      </w:r>
      <w:r w:rsidRPr="00F43118">
        <w:rPr>
          <w:u w:color="000000"/>
          <w:bdr w:val="nil"/>
          <w:lang w:val="en-US"/>
        </w:rPr>
        <w:t xml:space="preserve">gender, age, </w:t>
      </w:r>
      <w:r w:rsidR="00324A92">
        <w:rPr>
          <w:u w:color="000000"/>
          <w:bdr w:val="nil"/>
          <w:lang w:val="en-US"/>
        </w:rPr>
        <w:t xml:space="preserve">and </w:t>
      </w:r>
      <w:r w:rsidRPr="00F43118">
        <w:rPr>
          <w:u w:color="000000"/>
          <w:bdr w:val="nil"/>
          <w:lang w:val="en-US"/>
        </w:rPr>
        <w:t>income.</w:t>
      </w:r>
    </w:p>
    <w:p w:rsidR="00F43118" w:rsidRPr="00F43118" w:rsidRDefault="00F43118" w:rsidP="0094070E">
      <w:pPr>
        <w:spacing w:after="120"/>
        <w:rPr>
          <w:u w:color="000000"/>
          <w:bdr w:val="nil"/>
          <w:lang w:val="en-US"/>
        </w:rPr>
      </w:pPr>
      <w:r w:rsidRPr="00F43118">
        <w:rPr>
          <w:u w:color="000000"/>
          <w:bdr w:val="nil"/>
          <w:lang w:val="en-US"/>
        </w:rPr>
        <w:t xml:space="preserve">The second aim was to investigate the antecedents, or key factors, that are associated with bullying exposure through evaluating aspects of job design as well as PSC. First, the role of several key job demands (psychological demands and emotional demands) and job resources (job control, supervisor social support, </w:t>
      </w:r>
      <w:proofErr w:type="spellStart"/>
      <w:r w:rsidRPr="00F43118">
        <w:rPr>
          <w:u w:color="000000"/>
          <w:bdr w:val="nil"/>
          <w:lang w:val="en-US"/>
        </w:rPr>
        <w:t>organisational</w:t>
      </w:r>
      <w:proofErr w:type="spellEnd"/>
      <w:r w:rsidRPr="00F43118">
        <w:rPr>
          <w:u w:color="000000"/>
          <w:bdr w:val="nil"/>
          <w:lang w:val="en-US"/>
        </w:rPr>
        <w:t xml:space="preserve"> rewards) </w:t>
      </w:r>
      <w:r w:rsidR="00324A92">
        <w:rPr>
          <w:u w:color="000000"/>
          <w:bdr w:val="nil"/>
          <w:lang w:val="en-US"/>
        </w:rPr>
        <w:t>are</w:t>
      </w:r>
      <w:r w:rsidRPr="00F43118">
        <w:rPr>
          <w:u w:color="000000"/>
          <w:bdr w:val="nil"/>
          <w:lang w:val="en-US"/>
        </w:rPr>
        <w:t xml:space="preserve"> explored in relation to bullying. Then, the health and work impacts of bullying and harassment are explored.</w:t>
      </w:r>
    </w:p>
    <w:p w:rsidR="00F43118" w:rsidRPr="00F43118" w:rsidRDefault="00F43118" w:rsidP="0094070E">
      <w:pPr>
        <w:spacing w:after="120"/>
        <w:rPr>
          <w:u w:color="000000"/>
          <w:bdr w:val="nil"/>
          <w:lang w:val="en-US"/>
        </w:rPr>
      </w:pPr>
      <w:r w:rsidRPr="00F43118">
        <w:rPr>
          <w:u w:color="000000"/>
          <w:bdr w:val="nil"/>
          <w:lang w:val="en-US"/>
        </w:rPr>
        <w:t>The third aim was to evaluate a predictive model of bullying</w:t>
      </w:r>
      <w:r w:rsidR="00324A92">
        <w:rPr>
          <w:u w:color="000000"/>
          <w:bdr w:val="nil"/>
          <w:lang w:val="en-US"/>
        </w:rPr>
        <w:t>.</w:t>
      </w:r>
      <w:r w:rsidRPr="00F43118">
        <w:rPr>
          <w:u w:color="000000"/>
          <w:bdr w:val="nil"/>
          <w:lang w:val="en-US"/>
        </w:rPr>
        <w:t xml:space="preserve"> Within this analysis it will be determined whether the </w:t>
      </w:r>
      <w:proofErr w:type="spellStart"/>
      <w:r w:rsidRPr="00F43118">
        <w:rPr>
          <w:u w:color="000000"/>
          <w:bdr w:val="nil"/>
          <w:lang w:val="en-US"/>
        </w:rPr>
        <w:t>organisational</w:t>
      </w:r>
      <w:proofErr w:type="spellEnd"/>
      <w:r w:rsidRPr="00F43118">
        <w:rPr>
          <w:u w:color="000000"/>
          <w:bdr w:val="nil"/>
          <w:lang w:val="en-US"/>
        </w:rPr>
        <w:t xml:space="preserve"> PSC can predict workplace bullying as mediated by these job design factors (shown in Figure 1). If so, this provides further evidence that bullying and harassment can be better addressed and mitigated through an </w:t>
      </w:r>
      <w:proofErr w:type="spellStart"/>
      <w:r w:rsidRPr="00F43118">
        <w:rPr>
          <w:u w:color="000000"/>
          <w:bdr w:val="nil"/>
          <w:lang w:val="en-US"/>
        </w:rPr>
        <w:t>organisation’s</w:t>
      </w:r>
      <w:proofErr w:type="spellEnd"/>
      <w:r w:rsidRPr="00F43118">
        <w:rPr>
          <w:u w:color="000000"/>
          <w:bdr w:val="nil"/>
          <w:lang w:val="en-US"/>
        </w:rPr>
        <w:t xml:space="preserve"> commitment </w:t>
      </w:r>
      <w:r w:rsidR="00324A92">
        <w:rPr>
          <w:u w:color="000000"/>
          <w:bdr w:val="nil"/>
          <w:lang w:val="en-US"/>
        </w:rPr>
        <w:t xml:space="preserve">and action </w:t>
      </w:r>
      <w:r w:rsidRPr="00F43118">
        <w:rPr>
          <w:u w:color="000000"/>
          <w:bdr w:val="nil"/>
          <w:lang w:val="en-US"/>
        </w:rPr>
        <w:t>to foster</w:t>
      </w:r>
      <w:r w:rsidR="00324A92">
        <w:rPr>
          <w:u w:color="000000"/>
          <w:bdr w:val="nil"/>
          <w:lang w:val="en-US"/>
        </w:rPr>
        <w:t xml:space="preserve"> a</w:t>
      </w:r>
      <w:r w:rsidRPr="00F43118">
        <w:rPr>
          <w:u w:color="000000"/>
          <w:bdr w:val="nil"/>
          <w:lang w:val="en-US"/>
        </w:rPr>
        <w:t xml:space="preserve"> psyc</w:t>
      </w:r>
      <w:r w:rsidR="00FB0F05">
        <w:rPr>
          <w:u w:color="000000"/>
          <w:bdr w:val="nil"/>
          <w:lang w:val="en-US"/>
        </w:rPr>
        <w:t>hologically healthy environment</w:t>
      </w:r>
      <w:r w:rsidR="0094070E">
        <w:rPr>
          <w:u w:color="000000"/>
          <w:bdr w:val="nil"/>
          <w:lang w:val="en-US"/>
        </w:rPr>
        <w:t xml:space="preserve"> for its workers.</w:t>
      </w:r>
    </w:p>
    <w:p w:rsidR="00F43118" w:rsidRPr="00F43118" w:rsidRDefault="00F43118" w:rsidP="0094070E">
      <w:pPr>
        <w:spacing w:after="120"/>
        <w:rPr>
          <w:u w:color="000000"/>
          <w:bdr w:val="nil"/>
          <w:lang w:val="en-US"/>
        </w:rPr>
      </w:pPr>
      <w:r w:rsidRPr="00F43118">
        <w:rPr>
          <w:u w:color="000000"/>
          <w:bdr w:val="nil"/>
          <w:lang w:val="en-US"/>
        </w:rPr>
        <w:t>As recommended in the literature, to overcome current methodological limitations of cross-sectional research designs (Neall &amp; Tuckey, 2014), this predictive analysis will use a longitudinal research design, using data from 2010</w:t>
      </w:r>
      <w:r w:rsidR="00324A92">
        <w:rPr>
          <w:u w:color="000000"/>
          <w:bdr w:val="nil"/>
          <w:lang w:val="en-US"/>
        </w:rPr>
        <w:t>/</w:t>
      </w:r>
      <w:r w:rsidRPr="00F43118">
        <w:rPr>
          <w:u w:color="000000"/>
          <w:bdr w:val="nil"/>
          <w:lang w:val="en-US"/>
        </w:rPr>
        <w:t xml:space="preserve"> 2011 </w:t>
      </w:r>
      <w:r w:rsidR="00324A92">
        <w:rPr>
          <w:u w:color="000000"/>
          <w:bdr w:val="nil"/>
          <w:lang w:val="en-US"/>
        </w:rPr>
        <w:t xml:space="preserve">to </w:t>
      </w:r>
      <w:r w:rsidRPr="00F43118">
        <w:rPr>
          <w:u w:color="000000"/>
          <w:bdr w:val="nil"/>
          <w:lang w:val="en-US"/>
        </w:rPr>
        <w:t>predict bullying in 2014/2015. The model (or theoretical processes) is shown in Figure 1, and demonstrates the pathway from PSC to job design factors, to health and work outcomes.</w:t>
      </w:r>
    </w:p>
    <w:p w:rsidR="00F43118" w:rsidRPr="00F43118" w:rsidRDefault="00F43118" w:rsidP="0094070E">
      <w:pPr>
        <w:pBdr>
          <w:top w:val="nil"/>
          <w:left w:val="nil"/>
          <w:bottom w:val="nil"/>
          <w:right w:val="nil"/>
          <w:between w:val="nil"/>
          <w:bar w:val="nil"/>
        </w:pBdr>
        <w:spacing w:after="120"/>
        <w:jc w:val="both"/>
        <w:rPr>
          <w:rFonts w:ascii="Calibri" w:eastAsia="Cambria" w:hAnsi="Calibri" w:cs="Calibri"/>
          <w:color w:val="000000"/>
          <w:szCs w:val="22"/>
          <w:u w:color="000000"/>
          <w:bdr w:val="nil"/>
          <w:lang w:val="en-US"/>
        </w:rPr>
      </w:pPr>
      <w:r w:rsidRPr="00F43118">
        <w:rPr>
          <w:rFonts w:ascii="Calibri" w:eastAsia="Cambria" w:hAnsi="Calibri" w:cs="Calibri"/>
          <w:b/>
          <w:iCs/>
          <w:noProof/>
          <w:color w:val="000000"/>
          <w:sz w:val="23"/>
          <w:szCs w:val="23"/>
          <w:u w:color="000000"/>
          <w:bdr w:val="nil"/>
        </w:rPr>
        <w:drawing>
          <wp:inline distT="0" distB="0" distL="0" distR="0" wp14:anchorId="1DFCB47A" wp14:editId="02A475AE">
            <wp:extent cx="5091430" cy="2948152"/>
            <wp:effectExtent l="0" t="0" r="0" b="5080"/>
            <wp:docPr id="294" name="Picture 294" descr="Figure 1 is a diagram showing psychosocial safety climate predicting job design, bullying and harassment and ultimately psychological health outcomes and work outcomes. " title="Figure 1. Psychosocial Safety Climate Predicting Job Design, Bullying and Harassment, Health and Work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ullyingmodel18thfeb.gif"/>
                    <pic:cNvPicPr/>
                  </pic:nvPicPr>
                  <pic:blipFill rotWithShape="1">
                    <a:blip r:embed="rId12" cstate="print">
                      <a:extLst>
                        <a:ext uri="{28A0092B-C50C-407E-A947-70E740481C1C}">
                          <a14:useLocalDpi xmlns:a14="http://schemas.microsoft.com/office/drawing/2010/main" val="0"/>
                        </a:ext>
                      </a:extLst>
                    </a:blip>
                    <a:srcRect r="7071" b="25441"/>
                    <a:stretch/>
                  </pic:blipFill>
                  <pic:spPr bwMode="auto">
                    <a:xfrm>
                      <a:off x="0" y="0"/>
                      <a:ext cx="5157130" cy="2986195"/>
                    </a:xfrm>
                    <a:prstGeom prst="rect">
                      <a:avLst/>
                    </a:prstGeom>
                    <a:ln>
                      <a:noFill/>
                    </a:ln>
                    <a:extLst>
                      <a:ext uri="{53640926-AAD7-44D8-BBD7-CCE9431645EC}">
                        <a14:shadowObscured xmlns:a14="http://schemas.microsoft.com/office/drawing/2010/main"/>
                      </a:ext>
                    </a:extLst>
                  </pic:spPr>
                </pic:pic>
              </a:graphicData>
            </a:graphic>
          </wp:inline>
        </w:drawing>
      </w:r>
    </w:p>
    <w:p w:rsidR="00F43118" w:rsidRPr="00F43118" w:rsidRDefault="00F43118" w:rsidP="006B5A6E">
      <w:pPr>
        <w:pStyle w:val="Subtitle"/>
        <w:spacing w:after="360"/>
        <w:rPr>
          <w:rFonts w:eastAsia="Cambria"/>
          <w:u w:color="000000"/>
          <w:bdr w:val="nil"/>
          <w:lang w:val="en-US"/>
        </w:rPr>
      </w:pPr>
      <w:proofErr w:type="gramStart"/>
      <w:r w:rsidRPr="00F43118">
        <w:rPr>
          <w:rFonts w:eastAsia="Cambria"/>
          <w:u w:color="000000"/>
          <w:bdr w:val="nil"/>
          <w:lang w:val="en-US"/>
        </w:rPr>
        <w:t>Figure 1</w:t>
      </w:r>
      <w:r w:rsidR="002E6D6C">
        <w:rPr>
          <w:rFonts w:eastAsia="Cambria"/>
          <w:u w:color="000000"/>
          <w:bdr w:val="nil"/>
          <w:lang w:val="en-US"/>
        </w:rPr>
        <w:t>.</w:t>
      </w:r>
      <w:proofErr w:type="gramEnd"/>
      <w:r w:rsidR="002E6D6C">
        <w:rPr>
          <w:rFonts w:eastAsia="Cambria"/>
          <w:u w:color="000000"/>
          <w:bdr w:val="nil"/>
          <w:lang w:val="en-US"/>
        </w:rPr>
        <w:t xml:space="preserve"> </w:t>
      </w:r>
      <w:r w:rsidRPr="00DD3A77">
        <w:rPr>
          <w:rFonts w:eastAsia="Cambria"/>
          <w:u w:color="000000"/>
          <w:bdr w:val="nil"/>
          <w:lang w:val="en-US"/>
        </w:rPr>
        <w:t xml:space="preserve">Psychosocial </w:t>
      </w:r>
      <w:r w:rsidR="006B5A6E">
        <w:rPr>
          <w:rFonts w:eastAsia="Cambria"/>
          <w:u w:color="000000"/>
          <w:bdr w:val="nil"/>
          <w:lang w:val="en-US"/>
        </w:rPr>
        <w:t>s</w:t>
      </w:r>
      <w:r w:rsidRPr="00DD3A77">
        <w:rPr>
          <w:rFonts w:eastAsia="Cambria"/>
          <w:u w:color="000000"/>
          <w:bdr w:val="nil"/>
          <w:lang w:val="en-US"/>
        </w:rPr>
        <w:t xml:space="preserve">afety </w:t>
      </w:r>
      <w:r w:rsidR="006B5A6E">
        <w:rPr>
          <w:rFonts w:eastAsia="Cambria"/>
          <w:u w:color="000000"/>
          <w:bdr w:val="nil"/>
          <w:lang w:val="en-US"/>
        </w:rPr>
        <w:t>c</w:t>
      </w:r>
      <w:r w:rsidRPr="00DD3A77">
        <w:rPr>
          <w:rFonts w:eastAsia="Cambria"/>
          <w:u w:color="000000"/>
          <w:bdr w:val="nil"/>
          <w:lang w:val="en-US"/>
        </w:rPr>
        <w:t xml:space="preserve">limate </w:t>
      </w:r>
      <w:r w:rsidR="006B5A6E">
        <w:rPr>
          <w:rFonts w:eastAsia="Cambria"/>
          <w:u w:color="000000"/>
          <w:bdr w:val="nil"/>
          <w:lang w:val="en-US"/>
        </w:rPr>
        <w:t>p</w:t>
      </w:r>
      <w:r w:rsidRPr="00DD3A77">
        <w:rPr>
          <w:rFonts w:eastAsia="Cambria"/>
          <w:u w:color="000000"/>
          <w:bdr w:val="nil"/>
          <w:lang w:val="en-US"/>
        </w:rPr>
        <w:t xml:space="preserve">redicting </w:t>
      </w:r>
      <w:r w:rsidR="006B5A6E">
        <w:rPr>
          <w:rFonts w:eastAsia="Cambria"/>
          <w:u w:color="000000"/>
          <w:bdr w:val="nil"/>
          <w:lang w:val="en-US"/>
        </w:rPr>
        <w:t>j</w:t>
      </w:r>
      <w:r w:rsidRPr="00DD3A77">
        <w:rPr>
          <w:rFonts w:eastAsia="Cambria"/>
          <w:u w:color="000000"/>
          <w:bdr w:val="nil"/>
          <w:lang w:val="en-US"/>
        </w:rPr>
        <w:t xml:space="preserve">ob </w:t>
      </w:r>
      <w:r w:rsidR="006B5A6E">
        <w:rPr>
          <w:rFonts w:eastAsia="Cambria"/>
          <w:u w:color="000000"/>
          <w:bdr w:val="nil"/>
          <w:lang w:val="en-US"/>
        </w:rPr>
        <w:t>d</w:t>
      </w:r>
      <w:r w:rsidRPr="00DD3A77">
        <w:rPr>
          <w:rFonts w:eastAsia="Cambria"/>
          <w:u w:color="000000"/>
          <w:bdr w:val="nil"/>
          <w:lang w:val="en-US"/>
        </w:rPr>
        <w:t xml:space="preserve">esign, </w:t>
      </w:r>
      <w:r w:rsidR="006B5A6E">
        <w:rPr>
          <w:rFonts w:eastAsia="Cambria"/>
          <w:u w:color="000000"/>
          <w:bdr w:val="nil"/>
          <w:lang w:val="en-US"/>
        </w:rPr>
        <w:t>b</w:t>
      </w:r>
      <w:r w:rsidRPr="00DD3A77">
        <w:rPr>
          <w:rFonts w:eastAsia="Cambria"/>
          <w:u w:color="000000"/>
          <w:bdr w:val="nil"/>
          <w:lang w:val="en-US"/>
        </w:rPr>
        <w:t xml:space="preserve">ullying and </w:t>
      </w:r>
      <w:r w:rsidR="006B5A6E">
        <w:rPr>
          <w:rFonts w:eastAsia="Cambria"/>
          <w:u w:color="000000"/>
          <w:bdr w:val="nil"/>
          <w:lang w:val="en-US"/>
        </w:rPr>
        <w:t>h</w:t>
      </w:r>
      <w:r w:rsidRPr="00DD3A77">
        <w:rPr>
          <w:rFonts w:eastAsia="Cambria"/>
          <w:u w:color="000000"/>
          <w:bdr w:val="nil"/>
          <w:lang w:val="en-US"/>
        </w:rPr>
        <w:t>arassment</w:t>
      </w:r>
      <w:r w:rsidR="009B3759" w:rsidRPr="00DD3A77">
        <w:rPr>
          <w:rFonts w:eastAsia="Cambria"/>
          <w:u w:color="000000"/>
          <w:bdr w:val="nil"/>
          <w:lang w:val="en-US"/>
        </w:rPr>
        <w:t xml:space="preserve">, </w:t>
      </w:r>
      <w:r w:rsidR="006B5A6E">
        <w:rPr>
          <w:rFonts w:eastAsia="Cambria"/>
          <w:u w:color="000000"/>
          <w:bdr w:val="nil"/>
          <w:lang w:val="en-US"/>
        </w:rPr>
        <w:t>h</w:t>
      </w:r>
      <w:r w:rsidR="009B3759" w:rsidRPr="00DD3A77">
        <w:rPr>
          <w:rFonts w:eastAsia="Cambria"/>
          <w:u w:color="000000"/>
          <w:bdr w:val="nil"/>
          <w:lang w:val="en-US"/>
        </w:rPr>
        <w:t xml:space="preserve">ealth and </w:t>
      </w:r>
      <w:r w:rsidR="006B5A6E">
        <w:rPr>
          <w:rFonts w:eastAsia="Cambria"/>
          <w:u w:color="000000"/>
          <w:bdr w:val="nil"/>
          <w:lang w:val="en-US"/>
        </w:rPr>
        <w:t>w</w:t>
      </w:r>
      <w:r w:rsidR="009B3759" w:rsidRPr="00DD3A77">
        <w:rPr>
          <w:rFonts w:eastAsia="Cambria"/>
          <w:u w:color="000000"/>
          <w:bdr w:val="nil"/>
          <w:lang w:val="en-US"/>
        </w:rPr>
        <w:t xml:space="preserve">ork </w:t>
      </w:r>
      <w:r w:rsidR="006B5A6E">
        <w:rPr>
          <w:rFonts w:eastAsia="Cambria"/>
          <w:u w:color="000000"/>
          <w:bdr w:val="nil"/>
          <w:lang w:val="en-US"/>
        </w:rPr>
        <w:t>o</w:t>
      </w:r>
      <w:r w:rsidRPr="00DD3A77">
        <w:rPr>
          <w:rFonts w:eastAsia="Cambria"/>
          <w:u w:color="000000"/>
          <w:bdr w:val="nil"/>
          <w:lang w:val="en-US"/>
        </w:rPr>
        <w:t>utcomes</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The overarching purpose of the report is to address these aims outlining up-to-date prevalence data on workplace bullying and harassment within Australia in addition to presenting evide</w:t>
      </w:r>
      <w:r w:rsidR="0094070E">
        <w:rPr>
          <w:rFonts w:eastAsia="Cambria"/>
          <w:u w:color="000000"/>
          <w:bdr w:val="nil"/>
          <w:lang w:val="en-US"/>
        </w:rPr>
        <w:t>nce of antecedents and impacts.</w:t>
      </w:r>
    </w:p>
    <w:p w:rsidR="00400475" w:rsidRPr="00DD3A77" w:rsidRDefault="00400475" w:rsidP="0094070E">
      <w:pPr>
        <w:pBdr>
          <w:top w:val="nil"/>
          <w:left w:val="nil"/>
          <w:bottom w:val="nil"/>
          <w:right w:val="nil"/>
          <w:between w:val="nil"/>
          <w:bar w:val="nil"/>
        </w:pBdr>
        <w:spacing w:after="120"/>
        <w:jc w:val="both"/>
        <w:outlineLvl w:val="0"/>
        <w:rPr>
          <w:rFonts w:eastAsia="Cambria" w:cs="Arial"/>
          <w:b/>
          <w:sz w:val="20"/>
          <w:szCs w:val="20"/>
          <w:u w:color="000000"/>
          <w:bdr w:val="nil"/>
          <w:lang w:val="en-US"/>
        </w:rPr>
      </w:pPr>
    </w:p>
    <w:p w:rsidR="00F43118" w:rsidRPr="00F43118" w:rsidRDefault="00F43118" w:rsidP="000A48B7">
      <w:pPr>
        <w:pStyle w:val="Heading1"/>
        <w:rPr>
          <w:rFonts w:eastAsia="Cambria"/>
          <w:u w:color="000000"/>
          <w:bdr w:val="nil"/>
          <w:lang w:val="en-US"/>
        </w:rPr>
      </w:pPr>
      <w:r w:rsidRPr="00F43118">
        <w:rPr>
          <w:rFonts w:eastAsia="Cambria"/>
          <w:u w:color="000000"/>
          <w:bdr w:val="nil"/>
          <w:lang w:val="en-US"/>
        </w:rPr>
        <w:lastRenderedPageBreak/>
        <w:t>Method</w:t>
      </w:r>
    </w:p>
    <w:p w:rsidR="00F43118" w:rsidRPr="00DD3A77" w:rsidRDefault="00F43118" w:rsidP="006B5A6E">
      <w:pPr>
        <w:pStyle w:val="Heading2"/>
        <w:keepNext/>
        <w:spacing w:before="240" w:after="120"/>
        <w:rPr>
          <w:rFonts w:eastAsia="Cambria"/>
          <w:u w:color="000000"/>
          <w:bdr w:val="nil"/>
          <w:lang w:val="en-US"/>
        </w:rPr>
      </w:pPr>
      <w:r w:rsidRPr="00DD3A77">
        <w:rPr>
          <w:rFonts w:eastAsia="Cambria"/>
          <w:u w:color="000000"/>
          <w:bdr w:val="nil"/>
          <w:lang w:val="en-US"/>
        </w:rPr>
        <w:t xml:space="preserve">Participants and Procedure </w:t>
      </w:r>
    </w:p>
    <w:p w:rsidR="006C79AC" w:rsidRPr="0094070E" w:rsidRDefault="00F43118" w:rsidP="0094070E">
      <w:pPr>
        <w:spacing w:after="120"/>
        <w:rPr>
          <w:u w:color="000000"/>
          <w:bdr w:val="nil"/>
          <w:lang w:val="en-US"/>
        </w:rPr>
      </w:pPr>
      <w:r w:rsidRPr="00F43118">
        <w:rPr>
          <w:u w:color="000000"/>
          <w:bdr w:val="nil"/>
          <w:lang w:val="en-US"/>
        </w:rPr>
        <w:t xml:space="preserve">The </w:t>
      </w:r>
      <w:proofErr w:type="spellStart"/>
      <w:r w:rsidRPr="00F43118">
        <w:rPr>
          <w:u w:color="000000"/>
          <w:bdr w:val="nil"/>
          <w:lang w:val="en-US"/>
        </w:rPr>
        <w:t>AWB</w:t>
      </w:r>
      <w:proofErr w:type="spellEnd"/>
      <w:r w:rsidRPr="00F43118">
        <w:rPr>
          <w:u w:color="000000"/>
          <w:bdr w:val="nil"/>
          <w:lang w:val="en-US"/>
        </w:rPr>
        <w:t xml:space="preserve"> project </w:t>
      </w:r>
      <w:r w:rsidR="00324A92">
        <w:rPr>
          <w:u w:color="000000"/>
          <w:bdr w:val="nil"/>
          <w:lang w:val="en-US"/>
        </w:rPr>
        <w:t>used</w:t>
      </w:r>
      <w:r w:rsidR="00324A92" w:rsidRPr="00F43118">
        <w:rPr>
          <w:u w:color="000000"/>
          <w:bdr w:val="nil"/>
          <w:lang w:val="en-US"/>
        </w:rPr>
        <w:t xml:space="preserve"> </w:t>
      </w:r>
      <w:r w:rsidRPr="00F43118">
        <w:rPr>
          <w:u w:color="000000"/>
          <w:bdr w:val="nil"/>
          <w:lang w:val="en-US"/>
        </w:rPr>
        <w:t xml:space="preserve">a longitudinal survey </w:t>
      </w:r>
      <w:r w:rsidRPr="00C51661">
        <w:rPr>
          <w:u w:color="000000"/>
          <w:bdr w:val="nil"/>
          <w:lang w:val="en-US"/>
        </w:rPr>
        <w:t>design, incorporating data collected at three time points</w:t>
      </w:r>
      <w:r w:rsidR="00C36F2F" w:rsidRPr="00C51661">
        <w:rPr>
          <w:u w:color="000000"/>
          <w:bdr w:val="nil"/>
          <w:lang w:val="en-US"/>
        </w:rPr>
        <w:t xml:space="preserve"> (considering when individual states were involved)</w:t>
      </w:r>
      <w:r w:rsidRPr="00C51661">
        <w:rPr>
          <w:u w:color="000000"/>
          <w:bdr w:val="nil"/>
          <w:lang w:val="en-US"/>
        </w:rPr>
        <w:t>: 2009/2010, 201</w:t>
      </w:r>
      <w:r w:rsidR="00324A92" w:rsidRPr="00C51661">
        <w:rPr>
          <w:u w:color="000000"/>
          <w:bdr w:val="nil"/>
          <w:lang w:val="en-US"/>
        </w:rPr>
        <w:t>0/2011</w:t>
      </w:r>
      <w:r w:rsidRPr="00C51661">
        <w:rPr>
          <w:u w:color="000000"/>
          <w:bdr w:val="nil"/>
          <w:lang w:val="en-US"/>
        </w:rPr>
        <w:t xml:space="preserve">, and 2014/2015.  Participants were eligible if they were aged over 18 years, currently employed, and </w:t>
      </w:r>
      <w:r w:rsidR="00324A92" w:rsidRPr="00C51661">
        <w:rPr>
          <w:u w:color="000000"/>
          <w:bdr w:val="nil"/>
          <w:lang w:val="en-US"/>
        </w:rPr>
        <w:t xml:space="preserve">to ensure randomness, participants </w:t>
      </w:r>
      <w:r w:rsidR="00C36F2F" w:rsidRPr="00C51661">
        <w:rPr>
          <w:u w:color="000000"/>
          <w:bdr w:val="nil"/>
          <w:lang w:val="en-US"/>
        </w:rPr>
        <w:t xml:space="preserve">who </w:t>
      </w:r>
      <w:r w:rsidRPr="00C51661">
        <w:rPr>
          <w:u w:color="000000"/>
          <w:bdr w:val="nil"/>
          <w:lang w:val="en-US"/>
        </w:rPr>
        <w:t>had the most recent birthday in the household</w:t>
      </w:r>
      <w:r w:rsidR="00C36F2F" w:rsidRPr="00C51661">
        <w:rPr>
          <w:u w:color="000000"/>
          <w:bdr w:val="nil"/>
          <w:lang w:val="en-US"/>
        </w:rPr>
        <w:t xml:space="preserve"> were selected</w:t>
      </w:r>
      <w:r w:rsidRPr="00C51661">
        <w:rPr>
          <w:u w:color="000000"/>
          <w:bdr w:val="nil"/>
          <w:lang w:val="en-US"/>
        </w:rPr>
        <w:t>. Only one participant per household could participate in the study. Participants were randomly selected through the Australian Electronic White Pages (</w:t>
      </w:r>
      <w:proofErr w:type="spellStart"/>
      <w:r w:rsidRPr="00C51661">
        <w:rPr>
          <w:u w:color="000000"/>
          <w:bdr w:val="nil"/>
          <w:lang w:val="en-US"/>
        </w:rPr>
        <w:t>AEWP</w:t>
      </w:r>
      <w:proofErr w:type="spellEnd"/>
      <w:r w:rsidRPr="00C51661">
        <w:rPr>
          <w:u w:color="000000"/>
          <w:bdr w:val="nil"/>
          <w:lang w:val="en-US"/>
        </w:rPr>
        <w:t>) at each time point, and contacted through a computer-assisted telephone interviewing (</w:t>
      </w:r>
      <w:proofErr w:type="spellStart"/>
      <w:r w:rsidRPr="00C51661">
        <w:rPr>
          <w:u w:color="000000"/>
          <w:bdr w:val="nil"/>
          <w:lang w:val="en-US"/>
        </w:rPr>
        <w:t>CATI</w:t>
      </w:r>
      <w:proofErr w:type="spellEnd"/>
      <w:r w:rsidRPr="00C51661">
        <w:rPr>
          <w:u w:color="000000"/>
          <w:bdr w:val="nil"/>
          <w:lang w:val="en-US"/>
        </w:rPr>
        <w:t xml:space="preserve">) system. An introductory letter was sent to participants outlining details of the study and advising them that they would be contacted. For the follow-up surveys conducted in </w:t>
      </w:r>
      <w:r w:rsidR="00C36F2F" w:rsidRPr="00C51661">
        <w:rPr>
          <w:u w:color="000000"/>
          <w:bdr w:val="nil"/>
          <w:lang w:val="en-US"/>
        </w:rPr>
        <w:t>2010/</w:t>
      </w:r>
      <w:r w:rsidRPr="00C51661">
        <w:rPr>
          <w:u w:color="000000"/>
          <w:bdr w:val="nil"/>
          <w:lang w:val="en-US"/>
        </w:rPr>
        <w:t xml:space="preserve">2011 and 2014/2015, participants were contacted again with a letter and then a telephone interview. Where participants were no longer available or willing to participate, new participants were recruited to ensure an adequate sample size. To recruit new participants, random mobile phone sampling was conducted to contact new participants in addition to the </w:t>
      </w:r>
      <w:proofErr w:type="spellStart"/>
      <w:r w:rsidRPr="00C51661">
        <w:rPr>
          <w:u w:color="000000"/>
          <w:bdr w:val="nil"/>
          <w:lang w:val="en-US"/>
        </w:rPr>
        <w:t>AEWP</w:t>
      </w:r>
      <w:proofErr w:type="spellEnd"/>
      <w:r w:rsidRPr="00C51661">
        <w:rPr>
          <w:u w:color="000000"/>
          <w:bdr w:val="nil"/>
          <w:lang w:val="en-US"/>
        </w:rPr>
        <w:t xml:space="preserve"> method previously used</w:t>
      </w:r>
      <w:r w:rsidR="004E3697" w:rsidRPr="00C51661">
        <w:rPr>
          <w:u w:color="000000"/>
          <w:bdr w:val="nil"/>
          <w:lang w:val="en-US"/>
        </w:rPr>
        <w:t xml:space="preserve"> (see dal Grande, </w:t>
      </w:r>
      <w:proofErr w:type="spellStart"/>
      <w:r w:rsidR="004E3697" w:rsidRPr="00C51661">
        <w:rPr>
          <w:u w:color="000000"/>
          <w:bdr w:val="nil"/>
          <w:lang w:val="en-US"/>
        </w:rPr>
        <w:t>Chittleborough</w:t>
      </w:r>
      <w:proofErr w:type="spellEnd"/>
      <w:r w:rsidR="004E3697" w:rsidRPr="00C51661">
        <w:rPr>
          <w:u w:color="000000"/>
          <w:bdr w:val="nil"/>
          <w:lang w:val="en-US"/>
        </w:rPr>
        <w:t xml:space="preserve">, </w:t>
      </w:r>
      <w:proofErr w:type="spellStart"/>
      <w:r w:rsidR="004E3697" w:rsidRPr="00C51661">
        <w:rPr>
          <w:u w:color="000000"/>
          <w:bdr w:val="nil"/>
          <w:lang w:val="en-US"/>
        </w:rPr>
        <w:t>Campostrini</w:t>
      </w:r>
      <w:proofErr w:type="spellEnd"/>
      <w:r w:rsidR="004E3697" w:rsidRPr="00C51661">
        <w:rPr>
          <w:u w:color="000000"/>
          <w:bdr w:val="nil"/>
          <w:lang w:val="en-US"/>
        </w:rPr>
        <w:t>, Dollard</w:t>
      </w:r>
      <w:r w:rsidR="004B06BE">
        <w:rPr>
          <w:u w:color="000000"/>
          <w:bdr w:val="nil"/>
          <w:lang w:val="en-US"/>
        </w:rPr>
        <w:t>,</w:t>
      </w:r>
      <w:r w:rsidR="004E3697" w:rsidRPr="00C51661">
        <w:rPr>
          <w:u w:color="000000"/>
          <w:bdr w:val="nil"/>
          <w:lang w:val="en-US"/>
        </w:rPr>
        <w:t xml:space="preserve"> &amp; Taylor, 2016)</w:t>
      </w:r>
      <w:r w:rsidRPr="00C51661">
        <w:rPr>
          <w:u w:color="000000"/>
          <w:bdr w:val="nil"/>
          <w:lang w:val="en-US"/>
        </w:rPr>
        <w:t xml:space="preserve">. These participants were randomly chosen Australia-wide with no filtering for specific states and territories. Using the latest Australian Bureau of Statistics (ABS) </w:t>
      </w:r>
      <w:proofErr w:type="spellStart"/>
      <w:r w:rsidRPr="00C51661">
        <w:rPr>
          <w:u w:color="000000"/>
          <w:bdr w:val="nil"/>
          <w:lang w:val="en-US"/>
        </w:rPr>
        <w:t>Labour</w:t>
      </w:r>
      <w:proofErr w:type="spellEnd"/>
      <w:r w:rsidRPr="00C51661">
        <w:rPr>
          <w:u w:color="000000"/>
          <w:bdr w:val="nil"/>
          <w:lang w:val="en-US"/>
        </w:rPr>
        <w:t xml:space="preserve"> Force Survey, weighting was applied to the data to ensure the sample was representative of the populations of the respective states and territories.</w:t>
      </w:r>
    </w:p>
    <w:p w:rsidR="00F43118" w:rsidRPr="00F43118" w:rsidRDefault="00F43118" w:rsidP="0094070E">
      <w:pPr>
        <w:spacing w:after="120"/>
        <w:rPr>
          <w:rFonts w:eastAsia="Cambria"/>
          <w:u w:color="000000"/>
          <w:bdr w:val="nil"/>
          <w:lang w:val="en-US"/>
        </w:rPr>
      </w:pPr>
      <w:r w:rsidRPr="00C51661">
        <w:rPr>
          <w:rFonts w:eastAsia="Cambria"/>
          <w:u w:color="000000"/>
          <w:bdr w:val="nil"/>
          <w:lang w:val="en-US"/>
        </w:rPr>
        <w:t xml:space="preserve">The first wave of data collection was conducted in 2009 in Western Australia and New South Wales, and then in South Australia in 2010. </w:t>
      </w:r>
      <w:r w:rsidR="00C36F2F" w:rsidRPr="00C51661">
        <w:rPr>
          <w:rFonts w:eastAsia="Cambria"/>
          <w:u w:color="000000"/>
          <w:bdr w:val="nil"/>
          <w:lang w:val="en-US"/>
        </w:rPr>
        <w:t>In</w:t>
      </w:r>
      <w:r w:rsidRPr="00C51661">
        <w:rPr>
          <w:rFonts w:eastAsia="Cambria"/>
          <w:u w:color="000000"/>
          <w:bdr w:val="nil"/>
          <w:lang w:val="en-US"/>
        </w:rPr>
        <w:t xml:space="preserve"> 2010, a second wave of data was collected from Western Australia and New South Wales. In 2011, a second wave of data was collected from South Australia and for the first time from the Australian Capital Territory, Tasmania, and the Northern Territory. In 2014 and 2015, data were collected from all Australian states and territories. </w:t>
      </w:r>
      <w:r w:rsidR="00C36F2F" w:rsidRPr="00C51661">
        <w:rPr>
          <w:rFonts w:eastAsia="Cambria"/>
          <w:u w:color="000000"/>
          <w:bdr w:val="nil"/>
          <w:lang w:val="en-US"/>
        </w:rPr>
        <w:t xml:space="preserve">In summary, Wave 1, </w:t>
      </w:r>
      <w:r w:rsidR="00C36F2F" w:rsidRPr="00C51661">
        <w:rPr>
          <w:u w:color="000000"/>
          <w:bdr w:val="nil"/>
          <w:lang w:val="en-US"/>
        </w:rPr>
        <w:t xml:space="preserve">2009/2010, includes NSW, WA and SA; Wave 2, 2010/2011 includes NSW, SA, WA, Tasmania, Northern Territory and the </w:t>
      </w:r>
      <w:r w:rsidR="00C36F2F" w:rsidRPr="00C51661">
        <w:rPr>
          <w:rFonts w:eastAsia="Cambria"/>
          <w:u w:color="000000"/>
          <w:bdr w:val="nil"/>
          <w:lang w:val="en-US"/>
        </w:rPr>
        <w:t>Australian Capital Territory,</w:t>
      </w:r>
      <w:r w:rsidR="00C36F2F" w:rsidRPr="00C51661">
        <w:rPr>
          <w:u w:color="000000"/>
          <w:bdr w:val="nil"/>
          <w:lang w:val="en-US"/>
        </w:rPr>
        <w:t xml:space="preserve"> and Wave 3, 2014/2015, all states and territories. </w:t>
      </w:r>
      <w:r w:rsidRPr="00C51661">
        <w:rPr>
          <w:rFonts w:eastAsia="Cambria"/>
          <w:u w:color="000000"/>
          <w:bdr w:val="nil"/>
          <w:lang w:val="en-US"/>
        </w:rPr>
        <w:t>The total number of participants for 2014/2015 was 4242. There were 2404 females (mean age = 49.2, SD = 11.8) and 1838 males (mean age = 47.7 years, SD = 12.7).</w:t>
      </w:r>
      <w:r w:rsidRPr="00F43118">
        <w:rPr>
          <w:rFonts w:eastAsia="Cambria"/>
          <w:u w:color="000000"/>
          <w:bdr w:val="nil"/>
          <w:lang w:val="en-US"/>
        </w:rPr>
        <w:t xml:space="preserve"> </w:t>
      </w:r>
    </w:p>
    <w:p w:rsidR="00F43118" w:rsidRPr="0094070E" w:rsidRDefault="00F43118" w:rsidP="0094070E">
      <w:pPr>
        <w:pStyle w:val="Heading2"/>
        <w:spacing w:before="240" w:after="120"/>
        <w:rPr>
          <w:rFonts w:eastAsia="Cambria"/>
          <w:u w:color="000000"/>
          <w:bdr w:val="nil"/>
          <w:lang w:val="en-US"/>
        </w:rPr>
      </w:pPr>
      <w:r w:rsidRPr="00F43118">
        <w:rPr>
          <w:rFonts w:eastAsia="Cambria"/>
          <w:u w:color="000000"/>
          <w:bdr w:val="nil"/>
          <w:lang w:val="en-US"/>
        </w:rPr>
        <w:t xml:space="preserve">Measures </w:t>
      </w:r>
    </w:p>
    <w:p w:rsidR="00F43118" w:rsidRPr="00F43118" w:rsidRDefault="00F43118" w:rsidP="0094070E">
      <w:pPr>
        <w:pStyle w:val="Heading3"/>
        <w:spacing w:before="240" w:after="120"/>
        <w:rPr>
          <w:rFonts w:eastAsia="Cambria"/>
          <w:u w:color="000000"/>
        </w:rPr>
      </w:pPr>
      <w:r w:rsidRPr="00F43118">
        <w:rPr>
          <w:rFonts w:eastAsia="Cambria"/>
          <w:u w:color="000000"/>
        </w:rPr>
        <w:t>Bullying</w:t>
      </w:r>
    </w:p>
    <w:p w:rsidR="00F43118" w:rsidRDefault="00F43118" w:rsidP="0094070E">
      <w:pPr>
        <w:spacing w:after="120"/>
        <w:rPr>
          <w:rFonts w:eastAsia="Cambria"/>
          <w:u w:color="000000"/>
          <w:bdr w:val="nil"/>
          <w:lang w:val="en-US"/>
        </w:rPr>
      </w:pPr>
      <w:proofErr w:type="gramStart"/>
      <w:r w:rsidRPr="000A48B7">
        <w:rPr>
          <w:rStyle w:val="Heading4Char"/>
        </w:rPr>
        <w:t>International standard definition.</w:t>
      </w:r>
      <w:proofErr w:type="gramEnd"/>
      <w:r w:rsidRPr="00F43118">
        <w:rPr>
          <w:rFonts w:eastAsia="Cambria"/>
          <w:u w:color="000000"/>
          <w:bdr w:val="nil"/>
          <w:lang w:val="en-US"/>
        </w:rPr>
        <w:t xml:space="preserve"> A clear definition of bullying was provided based on an agreed upon standard in the international literature:</w:t>
      </w:r>
    </w:p>
    <w:p w:rsidR="00F43118" w:rsidRPr="00F43118" w:rsidRDefault="00F43118" w:rsidP="0094070E">
      <w:pPr>
        <w:spacing w:after="120"/>
        <w:ind w:left="720"/>
        <w:rPr>
          <w:rFonts w:eastAsia="Cambria"/>
          <w:i/>
          <w:u w:color="000000"/>
          <w:bdr w:val="nil"/>
          <w:lang w:val="en-US"/>
        </w:rPr>
      </w:pPr>
      <w:r w:rsidRPr="00F43118">
        <w:rPr>
          <w:rFonts w:eastAsia="Cambria"/>
          <w:i/>
          <w:u w:color="000000"/>
          <w:bdr w:val="nil"/>
          <w:lang w:val="en-US"/>
        </w:rPr>
        <w:t xml:space="preserve">Bullying is a problem at some work-places and for some workers. To label something as bullying, the offensive </w:t>
      </w:r>
      <w:proofErr w:type="spellStart"/>
      <w:r w:rsidRPr="00F43118">
        <w:rPr>
          <w:rFonts w:eastAsia="Cambria"/>
          <w:i/>
          <w:u w:color="000000"/>
          <w:bdr w:val="nil"/>
          <w:lang w:val="en-US"/>
        </w:rPr>
        <w:t>behaviour</w:t>
      </w:r>
      <w:proofErr w:type="spellEnd"/>
      <w:r w:rsidRPr="00F43118">
        <w:rPr>
          <w:rFonts w:eastAsia="Cambria"/>
          <w:i/>
          <w:u w:color="000000"/>
          <w:bdr w:val="nil"/>
          <w:lang w:val="en-US"/>
        </w:rPr>
        <w:t xml:space="preserve"> has to occur repeatedly over a period of time, and the person confronted has to experience difficulties defending him or herself. The </w:t>
      </w:r>
      <w:proofErr w:type="spellStart"/>
      <w:r w:rsidRPr="00F43118">
        <w:rPr>
          <w:rFonts w:eastAsia="Cambria"/>
          <w:i/>
          <w:u w:color="000000"/>
          <w:bdr w:val="nil"/>
          <w:lang w:val="en-US"/>
        </w:rPr>
        <w:t>behaviour</w:t>
      </w:r>
      <w:proofErr w:type="spellEnd"/>
      <w:r w:rsidRPr="00F43118">
        <w:rPr>
          <w:rFonts w:eastAsia="Cambria"/>
          <w:i/>
          <w:u w:color="000000"/>
          <w:bdr w:val="nil"/>
          <w:lang w:val="en-US"/>
        </w:rPr>
        <w:t xml:space="preserve"> is not bullying if two parties of approximate equal ‘strength’ are in conflict or the incident is an isolated event. </w:t>
      </w:r>
      <w:proofErr w:type="gramStart"/>
      <w:r w:rsidRPr="00F43118">
        <w:rPr>
          <w:rFonts w:eastAsia="Cambria"/>
          <w:i/>
          <w:u w:color="000000"/>
          <w:bdr w:val="nil"/>
          <w:lang w:val="en-US"/>
        </w:rPr>
        <w:t>(</w:t>
      </w:r>
      <w:proofErr w:type="spellStart"/>
      <w:r w:rsidRPr="00F43118">
        <w:rPr>
          <w:rFonts w:eastAsia="Cambria"/>
          <w:i/>
          <w:u w:color="000000"/>
          <w:bdr w:val="nil"/>
          <w:lang w:val="en-US"/>
        </w:rPr>
        <w:t>Lindström</w:t>
      </w:r>
      <w:proofErr w:type="spellEnd"/>
      <w:r w:rsidRPr="00F43118">
        <w:rPr>
          <w:rFonts w:eastAsia="Cambria"/>
          <w:i/>
          <w:u w:color="000000"/>
          <w:bdr w:val="nil"/>
          <w:lang w:val="en-US"/>
        </w:rPr>
        <w:t xml:space="preserve">, </w:t>
      </w:r>
      <w:proofErr w:type="spellStart"/>
      <w:r w:rsidRPr="00F43118">
        <w:rPr>
          <w:rFonts w:eastAsia="Cambria"/>
          <w:i/>
          <w:u w:color="000000"/>
          <w:bdr w:val="nil"/>
          <w:lang w:val="en-US"/>
        </w:rPr>
        <w:t>Hottinen</w:t>
      </w:r>
      <w:proofErr w:type="spellEnd"/>
      <w:r w:rsidRPr="00F43118">
        <w:rPr>
          <w:rFonts w:eastAsia="Cambria"/>
          <w:i/>
          <w:u w:color="000000"/>
          <w:bdr w:val="nil"/>
          <w:lang w:val="en-US"/>
        </w:rPr>
        <w:t xml:space="preserve">, &amp; </w:t>
      </w:r>
      <w:proofErr w:type="spellStart"/>
      <w:r w:rsidRPr="00F43118">
        <w:rPr>
          <w:rFonts w:eastAsia="Cambria"/>
          <w:i/>
          <w:u w:color="000000"/>
          <w:bdr w:val="nil"/>
          <w:lang w:val="en-US"/>
        </w:rPr>
        <w:t>Bredenberg</w:t>
      </w:r>
      <w:proofErr w:type="spellEnd"/>
      <w:r w:rsidRPr="00F43118">
        <w:rPr>
          <w:rFonts w:eastAsia="Cambria"/>
          <w:i/>
          <w:u w:color="000000"/>
          <w:bdr w:val="nil"/>
          <w:lang w:val="en-US"/>
        </w:rPr>
        <w:t>, 2000)</w:t>
      </w:r>
      <w:r w:rsidR="006C79AC">
        <w:rPr>
          <w:rFonts w:eastAsia="Cambria"/>
          <w:i/>
          <w:u w:color="000000"/>
          <w:bdr w:val="nil"/>
          <w:lang w:val="en-US"/>
        </w:rPr>
        <w:t>.</w:t>
      </w:r>
      <w:proofErr w:type="gramEnd"/>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The following three questions were asked:</w:t>
      </w:r>
    </w:p>
    <w:p w:rsidR="00F43118" w:rsidRPr="00F43118" w:rsidRDefault="00F43118" w:rsidP="0094070E">
      <w:pPr>
        <w:spacing w:after="120"/>
        <w:ind w:left="720" w:hanging="720"/>
        <w:rPr>
          <w:rFonts w:eastAsia="Cambria" w:cs="Cambria"/>
          <w:u w:color="000000"/>
          <w:bdr w:val="nil"/>
          <w:lang w:val="en-US"/>
        </w:rPr>
      </w:pPr>
      <w:r w:rsidRPr="00AA77A2">
        <w:rPr>
          <w:rFonts w:eastAsia="Cambria" w:cs="Cambria"/>
          <w:i/>
          <w:u w:color="000000"/>
          <w:bdr w:val="nil"/>
          <w:lang w:val="en-US"/>
        </w:rPr>
        <w:t>‘Have you been subjected to bullying at the workplace during the last 6 months?’</w:t>
      </w:r>
      <w:r w:rsidRPr="00F43118">
        <w:rPr>
          <w:rFonts w:eastAsia="Cambria" w:cs="Cambria"/>
          <w:u w:color="000000"/>
          <w:bdr w:val="nil"/>
          <w:lang w:val="en-US"/>
        </w:rPr>
        <w:t xml:space="preserve">  1 (</w:t>
      </w:r>
      <w:r w:rsidRPr="00F43118">
        <w:rPr>
          <w:rFonts w:eastAsia="Cambria" w:cs="Cambria"/>
          <w:i/>
          <w:u w:color="000000"/>
          <w:bdr w:val="nil"/>
          <w:lang w:val="en-US"/>
        </w:rPr>
        <w:t>yes</w:t>
      </w:r>
      <w:r w:rsidRPr="00F43118">
        <w:rPr>
          <w:rFonts w:eastAsia="Cambria" w:cs="Cambria"/>
          <w:u w:color="000000"/>
          <w:bdr w:val="nil"/>
          <w:lang w:val="en-US"/>
        </w:rPr>
        <w:t>) or 2 (</w:t>
      </w:r>
      <w:r w:rsidRPr="00F43118">
        <w:rPr>
          <w:rFonts w:eastAsia="Cambria" w:cs="Cambria"/>
          <w:i/>
          <w:u w:color="000000"/>
          <w:bdr w:val="nil"/>
          <w:lang w:val="en-US"/>
        </w:rPr>
        <w:t>no</w:t>
      </w:r>
      <w:r w:rsidRPr="00F43118">
        <w:rPr>
          <w:rFonts w:eastAsia="Cambria" w:cs="Cambria"/>
          <w:u w:color="000000"/>
          <w:bdr w:val="nil"/>
          <w:lang w:val="en-US"/>
        </w:rPr>
        <w:t>); then if ‘yes’</w:t>
      </w:r>
    </w:p>
    <w:p w:rsidR="00F43118" w:rsidRPr="00F43118" w:rsidRDefault="00F43118" w:rsidP="0094070E">
      <w:pPr>
        <w:spacing w:after="120"/>
        <w:ind w:left="720" w:hanging="720"/>
        <w:rPr>
          <w:rFonts w:eastAsia="Cambria" w:cs="Cambria"/>
          <w:u w:color="000000"/>
          <w:bdr w:val="nil"/>
          <w:lang w:val="en-US"/>
        </w:rPr>
      </w:pPr>
      <w:r w:rsidRPr="00AA77A2">
        <w:rPr>
          <w:rFonts w:eastAsia="Cambria" w:cs="Cambria"/>
          <w:i/>
          <w:u w:color="000000"/>
          <w:bdr w:val="nil"/>
          <w:lang w:val="en-US"/>
        </w:rPr>
        <w:t xml:space="preserve">‘How often were you exposed to these bullying </w:t>
      </w:r>
      <w:proofErr w:type="spellStart"/>
      <w:r w:rsidRPr="00AA77A2">
        <w:rPr>
          <w:rFonts w:eastAsia="Cambria" w:cs="Cambria"/>
          <w:i/>
          <w:u w:color="000000"/>
          <w:bdr w:val="nil"/>
          <w:lang w:val="en-US"/>
        </w:rPr>
        <w:t>behaviours</w:t>
      </w:r>
      <w:proofErr w:type="spellEnd"/>
      <w:r w:rsidRPr="00AA77A2">
        <w:rPr>
          <w:rFonts w:eastAsia="Cambria" w:cs="Cambria"/>
          <w:i/>
          <w:u w:color="000000"/>
          <w:bdr w:val="nil"/>
          <w:lang w:val="en-US"/>
        </w:rPr>
        <w:t xml:space="preserve"> overall</w:t>
      </w:r>
      <w:r w:rsidR="00AA77A2" w:rsidRPr="00AA77A2">
        <w:rPr>
          <w:rFonts w:eastAsia="Cambria" w:cs="Cambria"/>
          <w:i/>
          <w:u w:color="000000"/>
          <w:bdr w:val="nil"/>
          <w:lang w:val="en-US"/>
        </w:rPr>
        <w:t>?’</w:t>
      </w:r>
      <w:r w:rsidRPr="00F43118">
        <w:rPr>
          <w:rFonts w:eastAsia="Cambria" w:cs="Cambria"/>
          <w:u w:color="000000"/>
          <w:bdr w:val="nil"/>
          <w:lang w:val="en-US"/>
        </w:rPr>
        <w:t xml:space="preserve"> on a five-point scale from 5 (</w:t>
      </w:r>
      <w:r w:rsidRPr="00F43118">
        <w:rPr>
          <w:rFonts w:eastAsia="Cambria" w:cs="Cambria"/>
          <w:i/>
          <w:u w:color="000000"/>
          <w:bdr w:val="nil"/>
          <w:lang w:val="en-US"/>
        </w:rPr>
        <w:t>never</w:t>
      </w:r>
      <w:r w:rsidRPr="00F43118">
        <w:rPr>
          <w:rFonts w:eastAsia="Cambria" w:cs="Cambria"/>
          <w:u w:color="000000"/>
          <w:bdr w:val="nil"/>
          <w:lang w:val="en-US"/>
        </w:rPr>
        <w:t>) to 1 (</w:t>
      </w:r>
      <w:r w:rsidRPr="00F43118">
        <w:rPr>
          <w:rFonts w:eastAsia="Cambria" w:cs="Cambria"/>
          <w:i/>
          <w:u w:color="000000"/>
          <w:bdr w:val="nil"/>
          <w:lang w:val="en-US"/>
        </w:rPr>
        <w:t>daily</w:t>
      </w:r>
      <w:r w:rsidRPr="00F43118">
        <w:rPr>
          <w:rFonts w:eastAsia="Cambria" w:cs="Cambria"/>
          <w:u w:color="000000"/>
          <w:bdr w:val="nil"/>
          <w:lang w:val="en-US"/>
        </w:rPr>
        <w:t>); and</w:t>
      </w:r>
    </w:p>
    <w:p w:rsidR="00F43118" w:rsidRPr="00F43118" w:rsidRDefault="00F43118" w:rsidP="0094070E">
      <w:pPr>
        <w:spacing w:after="120"/>
        <w:ind w:left="720" w:hanging="720"/>
        <w:rPr>
          <w:rFonts w:eastAsia="Cambria" w:cs="Cambria"/>
          <w:u w:color="000000"/>
          <w:bdr w:val="nil"/>
          <w:lang w:val="en-US"/>
        </w:rPr>
      </w:pPr>
      <w:r w:rsidRPr="00AA77A2">
        <w:rPr>
          <w:rFonts w:eastAsia="Cambria" w:cs="Cambria"/>
          <w:i/>
          <w:u w:color="000000"/>
          <w:bdr w:val="nil"/>
          <w:lang w:val="en-US"/>
        </w:rPr>
        <w:t xml:space="preserve">‘How long were you exposed to these bullying </w:t>
      </w:r>
      <w:proofErr w:type="spellStart"/>
      <w:r w:rsidRPr="00AA77A2">
        <w:rPr>
          <w:rFonts w:eastAsia="Cambria" w:cs="Cambria"/>
          <w:i/>
          <w:u w:color="000000"/>
          <w:bdr w:val="nil"/>
          <w:lang w:val="en-US"/>
        </w:rPr>
        <w:t>behaviours</w:t>
      </w:r>
      <w:proofErr w:type="spellEnd"/>
      <w:r w:rsidRPr="00AA77A2">
        <w:rPr>
          <w:rFonts w:eastAsia="Cambria" w:cs="Cambria"/>
          <w:i/>
          <w:u w:color="000000"/>
          <w:bdr w:val="nil"/>
          <w:lang w:val="en-US"/>
        </w:rPr>
        <w:t xml:space="preserve"> overall?’</w:t>
      </w:r>
      <w:r w:rsidRPr="00F43118">
        <w:rPr>
          <w:rFonts w:eastAsia="Cambria" w:cs="Cambria"/>
          <w:u w:color="000000"/>
          <w:bdr w:val="nil"/>
          <w:lang w:val="en-US"/>
        </w:rPr>
        <w:t xml:space="preserve"> on a five-point scale from 1 (</w:t>
      </w:r>
      <w:r w:rsidRPr="00F43118">
        <w:rPr>
          <w:rFonts w:eastAsia="Cambria" w:cs="Cambria"/>
          <w:i/>
          <w:u w:color="000000"/>
          <w:bdr w:val="nil"/>
          <w:lang w:val="en-US"/>
        </w:rPr>
        <w:t>less than one month</w:t>
      </w:r>
      <w:r w:rsidRPr="00F43118">
        <w:rPr>
          <w:rFonts w:eastAsia="Cambria" w:cs="Cambria"/>
          <w:u w:color="000000"/>
          <w:bdr w:val="nil"/>
          <w:lang w:val="en-US"/>
        </w:rPr>
        <w:t>) to 5 (</w:t>
      </w:r>
      <w:r w:rsidRPr="00F43118">
        <w:rPr>
          <w:rFonts w:eastAsia="Cambria" w:cs="Cambria"/>
          <w:i/>
          <w:u w:color="000000"/>
          <w:bdr w:val="nil"/>
          <w:lang w:val="en-US"/>
        </w:rPr>
        <w:t>more than 2 years</w:t>
      </w:r>
      <w:r w:rsidRPr="00F43118">
        <w:rPr>
          <w:rFonts w:eastAsia="Cambria" w:cs="Cambria"/>
          <w:u w:color="000000"/>
          <w:bdr w:val="nil"/>
          <w:lang w:val="en-US"/>
        </w:rPr>
        <w:t>).</w:t>
      </w:r>
    </w:p>
    <w:p w:rsidR="00F43118" w:rsidRPr="00F43118" w:rsidRDefault="00F43118" w:rsidP="0094070E">
      <w:pPr>
        <w:spacing w:after="120"/>
        <w:rPr>
          <w:rFonts w:eastAsia="Cambria"/>
          <w:u w:color="000000"/>
          <w:bdr w:val="nil"/>
          <w:lang w:val="en-US"/>
        </w:rPr>
      </w:pPr>
      <w:proofErr w:type="gramStart"/>
      <w:r w:rsidRPr="000A48B7">
        <w:rPr>
          <w:rStyle w:val="Heading4Char"/>
        </w:rPr>
        <w:lastRenderedPageBreak/>
        <w:t>Safe Work Australia definition.</w:t>
      </w:r>
      <w:proofErr w:type="gramEnd"/>
      <w:r w:rsidRPr="00F43118">
        <w:rPr>
          <w:rFonts w:eastAsia="Cambria"/>
          <w:u w:color="000000"/>
          <w:bdr w:val="nil"/>
          <w:lang w:val="en-US"/>
        </w:rPr>
        <w:t xml:space="preserve"> A second definition was also used </w:t>
      </w:r>
      <w:r w:rsidR="00D87918">
        <w:rPr>
          <w:rFonts w:eastAsia="Cambria"/>
          <w:u w:color="000000"/>
          <w:bdr w:val="nil"/>
          <w:lang w:val="en-US"/>
        </w:rPr>
        <w:t>that</w:t>
      </w:r>
      <w:r w:rsidR="00D87918" w:rsidRPr="00F43118">
        <w:rPr>
          <w:rFonts w:eastAsia="Cambria"/>
          <w:u w:color="000000"/>
          <w:bdr w:val="nil"/>
          <w:lang w:val="en-US"/>
        </w:rPr>
        <w:t xml:space="preserve"> </w:t>
      </w:r>
      <w:r w:rsidRPr="00F43118">
        <w:rPr>
          <w:rFonts w:eastAsia="Cambria"/>
          <w:u w:color="000000"/>
          <w:bdr w:val="nil"/>
          <w:lang w:val="en-US"/>
        </w:rPr>
        <w:t xml:space="preserve">is consistent with the national definition adopted by Safe Work Australia and the Fair Work Commission: </w:t>
      </w:r>
    </w:p>
    <w:p w:rsidR="00F43118" w:rsidRPr="00F43118" w:rsidRDefault="00F43118" w:rsidP="0094070E">
      <w:pPr>
        <w:spacing w:after="120"/>
        <w:ind w:left="720"/>
        <w:rPr>
          <w:rFonts w:eastAsia="Cambria"/>
          <w:i/>
          <w:u w:color="000000"/>
          <w:bdr w:val="nil"/>
          <w:lang w:val="en-US"/>
        </w:rPr>
      </w:pPr>
      <w:r w:rsidRPr="00F43118">
        <w:rPr>
          <w:rFonts w:eastAsia="Cambria"/>
          <w:i/>
          <w:u w:color="000000"/>
          <w:bdr w:val="nil"/>
          <w:lang w:val="en-US"/>
        </w:rPr>
        <w:t xml:space="preserve">Workplace bullying has recently been defined as repeated and unreasonable </w:t>
      </w:r>
      <w:proofErr w:type="spellStart"/>
      <w:r w:rsidRPr="00F43118">
        <w:rPr>
          <w:rFonts w:eastAsia="Cambria"/>
          <w:i/>
          <w:u w:color="000000"/>
          <w:bdr w:val="nil"/>
          <w:lang w:val="en-US"/>
        </w:rPr>
        <w:t>behaviour</w:t>
      </w:r>
      <w:proofErr w:type="spellEnd"/>
      <w:r w:rsidRPr="00F43118">
        <w:rPr>
          <w:rFonts w:eastAsia="Cambria"/>
          <w:i/>
          <w:u w:color="000000"/>
          <w:bdr w:val="nil"/>
          <w:lang w:val="en-US"/>
        </w:rPr>
        <w:t xml:space="preserve"> directed towards a worker or a group of workers that creates a risk to health and safety. Unreasonable </w:t>
      </w:r>
      <w:proofErr w:type="spellStart"/>
      <w:r w:rsidRPr="00F43118">
        <w:rPr>
          <w:rFonts w:eastAsia="Cambria"/>
          <w:i/>
          <w:u w:color="000000"/>
          <w:bdr w:val="nil"/>
          <w:lang w:val="en-US"/>
        </w:rPr>
        <w:t>behaviour</w:t>
      </w:r>
      <w:proofErr w:type="spellEnd"/>
      <w:r w:rsidRPr="00F43118">
        <w:rPr>
          <w:rFonts w:eastAsia="Cambria"/>
          <w:i/>
          <w:u w:color="000000"/>
          <w:bdr w:val="nil"/>
          <w:lang w:val="en-US"/>
        </w:rPr>
        <w:t xml:space="preserve"> does not include reasonable management action, such as discussions about work performance, as long as they are taken in a reasonable way. </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Following this definition, participants were asked, </w:t>
      </w:r>
      <w:r w:rsidRPr="00AA77A2">
        <w:rPr>
          <w:rFonts w:eastAsia="Cambria"/>
          <w:i/>
          <w:u w:color="000000"/>
          <w:bdr w:val="nil"/>
          <w:lang w:val="en-US"/>
        </w:rPr>
        <w:t>‘Thinking about this definition, have you been subjected to bullying at the workplace during the last 6 months?’</w:t>
      </w:r>
      <w:r w:rsidRPr="00F43118">
        <w:rPr>
          <w:rFonts w:eastAsia="Cambria"/>
          <w:u w:color="000000"/>
          <w:bdr w:val="nil"/>
          <w:lang w:val="en-US"/>
        </w:rPr>
        <w:t xml:space="preserve"> </w:t>
      </w:r>
      <w:proofErr w:type="gramStart"/>
      <w:r w:rsidRPr="00F43118">
        <w:rPr>
          <w:rFonts w:eastAsia="Cambria"/>
          <w:u w:color="000000"/>
          <w:bdr w:val="nil"/>
          <w:lang w:val="en-US"/>
        </w:rPr>
        <w:t>1 (</w:t>
      </w:r>
      <w:r w:rsidRPr="00F43118">
        <w:rPr>
          <w:rFonts w:eastAsia="Cambria"/>
          <w:i/>
          <w:u w:color="000000"/>
          <w:bdr w:val="nil"/>
          <w:lang w:val="en-US"/>
        </w:rPr>
        <w:t>yes</w:t>
      </w:r>
      <w:r w:rsidRPr="00F43118">
        <w:rPr>
          <w:rFonts w:eastAsia="Cambria"/>
          <w:u w:color="000000"/>
          <w:bdr w:val="nil"/>
          <w:lang w:val="en-US"/>
        </w:rPr>
        <w:t>) or 2 (</w:t>
      </w:r>
      <w:r w:rsidRPr="00F43118">
        <w:rPr>
          <w:rFonts w:eastAsia="Cambria"/>
          <w:i/>
          <w:u w:color="000000"/>
          <w:bdr w:val="nil"/>
          <w:lang w:val="en-US"/>
        </w:rPr>
        <w:t>no</w:t>
      </w:r>
      <w:r w:rsidRPr="00F43118">
        <w:rPr>
          <w:rFonts w:eastAsia="Cambria"/>
          <w:u w:color="000000"/>
          <w:bdr w:val="nil"/>
          <w:lang w:val="en-US"/>
        </w:rPr>
        <w:t>), and to identify the status of the bully (supervisor, co-worker, other).</w:t>
      </w:r>
      <w:proofErr w:type="gramEnd"/>
      <w:r w:rsidRPr="00F43118">
        <w:rPr>
          <w:rFonts w:eastAsia="Cambria"/>
          <w:u w:color="000000"/>
          <w:bdr w:val="nil"/>
          <w:lang w:val="en-US"/>
        </w:rPr>
        <w:t xml:space="preserve"> </w:t>
      </w:r>
    </w:p>
    <w:p w:rsidR="00F43118" w:rsidRPr="00F43118" w:rsidRDefault="00F43118" w:rsidP="0094070E">
      <w:pPr>
        <w:pStyle w:val="Heading3"/>
        <w:spacing w:before="240" w:after="120"/>
        <w:rPr>
          <w:rFonts w:eastAsia="Cambria"/>
          <w:u w:color="000000"/>
        </w:rPr>
      </w:pPr>
      <w:r w:rsidRPr="00F43118">
        <w:rPr>
          <w:rFonts w:eastAsia="Cambria"/>
          <w:u w:color="000000"/>
        </w:rPr>
        <w:t xml:space="preserve">Organisational harassment </w:t>
      </w:r>
    </w:p>
    <w:p w:rsidR="00F43118" w:rsidRPr="00F43118" w:rsidRDefault="00F43118" w:rsidP="0094070E">
      <w:pPr>
        <w:spacing w:after="120"/>
        <w:rPr>
          <w:rFonts w:eastAsia="Cambria"/>
          <w:u w:color="000000"/>
          <w:bdr w:val="nil"/>
          <w:lang w:val="en-US"/>
        </w:rPr>
      </w:pP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harassment was assessed through a seven-item scale by Richman, Flaherty and </w:t>
      </w:r>
      <w:proofErr w:type="spellStart"/>
      <w:r w:rsidRPr="00F43118">
        <w:rPr>
          <w:rFonts w:eastAsia="Cambria"/>
          <w:u w:color="000000"/>
          <w:bdr w:val="nil"/>
          <w:lang w:val="en-US"/>
        </w:rPr>
        <w:t>Rospenda</w:t>
      </w:r>
      <w:proofErr w:type="spellEnd"/>
      <w:r w:rsidRPr="00F43118">
        <w:rPr>
          <w:rFonts w:eastAsia="Cambria"/>
          <w:u w:color="000000"/>
          <w:bdr w:val="nil"/>
          <w:lang w:val="en-US"/>
        </w:rPr>
        <w:t xml:space="preserve"> (1996). P</w:t>
      </w:r>
      <w:proofErr w:type="spellStart"/>
      <w:r w:rsidRPr="000A48B7">
        <w:rPr>
          <w:rFonts w:eastAsia="Cambria"/>
        </w:rPr>
        <w:t>articipants</w:t>
      </w:r>
      <w:proofErr w:type="spellEnd"/>
      <w:r w:rsidRPr="000A48B7">
        <w:rPr>
          <w:rFonts w:eastAsia="Cambria"/>
        </w:rPr>
        <w:t xml:space="preserve"> were asked to respond with the frequency that they had encountered </w:t>
      </w:r>
      <w:r w:rsidR="003F754F" w:rsidRPr="000A48B7">
        <w:rPr>
          <w:rFonts w:eastAsia="Calibri"/>
        </w:rPr>
        <w:t>the following</w:t>
      </w:r>
      <w:r w:rsidRPr="000A48B7">
        <w:rPr>
          <w:rFonts w:eastAsia="Calibri"/>
        </w:rPr>
        <w:t xml:space="preserve"> harassment situations within their workplace</w:t>
      </w:r>
      <w:r w:rsidR="009B39EA" w:rsidRPr="000A48B7">
        <w:rPr>
          <w:rFonts w:eastAsia="Calibri"/>
        </w:rPr>
        <w:t>:</w:t>
      </w:r>
      <w:r w:rsidRPr="000A48B7">
        <w:rPr>
          <w:rFonts w:eastAsia="Calibri"/>
        </w:rPr>
        <w:t xml:space="preserve"> </w:t>
      </w:r>
      <w:r w:rsidR="009B39EA" w:rsidRPr="000A48B7">
        <w:rPr>
          <w:rFonts w:eastAsia="Calibri"/>
          <w:i/>
        </w:rPr>
        <w:t>‘I have experienced unwanted sexual advances’;</w:t>
      </w:r>
      <w:r w:rsidR="004B06BE" w:rsidRPr="000A48B7">
        <w:rPr>
          <w:rFonts w:eastAsia="Calibri"/>
          <w:i/>
        </w:rPr>
        <w:t xml:space="preserve"> </w:t>
      </w:r>
      <w:r w:rsidR="009B39EA" w:rsidRPr="000A48B7">
        <w:rPr>
          <w:rFonts w:eastAsia="Calibri"/>
          <w:i/>
        </w:rPr>
        <w:t>‘I have experienced discomfort listening to sexual humour’; ‘I have experienced unfair treatment because of my gender’; ‘Negative comments have been made regarding my ethnic or racial background’; ‘I have been sworn at and or yelled at’; ‘I have been humiliated in front of others’; ‘I have experienced being physically assaulted / threatened by members of the organisation’</w:t>
      </w:r>
      <w:r w:rsidR="003F754F" w:rsidRPr="000A48B7">
        <w:rPr>
          <w:rFonts w:eastAsia="Calibri"/>
        </w:rPr>
        <w:t xml:space="preserve">. </w:t>
      </w:r>
      <w:r w:rsidRPr="000A48B7">
        <w:rPr>
          <w:rFonts w:eastAsia="Cambria"/>
        </w:rPr>
        <w:t xml:space="preserve"> </w:t>
      </w:r>
      <w:r w:rsidRPr="00F43118">
        <w:rPr>
          <w:rFonts w:eastAsia="Cambria"/>
          <w:u w:color="000000"/>
          <w:bdr w:val="nil"/>
          <w:lang w:val="en-US"/>
        </w:rPr>
        <w:t>Scoring for this scale ranged from 1 (</w:t>
      </w:r>
      <w:r w:rsidRPr="00F43118">
        <w:rPr>
          <w:rFonts w:eastAsia="Cambria"/>
          <w:i/>
          <w:u w:color="000000"/>
          <w:bdr w:val="nil"/>
          <w:lang w:val="en-US"/>
        </w:rPr>
        <w:t>very rarely/never</w:t>
      </w:r>
      <w:r w:rsidRPr="00F43118">
        <w:rPr>
          <w:rFonts w:eastAsia="Cambria"/>
          <w:u w:color="000000"/>
          <w:bdr w:val="nil"/>
          <w:lang w:val="en-US"/>
        </w:rPr>
        <w:t>) to 5 (</w:t>
      </w:r>
      <w:r w:rsidRPr="00F43118">
        <w:rPr>
          <w:rFonts w:eastAsia="Cambria"/>
          <w:i/>
          <w:u w:color="000000"/>
          <w:bdr w:val="nil"/>
          <w:lang w:val="en-US"/>
        </w:rPr>
        <w:t>very often/always</w:t>
      </w:r>
      <w:r w:rsidRPr="00F43118">
        <w:rPr>
          <w:rFonts w:eastAsia="Cambria"/>
          <w:u w:color="000000"/>
          <w:bdr w:val="nil"/>
          <w:lang w:val="en-US"/>
        </w:rPr>
        <w:t>).</w:t>
      </w:r>
    </w:p>
    <w:p w:rsidR="00F43118" w:rsidRPr="00F43118" w:rsidRDefault="00F43118" w:rsidP="0094070E">
      <w:pPr>
        <w:pStyle w:val="Heading3"/>
        <w:spacing w:before="240" w:after="120"/>
        <w:rPr>
          <w:rFonts w:eastAsia="Cambria"/>
          <w:u w:color="000000"/>
        </w:rPr>
      </w:pPr>
      <w:r w:rsidRPr="00F43118">
        <w:rPr>
          <w:rFonts w:eastAsia="Cambria"/>
          <w:u w:color="000000"/>
        </w:rPr>
        <w:t xml:space="preserve">Job demands </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Job demands were measured using the Job Content Questionnaire (</w:t>
      </w:r>
      <w:proofErr w:type="spellStart"/>
      <w:r w:rsidRPr="00F43118">
        <w:rPr>
          <w:rFonts w:eastAsia="Cambria"/>
          <w:u w:color="000000"/>
          <w:bdr w:val="nil"/>
          <w:lang w:val="en-US"/>
        </w:rPr>
        <w:t>JCQ</w:t>
      </w:r>
      <w:proofErr w:type="spellEnd"/>
      <w:r w:rsidRPr="00F43118">
        <w:rPr>
          <w:rFonts w:eastAsia="Cambria"/>
          <w:u w:color="000000"/>
          <w:bdr w:val="nil"/>
          <w:lang w:val="en-US"/>
        </w:rPr>
        <w:t xml:space="preserve"> 2.0) (Job Content Questionnaire Centre, 2012; </w:t>
      </w:r>
      <w:proofErr w:type="spellStart"/>
      <w:r w:rsidRPr="00F43118">
        <w:rPr>
          <w:u w:color="000000"/>
          <w:bdr w:val="nil"/>
          <w:lang w:val="en-US"/>
        </w:rPr>
        <w:t>Karasek</w:t>
      </w:r>
      <w:proofErr w:type="spellEnd"/>
      <w:r w:rsidRPr="00F43118">
        <w:rPr>
          <w:u w:color="000000"/>
          <w:bdr w:val="nil"/>
          <w:lang w:val="en-US"/>
        </w:rPr>
        <w:t>, 1985).</w:t>
      </w:r>
    </w:p>
    <w:p w:rsidR="00F43118" w:rsidRPr="004B457A" w:rsidRDefault="00F43118" w:rsidP="00AA77A2">
      <w:pPr>
        <w:widowControl w:val="0"/>
        <w:pBdr>
          <w:top w:val="nil"/>
          <w:left w:val="nil"/>
          <w:bottom w:val="nil"/>
          <w:right w:val="nil"/>
          <w:between w:val="nil"/>
          <w:bar w:val="nil"/>
        </w:pBdr>
        <w:spacing w:after="120"/>
        <w:jc w:val="both"/>
        <w:rPr>
          <w:rFonts w:eastAsia="Cambria"/>
        </w:rPr>
      </w:pPr>
      <w:r w:rsidRPr="000A48B7">
        <w:rPr>
          <w:rStyle w:val="Heading4Char"/>
        </w:rPr>
        <w:t>Psychological demands.</w:t>
      </w:r>
      <w:r w:rsidRPr="00F43118">
        <w:rPr>
          <w:rFonts w:ascii="Calibri" w:eastAsia="Cambria" w:hAnsi="Calibri" w:cs="Calibri"/>
          <w:color w:val="000000"/>
          <w:szCs w:val="22"/>
          <w:u w:color="000000"/>
          <w:bdr w:val="nil"/>
          <w:lang w:val="en-US"/>
        </w:rPr>
        <w:t xml:space="preserve"> </w:t>
      </w:r>
      <w:r w:rsidRPr="004B457A">
        <w:rPr>
          <w:rFonts w:eastAsia="Cambria"/>
        </w:rPr>
        <w:t>This five item scale measured the extent to which pressure and time urgency governs the work environment (</w:t>
      </w:r>
      <w:r w:rsidR="00720AD6" w:rsidRPr="004B457A">
        <w:rPr>
          <w:rFonts w:eastAsia="Cambria"/>
        </w:rPr>
        <w:t xml:space="preserve">see also </w:t>
      </w:r>
      <w:r w:rsidRPr="004B457A">
        <w:rPr>
          <w:rFonts w:eastAsia="Cambria"/>
        </w:rPr>
        <w:t xml:space="preserve">Dollard, </w:t>
      </w:r>
      <w:proofErr w:type="spellStart"/>
      <w:r w:rsidRPr="004B457A">
        <w:rPr>
          <w:rFonts w:eastAsia="Cambria"/>
        </w:rPr>
        <w:t>Winefield</w:t>
      </w:r>
      <w:proofErr w:type="spellEnd"/>
      <w:r w:rsidRPr="004B457A">
        <w:rPr>
          <w:rFonts w:eastAsia="Cambria"/>
        </w:rPr>
        <w:t xml:space="preserve">, &amp; </w:t>
      </w:r>
      <w:proofErr w:type="spellStart"/>
      <w:r w:rsidRPr="004B457A">
        <w:rPr>
          <w:rFonts w:eastAsia="Cambria"/>
        </w:rPr>
        <w:t>Winefield</w:t>
      </w:r>
      <w:proofErr w:type="spellEnd"/>
      <w:r w:rsidRPr="004B457A">
        <w:rPr>
          <w:rFonts w:eastAsia="Cambria"/>
        </w:rPr>
        <w:t xml:space="preserve">, 2000). Example items used to measure work pressure include </w:t>
      </w:r>
      <w:r w:rsidRPr="00AA77A2">
        <w:rPr>
          <w:rFonts w:eastAsia="Cambria"/>
          <w:i/>
        </w:rPr>
        <w:t>‘My job requires working very hard’</w:t>
      </w:r>
      <w:r w:rsidRPr="004B457A">
        <w:rPr>
          <w:rFonts w:eastAsia="Cambria"/>
        </w:rPr>
        <w:t xml:space="preserve">. After items 3 and 4 were reversed-scored, scores could vary between 5 and 20. A high score reflected a higher degree of work pressure. </w:t>
      </w:r>
    </w:p>
    <w:p w:rsidR="00F43118" w:rsidRPr="004B457A" w:rsidRDefault="00F43118" w:rsidP="00AA77A2">
      <w:pPr>
        <w:widowControl w:val="0"/>
        <w:pBdr>
          <w:top w:val="nil"/>
          <w:left w:val="nil"/>
          <w:bottom w:val="nil"/>
          <w:right w:val="nil"/>
          <w:between w:val="nil"/>
          <w:bar w:val="nil"/>
        </w:pBdr>
        <w:spacing w:after="120"/>
        <w:jc w:val="both"/>
        <w:rPr>
          <w:rFonts w:eastAsia="Cambria"/>
        </w:rPr>
      </w:pPr>
      <w:r w:rsidRPr="000A48B7">
        <w:rPr>
          <w:rStyle w:val="Heading4Char"/>
        </w:rPr>
        <w:t>Emotional demands.</w:t>
      </w:r>
      <w:r w:rsidRPr="00F43118">
        <w:rPr>
          <w:rFonts w:eastAsia="Cambria" w:cs="Arial"/>
          <w:b/>
          <w:color w:val="000000"/>
          <w:szCs w:val="22"/>
          <w:u w:color="000000"/>
          <w:lang w:eastAsia="en-US"/>
        </w:rPr>
        <w:t xml:space="preserve"> </w:t>
      </w:r>
      <w:r w:rsidRPr="000A48B7">
        <w:rPr>
          <w:rFonts w:eastAsia="Cambria"/>
        </w:rPr>
        <w:t xml:space="preserve">This four item scale assessed the mental costs of engaging </w:t>
      </w:r>
      <w:r w:rsidRPr="000A48B7">
        <w:t>in the behaviours required by challenging organisational situations (</w:t>
      </w:r>
      <w:proofErr w:type="spellStart"/>
      <w:r w:rsidRPr="000A48B7">
        <w:t>Karasek</w:t>
      </w:r>
      <w:proofErr w:type="spellEnd"/>
      <w:r w:rsidRPr="000A48B7">
        <w:t xml:space="preserve">, 1985). </w:t>
      </w:r>
      <w:r w:rsidRPr="000A48B7">
        <w:rPr>
          <w:rFonts w:eastAsia="Cambria"/>
        </w:rPr>
        <w:t xml:space="preserve">Scores could vary between 4 and 16. An example item is, </w:t>
      </w:r>
      <w:r w:rsidRPr="00AA77A2">
        <w:rPr>
          <w:rFonts w:eastAsia="Cambria"/>
          <w:i/>
        </w:rPr>
        <w:t xml:space="preserve">‘My work places me in emotionally challenging situations’. </w:t>
      </w:r>
      <w:r w:rsidRPr="000A48B7">
        <w:rPr>
          <w:rFonts w:eastAsia="Cambria"/>
        </w:rPr>
        <w:t>A high score on this scale represents a high level or number of emotional demands, whereas a low score is indicative of low level of emotional demands.</w:t>
      </w:r>
      <w:r w:rsidRPr="004B457A">
        <w:rPr>
          <w:rFonts w:eastAsia="Cambria"/>
        </w:rPr>
        <w:t xml:space="preserve"> </w:t>
      </w:r>
    </w:p>
    <w:p w:rsidR="00812E99" w:rsidRPr="00F43118" w:rsidRDefault="00812E99" w:rsidP="0094070E">
      <w:pPr>
        <w:pStyle w:val="Heading3"/>
        <w:spacing w:before="240" w:after="120"/>
        <w:rPr>
          <w:rFonts w:eastAsia="Cambria"/>
          <w:u w:color="000000"/>
        </w:rPr>
      </w:pPr>
      <w:r>
        <w:rPr>
          <w:rFonts w:eastAsia="Cambria"/>
          <w:u w:color="000000"/>
        </w:rPr>
        <w:t>Job resources</w:t>
      </w:r>
    </w:p>
    <w:p w:rsidR="00F43118" w:rsidRPr="00F43118" w:rsidRDefault="00F43118" w:rsidP="0094070E">
      <w:pPr>
        <w:pStyle w:val="Heading4"/>
        <w:spacing w:after="120"/>
        <w:rPr>
          <w:rFonts w:eastAsia="Cambria"/>
          <w:u w:color="000000"/>
        </w:rPr>
      </w:pPr>
      <w:r w:rsidRPr="00F43118">
        <w:rPr>
          <w:rFonts w:eastAsia="Cambria"/>
          <w:u w:color="000000"/>
        </w:rPr>
        <w:t xml:space="preserve">Job </w:t>
      </w:r>
      <w:r w:rsidR="00400475">
        <w:rPr>
          <w:rFonts w:eastAsia="Cambria"/>
          <w:u w:color="000000"/>
        </w:rPr>
        <w:t>c</w:t>
      </w:r>
      <w:r w:rsidR="0094070E">
        <w:rPr>
          <w:rFonts w:eastAsia="Cambria"/>
          <w:u w:color="000000"/>
        </w:rPr>
        <w:t>ontrol</w:t>
      </w:r>
    </w:p>
    <w:p w:rsidR="00F43118" w:rsidRPr="00F43118" w:rsidRDefault="00F43118" w:rsidP="0094070E">
      <w:pPr>
        <w:spacing w:after="120"/>
        <w:rPr>
          <w:u w:color="000000"/>
          <w:bdr w:val="nil"/>
          <w:lang w:val="en-US"/>
        </w:rPr>
      </w:pPr>
      <w:r w:rsidRPr="00F43118">
        <w:rPr>
          <w:u w:color="000000"/>
          <w:bdr w:val="nil"/>
          <w:lang w:val="en-US"/>
        </w:rPr>
        <w:t xml:space="preserve">Scales from the </w:t>
      </w:r>
      <w:proofErr w:type="spellStart"/>
      <w:r w:rsidRPr="00F43118">
        <w:rPr>
          <w:u w:color="000000"/>
          <w:bdr w:val="nil"/>
          <w:lang w:val="en-US"/>
        </w:rPr>
        <w:t>JCQ</w:t>
      </w:r>
      <w:proofErr w:type="spellEnd"/>
      <w:r w:rsidRPr="00F43118">
        <w:rPr>
          <w:u w:color="000000"/>
          <w:bdr w:val="nil"/>
          <w:lang w:val="en-US"/>
        </w:rPr>
        <w:t xml:space="preserve"> 2.0 were</w:t>
      </w:r>
      <w:r w:rsidR="00720AD6">
        <w:rPr>
          <w:u w:color="000000"/>
          <w:bdr w:val="nil"/>
          <w:lang w:val="en-US"/>
        </w:rPr>
        <w:t xml:space="preserve"> used </w:t>
      </w:r>
      <w:r w:rsidRPr="00F43118">
        <w:rPr>
          <w:u w:color="000000"/>
          <w:bdr w:val="nil"/>
          <w:lang w:val="en-US"/>
        </w:rPr>
        <w:t xml:space="preserve">to measure two job control constructs: skill discretion (six-items. e.g. </w:t>
      </w:r>
      <w:r w:rsidRPr="00F43118">
        <w:rPr>
          <w:rFonts w:eastAsia="Cambria" w:cs="Cambria"/>
          <w:i/>
          <w:iCs/>
          <w:u w:color="000000"/>
          <w:bdr w:val="nil"/>
          <w:lang w:val="en-US"/>
        </w:rPr>
        <w:t>‘I have an opportunity to develop my own special abilities’</w:t>
      </w:r>
      <w:r w:rsidRPr="00F43118">
        <w:rPr>
          <w:rFonts w:eastAsia="Cambria" w:cs="Cambria"/>
          <w:iCs/>
          <w:u w:color="000000"/>
          <w:bdr w:val="nil"/>
          <w:lang w:val="en-US"/>
        </w:rPr>
        <w:t>)</w:t>
      </w:r>
      <w:r w:rsidRPr="00F43118">
        <w:rPr>
          <w:i/>
          <w:u w:color="000000"/>
          <w:bdr w:val="nil"/>
          <w:lang w:val="en-US"/>
        </w:rPr>
        <w:t xml:space="preserve"> </w:t>
      </w:r>
      <w:r w:rsidRPr="00F43118">
        <w:rPr>
          <w:u w:color="000000"/>
          <w:bdr w:val="nil"/>
          <w:lang w:val="en-US"/>
        </w:rPr>
        <w:t xml:space="preserve">and decision authority (four-items, e.g. </w:t>
      </w:r>
      <w:r w:rsidRPr="00F43118">
        <w:rPr>
          <w:rFonts w:eastAsia="Cambria" w:cs="Cambria"/>
          <w:i/>
          <w:iCs/>
          <w:u w:color="000000"/>
          <w:bdr w:val="nil"/>
          <w:lang w:val="en-US"/>
        </w:rPr>
        <w:t>‘My job allows me to make decisions on my own’</w:t>
      </w:r>
      <w:r w:rsidRPr="00F43118">
        <w:rPr>
          <w:u w:color="000000"/>
          <w:bdr w:val="nil"/>
          <w:lang w:val="en-US"/>
        </w:rPr>
        <w:t>). A Likert response format was used for all items, with responses ranging from 1 (</w:t>
      </w:r>
      <w:r w:rsidRPr="00F43118">
        <w:rPr>
          <w:i/>
          <w:u w:color="000000"/>
          <w:bdr w:val="nil"/>
          <w:lang w:val="en-US"/>
        </w:rPr>
        <w:t>strongly disagree</w:t>
      </w:r>
      <w:r w:rsidRPr="00F43118">
        <w:rPr>
          <w:u w:color="000000"/>
          <w:bdr w:val="nil"/>
          <w:lang w:val="en-US"/>
        </w:rPr>
        <w:t>) to 4 (</w:t>
      </w:r>
      <w:r w:rsidRPr="00F43118">
        <w:rPr>
          <w:i/>
          <w:u w:color="000000"/>
          <w:bdr w:val="nil"/>
          <w:lang w:val="en-US"/>
        </w:rPr>
        <w:t>strongly agree</w:t>
      </w:r>
      <w:r w:rsidRPr="00F43118">
        <w:rPr>
          <w:u w:color="000000"/>
          <w:bdr w:val="nil"/>
          <w:lang w:val="en-US"/>
        </w:rPr>
        <w:t xml:space="preserve">). </w:t>
      </w:r>
      <w:r w:rsidR="00720AD6">
        <w:rPr>
          <w:u w:color="000000"/>
          <w:bdr w:val="nil"/>
          <w:lang w:val="en-US"/>
        </w:rPr>
        <w:t>In</w:t>
      </w:r>
      <w:r w:rsidR="00720AD6" w:rsidRPr="00F43118">
        <w:rPr>
          <w:u w:color="000000"/>
          <w:bdr w:val="nil"/>
          <w:lang w:val="en-US"/>
        </w:rPr>
        <w:t xml:space="preserve"> </w:t>
      </w:r>
      <w:r w:rsidRPr="00F43118">
        <w:rPr>
          <w:u w:color="000000"/>
          <w:bdr w:val="nil"/>
          <w:lang w:val="en-US"/>
        </w:rPr>
        <w:t xml:space="preserve">this report an overall measure of job control was computed through </w:t>
      </w:r>
      <w:r w:rsidR="00720AD6">
        <w:rPr>
          <w:u w:color="000000"/>
          <w:bdr w:val="nil"/>
          <w:lang w:val="en-US"/>
        </w:rPr>
        <w:t>adding the</w:t>
      </w:r>
      <w:r w:rsidRPr="00F43118">
        <w:rPr>
          <w:u w:color="000000"/>
          <w:bdr w:val="nil"/>
          <w:lang w:val="en-US"/>
        </w:rPr>
        <w:t xml:space="preserve"> two subscales.</w:t>
      </w:r>
    </w:p>
    <w:p w:rsidR="00F43118" w:rsidRPr="00F43118" w:rsidRDefault="0094070E" w:rsidP="0094070E">
      <w:pPr>
        <w:pStyle w:val="Heading4"/>
        <w:spacing w:after="120"/>
        <w:rPr>
          <w:rFonts w:eastAsia="Cambria"/>
          <w:u w:color="000000"/>
        </w:rPr>
      </w:pPr>
      <w:r>
        <w:rPr>
          <w:rFonts w:eastAsia="Cambria"/>
          <w:u w:color="000000"/>
        </w:rPr>
        <w:t>Organisational rewards</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The Effort–Reward Imbalance scale (</w:t>
      </w:r>
      <w:proofErr w:type="spellStart"/>
      <w:r w:rsidRPr="00F43118">
        <w:rPr>
          <w:rFonts w:eastAsia="Cambria"/>
          <w:u w:color="000000"/>
          <w:bdr w:val="nil"/>
          <w:lang w:val="en-US"/>
        </w:rPr>
        <w:t>ERI</w:t>
      </w:r>
      <w:proofErr w:type="spellEnd"/>
      <w:r w:rsidRPr="00F43118">
        <w:rPr>
          <w:rFonts w:eastAsia="Cambria"/>
          <w:u w:color="000000"/>
          <w:bdr w:val="nil"/>
          <w:lang w:val="en-US"/>
        </w:rPr>
        <w:t xml:space="preserve">; </w:t>
      </w:r>
      <w:proofErr w:type="spellStart"/>
      <w:r w:rsidRPr="00F43118">
        <w:rPr>
          <w:rFonts w:eastAsia="Cambria"/>
          <w:u w:color="000000"/>
          <w:bdr w:val="nil"/>
          <w:lang w:val="en-US"/>
        </w:rPr>
        <w:t>Siegrist</w:t>
      </w:r>
      <w:proofErr w:type="spellEnd"/>
      <w:r w:rsidRPr="00F43118">
        <w:rPr>
          <w:rFonts w:eastAsia="Cambria"/>
          <w:u w:color="000000"/>
          <w:bdr w:val="nil"/>
          <w:lang w:val="en-US"/>
        </w:rPr>
        <w:t xml:space="preserve">, 1996) was used to measure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rewards. Four specific items were selected for use in the present study from the esteem reward component (1 item), the job promotion reward component (2 items), and the job security reward component (1 item). An example item from this scale is </w:t>
      </w:r>
      <w:r w:rsidRPr="00F43118">
        <w:rPr>
          <w:rFonts w:eastAsia="Cambria"/>
          <w:i/>
          <w:iCs/>
          <w:u w:color="000000"/>
          <w:bdr w:val="nil"/>
          <w:lang w:val="en-US"/>
        </w:rPr>
        <w:t>‘Considering all my efforts and achievements, my job prospects are adequate’</w:t>
      </w:r>
      <w:r w:rsidRPr="00F43118">
        <w:rPr>
          <w:rFonts w:eastAsia="Cambria"/>
          <w:u w:color="000000"/>
          <w:bdr w:val="nil"/>
          <w:lang w:val="en-US"/>
        </w:rPr>
        <w:t xml:space="preserve">. Responses are made on a </w:t>
      </w:r>
      <w:r w:rsidRPr="00F43118">
        <w:rPr>
          <w:rFonts w:eastAsia="Cambria"/>
          <w:u w:color="000000"/>
          <w:bdr w:val="nil"/>
          <w:lang w:val="en-US"/>
        </w:rPr>
        <w:lastRenderedPageBreak/>
        <w:t>four-point Likert scale to be consistent with measures used above: 1 (</w:t>
      </w:r>
      <w:r w:rsidRPr="00F43118">
        <w:rPr>
          <w:rFonts w:eastAsia="Cambria"/>
          <w:i/>
          <w:u w:color="000000"/>
          <w:bdr w:val="nil"/>
          <w:lang w:val="en-US"/>
        </w:rPr>
        <w:t>strongly disagree</w:t>
      </w:r>
      <w:r w:rsidRPr="00F43118">
        <w:rPr>
          <w:rFonts w:eastAsia="Cambria"/>
          <w:u w:color="000000"/>
          <w:bdr w:val="nil"/>
          <w:lang w:val="en-US"/>
        </w:rPr>
        <w:t>) to 4 (</w:t>
      </w:r>
      <w:r w:rsidRPr="00F43118">
        <w:rPr>
          <w:rFonts w:eastAsia="Cambria"/>
          <w:i/>
          <w:u w:color="000000"/>
          <w:bdr w:val="nil"/>
          <w:lang w:val="en-US"/>
        </w:rPr>
        <w:t>strongly agree</w:t>
      </w:r>
      <w:r w:rsidRPr="00F43118">
        <w:rPr>
          <w:rFonts w:eastAsia="Cambria"/>
          <w:u w:color="000000"/>
          <w:bdr w:val="nil"/>
          <w:lang w:val="en-US"/>
        </w:rPr>
        <w:t>).</w:t>
      </w:r>
    </w:p>
    <w:p w:rsidR="00F43118" w:rsidRPr="00F43118" w:rsidRDefault="00F43118" w:rsidP="0094070E">
      <w:pPr>
        <w:pStyle w:val="Heading4"/>
        <w:spacing w:after="120"/>
        <w:rPr>
          <w:rFonts w:eastAsia="Cambria"/>
          <w:u w:color="000000"/>
        </w:rPr>
      </w:pPr>
      <w:r w:rsidRPr="00F43118">
        <w:rPr>
          <w:rFonts w:eastAsia="Cambria"/>
          <w:u w:color="000000"/>
        </w:rPr>
        <w:t>Supervisor social support</w:t>
      </w:r>
    </w:p>
    <w:p w:rsidR="00F43118" w:rsidRPr="00F43118" w:rsidRDefault="00720AD6" w:rsidP="0094070E">
      <w:pPr>
        <w:spacing w:after="120"/>
        <w:rPr>
          <w:rFonts w:eastAsia="Cambria"/>
          <w:u w:color="000000"/>
          <w:bdr w:val="nil"/>
          <w:lang w:val="en-US"/>
        </w:rPr>
      </w:pPr>
      <w:r>
        <w:rPr>
          <w:rFonts w:eastAsia="Cambria"/>
          <w:u w:color="000000"/>
          <w:bdr w:val="nil"/>
          <w:lang w:val="en-US"/>
        </w:rPr>
        <w:t xml:space="preserve">Scales </w:t>
      </w:r>
      <w:r w:rsidR="00F43118" w:rsidRPr="00F43118">
        <w:rPr>
          <w:rFonts w:eastAsia="Cambria"/>
          <w:u w:color="000000"/>
          <w:bdr w:val="nil"/>
          <w:lang w:val="en-US"/>
        </w:rPr>
        <w:t xml:space="preserve">were taken from the </w:t>
      </w:r>
      <w:proofErr w:type="spellStart"/>
      <w:r w:rsidR="00F43118" w:rsidRPr="00F43118">
        <w:rPr>
          <w:rFonts w:eastAsia="Cambria"/>
          <w:u w:color="000000"/>
          <w:bdr w:val="nil"/>
          <w:lang w:val="en-US"/>
        </w:rPr>
        <w:t>JCQ</w:t>
      </w:r>
      <w:proofErr w:type="spellEnd"/>
      <w:r w:rsidR="00F43118" w:rsidRPr="00F43118">
        <w:rPr>
          <w:rFonts w:eastAsia="Cambria"/>
          <w:u w:color="000000"/>
          <w:bdr w:val="nil"/>
          <w:lang w:val="en-US"/>
        </w:rPr>
        <w:t xml:space="preserve"> 2.0 to measure supervisor social support (three-item</w:t>
      </w:r>
      <w:r>
        <w:rPr>
          <w:rFonts w:eastAsia="Cambria"/>
          <w:u w:color="000000"/>
          <w:bdr w:val="nil"/>
          <w:lang w:val="en-US"/>
        </w:rPr>
        <w:t>s</w:t>
      </w:r>
      <w:r w:rsidR="00F43118" w:rsidRPr="00F43118">
        <w:rPr>
          <w:rFonts w:eastAsia="Cambria"/>
          <w:u w:color="000000"/>
          <w:bdr w:val="nil"/>
          <w:lang w:val="en-US"/>
        </w:rPr>
        <w:t xml:space="preserve">, e.g., </w:t>
      </w:r>
      <w:r w:rsidR="00F43118" w:rsidRPr="00F43118">
        <w:rPr>
          <w:rFonts w:eastAsia="Cambria" w:cs="Cambria"/>
          <w:i/>
          <w:iCs/>
          <w:u w:color="000000"/>
          <w:bdr w:val="nil"/>
          <w:lang w:val="en-US"/>
        </w:rPr>
        <w:t>‘My supervisor/manager is helpful in getting the job done’</w:t>
      </w:r>
      <w:r w:rsidR="00F43118" w:rsidRPr="00F43118">
        <w:rPr>
          <w:rFonts w:eastAsia="Cambria"/>
          <w:u w:color="000000"/>
          <w:bdr w:val="nil"/>
          <w:lang w:val="en-US"/>
        </w:rPr>
        <w:t>). Responses ranged from 1 (</w:t>
      </w:r>
      <w:r w:rsidR="00F43118" w:rsidRPr="00F43118">
        <w:rPr>
          <w:rFonts w:eastAsia="Cambria"/>
          <w:i/>
          <w:u w:color="000000"/>
          <w:bdr w:val="nil"/>
          <w:lang w:val="en-US"/>
        </w:rPr>
        <w:t>strongly disagree</w:t>
      </w:r>
      <w:r w:rsidR="00F43118" w:rsidRPr="00F43118">
        <w:rPr>
          <w:rFonts w:eastAsia="Cambria"/>
          <w:u w:color="000000"/>
          <w:bdr w:val="nil"/>
          <w:lang w:val="en-US"/>
        </w:rPr>
        <w:t>) to 4 (</w:t>
      </w:r>
      <w:r w:rsidR="00F43118" w:rsidRPr="00F43118">
        <w:rPr>
          <w:rFonts w:eastAsia="Cambria"/>
          <w:i/>
          <w:u w:color="000000"/>
          <w:bdr w:val="nil"/>
          <w:lang w:val="en-US"/>
        </w:rPr>
        <w:t>strongly agree</w:t>
      </w:r>
      <w:r w:rsidR="00F43118" w:rsidRPr="00F43118">
        <w:rPr>
          <w:rFonts w:eastAsia="Cambria"/>
          <w:u w:color="000000"/>
          <w:bdr w:val="nil"/>
          <w:lang w:val="en-US"/>
        </w:rPr>
        <w:t>), plus an alternate option if the participant did not have a supervisor</w:t>
      </w:r>
      <w:r w:rsidR="00C51661">
        <w:rPr>
          <w:rFonts w:eastAsia="Cambria"/>
          <w:u w:color="000000"/>
          <w:bdr w:val="nil"/>
          <w:lang w:val="en-US"/>
        </w:rPr>
        <w:t>.</w:t>
      </w:r>
    </w:p>
    <w:p w:rsidR="00F43118" w:rsidRPr="00F43118" w:rsidRDefault="00F43118" w:rsidP="0094070E">
      <w:pPr>
        <w:pStyle w:val="Heading3"/>
        <w:spacing w:before="240" w:after="120"/>
        <w:rPr>
          <w:rFonts w:eastAsia="Cambria"/>
          <w:u w:color="000000"/>
        </w:rPr>
      </w:pPr>
      <w:r w:rsidRPr="00F43118">
        <w:rPr>
          <w:rFonts w:eastAsia="Cambria"/>
          <w:u w:color="000000"/>
        </w:rPr>
        <w:t>Ps</w:t>
      </w:r>
      <w:r w:rsidR="0094070E">
        <w:rPr>
          <w:rFonts w:eastAsia="Cambria"/>
          <w:u w:color="000000"/>
        </w:rPr>
        <w:t>ychosocial safety climate (PSC)</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Psychosocial safety climate was measured with the Psychosocial Safety Climate-12 Scale (PSC-12; Dollard et al.; 2009; Hall et al., 2010). The PSC-12 is comprised of four factors: management commitment (3 items), management priority (3 items),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communication (3 items), and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participation (3 items). Examples of the items include: </w:t>
      </w:r>
      <w:r w:rsidRPr="00F43118">
        <w:rPr>
          <w:rFonts w:eastAsia="Cambria" w:cs="Cambria"/>
          <w:i/>
          <w:iCs/>
          <w:u w:color="000000"/>
          <w:bdr w:val="nil"/>
          <w:lang w:val="en-US"/>
        </w:rPr>
        <w:t>‘Senior management acts decisively when a concern of an employee’s psychological status is raised’</w:t>
      </w:r>
      <w:r w:rsidRPr="00F43118">
        <w:rPr>
          <w:rFonts w:eastAsia="Cambria"/>
          <w:u w:color="000000"/>
          <w:bdr w:val="nil"/>
          <w:lang w:val="en-US"/>
        </w:rPr>
        <w:t xml:space="preserve"> (management commitment), </w:t>
      </w:r>
      <w:r w:rsidRPr="00F43118">
        <w:rPr>
          <w:rFonts w:eastAsia="Cambria" w:cs="Cambria"/>
          <w:i/>
          <w:iCs/>
          <w:u w:color="000000"/>
          <w:bdr w:val="nil"/>
          <w:lang w:val="en-US"/>
        </w:rPr>
        <w:t>‘Senior management considers employee psychological health to be as important as productivity’</w:t>
      </w:r>
      <w:r w:rsidRPr="00F43118">
        <w:rPr>
          <w:rFonts w:eastAsia="Cambria"/>
          <w:u w:color="000000"/>
          <w:bdr w:val="nil"/>
          <w:lang w:val="en-US"/>
        </w:rPr>
        <w:t xml:space="preserve"> (management priority), </w:t>
      </w:r>
      <w:r w:rsidRPr="00F43118">
        <w:rPr>
          <w:rFonts w:eastAsia="Cambria" w:cs="Cambria"/>
          <w:i/>
          <w:iCs/>
          <w:u w:color="000000"/>
          <w:bdr w:val="nil"/>
          <w:lang w:val="en-US"/>
        </w:rPr>
        <w:t xml:space="preserve">‘There is good communication here about psychological safety issues which affect me’ </w:t>
      </w:r>
      <w:r w:rsidRPr="00F43118">
        <w:rPr>
          <w:rFonts w:eastAsia="Cambria"/>
          <w:u w:color="000000"/>
          <w:bdr w:val="nil"/>
          <w:lang w:val="en-US"/>
        </w:rPr>
        <w:t>(</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communication), and </w:t>
      </w:r>
      <w:r w:rsidRPr="00F43118">
        <w:rPr>
          <w:rFonts w:eastAsia="Cambria" w:cs="Cambria"/>
          <w:i/>
          <w:iCs/>
          <w:u w:color="000000"/>
          <w:bdr w:val="nil"/>
          <w:lang w:val="en-US"/>
        </w:rPr>
        <w:t>‘Employees are encouraged to become involved in psychological safety matters’</w:t>
      </w:r>
      <w:r w:rsidRPr="00F43118">
        <w:rPr>
          <w:rFonts w:eastAsia="Cambria"/>
          <w:u w:color="000000"/>
          <w:bdr w:val="nil"/>
          <w:lang w:val="en-US"/>
        </w:rPr>
        <w:t xml:space="preserve">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participation). Items are scored on a five-point Likert scale, ranging from 1 (</w:t>
      </w:r>
      <w:r w:rsidRPr="00F43118">
        <w:rPr>
          <w:rFonts w:eastAsia="Cambria"/>
          <w:i/>
          <w:u w:color="000000"/>
          <w:bdr w:val="nil"/>
          <w:lang w:val="en-US"/>
        </w:rPr>
        <w:t xml:space="preserve">strongly disagree) </w:t>
      </w:r>
      <w:r w:rsidRPr="00F43118">
        <w:rPr>
          <w:rFonts w:eastAsia="Cambria"/>
          <w:u w:color="000000"/>
          <w:bdr w:val="nil"/>
          <w:lang w:val="en-US"/>
        </w:rPr>
        <w:t>to 5 (</w:t>
      </w:r>
      <w:r w:rsidRPr="00F43118">
        <w:rPr>
          <w:rFonts w:eastAsia="Cambria"/>
          <w:i/>
          <w:u w:color="000000"/>
          <w:bdr w:val="nil"/>
          <w:lang w:val="en-US"/>
        </w:rPr>
        <w:t>strongly agree</w:t>
      </w:r>
      <w:r w:rsidRPr="00F43118">
        <w:rPr>
          <w:rFonts w:eastAsia="Cambria"/>
          <w:u w:color="000000"/>
          <w:bdr w:val="nil"/>
          <w:lang w:val="en-US"/>
        </w:rPr>
        <w:t>). Scores for four factors were added together to formulate an overall score for workplace PSC, high scores indicating high levels of PSC. Scores</w:t>
      </w:r>
      <w:r w:rsidR="00642EA3">
        <w:rPr>
          <w:rFonts w:eastAsia="Cambria"/>
          <w:u w:color="000000"/>
          <w:bdr w:val="nil"/>
          <w:lang w:val="en-US"/>
        </w:rPr>
        <w:t xml:space="preserve"> may</w:t>
      </w:r>
      <w:r w:rsidR="0094070E">
        <w:rPr>
          <w:rFonts w:eastAsia="Cambria"/>
          <w:u w:color="000000"/>
          <w:bdr w:val="nil"/>
          <w:lang w:val="en-US"/>
        </w:rPr>
        <w:t xml:space="preserve"> vary between 12 and 60.</w:t>
      </w:r>
    </w:p>
    <w:p w:rsidR="00F43118" w:rsidRPr="0094070E" w:rsidRDefault="00F43118" w:rsidP="0094070E">
      <w:pPr>
        <w:pStyle w:val="Heading3"/>
        <w:spacing w:before="240" w:after="120"/>
        <w:rPr>
          <w:rFonts w:eastAsia="Cambria"/>
          <w:u w:color="000000"/>
        </w:rPr>
      </w:pPr>
      <w:r w:rsidRPr="0094070E">
        <w:rPr>
          <w:rFonts w:eastAsia="Cambria"/>
          <w:u w:color="000000"/>
        </w:rPr>
        <w:t>Work outcomes</w:t>
      </w:r>
    </w:p>
    <w:p w:rsidR="00F43118" w:rsidRPr="00F43118" w:rsidRDefault="00F43118" w:rsidP="0094070E">
      <w:pPr>
        <w:pStyle w:val="Heading4"/>
        <w:spacing w:after="120"/>
        <w:rPr>
          <w:rFonts w:eastAsia="Cambria"/>
          <w:u w:color="000000"/>
        </w:rPr>
      </w:pPr>
      <w:r w:rsidRPr="00F43118">
        <w:rPr>
          <w:rFonts w:eastAsia="Cambria"/>
          <w:u w:color="000000"/>
        </w:rPr>
        <w:t>Work engagement</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Nine items from the Utrecht Work Engagement Scale—Shortened Version (</w:t>
      </w:r>
      <w:proofErr w:type="spellStart"/>
      <w:r w:rsidRPr="00F43118">
        <w:rPr>
          <w:rFonts w:eastAsia="Cambria"/>
          <w:u w:color="000000"/>
          <w:bdr w:val="nil"/>
          <w:lang w:val="en-US"/>
        </w:rPr>
        <w:t>UWES</w:t>
      </w:r>
      <w:proofErr w:type="spellEnd"/>
      <w:r w:rsidRPr="00F43118">
        <w:rPr>
          <w:rFonts w:eastAsia="Cambria"/>
          <w:u w:color="000000"/>
          <w:bdr w:val="nil"/>
          <w:lang w:val="en-US"/>
        </w:rPr>
        <w:t xml:space="preserve">-9; </w:t>
      </w:r>
      <w:proofErr w:type="spellStart"/>
      <w:r w:rsidRPr="00F43118">
        <w:rPr>
          <w:rFonts w:eastAsia="Cambria"/>
          <w:u w:color="000000"/>
          <w:bdr w:val="nil"/>
          <w:lang w:val="en-US"/>
        </w:rPr>
        <w:t>Schaufeli</w:t>
      </w:r>
      <w:proofErr w:type="spellEnd"/>
      <w:r w:rsidRPr="00F43118">
        <w:rPr>
          <w:rFonts w:eastAsia="Cambria"/>
          <w:u w:color="000000"/>
          <w:bdr w:val="nil"/>
          <w:lang w:val="en-US"/>
        </w:rPr>
        <w:t xml:space="preserve">, Bakker, &amp; </w:t>
      </w:r>
      <w:proofErr w:type="spellStart"/>
      <w:r w:rsidRPr="00F43118">
        <w:rPr>
          <w:rFonts w:eastAsia="Cambria"/>
          <w:u w:color="000000"/>
          <w:bdr w:val="nil"/>
          <w:lang w:val="en-US"/>
        </w:rPr>
        <w:t>Salanova</w:t>
      </w:r>
      <w:proofErr w:type="spellEnd"/>
      <w:r w:rsidRPr="00F43118">
        <w:rPr>
          <w:rFonts w:eastAsia="Cambria"/>
          <w:u w:color="000000"/>
          <w:bdr w:val="nil"/>
          <w:lang w:val="en-US"/>
        </w:rPr>
        <w:t xml:space="preserve">, 2006) were employed to measure work engagement. The three subscales each consist of three items to measure a different facet of engagement: </w:t>
      </w:r>
      <w:proofErr w:type="spellStart"/>
      <w:r w:rsidRPr="00F43118">
        <w:rPr>
          <w:rFonts w:eastAsia="Cambria"/>
          <w:u w:color="000000"/>
          <w:bdr w:val="nil"/>
          <w:lang w:val="en-US"/>
        </w:rPr>
        <w:t>vigour</w:t>
      </w:r>
      <w:proofErr w:type="spellEnd"/>
      <w:r w:rsidRPr="00F43118">
        <w:rPr>
          <w:rFonts w:eastAsia="Cambria"/>
          <w:u w:color="000000"/>
          <w:bdr w:val="nil"/>
          <w:lang w:val="en-US"/>
        </w:rPr>
        <w:t xml:space="preserve"> (e.g., </w:t>
      </w:r>
      <w:r w:rsidRPr="00F43118">
        <w:rPr>
          <w:rFonts w:eastAsia="Cambria"/>
          <w:i/>
          <w:iCs/>
          <w:u w:color="000000"/>
          <w:bdr w:val="nil"/>
          <w:lang w:val="en-US"/>
        </w:rPr>
        <w:t>‘</w:t>
      </w:r>
      <w:proofErr w:type="gramStart"/>
      <w:r w:rsidRPr="00F43118">
        <w:rPr>
          <w:rFonts w:eastAsia="Cambria"/>
          <w:i/>
          <w:iCs/>
          <w:u w:color="000000"/>
          <w:bdr w:val="nil"/>
          <w:lang w:val="en-US"/>
        </w:rPr>
        <w:t>At</w:t>
      </w:r>
      <w:proofErr w:type="gramEnd"/>
      <w:r w:rsidRPr="00F43118">
        <w:rPr>
          <w:rFonts w:eastAsia="Cambria"/>
          <w:i/>
          <w:iCs/>
          <w:u w:color="000000"/>
          <w:bdr w:val="nil"/>
          <w:lang w:val="en-US"/>
        </w:rPr>
        <w:t xml:space="preserve"> my work, I feel bursting with energy’</w:t>
      </w:r>
      <w:r w:rsidRPr="00F43118">
        <w:rPr>
          <w:rFonts w:eastAsia="Cambria"/>
          <w:u w:color="000000"/>
          <w:bdr w:val="nil"/>
          <w:lang w:val="en-US"/>
        </w:rPr>
        <w:t xml:space="preserve">), dedication (e.g., </w:t>
      </w:r>
      <w:r w:rsidRPr="00F43118">
        <w:rPr>
          <w:rFonts w:eastAsia="Cambria"/>
          <w:i/>
          <w:iCs/>
          <w:u w:color="000000"/>
          <w:bdr w:val="nil"/>
          <w:lang w:val="en-US"/>
        </w:rPr>
        <w:t>‘My job inspires me’)</w:t>
      </w:r>
      <w:r w:rsidRPr="00F43118">
        <w:rPr>
          <w:rFonts w:eastAsia="Cambria"/>
          <w:u w:color="000000"/>
          <w:bdr w:val="nil"/>
          <w:lang w:val="en-US"/>
        </w:rPr>
        <w:t xml:space="preserve">, and absorption (e.g., </w:t>
      </w:r>
      <w:r w:rsidRPr="00F43118">
        <w:rPr>
          <w:rFonts w:eastAsia="Cambria"/>
          <w:i/>
          <w:iCs/>
          <w:u w:color="000000"/>
          <w:bdr w:val="nil"/>
          <w:lang w:val="en-US"/>
        </w:rPr>
        <w:t>‘I get carried away when I am working’)</w:t>
      </w:r>
      <w:r w:rsidRPr="00F43118">
        <w:rPr>
          <w:rFonts w:eastAsia="Cambria"/>
          <w:u w:color="000000"/>
          <w:bdr w:val="nil"/>
          <w:lang w:val="en-US"/>
        </w:rPr>
        <w:t>. These items were all measured on a 7-point scale which ranged from 1 (</w:t>
      </w:r>
      <w:r w:rsidRPr="00F43118">
        <w:rPr>
          <w:rFonts w:eastAsia="Cambria"/>
          <w:i/>
          <w:u w:color="000000"/>
          <w:bdr w:val="nil"/>
          <w:lang w:val="en-US"/>
        </w:rPr>
        <w:t>never</w:t>
      </w:r>
      <w:r w:rsidRPr="00F43118">
        <w:rPr>
          <w:rFonts w:eastAsia="Cambria"/>
          <w:u w:color="000000"/>
          <w:bdr w:val="nil"/>
          <w:lang w:val="en-US"/>
        </w:rPr>
        <w:t>) to 7 (</w:t>
      </w:r>
      <w:r w:rsidRPr="00F43118">
        <w:rPr>
          <w:rFonts w:eastAsia="Cambria"/>
          <w:i/>
          <w:u w:color="000000"/>
          <w:bdr w:val="nil"/>
          <w:lang w:val="en-US"/>
        </w:rPr>
        <w:t>every day</w:t>
      </w:r>
      <w:r w:rsidRPr="00F43118">
        <w:rPr>
          <w:rFonts w:eastAsia="Cambria"/>
          <w:u w:color="000000"/>
          <w:bdr w:val="nil"/>
          <w:lang w:val="en-US"/>
        </w:rPr>
        <w:t>).</w:t>
      </w:r>
    </w:p>
    <w:p w:rsidR="00F43118" w:rsidRPr="00F43118" w:rsidRDefault="00F43118" w:rsidP="0094070E">
      <w:pPr>
        <w:pStyle w:val="Heading4"/>
        <w:spacing w:after="120"/>
        <w:rPr>
          <w:rFonts w:eastAsia="Cambria"/>
          <w:u w:color="000000"/>
          <w:bdr w:val="nil"/>
          <w:lang w:val="en-US"/>
        </w:rPr>
      </w:pPr>
      <w:r w:rsidRPr="00F43118">
        <w:rPr>
          <w:rFonts w:eastAsia="Cambria"/>
          <w:u w:color="000000"/>
          <w:bdr w:val="nil"/>
          <w:lang w:val="en-US"/>
        </w:rPr>
        <w:t xml:space="preserve">Job </w:t>
      </w:r>
      <w:r w:rsidR="00812E99">
        <w:rPr>
          <w:rFonts w:eastAsia="Cambria"/>
          <w:u w:color="000000"/>
          <w:bdr w:val="nil"/>
          <w:lang w:val="en-US"/>
        </w:rPr>
        <w:t>s</w:t>
      </w:r>
      <w:r w:rsidRPr="00F43118">
        <w:rPr>
          <w:rFonts w:eastAsia="Cambria"/>
          <w:u w:color="000000"/>
          <w:bdr w:val="nil"/>
          <w:lang w:val="en-US"/>
        </w:rPr>
        <w:t>atisfaction</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To evaluate job satisfaction a single global item was taken from the Job Satisfaction scale (</w:t>
      </w:r>
      <w:proofErr w:type="spellStart"/>
      <w:r w:rsidRPr="00F43118">
        <w:rPr>
          <w:rFonts w:eastAsia="Cambria"/>
          <w:u w:color="000000"/>
          <w:bdr w:val="nil"/>
          <w:lang w:val="en-US"/>
        </w:rPr>
        <w:t>Warr</w:t>
      </w:r>
      <w:proofErr w:type="spellEnd"/>
      <w:r w:rsidRPr="00F43118">
        <w:rPr>
          <w:rFonts w:eastAsia="Cambria"/>
          <w:u w:color="000000"/>
          <w:bdr w:val="nil"/>
          <w:lang w:val="en-US"/>
        </w:rPr>
        <w:t xml:space="preserve">, Cook, &amp; Wall, 1979). The item asked </w:t>
      </w:r>
      <w:r w:rsidRPr="00F43118">
        <w:rPr>
          <w:rFonts w:eastAsia="Cambria"/>
          <w:i/>
          <w:u w:color="000000"/>
          <w:bdr w:val="nil"/>
          <w:lang w:val="en-US"/>
        </w:rPr>
        <w:t>‘Taking everything into consideration, how do you feel about your job as a whole?’</w:t>
      </w:r>
      <w:r w:rsidRPr="00F43118">
        <w:rPr>
          <w:rFonts w:eastAsia="Cambria"/>
          <w:u w:color="000000"/>
          <w:bdr w:val="nil"/>
          <w:lang w:val="en-US"/>
        </w:rPr>
        <w:t xml:space="preserve"> The item is measured on a seven-point Likert scale, which ranged from 1 (</w:t>
      </w:r>
      <w:r w:rsidRPr="00F43118">
        <w:rPr>
          <w:rFonts w:eastAsia="Cambria"/>
          <w:i/>
          <w:u w:color="000000"/>
          <w:bdr w:val="nil"/>
          <w:lang w:val="en-US"/>
        </w:rPr>
        <w:t xml:space="preserve">I’m extremely dissatisfied) </w:t>
      </w:r>
      <w:r w:rsidRPr="00F43118">
        <w:rPr>
          <w:rFonts w:eastAsia="Cambria"/>
          <w:u w:color="000000"/>
          <w:bdr w:val="nil"/>
          <w:lang w:val="en-US"/>
        </w:rPr>
        <w:t>to 7 (</w:t>
      </w:r>
      <w:r w:rsidRPr="00F43118">
        <w:rPr>
          <w:rFonts w:eastAsia="Cambria"/>
          <w:i/>
          <w:u w:color="000000"/>
          <w:bdr w:val="nil"/>
          <w:lang w:val="en-US"/>
        </w:rPr>
        <w:t>I’m extremely satisfied</w:t>
      </w:r>
      <w:r w:rsidRPr="00F43118">
        <w:rPr>
          <w:rFonts w:eastAsia="Cambria"/>
          <w:u w:color="000000"/>
          <w:bdr w:val="nil"/>
          <w:lang w:val="en-US"/>
        </w:rPr>
        <w:t>).</w:t>
      </w:r>
    </w:p>
    <w:p w:rsidR="00F43118" w:rsidRPr="00F43118" w:rsidRDefault="00F43118" w:rsidP="0094070E">
      <w:pPr>
        <w:pStyle w:val="Heading4"/>
        <w:spacing w:after="120"/>
        <w:rPr>
          <w:rFonts w:eastAsia="Cambria"/>
          <w:u w:color="000000"/>
          <w:bdr w:val="nil"/>
          <w:lang w:val="en-US"/>
        </w:rPr>
      </w:pPr>
      <w:r w:rsidRPr="00F43118">
        <w:rPr>
          <w:rFonts w:eastAsia="Cambria"/>
          <w:u w:color="000000"/>
          <w:bdr w:val="nil"/>
          <w:lang w:val="en-US"/>
        </w:rPr>
        <w:t>Intention to leave</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Participants were asked </w:t>
      </w:r>
      <w:r w:rsidRPr="00AA77A2">
        <w:rPr>
          <w:rFonts w:eastAsia="Cambria"/>
          <w:i/>
          <w:u w:color="000000"/>
          <w:bdr w:val="nil"/>
          <w:lang w:val="en-US"/>
        </w:rPr>
        <w:t>‘Over this year I intended to leave this organisation’</w:t>
      </w:r>
      <w:r w:rsidRPr="00F43118">
        <w:rPr>
          <w:rFonts w:eastAsia="Cambria"/>
          <w:u w:color="000000"/>
          <w:bdr w:val="nil"/>
          <w:lang w:val="en-US"/>
        </w:rPr>
        <w:t>, on a response scale reversed to, 1 (strongly disagree) to 5 (strongly agree).</w:t>
      </w:r>
    </w:p>
    <w:p w:rsidR="00F43118" w:rsidRPr="0094070E" w:rsidRDefault="00F43118" w:rsidP="0094070E">
      <w:pPr>
        <w:pStyle w:val="Heading3"/>
        <w:spacing w:before="240" w:after="120"/>
        <w:rPr>
          <w:rFonts w:eastAsia="Cambria"/>
          <w:u w:color="000000"/>
        </w:rPr>
      </w:pPr>
      <w:r w:rsidRPr="0094070E">
        <w:rPr>
          <w:rFonts w:eastAsia="Cambria"/>
          <w:u w:color="000000"/>
        </w:rPr>
        <w:t>Health outcomes</w:t>
      </w:r>
    </w:p>
    <w:p w:rsidR="00F43118" w:rsidRPr="00F43118" w:rsidRDefault="00F43118" w:rsidP="0094070E">
      <w:pPr>
        <w:pStyle w:val="Heading4"/>
        <w:spacing w:after="120"/>
        <w:rPr>
          <w:rFonts w:eastAsia="Cambria"/>
          <w:u w:color="000000"/>
        </w:rPr>
      </w:pPr>
      <w:r w:rsidRPr="00F43118">
        <w:rPr>
          <w:rFonts w:eastAsia="Cambria"/>
          <w:u w:color="000000"/>
        </w:rPr>
        <w:t>Psychological distress</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All 10 items from the Kessler 10 (</w:t>
      </w:r>
      <w:proofErr w:type="spellStart"/>
      <w:r w:rsidRPr="00F43118">
        <w:rPr>
          <w:rFonts w:eastAsia="Cambria"/>
          <w:u w:color="000000"/>
          <w:bdr w:val="nil"/>
          <w:lang w:val="en-US"/>
        </w:rPr>
        <w:t>K10</w:t>
      </w:r>
      <w:proofErr w:type="spellEnd"/>
      <w:r w:rsidRPr="00F43118">
        <w:rPr>
          <w:rFonts w:eastAsia="Cambria"/>
          <w:u w:color="000000"/>
          <w:bdr w:val="nil"/>
          <w:lang w:val="en-US"/>
        </w:rPr>
        <w:t xml:space="preserve">; Kessler &amp; </w:t>
      </w:r>
      <w:proofErr w:type="spellStart"/>
      <w:r w:rsidRPr="00F43118">
        <w:rPr>
          <w:rFonts w:eastAsia="Cambria"/>
          <w:u w:color="000000"/>
          <w:bdr w:val="nil"/>
          <w:lang w:val="en-US"/>
        </w:rPr>
        <w:t>Mroczek</w:t>
      </w:r>
      <w:proofErr w:type="spellEnd"/>
      <w:r w:rsidRPr="00F43118">
        <w:rPr>
          <w:rFonts w:eastAsia="Cambria"/>
          <w:u w:color="000000"/>
          <w:bdr w:val="nil"/>
          <w:lang w:val="en-US"/>
        </w:rPr>
        <w:t xml:space="preserve">, 1994) were included to measure psychological distress; that is, the degree of anxiety and depressive symptoms that the participant has experienced over the last month. For example, </w:t>
      </w:r>
      <w:r w:rsidRPr="00F43118">
        <w:rPr>
          <w:rFonts w:eastAsia="Cambria" w:cs="Cambria"/>
          <w:i/>
          <w:iCs/>
          <w:u w:color="000000"/>
          <w:bdr w:val="nil"/>
          <w:lang w:val="en-US"/>
        </w:rPr>
        <w:t>‘In the past four weeks, about how often did you feel everything was an effort?’</w:t>
      </w:r>
      <w:r w:rsidRPr="00F43118">
        <w:rPr>
          <w:rFonts w:eastAsia="Cambria"/>
          <w:u w:color="000000"/>
          <w:bdr w:val="nil"/>
          <w:lang w:val="en-US"/>
        </w:rPr>
        <w:t xml:space="preserve"> Responses were scored on a five-point scale, from 1 (</w:t>
      </w:r>
      <w:r w:rsidRPr="00F43118">
        <w:rPr>
          <w:rFonts w:eastAsia="Cambria"/>
          <w:i/>
          <w:u w:color="000000"/>
          <w:bdr w:val="nil"/>
          <w:lang w:val="en-US"/>
        </w:rPr>
        <w:t>none of the time</w:t>
      </w:r>
      <w:r w:rsidRPr="00F43118">
        <w:rPr>
          <w:rFonts w:eastAsia="Cambria"/>
          <w:u w:color="000000"/>
          <w:bdr w:val="nil"/>
          <w:lang w:val="en-US"/>
        </w:rPr>
        <w:t>) to 5 (</w:t>
      </w:r>
      <w:r w:rsidRPr="00F43118">
        <w:rPr>
          <w:rFonts w:eastAsia="Cambria"/>
          <w:i/>
          <w:u w:color="000000"/>
          <w:bdr w:val="nil"/>
          <w:lang w:val="en-US"/>
        </w:rPr>
        <w:t>all of the time</w:t>
      </w:r>
      <w:r w:rsidRPr="00F43118">
        <w:rPr>
          <w:rFonts w:eastAsia="Cambria"/>
          <w:u w:color="000000"/>
          <w:bdr w:val="nil"/>
          <w:lang w:val="en-US"/>
        </w:rPr>
        <w:t>).</w:t>
      </w:r>
    </w:p>
    <w:p w:rsidR="00F43118" w:rsidRPr="00F43118" w:rsidRDefault="00F43118" w:rsidP="0094070E">
      <w:pPr>
        <w:pStyle w:val="Heading4"/>
        <w:keepNext/>
        <w:spacing w:after="120"/>
        <w:ind w:left="357" w:hanging="357"/>
        <w:rPr>
          <w:rFonts w:eastAsia="Cambria"/>
          <w:u w:color="000000"/>
        </w:rPr>
      </w:pPr>
      <w:r w:rsidRPr="00F43118">
        <w:rPr>
          <w:rFonts w:eastAsia="Cambria"/>
          <w:u w:color="000000"/>
        </w:rPr>
        <w:lastRenderedPageBreak/>
        <w:t xml:space="preserve">Emotional exhaustion  </w:t>
      </w:r>
    </w:p>
    <w:p w:rsidR="00F43118" w:rsidRPr="00F43118" w:rsidRDefault="00F43118" w:rsidP="0094070E">
      <w:pPr>
        <w:spacing w:after="120"/>
        <w:rPr>
          <w:rFonts w:eastAsia="Cambria"/>
          <w:u w:color="000000"/>
          <w:bdr w:val="nil"/>
          <w:lang w:val="en-US"/>
        </w:rPr>
      </w:pPr>
      <w:r w:rsidRPr="00F43118">
        <w:rPr>
          <w:rFonts w:eastAsia="Cambria"/>
          <w:u w:color="000000"/>
          <w:bdr w:val="nil"/>
          <w:lang w:val="en-US"/>
        </w:rPr>
        <w:t xml:space="preserve">Emotional exhaustion was assessed using the six-item </w:t>
      </w:r>
      <w:proofErr w:type="spellStart"/>
      <w:r w:rsidRPr="00F43118">
        <w:rPr>
          <w:rFonts w:eastAsia="Cambria"/>
          <w:u w:color="000000"/>
          <w:bdr w:val="nil"/>
          <w:lang w:val="en-US"/>
        </w:rPr>
        <w:t>Maslach</w:t>
      </w:r>
      <w:proofErr w:type="spellEnd"/>
      <w:r w:rsidRPr="00F43118">
        <w:rPr>
          <w:rFonts w:eastAsia="Cambria"/>
          <w:u w:color="000000"/>
          <w:bdr w:val="nil"/>
          <w:lang w:val="en-US"/>
        </w:rPr>
        <w:t xml:space="preserve"> Burnout Inventory General Questionnaire (</w:t>
      </w:r>
      <w:proofErr w:type="spellStart"/>
      <w:r w:rsidRPr="00F43118">
        <w:rPr>
          <w:rFonts w:eastAsia="Cambria"/>
          <w:u w:color="000000"/>
          <w:bdr w:val="nil"/>
          <w:lang w:val="en-US"/>
        </w:rPr>
        <w:t>MBI</w:t>
      </w:r>
      <w:proofErr w:type="spellEnd"/>
      <w:r w:rsidRPr="00F43118">
        <w:rPr>
          <w:rFonts w:eastAsia="Cambria"/>
          <w:u w:color="000000"/>
          <w:bdr w:val="nil"/>
          <w:lang w:val="en-US"/>
        </w:rPr>
        <w:t xml:space="preserve">; </w:t>
      </w:r>
      <w:proofErr w:type="spellStart"/>
      <w:r w:rsidRPr="00F43118">
        <w:rPr>
          <w:rFonts w:eastAsia="Cambria"/>
          <w:u w:color="000000"/>
          <w:bdr w:val="nil"/>
          <w:lang w:val="en-US"/>
        </w:rPr>
        <w:t>Schaufeli</w:t>
      </w:r>
      <w:proofErr w:type="spellEnd"/>
      <w:r w:rsidRPr="00F43118">
        <w:rPr>
          <w:rFonts w:eastAsia="Cambria"/>
          <w:u w:color="000000"/>
          <w:bdr w:val="nil"/>
          <w:lang w:val="en-US"/>
        </w:rPr>
        <w:t xml:space="preserve">, Leiter, </w:t>
      </w:r>
      <w:proofErr w:type="spellStart"/>
      <w:r w:rsidRPr="00F43118">
        <w:rPr>
          <w:rFonts w:eastAsia="Cambria"/>
          <w:u w:color="000000"/>
          <w:bdr w:val="nil"/>
          <w:lang w:val="en-US"/>
        </w:rPr>
        <w:t>Maslach</w:t>
      </w:r>
      <w:proofErr w:type="spellEnd"/>
      <w:r w:rsidRPr="00F43118">
        <w:rPr>
          <w:rFonts w:eastAsia="Cambria"/>
          <w:u w:color="000000"/>
          <w:bdr w:val="nil"/>
          <w:lang w:val="en-US"/>
        </w:rPr>
        <w:t>, &amp; Jackson, 1996), which measures feelings of being ‘emotionally overextended and exhausted by one's work’ (</w:t>
      </w:r>
      <w:proofErr w:type="spellStart"/>
      <w:r w:rsidRPr="00F43118">
        <w:rPr>
          <w:rFonts w:eastAsia="Cambria"/>
          <w:u w:color="000000"/>
          <w:bdr w:val="nil"/>
          <w:lang w:val="en-US"/>
        </w:rPr>
        <w:t>Maslach</w:t>
      </w:r>
      <w:proofErr w:type="spellEnd"/>
      <w:r w:rsidRPr="00F43118">
        <w:rPr>
          <w:rFonts w:eastAsia="Cambria"/>
          <w:u w:color="000000"/>
          <w:bdr w:val="nil"/>
          <w:lang w:val="en-US"/>
        </w:rPr>
        <w:t xml:space="preserve"> et al., 1996). Items are scored on a 6-point scale, comprising 1 </w:t>
      </w:r>
      <w:r w:rsidRPr="00F43118">
        <w:rPr>
          <w:rFonts w:eastAsia="Cambria"/>
          <w:i/>
          <w:u w:color="000000"/>
          <w:bdr w:val="nil"/>
          <w:lang w:val="en-US"/>
        </w:rPr>
        <w:t>(never</w:t>
      </w:r>
      <w:r w:rsidRPr="00F43118">
        <w:rPr>
          <w:rFonts w:eastAsia="Cambria"/>
          <w:u w:color="000000"/>
          <w:bdr w:val="nil"/>
          <w:lang w:val="en-US"/>
        </w:rPr>
        <w:t>), 2 (</w:t>
      </w:r>
      <w:r w:rsidRPr="00F43118">
        <w:rPr>
          <w:rFonts w:eastAsia="Cambria"/>
          <w:i/>
          <w:u w:color="000000"/>
          <w:bdr w:val="nil"/>
          <w:lang w:val="en-US"/>
        </w:rPr>
        <w:t>a few times a year or less</w:t>
      </w:r>
      <w:r w:rsidRPr="00F43118">
        <w:rPr>
          <w:rFonts w:eastAsia="Cambria"/>
          <w:u w:color="000000"/>
          <w:bdr w:val="nil"/>
          <w:lang w:val="en-US"/>
        </w:rPr>
        <w:t>), 3 (</w:t>
      </w:r>
      <w:r w:rsidRPr="00F43118">
        <w:rPr>
          <w:rFonts w:eastAsia="Cambria"/>
          <w:i/>
          <w:u w:color="000000"/>
          <w:bdr w:val="nil"/>
          <w:lang w:val="en-US"/>
        </w:rPr>
        <w:t>a once a month or less</w:t>
      </w:r>
      <w:r w:rsidRPr="00F43118">
        <w:rPr>
          <w:rFonts w:eastAsia="Cambria"/>
          <w:u w:color="000000"/>
          <w:bdr w:val="nil"/>
          <w:lang w:val="en-US"/>
        </w:rPr>
        <w:t>), 4 (</w:t>
      </w:r>
      <w:r w:rsidRPr="00F43118">
        <w:rPr>
          <w:rFonts w:eastAsia="Cambria"/>
          <w:i/>
          <w:u w:color="000000"/>
          <w:bdr w:val="nil"/>
          <w:lang w:val="en-US"/>
        </w:rPr>
        <w:t>once a week</w:t>
      </w:r>
      <w:r w:rsidRPr="00F43118">
        <w:rPr>
          <w:rFonts w:eastAsia="Cambria"/>
          <w:u w:color="000000"/>
          <w:bdr w:val="nil"/>
          <w:lang w:val="en-US"/>
        </w:rPr>
        <w:t>), 5 (</w:t>
      </w:r>
      <w:r w:rsidRPr="00F43118">
        <w:rPr>
          <w:rFonts w:eastAsia="Cambria"/>
          <w:i/>
          <w:u w:color="000000"/>
          <w:bdr w:val="nil"/>
          <w:lang w:val="en-US"/>
        </w:rPr>
        <w:t>a few times a week</w:t>
      </w:r>
      <w:r w:rsidRPr="00F43118">
        <w:rPr>
          <w:rFonts w:eastAsia="Cambria"/>
          <w:u w:color="000000"/>
          <w:bdr w:val="nil"/>
          <w:lang w:val="en-US"/>
        </w:rPr>
        <w:t>) and 6 (</w:t>
      </w:r>
      <w:r w:rsidRPr="00F43118">
        <w:rPr>
          <w:rFonts w:eastAsia="Cambria"/>
          <w:i/>
          <w:u w:color="000000"/>
          <w:bdr w:val="nil"/>
          <w:lang w:val="en-US"/>
        </w:rPr>
        <w:t>everyday</w:t>
      </w:r>
      <w:r w:rsidRPr="00F43118">
        <w:rPr>
          <w:rFonts w:eastAsia="Cambria"/>
          <w:u w:color="000000"/>
          <w:bdr w:val="nil"/>
          <w:lang w:val="en-US"/>
        </w:rPr>
        <w:t xml:space="preserve">). High total scores on this scale represent high levels of emotional exhaustion. An example is </w:t>
      </w:r>
      <w:r w:rsidRPr="00F43118">
        <w:rPr>
          <w:rFonts w:eastAsia="Cambria" w:cs="Cambria"/>
          <w:i/>
          <w:iCs/>
          <w:u w:color="000000"/>
          <w:bdr w:val="nil"/>
          <w:lang w:val="en-US"/>
        </w:rPr>
        <w:t>‘I feel tired when I get up in the morning and have to face another day on the job’</w:t>
      </w:r>
      <w:r w:rsidRPr="00F43118">
        <w:rPr>
          <w:rFonts w:eastAsia="Cambria"/>
          <w:u w:color="000000"/>
          <w:bdr w:val="nil"/>
          <w:lang w:val="en-US"/>
        </w:rPr>
        <w:t>.</w:t>
      </w:r>
    </w:p>
    <w:p w:rsidR="00F43118" w:rsidRPr="00F43118" w:rsidRDefault="00F43118" w:rsidP="0094070E">
      <w:pPr>
        <w:pStyle w:val="Heading4"/>
        <w:spacing w:after="120"/>
        <w:rPr>
          <w:rFonts w:eastAsia="Cambria"/>
          <w:u w:color="000000"/>
        </w:rPr>
      </w:pPr>
      <w:r w:rsidRPr="00F43118">
        <w:rPr>
          <w:rFonts w:eastAsia="Cambria"/>
          <w:u w:color="000000"/>
        </w:rPr>
        <w:t xml:space="preserve">Depression </w:t>
      </w:r>
    </w:p>
    <w:p w:rsidR="00F43118" w:rsidRPr="00F43118" w:rsidRDefault="00F43118" w:rsidP="0094070E">
      <w:pPr>
        <w:spacing w:after="120"/>
        <w:rPr>
          <w:rFonts w:eastAsia="Arial"/>
          <w:i/>
          <w:u w:color="000000"/>
          <w:bdr w:val="nil"/>
          <w:lang w:val="en-US"/>
        </w:rPr>
      </w:pPr>
      <w:r w:rsidRPr="00F43118">
        <w:rPr>
          <w:rFonts w:eastAsia="Arial"/>
          <w:u w:color="000000"/>
          <w:bdr w:val="nil"/>
          <w:lang w:val="en-US"/>
        </w:rPr>
        <w:t>Depression was measured using the nine-item Patient Health Questionnaire (</w:t>
      </w:r>
      <w:proofErr w:type="spellStart"/>
      <w:r w:rsidRPr="00F43118">
        <w:rPr>
          <w:rFonts w:eastAsia="Arial"/>
          <w:u w:color="000000"/>
          <w:bdr w:val="nil"/>
          <w:lang w:val="en-US"/>
        </w:rPr>
        <w:t>PHQ</w:t>
      </w:r>
      <w:proofErr w:type="spellEnd"/>
      <w:r w:rsidRPr="00F43118">
        <w:rPr>
          <w:rFonts w:eastAsia="Arial"/>
          <w:u w:color="000000"/>
          <w:bdr w:val="nil"/>
          <w:lang w:val="en-US"/>
        </w:rPr>
        <w:t xml:space="preserve">-9; Spitzer, Kroenke, &amp; Williams, 1999), which applies the nine criteria for clinical diagnoses of depressive episodes in the DSM-IV, for example </w:t>
      </w:r>
      <w:r w:rsidRPr="00F43118">
        <w:rPr>
          <w:rFonts w:eastAsia="Arial" w:cs="Arial"/>
          <w:i/>
          <w:u w:color="000000"/>
          <w:bdr w:val="nil"/>
          <w:lang w:val="en-US"/>
        </w:rPr>
        <w:t>‘During the last month, how often were you bothered by little interest or pleasure in doing things?’</w:t>
      </w:r>
      <w:r w:rsidRPr="00F43118">
        <w:rPr>
          <w:rFonts w:eastAsia="Arial"/>
          <w:u w:color="000000"/>
          <w:bdr w:val="nil"/>
          <w:lang w:val="en-US"/>
        </w:rPr>
        <w:t xml:space="preserve"> These items are all scored on a 4-point Likert scale, ranging from 1 (</w:t>
      </w:r>
      <w:r w:rsidRPr="00F43118">
        <w:rPr>
          <w:rFonts w:eastAsia="Arial"/>
          <w:i/>
          <w:u w:color="000000"/>
          <w:bdr w:val="nil"/>
          <w:lang w:val="en-US"/>
        </w:rPr>
        <w:t>not at all</w:t>
      </w:r>
      <w:r w:rsidRPr="00F43118">
        <w:rPr>
          <w:rFonts w:eastAsia="Arial"/>
          <w:u w:color="000000"/>
          <w:bdr w:val="nil"/>
          <w:lang w:val="en-US"/>
        </w:rPr>
        <w:t>) to 4 (</w:t>
      </w:r>
      <w:r w:rsidRPr="00F43118">
        <w:rPr>
          <w:rFonts w:eastAsia="Arial"/>
          <w:i/>
          <w:u w:color="000000"/>
          <w:bdr w:val="nil"/>
          <w:lang w:val="en-US"/>
        </w:rPr>
        <w:t>nearly every day</w:t>
      </w:r>
      <w:r w:rsidRPr="00F43118">
        <w:rPr>
          <w:rFonts w:eastAsia="Arial"/>
          <w:u w:color="000000"/>
          <w:bdr w:val="nil"/>
          <w:lang w:val="en-US"/>
        </w:rPr>
        <w:t>).</w:t>
      </w:r>
    </w:p>
    <w:p w:rsidR="00684320" w:rsidRDefault="00684320">
      <w:pPr>
        <w:rPr>
          <w:rFonts w:ascii="Arial Bold" w:eastAsia="Cambria" w:hAnsi="Arial Bold" w:cs="Arial"/>
          <w:b/>
          <w:color w:val="1F497D" w:themeColor="text2"/>
          <w:kern w:val="32"/>
          <w:sz w:val="48"/>
          <w:szCs w:val="22"/>
          <w:u w:color="000000"/>
          <w:bdr w:val="nil"/>
          <w:lang w:val="en-US"/>
        </w:rPr>
      </w:pPr>
      <w:r>
        <w:rPr>
          <w:rFonts w:eastAsia="Cambria"/>
          <w:u w:color="000000"/>
          <w:bdr w:val="nil"/>
          <w:lang w:val="en-US"/>
        </w:rPr>
        <w:br w:type="page"/>
      </w:r>
    </w:p>
    <w:p w:rsidR="00F43118" w:rsidRPr="00DD3A77" w:rsidRDefault="00F43118" w:rsidP="000A48B7">
      <w:pPr>
        <w:pStyle w:val="Heading1"/>
        <w:rPr>
          <w:rFonts w:eastAsia="Cambria"/>
          <w:u w:color="000000"/>
          <w:bdr w:val="nil"/>
          <w:lang w:val="en-US"/>
        </w:rPr>
      </w:pPr>
      <w:r w:rsidRPr="00DD3A77">
        <w:rPr>
          <w:rFonts w:eastAsia="Cambria"/>
          <w:u w:color="000000"/>
          <w:bdr w:val="nil"/>
          <w:lang w:val="en-US"/>
        </w:rPr>
        <w:lastRenderedPageBreak/>
        <w:t>Results</w:t>
      </w:r>
    </w:p>
    <w:p w:rsidR="00F43118" w:rsidRPr="00F43118" w:rsidRDefault="00F43118" w:rsidP="00C55811">
      <w:pPr>
        <w:pStyle w:val="Heading2"/>
        <w:spacing w:after="120"/>
        <w:rPr>
          <w:rFonts w:eastAsia="Cambria"/>
          <w:u w:color="000000"/>
          <w:bdr w:val="nil"/>
          <w:lang w:val="en-US"/>
        </w:rPr>
      </w:pPr>
      <w:r w:rsidRPr="00F43118">
        <w:rPr>
          <w:rFonts w:eastAsia="Cambria"/>
          <w:u w:color="000000"/>
          <w:bdr w:val="nil"/>
          <w:lang w:val="en-US"/>
        </w:rPr>
        <w:t>Prevalence Rates for Workplace Bullying in Australia 2014/2015</w:t>
      </w:r>
    </w:p>
    <w:p w:rsidR="00F43118" w:rsidRPr="00F43118" w:rsidRDefault="00F43118" w:rsidP="00C55811">
      <w:pPr>
        <w:spacing w:after="120"/>
        <w:rPr>
          <w:rFonts w:eastAsia="Calibri"/>
          <w:u w:color="000000"/>
          <w:bdr w:val="nil"/>
          <w:lang w:val="en-US"/>
        </w:rPr>
      </w:pPr>
      <w:r w:rsidRPr="00F43118">
        <w:rPr>
          <w:rFonts w:eastAsia="Calibri"/>
          <w:u w:color="000000"/>
          <w:bdr w:val="nil"/>
          <w:lang w:val="en-US"/>
        </w:rPr>
        <w:t xml:space="preserve">In response to the international bullying definition, which </w:t>
      </w:r>
      <w:proofErr w:type="spellStart"/>
      <w:r w:rsidRPr="00F43118">
        <w:rPr>
          <w:rFonts w:eastAsia="Calibri"/>
          <w:u w:color="000000"/>
          <w:bdr w:val="nil"/>
          <w:lang w:val="en-US"/>
        </w:rPr>
        <w:t>emphasises</w:t>
      </w:r>
      <w:proofErr w:type="spellEnd"/>
      <w:r w:rsidRPr="00F43118">
        <w:rPr>
          <w:rFonts w:eastAsia="Calibri"/>
          <w:u w:color="000000"/>
          <w:bdr w:val="nil"/>
          <w:lang w:val="en-US"/>
        </w:rPr>
        <w:t xml:space="preserve"> power imbalance and repeated bullying </w:t>
      </w:r>
      <w:proofErr w:type="spellStart"/>
      <w:r w:rsidRPr="00F43118">
        <w:rPr>
          <w:rFonts w:eastAsia="Calibri"/>
          <w:u w:color="000000"/>
          <w:bdr w:val="nil"/>
          <w:lang w:val="en-US"/>
        </w:rPr>
        <w:t>behaviours</w:t>
      </w:r>
      <w:proofErr w:type="spellEnd"/>
      <w:r w:rsidRPr="00F43118">
        <w:rPr>
          <w:rFonts w:eastAsia="Calibri"/>
          <w:u w:color="000000"/>
          <w:bdr w:val="nil"/>
          <w:lang w:val="en-US"/>
        </w:rPr>
        <w:t>, 9.7</w:t>
      </w:r>
      <w:r w:rsidR="00EB7478">
        <w:rPr>
          <w:rFonts w:eastAsia="Calibri"/>
          <w:u w:color="000000"/>
          <w:bdr w:val="nil"/>
          <w:lang w:val="en-US"/>
        </w:rPr>
        <w:t xml:space="preserve"> per cent</w:t>
      </w:r>
      <w:r w:rsidRPr="00F43118">
        <w:rPr>
          <w:rFonts w:eastAsia="Calibri"/>
          <w:u w:color="000000"/>
          <w:bdr w:val="nil"/>
          <w:lang w:val="en-US"/>
        </w:rPr>
        <w:t xml:space="preserve"> of Australian workers reported they had experienced bullying in the past six months. In response to the second definition used by Safe Work Australia, 9.4</w:t>
      </w:r>
      <w:r w:rsidR="00C1054A">
        <w:rPr>
          <w:rFonts w:eastAsia="Calibri"/>
          <w:u w:color="000000"/>
          <w:bdr w:val="nil"/>
          <w:lang w:val="en-US"/>
        </w:rPr>
        <w:t xml:space="preserve"> </w:t>
      </w:r>
      <w:r w:rsidR="00EB7478">
        <w:rPr>
          <w:rFonts w:eastAsia="Calibri"/>
          <w:u w:color="000000"/>
          <w:bdr w:val="nil"/>
          <w:lang w:val="en-US"/>
        </w:rPr>
        <w:t>per cent</w:t>
      </w:r>
      <w:r w:rsidRPr="00F43118">
        <w:rPr>
          <w:rFonts w:eastAsia="Calibri"/>
          <w:u w:color="000000"/>
          <w:bdr w:val="nil"/>
          <w:lang w:val="en-US"/>
        </w:rPr>
        <w:t xml:space="preserve"> of participants reported workplace bullying in the past six months. There was minimal variation in prevalence rates based upon the different definitions. T</w:t>
      </w:r>
      <w:r w:rsidR="009809BE">
        <w:rPr>
          <w:rFonts w:eastAsia="Calibri"/>
          <w:u w:color="000000"/>
          <w:bdr w:val="nil"/>
          <w:lang w:val="en-US"/>
        </w:rPr>
        <w:t>his means that nearly one in 10</w:t>
      </w:r>
      <w:r w:rsidRPr="00F43118">
        <w:rPr>
          <w:rFonts w:eastAsia="Calibri"/>
          <w:u w:color="000000"/>
          <w:bdr w:val="nil"/>
          <w:lang w:val="en-US"/>
        </w:rPr>
        <w:t xml:space="preserve"> Australian employees report being bullied – according to strict definitions. </w:t>
      </w:r>
      <w:r w:rsidR="009E5C3A" w:rsidRPr="00F43118">
        <w:rPr>
          <w:rFonts w:eastAsia="Cambria" w:cs="Calibri"/>
          <w:u w:color="000000"/>
          <w:bdr w:val="nil"/>
          <w:lang w:val="en-US"/>
        </w:rPr>
        <w:t>There was a high correlation between the two definitions (</w:t>
      </w:r>
      <w:r w:rsidR="009E5C3A" w:rsidRPr="00DE432D">
        <w:rPr>
          <w:rFonts w:eastAsia="Cambria" w:cs="Calibri"/>
          <w:i/>
          <w:u w:color="000000"/>
          <w:bdr w:val="nil"/>
          <w:lang w:val="en-US"/>
        </w:rPr>
        <w:t>r</w:t>
      </w:r>
      <w:r w:rsidR="00C55811">
        <w:rPr>
          <w:rFonts w:eastAsia="Cambria" w:cs="Calibri"/>
          <w:u w:color="000000"/>
          <w:bdr w:val="nil"/>
          <w:lang w:val="en-US"/>
        </w:rPr>
        <w:t xml:space="preserve"> = .69).</w:t>
      </w:r>
    </w:p>
    <w:p w:rsidR="00400475" w:rsidRPr="00904E4D" w:rsidRDefault="00F43118" w:rsidP="00C55811">
      <w:pPr>
        <w:spacing w:after="120"/>
        <w:rPr>
          <w:rFonts w:eastAsia="Calibri"/>
          <w:u w:color="000000"/>
          <w:bdr w:val="nil"/>
          <w:lang w:val="en-US"/>
        </w:rPr>
      </w:pPr>
      <w:r w:rsidRPr="00F42C59">
        <w:rPr>
          <w:rFonts w:eastAsia="Calibri"/>
          <w:u w:color="000000"/>
          <w:bdr w:val="nil"/>
          <w:lang w:val="en-US"/>
        </w:rPr>
        <w:t xml:space="preserve">In </w:t>
      </w:r>
      <w:r w:rsidR="00F42C59" w:rsidRPr="00F42C59">
        <w:rPr>
          <w:rFonts w:eastAsia="Calibri"/>
          <w:u w:color="000000"/>
          <w:bdr w:val="nil"/>
          <w:lang w:val="en-US"/>
        </w:rPr>
        <w:t>62.3</w:t>
      </w:r>
      <w:r w:rsidR="00EB7478" w:rsidRPr="00F42C59">
        <w:rPr>
          <w:rFonts w:eastAsia="Calibri"/>
          <w:u w:color="000000"/>
          <w:bdr w:val="nil"/>
          <w:lang w:val="en-US"/>
        </w:rPr>
        <w:t xml:space="preserve"> per cent</w:t>
      </w:r>
      <w:r w:rsidRPr="00F42C59">
        <w:rPr>
          <w:rFonts w:eastAsia="Calibri"/>
          <w:u w:color="000000"/>
          <w:bdr w:val="nil"/>
          <w:lang w:val="en-US"/>
        </w:rPr>
        <w:t xml:space="preserve"> of cases, the bully was identified as a supervisor, and in </w:t>
      </w:r>
      <w:r w:rsidR="00F42C59" w:rsidRPr="00F42C59">
        <w:rPr>
          <w:rFonts w:eastAsia="Calibri"/>
          <w:u w:color="000000"/>
          <w:bdr w:val="nil"/>
          <w:lang w:val="en-US"/>
        </w:rPr>
        <w:t>2</w:t>
      </w:r>
      <w:r w:rsidR="00F42C59" w:rsidRPr="00DA15AB">
        <w:rPr>
          <w:rFonts w:eastAsia="Calibri"/>
          <w:u w:color="000000"/>
          <w:bdr w:val="nil"/>
          <w:lang w:val="en-US"/>
        </w:rPr>
        <w:t>8.0</w:t>
      </w:r>
      <w:r w:rsidR="00F42C59" w:rsidRPr="00F42C59">
        <w:rPr>
          <w:rFonts w:eastAsia="Calibri"/>
          <w:u w:color="000000"/>
          <w:bdr w:val="nil"/>
          <w:lang w:val="en-US"/>
        </w:rPr>
        <w:t xml:space="preserve"> </w:t>
      </w:r>
      <w:r w:rsidR="00EB7478" w:rsidRPr="00F42C59">
        <w:rPr>
          <w:rFonts w:eastAsia="Calibri"/>
          <w:u w:color="000000"/>
          <w:bdr w:val="nil"/>
          <w:lang w:val="en-US"/>
        </w:rPr>
        <w:t>per cent</w:t>
      </w:r>
      <w:r w:rsidRPr="00F42C59">
        <w:rPr>
          <w:rFonts w:eastAsia="Calibri"/>
          <w:u w:color="000000"/>
          <w:bdr w:val="nil"/>
          <w:lang w:val="en-US"/>
        </w:rPr>
        <w:t xml:space="preserve"> of cases the bully was identified as a co-worker. </w:t>
      </w:r>
      <w:r w:rsidR="00F42C59" w:rsidRPr="001D2BBC">
        <w:rPr>
          <w:rFonts w:eastAsia="Calibri"/>
          <w:u w:color="000000"/>
          <w:bdr w:val="nil"/>
          <w:lang w:val="en-US"/>
        </w:rPr>
        <w:t>A further 8.7 per cent responded that the bully was neither, and 1.0 per c</w:t>
      </w:r>
      <w:r w:rsidR="00F42C59" w:rsidRPr="00AC75D7">
        <w:rPr>
          <w:rFonts w:eastAsia="Calibri"/>
          <w:u w:color="000000"/>
          <w:bdr w:val="nil"/>
          <w:lang w:val="en-US"/>
        </w:rPr>
        <w:t>ent chose not to say.</w:t>
      </w:r>
    </w:p>
    <w:p w:rsidR="00F43118" w:rsidRPr="00F43118" w:rsidRDefault="00F43118" w:rsidP="00C55811">
      <w:pPr>
        <w:pStyle w:val="Heading3"/>
        <w:spacing w:before="240" w:after="120"/>
        <w:rPr>
          <w:rFonts w:eastAsia="Cambria"/>
          <w:u w:color="000000"/>
        </w:rPr>
      </w:pPr>
      <w:r w:rsidRPr="00F43118">
        <w:rPr>
          <w:rFonts w:eastAsia="Cambria"/>
          <w:u w:color="000000"/>
        </w:rPr>
        <w:t xml:space="preserve">Frequency and </w:t>
      </w:r>
      <w:r w:rsidR="00400475">
        <w:rPr>
          <w:rFonts w:eastAsia="Cambria"/>
          <w:u w:color="000000"/>
        </w:rPr>
        <w:t>D</w:t>
      </w:r>
      <w:r w:rsidRPr="00F43118">
        <w:rPr>
          <w:rFonts w:eastAsia="Cambria"/>
          <w:u w:color="000000"/>
        </w:rPr>
        <w:t xml:space="preserve">uration of </w:t>
      </w:r>
      <w:r w:rsidR="00400475">
        <w:rPr>
          <w:rFonts w:eastAsia="Cambria"/>
          <w:u w:color="000000"/>
        </w:rPr>
        <w:t>B</w:t>
      </w:r>
      <w:r w:rsidR="00C55811">
        <w:rPr>
          <w:rFonts w:eastAsia="Cambria"/>
          <w:u w:color="000000"/>
        </w:rPr>
        <w:t>ullying</w:t>
      </w:r>
    </w:p>
    <w:p w:rsidR="00F43118" w:rsidRDefault="00F43118" w:rsidP="00C55811">
      <w:pPr>
        <w:spacing w:after="120"/>
        <w:rPr>
          <w:rFonts w:eastAsia="Calibri"/>
          <w:color w:val="000000"/>
          <w:u w:color="000000"/>
          <w:bdr w:val="nil"/>
          <w:lang w:val="en-US"/>
        </w:rPr>
      </w:pPr>
      <w:r w:rsidRPr="00F43118">
        <w:rPr>
          <w:rFonts w:eastAsia="Calibri"/>
          <w:u w:color="000000"/>
          <w:lang w:eastAsia="en-US"/>
        </w:rPr>
        <w:t xml:space="preserve">Bullied employees, defined using the international definition, were asked how frequently they </w:t>
      </w:r>
      <w:r w:rsidR="00C1054A" w:rsidRPr="00F43118">
        <w:rPr>
          <w:rFonts w:eastAsia="Calibri"/>
          <w:u w:color="000000"/>
          <w:lang w:eastAsia="en-US"/>
        </w:rPr>
        <w:t>ha</w:t>
      </w:r>
      <w:r w:rsidR="00C1054A">
        <w:rPr>
          <w:rFonts w:eastAsia="Calibri"/>
          <w:u w:color="000000"/>
          <w:lang w:eastAsia="en-US"/>
        </w:rPr>
        <w:t>d</w:t>
      </w:r>
      <w:r w:rsidR="00C1054A" w:rsidRPr="00F43118">
        <w:rPr>
          <w:rFonts w:eastAsia="Calibri"/>
          <w:u w:color="000000"/>
          <w:lang w:eastAsia="en-US"/>
        </w:rPr>
        <w:t xml:space="preserve"> </w:t>
      </w:r>
      <w:r w:rsidRPr="00F43118">
        <w:rPr>
          <w:rFonts w:eastAsia="Calibri"/>
          <w:u w:color="000000"/>
          <w:lang w:eastAsia="en-US"/>
        </w:rPr>
        <w:t xml:space="preserve">been (or are currently being) subjected to workplace bullying. Frequency data showed that </w:t>
      </w:r>
      <w:r w:rsidRPr="00F43118">
        <w:rPr>
          <w:rFonts w:eastAsia="Calibri"/>
          <w:color w:val="000000"/>
          <w:u w:color="000000"/>
          <w:bdr w:val="nil"/>
          <w:lang w:val="en-US"/>
        </w:rPr>
        <w:t>12.2</w:t>
      </w:r>
      <w:r w:rsidR="00EB7478">
        <w:rPr>
          <w:rFonts w:eastAsia="Calibri"/>
          <w:color w:val="000000"/>
          <w:u w:color="000000"/>
          <w:bdr w:val="nil"/>
          <w:lang w:val="en-US"/>
        </w:rPr>
        <w:t xml:space="preserve"> per cent</w:t>
      </w:r>
      <w:r w:rsidRPr="00F43118">
        <w:rPr>
          <w:rFonts w:eastAsia="Calibri"/>
          <w:color w:val="000000"/>
          <w:u w:color="000000"/>
          <w:bdr w:val="nil"/>
          <w:lang w:val="en-US"/>
        </w:rPr>
        <w:t xml:space="preserve"> reported being bullied daily, </w:t>
      </w:r>
      <w:r w:rsidR="000C55DA">
        <w:rPr>
          <w:rFonts w:eastAsia="Calibri"/>
          <w:color w:val="000000"/>
          <w:u w:color="000000"/>
          <w:bdr w:val="nil"/>
          <w:lang w:val="en-US"/>
        </w:rPr>
        <w:t>3</w:t>
      </w:r>
      <w:r w:rsidR="00B353E0">
        <w:rPr>
          <w:rFonts w:eastAsia="Calibri"/>
          <w:color w:val="000000"/>
          <w:u w:color="000000"/>
          <w:bdr w:val="nil"/>
          <w:lang w:val="en-US"/>
        </w:rPr>
        <w:t>2.6</w:t>
      </w:r>
      <w:r w:rsidR="00EB7478">
        <w:rPr>
          <w:rFonts w:eastAsia="Calibri"/>
          <w:color w:val="000000"/>
          <w:u w:color="000000"/>
          <w:bdr w:val="nil"/>
          <w:lang w:val="en-US"/>
        </w:rPr>
        <w:t xml:space="preserve"> per cent</w:t>
      </w:r>
      <w:r w:rsidRPr="00F43118">
        <w:rPr>
          <w:rFonts w:eastAsia="Calibri"/>
          <w:color w:val="000000"/>
          <w:u w:color="000000"/>
          <w:bdr w:val="nil"/>
          <w:lang w:val="en-US"/>
        </w:rPr>
        <w:t xml:space="preserve"> at least once a week, 27.9</w:t>
      </w:r>
      <w:r w:rsidR="00EB7478">
        <w:rPr>
          <w:rFonts w:eastAsia="Calibri"/>
          <w:color w:val="000000"/>
          <w:u w:color="000000"/>
          <w:bdr w:val="nil"/>
          <w:lang w:val="en-US"/>
        </w:rPr>
        <w:t xml:space="preserve"> per cent</w:t>
      </w:r>
      <w:r w:rsidR="00CB1D64">
        <w:rPr>
          <w:rFonts w:eastAsia="Calibri"/>
          <w:color w:val="000000"/>
          <w:u w:color="000000"/>
          <w:bdr w:val="nil"/>
          <w:lang w:val="en-US"/>
        </w:rPr>
        <w:t xml:space="preserve"> at least once a month, 2</w:t>
      </w:r>
      <w:r w:rsidR="00B353E0">
        <w:rPr>
          <w:rFonts w:eastAsia="Calibri"/>
          <w:color w:val="000000"/>
          <w:u w:color="000000"/>
          <w:bdr w:val="nil"/>
          <w:lang w:val="en-US"/>
        </w:rPr>
        <w:t>6.8</w:t>
      </w:r>
      <w:r w:rsidR="00EB7478">
        <w:rPr>
          <w:rFonts w:eastAsia="Calibri"/>
          <w:color w:val="000000"/>
          <w:u w:color="000000"/>
          <w:bdr w:val="nil"/>
          <w:lang w:val="en-US"/>
        </w:rPr>
        <w:t xml:space="preserve"> per cent</w:t>
      </w:r>
      <w:r w:rsidRPr="00F43118">
        <w:rPr>
          <w:rFonts w:eastAsia="Calibri"/>
          <w:color w:val="000000"/>
          <w:u w:color="000000"/>
          <w:bdr w:val="nil"/>
          <w:lang w:val="en-US"/>
        </w:rPr>
        <w:t xml:space="preserve"> rarely, and </w:t>
      </w:r>
      <w:r w:rsidR="00B353E0">
        <w:rPr>
          <w:rFonts w:eastAsia="Calibri"/>
          <w:color w:val="000000"/>
          <w:u w:color="000000"/>
          <w:bdr w:val="nil"/>
          <w:lang w:val="en-US"/>
        </w:rPr>
        <w:t>0.</w:t>
      </w:r>
      <w:r w:rsidRPr="00F43118">
        <w:rPr>
          <w:rFonts w:eastAsia="Calibri"/>
          <w:color w:val="000000"/>
          <w:u w:color="000000"/>
          <w:bdr w:val="nil"/>
          <w:lang w:val="en-US"/>
        </w:rPr>
        <w:t>5</w:t>
      </w:r>
      <w:r w:rsidR="00EB7478">
        <w:rPr>
          <w:rFonts w:eastAsia="Calibri"/>
          <w:color w:val="000000"/>
          <w:u w:color="000000"/>
          <w:bdr w:val="nil"/>
          <w:lang w:val="en-US"/>
        </w:rPr>
        <w:t xml:space="preserve"> per cent</w:t>
      </w:r>
      <w:r w:rsidRPr="00F43118">
        <w:rPr>
          <w:rFonts w:eastAsia="Calibri"/>
          <w:color w:val="000000"/>
          <w:u w:color="000000"/>
          <w:bdr w:val="nil"/>
          <w:lang w:val="en-US"/>
        </w:rPr>
        <w:t xml:space="preserve"> answered very rarely (Figure 2).</w:t>
      </w:r>
    </w:p>
    <w:p w:rsidR="00813EEC" w:rsidRDefault="00FC4004" w:rsidP="00B2750E">
      <w:pPr>
        <w:pStyle w:val="Subtitle"/>
        <w:rPr>
          <w:rFonts w:eastAsia="Cambria"/>
          <w:u w:color="000000"/>
          <w:bdr w:val="nil"/>
          <w:lang w:val="en-US"/>
        </w:rPr>
      </w:pPr>
      <w:r>
        <w:rPr>
          <w:rFonts w:eastAsia="Cambria"/>
          <w:noProof/>
          <w:u w:color="000000"/>
          <w:lang w:eastAsia="en-AU"/>
        </w:rPr>
        <w:drawing>
          <wp:anchor distT="0" distB="0" distL="114300" distR="114300" simplePos="0" relativeHeight="251692032" behindDoc="0" locked="0" layoutInCell="1" allowOverlap="1">
            <wp:simplePos x="0" y="0"/>
            <wp:positionH relativeFrom="column">
              <wp:posOffset>-180975</wp:posOffset>
            </wp:positionH>
            <wp:positionV relativeFrom="paragraph">
              <wp:posOffset>5080</wp:posOffset>
            </wp:positionV>
            <wp:extent cx="5924550" cy="1762125"/>
            <wp:effectExtent l="0" t="0" r="19050" b="9525"/>
            <wp:wrapNone/>
            <wp:docPr id="295" name="officeArt object" descr="This bar graph shows the frequency of bullying as a percentage as reported by the bullied sample. " title="Figure 2. Frequency of Bullying: Percentage of Bullied Samp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rsidR="00813EEC" w:rsidRDefault="00813EEC" w:rsidP="00B2750E">
      <w:pPr>
        <w:pStyle w:val="Subtitle"/>
        <w:rPr>
          <w:rFonts w:eastAsia="Cambria"/>
          <w:u w:color="000000"/>
          <w:bdr w:val="nil"/>
          <w:lang w:val="en-US"/>
        </w:rPr>
      </w:pPr>
    </w:p>
    <w:p w:rsidR="00813EEC" w:rsidRDefault="00813EEC" w:rsidP="00B2750E">
      <w:pPr>
        <w:pStyle w:val="Subtitle"/>
        <w:rPr>
          <w:rFonts w:eastAsia="Cambria"/>
          <w:u w:color="000000"/>
          <w:bdr w:val="nil"/>
          <w:lang w:val="en-US"/>
        </w:rPr>
      </w:pPr>
    </w:p>
    <w:p w:rsidR="00813EEC" w:rsidRDefault="00813EEC" w:rsidP="00B2750E">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C55811" w:rsidRPr="00813EEC" w:rsidRDefault="00DA15AB" w:rsidP="00737E62">
      <w:pPr>
        <w:pStyle w:val="Subtitle"/>
        <w:spacing w:after="240"/>
        <w:rPr>
          <w:rFonts w:eastAsia="Calibri"/>
          <w:szCs w:val="22"/>
          <w:u w:color="000000"/>
          <w:bdr w:val="nil"/>
          <w:lang w:val="en-US"/>
        </w:rPr>
      </w:pPr>
      <w:proofErr w:type="gramStart"/>
      <w:r w:rsidRPr="00F43118">
        <w:rPr>
          <w:rFonts w:eastAsia="Cambria"/>
          <w:u w:color="000000"/>
          <w:bdr w:val="nil"/>
          <w:lang w:val="en-US"/>
        </w:rPr>
        <w:t>Figure 2.</w:t>
      </w:r>
      <w:proofErr w:type="gramEnd"/>
      <w:r w:rsidRPr="00F43118">
        <w:rPr>
          <w:rFonts w:eastAsia="Cambria"/>
          <w:u w:color="000000"/>
          <w:bdr w:val="nil"/>
          <w:lang w:val="en-US"/>
        </w:rPr>
        <w:t xml:space="preserve"> </w:t>
      </w:r>
      <w:r w:rsidRPr="00DD3A77">
        <w:rPr>
          <w:rFonts w:eastAsia="Cambria"/>
          <w:u w:color="000000"/>
          <w:bdr w:val="nil"/>
          <w:lang w:val="en-US"/>
        </w:rPr>
        <w:t>Frequency of Bullying</w:t>
      </w:r>
      <w:r>
        <w:rPr>
          <w:rFonts w:eastAsia="Cambria"/>
          <w:u w:color="000000"/>
          <w:bdr w:val="nil"/>
          <w:lang w:val="en-US"/>
        </w:rPr>
        <w:t>:</w:t>
      </w:r>
      <w:r w:rsidRPr="00DD3A77">
        <w:rPr>
          <w:rFonts w:eastAsia="Cambria"/>
          <w:u w:color="000000"/>
          <w:bdr w:val="nil"/>
          <w:lang w:val="en-US"/>
        </w:rPr>
        <w:t xml:space="preserve"> Percentage of Bullied</w:t>
      </w:r>
      <w:r>
        <w:rPr>
          <w:rFonts w:eastAsia="Cambria"/>
          <w:u w:color="000000"/>
          <w:bdr w:val="nil"/>
          <w:lang w:val="en-US"/>
        </w:rPr>
        <w:t xml:space="preserve"> Sample</w:t>
      </w:r>
    </w:p>
    <w:p w:rsidR="000373B2" w:rsidRDefault="00F43118" w:rsidP="004B457A">
      <w:pPr>
        <w:rPr>
          <w:rFonts w:eastAsia="Cambria"/>
          <w:noProof/>
          <w:u w:color="000000"/>
        </w:rPr>
      </w:pPr>
      <w:r w:rsidRPr="00F43118">
        <w:rPr>
          <w:rFonts w:eastAsia="Cambria"/>
          <w:u w:color="000000"/>
          <w:bdr w:val="nil"/>
          <w:lang w:val="en-US"/>
        </w:rPr>
        <w:t xml:space="preserve">The length of time bullied workers reported they </w:t>
      </w:r>
      <w:r w:rsidR="00EB4D0E">
        <w:rPr>
          <w:rFonts w:eastAsia="Cambria"/>
          <w:u w:color="000000"/>
          <w:bdr w:val="nil"/>
          <w:lang w:val="en-US"/>
        </w:rPr>
        <w:t>had been</w:t>
      </w:r>
      <w:r w:rsidRPr="00F43118">
        <w:rPr>
          <w:rFonts w:eastAsia="Cambria"/>
          <w:u w:color="000000"/>
          <w:bdr w:val="nil"/>
          <w:lang w:val="en-US"/>
        </w:rPr>
        <w:t xml:space="preserve"> exposed to workplace bullying is presented in Figure 3; 13.6</w:t>
      </w:r>
      <w:r w:rsidR="00EB7478">
        <w:rPr>
          <w:rFonts w:eastAsia="Cambria"/>
          <w:u w:color="000000"/>
          <w:bdr w:val="nil"/>
          <w:lang w:val="en-US"/>
        </w:rPr>
        <w:t xml:space="preserve"> per cent</w:t>
      </w:r>
      <w:r w:rsidRPr="00F43118">
        <w:rPr>
          <w:rFonts w:eastAsia="Cambria"/>
          <w:u w:color="000000"/>
          <w:bdr w:val="nil"/>
          <w:lang w:val="en-US"/>
        </w:rPr>
        <w:t xml:space="preserve"> of workers </w:t>
      </w:r>
      <w:r w:rsidR="00EB4D0E">
        <w:rPr>
          <w:rFonts w:eastAsia="Cambria"/>
          <w:u w:color="000000"/>
          <w:bdr w:val="nil"/>
          <w:lang w:val="en-US"/>
        </w:rPr>
        <w:t xml:space="preserve">had </w:t>
      </w:r>
      <w:r w:rsidRPr="00F43118">
        <w:rPr>
          <w:rFonts w:eastAsia="Cambria"/>
          <w:u w:color="000000"/>
          <w:bdr w:val="nil"/>
          <w:lang w:val="en-US"/>
        </w:rPr>
        <w:t>experienced bullying for less than one month, 38.6</w:t>
      </w:r>
      <w:r w:rsidR="00EB7478">
        <w:rPr>
          <w:rFonts w:eastAsia="Cambria"/>
          <w:u w:color="000000"/>
          <w:bdr w:val="nil"/>
          <w:lang w:val="en-US"/>
        </w:rPr>
        <w:t xml:space="preserve"> per cent</w:t>
      </w:r>
      <w:r w:rsidRPr="00F43118">
        <w:rPr>
          <w:rFonts w:eastAsia="Cambria"/>
          <w:u w:color="000000"/>
          <w:bdr w:val="nil"/>
          <w:lang w:val="en-US"/>
        </w:rPr>
        <w:t xml:space="preserve"> between one and six months, 12.9</w:t>
      </w:r>
      <w:r w:rsidR="00EB7478">
        <w:rPr>
          <w:rFonts w:eastAsia="Cambria"/>
          <w:u w:color="000000"/>
          <w:bdr w:val="nil"/>
          <w:lang w:val="en-US"/>
        </w:rPr>
        <w:t xml:space="preserve"> per cent</w:t>
      </w:r>
      <w:r w:rsidRPr="00F43118">
        <w:rPr>
          <w:rFonts w:eastAsia="Cambria"/>
          <w:u w:color="000000"/>
          <w:bdr w:val="nil"/>
          <w:lang w:val="en-US"/>
        </w:rPr>
        <w:t xml:space="preserve"> between seven and 12 months, 17.7</w:t>
      </w:r>
      <w:r w:rsidR="00EB7478">
        <w:rPr>
          <w:rFonts w:eastAsia="Cambria"/>
          <w:u w:color="000000"/>
          <w:bdr w:val="nil"/>
          <w:lang w:val="en-US"/>
        </w:rPr>
        <w:t xml:space="preserve"> per cent</w:t>
      </w:r>
      <w:r w:rsidRPr="00F43118">
        <w:rPr>
          <w:rFonts w:eastAsia="Cambria"/>
          <w:u w:color="000000"/>
          <w:bdr w:val="nil"/>
          <w:lang w:val="en-US"/>
        </w:rPr>
        <w:t xml:space="preserve"> between one and two years, and 16.3</w:t>
      </w:r>
      <w:r w:rsidR="00EB7478">
        <w:rPr>
          <w:rFonts w:eastAsia="Cambria"/>
          <w:u w:color="000000"/>
          <w:bdr w:val="nil"/>
          <w:lang w:val="en-US"/>
        </w:rPr>
        <w:t xml:space="preserve"> per cent</w:t>
      </w:r>
      <w:r w:rsidRPr="00F43118">
        <w:rPr>
          <w:rFonts w:eastAsia="Cambria"/>
          <w:u w:color="000000"/>
          <w:bdr w:val="nil"/>
          <w:lang w:val="en-US"/>
        </w:rPr>
        <w:t xml:space="preserve"> at more than two years. Therefore, nearly 50</w:t>
      </w:r>
      <w:r w:rsidR="00EB7478">
        <w:rPr>
          <w:rFonts w:eastAsia="Cambria"/>
          <w:u w:color="000000"/>
          <w:bdr w:val="nil"/>
          <w:lang w:val="en-US"/>
        </w:rPr>
        <w:t xml:space="preserve"> per cent</w:t>
      </w:r>
      <w:r w:rsidRPr="00F43118">
        <w:rPr>
          <w:rFonts w:eastAsia="Cambria"/>
          <w:u w:color="000000"/>
          <w:bdr w:val="nil"/>
          <w:lang w:val="en-US"/>
        </w:rPr>
        <w:t xml:space="preserve"> of the bullied respondents had endured bullying for over six months. Even more worrying is that 16.3</w:t>
      </w:r>
      <w:r w:rsidR="00EB7478">
        <w:rPr>
          <w:rFonts w:eastAsia="Cambria"/>
          <w:u w:color="000000"/>
          <w:bdr w:val="nil"/>
          <w:lang w:val="en-US"/>
        </w:rPr>
        <w:t xml:space="preserve"> per cent</w:t>
      </w:r>
      <w:r w:rsidR="009809BE">
        <w:rPr>
          <w:rFonts w:eastAsia="Cambria"/>
          <w:u w:color="000000"/>
          <w:bdr w:val="nil"/>
          <w:lang w:val="en-US"/>
        </w:rPr>
        <w:t xml:space="preserve"> of </w:t>
      </w:r>
      <w:r w:rsidRPr="00F43118">
        <w:rPr>
          <w:rFonts w:eastAsia="Cambria"/>
          <w:u w:color="000000"/>
          <w:bdr w:val="nil"/>
          <w:lang w:val="en-US"/>
        </w:rPr>
        <w:t xml:space="preserve">workers had been a victim of bullying for more than two years, which is likely to have serious impacts </w:t>
      </w:r>
      <w:r w:rsidR="00C1054A">
        <w:rPr>
          <w:rFonts w:eastAsia="Cambria"/>
          <w:u w:color="000000"/>
          <w:bdr w:val="nil"/>
          <w:lang w:val="en-US"/>
        </w:rPr>
        <w:t>on</w:t>
      </w:r>
      <w:r w:rsidR="00C1054A" w:rsidRPr="00F43118">
        <w:rPr>
          <w:rFonts w:eastAsia="Cambria"/>
          <w:u w:color="000000"/>
          <w:bdr w:val="nil"/>
          <w:lang w:val="en-US"/>
        </w:rPr>
        <w:t xml:space="preserve"> </w:t>
      </w:r>
      <w:r w:rsidRPr="00F43118">
        <w:rPr>
          <w:rFonts w:eastAsia="Cambria"/>
          <w:u w:color="000000"/>
          <w:bdr w:val="nil"/>
          <w:lang w:val="en-US"/>
        </w:rPr>
        <w:t>mental health.</w:t>
      </w:r>
    </w:p>
    <w:p w:rsidR="000373B2" w:rsidRDefault="000373B2">
      <w:pPr>
        <w:rPr>
          <w:rFonts w:eastAsia="Cambria"/>
          <w:noProof/>
          <w:u w:color="000000"/>
        </w:rPr>
      </w:pPr>
      <w:r>
        <w:rPr>
          <w:rFonts w:eastAsia="Cambria"/>
          <w:noProof/>
          <w:u w:color="000000"/>
        </w:rPr>
        <w:br w:type="page"/>
      </w:r>
    </w:p>
    <w:p w:rsidR="00813EEC" w:rsidRDefault="00701AB5" w:rsidP="00813EEC">
      <w:pPr>
        <w:pStyle w:val="Subtitle"/>
        <w:rPr>
          <w:rFonts w:eastAsia="Cambria"/>
          <w:u w:color="000000"/>
          <w:bdr w:val="nil"/>
          <w:lang w:val="en-US"/>
        </w:rPr>
      </w:pPr>
      <w:r>
        <w:rPr>
          <w:rFonts w:eastAsia="Cambria"/>
          <w:noProof/>
          <w:u w:color="000000"/>
          <w:lang w:eastAsia="en-AU"/>
        </w:rPr>
        <w:lastRenderedPageBreak/>
        <w:drawing>
          <wp:anchor distT="0" distB="0" distL="114300" distR="114300" simplePos="0" relativeHeight="251695104" behindDoc="0" locked="0" layoutInCell="1" allowOverlap="1">
            <wp:simplePos x="0" y="0"/>
            <wp:positionH relativeFrom="column">
              <wp:posOffset>-104775</wp:posOffset>
            </wp:positionH>
            <wp:positionV relativeFrom="paragraph">
              <wp:posOffset>48895</wp:posOffset>
            </wp:positionV>
            <wp:extent cx="6210300" cy="2009775"/>
            <wp:effectExtent l="0" t="0" r="19050" b="9525"/>
            <wp:wrapNone/>
            <wp:docPr id="296" name="officeArt object" descr="This bar graph shows the duration of bullying as a percentage as reported by the bullied sample. " title="Figure 3. Duration of Bullying: Percentage of Bullied Samp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2E99" w:rsidP="00813EEC">
      <w:pPr>
        <w:pStyle w:val="Subtitle"/>
        <w:rPr>
          <w:rFonts w:eastAsia="Cambria"/>
          <w:u w:color="000000"/>
          <w:bdr w:val="nil"/>
          <w:lang w:val="en-US"/>
        </w:rPr>
      </w:pPr>
      <w:r>
        <w:rPr>
          <w:rFonts w:eastAsia="Cambria"/>
          <w:u w:color="000000"/>
          <w:bdr w:val="nil"/>
          <w:lang w:val="en-US"/>
        </w:rPr>
        <w:t xml:space="preserve"> </w:t>
      </w: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813EEC" w:rsidRDefault="00813EEC" w:rsidP="00813EEC">
      <w:pPr>
        <w:pStyle w:val="Subtitle"/>
        <w:rPr>
          <w:rFonts w:eastAsia="Cambria"/>
          <w:u w:color="000000"/>
          <w:bdr w:val="nil"/>
          <w:lang w:val="en-US"/>
        </w:rPr>
      </w:pPr>
    </w:p>
    <w:p w:rsidR="00C55811" w:rsidRPr="00813EEC" w:rsidRDefault="00904E4D" w:rsidP="00701AB5">
      <w:pPr>
        <w:pStyle w:val="Subtitle"/>
        <w:spacing w:before="240" w:after="240"/>
        <w:rPr>
          <w:rFonts w:eastAsia="Cambria"/>
          <w:u w:color="000000"/>
          <w:bdr w:val="nil"/>
          <w:lang w:val="en-US"/>
        </w:rPr>
      </w:pPr>
      <w:proofErr w:type="gramStart"/>
      <w:r w:rsidRPr="00F43118">
        <w:rPr>
          <w:rFonts w:eastAsia="Cambria"/>
          <w:u w:color="000000"/>
          <w:bdr w:val="nil"/>
          <w:lang w:val="en-US"/>
        </w:rPr>
        <w:t>Figure 3.</w:t>
      </w:r>
      <w:proofErr w:type="gramEnd"/>
      <w:r w:rsidRPr="00F43118">
        <w:rPr>
          <w:rFonts w:eastAsia="Cambria"/>
          <w:u w:color="000000"/>
          <w:bdr w:val="nil"/>
          <w:lang w:val="en-US"/>
        </w:rPr>
        <w:t xml:space="preserve"> </w:t>
      </w:r>
      <w:r w:rsidRPr="00DD3A77">
        <w:rPr>
          <w:rFonts w:eastAsia="Cambria"/>
          <w:u w:color="000000"/>
          <w:bdr w:val="nil"/>
          <w:lang w:val="en-US"/>
        </w:rPr>
        <w:t>Duration of Bullying</w:t>
      </w:r>
      <w:r>
        <w:rPr>
          <w:rFonts w:eastAsia="Cambria"/>
          <w:u w:color="000000"/>
          <w:bdr w:val="nil"/>
          <w:lang w:val="en-US"/>
        </w:rPr>
        <w:t>:</w:t>
      </w:r>
      <w:r w:rsidRPr="00DD3A77">
        <w:rPr>
          <w:rFonts w:eastAsia="Cambria"/>
          <w:u w:color="000000"/>
          <w:bdr w:val="nil"/>
          <w:lang w:val="en-US"/>
        </w:rPr>
        <w:t xml:space="preserve"> Percentage of Bullied Sample</w:t>
      </w:r>
    </w:p>
    <w:p w:rsidR="00F43118" w:rsidRPr="00F43118" w:rsidRDefault="00F43118" w:rsidP="00701AB5">
      <w:pPr>
        <w:pStyle w:val="Heading3"/>
        <w:spacing w:before="360" w:after="120"/>
        <w:rPr>
          <w:rFonts w:eastAsia="Cambria"/>
          <w:u w:color="000000"/>
        </w:rPr>
      </w:pPr>
      <w:r w:rsidRPr="00F43118">
        <w:rPr>
          <w:rFonts w:eastAsia="Cambria"/>
          <w:u w:color="000000"/>
        </w:rPr>
        <w:t xml:space="preserve">Trends in </w:t>
      </w:r>
      <w:r w:rsidR="00F216B4">
        <w:rPr>
          <w:rFonts w:eastAsia="Cambria"/>
          <w:u w:color="000000"/>
        </w:rPr>
        <w:t>B</w:t>
      </w:r>
      <w:r w:rsidRPr="00F43118">
        <w:rPr>
          <w:rFonts w:eastAsia="Cambria"/>
          <w:u w:color="000000"/>
        </w:rPr>
        <w:t xml:space="preserve">ullying over </w:t>
      </w:r>
      <w:r w:rsidR="00F216B4">
        <w:rPr>
          <w:rFonts w:eastAsia="Cambria"/>
          <w:u w:color="000000"/>
        </w:rPr>
        <w:t>T</w:t>
      </w:r>
      <w:r w:rsidRPr="00F43118">
        <w:rPr>
          <w:rFonts w:eastAsia="Cambria"/>
          <w:u w:color="000000"/>
        </w:rPr>
        <w:t>ime</w:t>
      </w:r>
    </w:p>
    <w:p w:rsidR="00F43118" w:rsidRPr="00F43118" w:rsidRDefault="00F43118" w:rsidP="00C55811">
      <w:pPr>
        <w:spacing w:after="120"/>
        <w:rPr>
          <w:rFonts w:eastAsia="Cambria"/>
          <w:u w:color="000000"/>
          <w:bdr w:val="nil"/>
          <w:lang w:val="en-US"/>
        </w:rPr>
      </w:pPr>
      <w:r w:rsidRPr="00F43118">
        <w:rPr>
          <w:rFonts w:eastAsia="Cambria"/>
          <w:u w:color="000000"/>
          <w:bdr w:val="nil"/>
          <w:lang w:val="en-US"/>
        </w:rPr>
        <w:t>Rates of workplace bullying in Australia have risen since 2009/2010</w:t>
      </w:r>
      <w:r w:rsidR="00D87918">
        <w:rPr>
          <w:rFonts w:eastAsia="Cambria"/>
          <w:u w:color="000000"/>
          <w:bdr w:val="nil"/>
          <w:lang w:val="en-US"/>
        </w:rPr>
        <w:t>.</w:t>
      </w:r>
      <w:r w:rsidRPr="00F43118">
        <w:rPr>
          <w:rFonts w:eastAsia="Cambria"/>
          <w:u w:color="000000"/>
          <w:bdr w:val="nil"/>
          <w:lang w:val="en-US"/>
        </w:rPr>
        <w:t xml:space="preserve"> Figure 4 shows the average rates of bullying at the national, state and territory level. The Australian bullying rate observed in the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data in 2010/2011 was 7</w:t>
      </w:r>
      <w:r w:rsidR="00D87918">
        <w:rPr>
          <w:rFonts w:eastAsia="Cambria"/>
          <w:u w:color="000000"/>
          <w:bdr w:val="nil"/>
          <w:lang w:val="en-US"/>
        </w:rPr>
        <w:t>.0</w:t>
      </w:r>
      <w:r w:rsidR="00EB7478">
        <w:rPr>
          <w:rFonts w:eastAsia="Cambria"/>
          <w:u w:color="000000"/>
          <w:bdr w:val="nil"/>
          <w:lang w:val="en-US"/>
        </w:rPr>
        <w:t xml:space="preserve"> per cent</w:t>
      </w:r>
      <w:r w:rsidRPr="00F43118">
        <w:rPr>
          <w:rFonts w:eastAsia="Cambria"/>
          <w:u w:color="000000"/>
          <w:bdr w:val="nil"/>
          <w:lang w:val="en-US"/>
        </w:rPr>
        <w:t xml:space="preserve"> whereas in 2014/2015 the rate was 9.7</w:t>
      </w:r>
      <w:r w:rsidR="00EB7478">
        <w:rPr>
          <w:rFonts w:eastAsia="Cambria"/>
          <w:u w:color="000000"/>
          <w:bdr w:val="nil"/>
          <w:lang w:val="en-US"/>
        </w:rPr>
        <w:t xml:space="preserve"> per cent</w:t>
      </w:r>
      <w:r w:rsidR="00C55811">
        <w:rPr>
          <w:rFonts w:eastAsia="Cambria"/>
          <w:u w:color="000000"/>
          <w:bdr w:val="nil"/>
          <w:lang w:val="en-US"/>
        </w:rPr>
        <w:t>.</w:t>
      </w:r>
    </w:p>
    <w:p w:rsidR="00F43118" w:rsidRPr="00F43118" w:rsidRDefault="00F43118" w:rsidP="00C55811">
      <w:pPr>
        <w:spacing w:after="120"/>
        <w:rPr>
          <w:rFonts w:eastAsia="Cambria"/>
          <w:u w:color="000000"/>
          <w:bdr w:val="nil"/>
          <w:lang w:val="en-US"/>
        </w:rPr>
      </w:pPr>
      <w:r w:rsidRPr="00F43118">
        <w:rPr>
          <w:rFonts w:eastAsia="Cambria"/>
          <w:u w:color="000000"/>
          <w:bdr w:val="nil"/>
          <w:lang w:val="en-US"/>
        </w:rPr>
        <w:t xml:space="preserve">The Northern Territory remains the highest ranking state/territory with bullying at </w:t>
      </w:r>
      <w:r w:rsidR="00500FEA">
        <w:rPr>
          <w:rFonts w:eastAsia="Cambria"/>
          <w:u w:color="000000"/>
          <w:bdr w:val="nil"/>
          <w:lang w:val="en-US"/>
        </w:rPr>
        <w:t>1</w:t>
      </w:r>
      <w:r w:rsidR="00037CAB">
        <w:rPr>
          <w:rFonts w:eastAsia="Cambria"/>
          <w:u w:color="000000"/>
          <w:bdr w:val="nil"/>
          <w:lang w:val="en-US"/>
        </w:rPr>
        <w:t>4</w:t>
      </w:r>
      <w:r w:rsidR="00B353E0">
        <w:rPr>
          <w:rFonts w:eastAsia="Cambria"/>
          <w:u w:color="000000"/>
          <w:bdr w:val="nil"/>
          <w:lang w:val="en-US"/>
        </w:rPr>
        <w:t>.0</w:t>
      </w:r>
      <w:r w:rsidR="00EB7478">
        <w:rPr>
          <w:rFonts w:eastAsia="Cambria"/>
          <w:u w:color="000000"/>
          <w:bdr w:val="nil"/>
          <w:lang w:val="en-US"/>
        </w:rPr>
        <w:t xml:space="preserve"> per cent</w:t>
      </w:r>
      <w:r w:rsidRPr="00F43118">
        <w:rPr>
          <w:rFonts w:eastAsia="Cambria"/>
          <w:u w:color="000000"/>
          <w:bdr w:val="nil"/>
          <w:lang w:val="en-US"/>
        </w:rPr>
        <w:t>. South Australia has the lowest rate of bullying at 4.4</w:t>
      </w:r>
      <w:r w:rsidR="00EB7478">
        <w:rPr>
          <w:rFonts w:eastAsia="Cambria"/>
          <w:u w:color="000000"/>
          <w:bdr w:val="nil"/>
          <w:lang w:val="en-US"/>
        </w:rPr>
        <w:t xml:space="preserve"> per cent</w:t>
      </w:r>
      <w:r w:rsidRPr="00F43118">
        <w:rPr>
          <w:rFonts w:eastAsia="Cambria"/>
          <w:u w:color="000000"/>
          <w:bdr w:val="nil"/>
          <w:lang w:val="en-US"/>
        </w:rPr>
        <w:t xml:space="preserve">. Western Australia, Tasmania, the Australian Capital Territory, New South Wales, Victoria, and Queensland have prevalence rates between </w:t>
      </w:r>
      <w:r w:rsidR="00400475">
        <w:rPr>
          <w:rFonts w:eastAsia="Cambria"/>
          <w:u w:color="000000"/>
          <w:bdr w:val="nil"/>
          <w:lang w:val="en-US"/>
        </w:rPr>
        <w:t>9</w:t>
      </w:r>
      <w:r w:rsidR="00EB7478">
        <w:rPr>
          <w:rFonts w:eastAsia="Cambria"/>
          <w:u w:color="000000"/>
          <w:bdr w:val="nil"/>
          <w:lang w:val="en-US"/>
        </w:rPr>
        <w:t xml:space="preserve"> per cent</w:t>
      </w:r>
      <w:r w:rsidRPr="00F43118">
        <w:rPr>
          <w:rFonts w:eastAsia="Cambria"/>
          <w:u w:color="000000"/>
          <w:bdr w:val="nil"/>
          <w:lang w:val="en-US"/>
        </w:rPr>
        <w:t xml:space="preserve"> and almost </w:t>
      </w:r>
      <w:r w:rsidR="00400475" w:rsidRPr="00F43118">
        <w:rPr>
          <w:rFonts w:eastAsia="Cambria"/>
          <w:u w:color="000000"/>
          <w:bdr w:val="nil"/>
          <w:lang w:val="en-US"/>
        </w:rPr>
        <w:t>1</w:t>
      </w:r>
      <w:r w:rsidR="00400475">
        <w:rPr>
          <w:rFonts w:eastAsia="Cambria"/>
          <w:u w:color="000000"/>
          <w:bdr w:val="nil"/>
          <w:lang w:val="en-US"/>
        </w:rPr>
        <w:t xml:space="preserve">1 </w:t>
      </w:r>
      <w:r w:rsidR="00EB7478">
        <w:rPr>
          <w:rFonts w:eastAsia="Cambria"/>
          <w:u w:color="000000"/>
          <w:bdr w:val="nil"/>
          <w:lang w:val="en-US"/>
        </w:rPr>
        <w:t>per cent</w:t>
      </w:r>
      <w:r w:rsidR="00C55811">
        <w:rPr>
          <w:rFonts w:eastAsia="Cambria"/>
          <w:u w:color="000000"/>
          <w:bdr w:val="nil"/>
          <w:lang w:val="en-US"/>
        </w:rPr>
        <w:t>.</w:t>
      </w:r>
    </w:p>
    <w:p w:rsidR="00F43118" w:rsidRPr="00F43118" w:rsidRDefault="00F43118" w:rsidP="00C55811">
      <w:pPr>
        <w:spacing w:after="120"/>
        <w:rPr>
          <w:rFonts w:eastAsia="Cambria"/>
          <w:u w:color="000000"/>
          <w:bdr w:val="nil"/>
          <w:lang w:val="en-US"/>
        </w:rPr>
      </w:pPr>
      <w:r w:rsidRPr="00F43118">
        <w:rPr>
          <w:rFonts w:eastAsia="Cambria"/>
          <w:u w:color="000000"/>
          <w:bdr w:val="nil"/>
          <w:lang w:val="en-US"/>
        </w:rPr>
        <w:t>Consistent with the increased national average, most states and territories showed increased rates of bullying in 2014/15 relative to earlier measurements. Specifically, when comparing rates from 2009, 2010, and 2011 to the 2014/15 surveillance data, we can see that Western Australia, New South Wales, Tasmania, and the Australian Capital Territory all showed an increase in prevalence. In contrast, although the Northern Territory still shows the highest prevalence rates, there has been a slight decline since 2011. South Australian rates</w:t>
      </w:r>
      <w:r w:rsidR="00C55811">
        <w:rPr>
          <w:rFonts w:eastAsia="Cambria"/>
          <w:u w:color="000000"/>
          <w:bdr w:val="nil"/>
          <w:lang w:val="en-US"/>
        </w:rPr>
        <w:t xml:space="preserve"> have also declined since 2011.</w:t>
      </w:r>
    </w:p>
    <w:p w:rsidR="002D5BED" w:rsidRDefault="00F43118" w:rsidP="00C55811">
      <w:pPr>
        <w:spacing w:after="120"/>
        <w:rPr>
          <w:rFonts w:eastAsia="Calibri"/>
          <w:u w:color="000000"/>
          <w:bdr w:val="nil"/>
          <w:lang w:eastAsia="en-US"/>
        </w:rPr>
      </w:pPr>
      <w:r w:rsidRPr="00DB7A2F">
        <w:rPr>
          <w:rFonts w:eastAsia="Calibri"/>
          <w:u w:color="000000"/>
          <w:bdr w:val="nil"/>
          <w:lang w:eastAsia="en-US"/>
        </w:rPr>
        <w:t>The 95</w:t>
      </w:r>
      <w:r w:rsidR="00EB7478" w:rsidRPr="00DB7A2F">
        <w:rPr>
          <w:rFonts w:eastAsia="Calibri"/>
          <w:u w:color="000000"/>
          <w:bdr w:val="nil"/>
          <w:lang w:eastAsia="en-US"/>
        </w:rPr>
        <w:t xml:space="preserve"> per cent</w:t>
      </w:r>
      <w:r w:rsidRPr="00DB7A2F">
        <w:rPr>
          <w:rFonts w:eastAsia="Calibri"/>
          <w:u w:color="000000"/>
          <w:bdr w:val="nil"/>
          <w:lang w:eastAsia="en-US"/>
        </w:rPr>
        <w:t xml:space="preserve"> confidence</w:t>
      </w:r>
      <w:r w:rsidRPr="00F43118">
        <w:rPr>
          <w:rFonts w:eastAsia="Calibri"/>
          <w:u w:color="000000"/>
          <w:bdr w:val="nil"/>
          <w:lang w:eastAsia="en-US"/>
        </w:rPr>
        <w:t xml:space="preserve"> intervals, shown in Figure 4 as error bars, give an indication of the accuracy of the bullying rates. Confidence intervals are affected by the number of participants in the samples (i.e., nation, state or territory). Rates reported from the Northern Territory should be interpreted with caution since, as can be inferred from the graph, the confidence interval is lar</w:t>
      </w:r>
      <w:r w:rsidR="00C55811">
        <w:rPr>
          <w:rFonts w:eastAsia="Calibri"/>
          <w:u w:color="000000"/>
          <w:bdr w:val="nil"/>
          <w:lang w:eastAsia="en-US"/>
        </w:rPr>
        <w:t>ger than for the other samples.</w:t>
      </w:r>
    </w:p>
    <w:p w:rsidR="002D5BED" w:rsidRDefault="00F2666E" w:rsidP="00B41B48">
      <w:pPr>
        <w:ind w:left="-709"/>
        <w:rPr>
          <w:rFonts w:eastAsia="Calibri"/>
          <w:u w:color="000000"/>
          <w:bdr w:val="nil"/>
          <w:lang w:eastAsia="en-US"/>
        </w:rPr>
      </w:pPr>
      <w:r>
        <w:rPr>
          <w:noProof/>
        </w:rPr>
        <w:lastRenderedPageBreak/>
        <w:drawing>
          <wp:anchor distT="0" distB="0" distL="114300" distR="114300" simplePos="0" relativeHeight="251714560" behindDoc="0" locked="0" layoutInCell="1" allowOverlap="1" wp14:anchorId="3CD57C70" wp14:editId="6513AF93">
            <wp:simplePos x="0" y="0"/>
            <wp:positionH relativeFrom="column">
              <wp:posOffset>-567055</wp:posOffset>
            </wp:positionH>
            <wp:positionV relativeFrom="paragraph">
              <wp:posOffset>-229235</wp:posOffset>
            </wp:positionV>
            <wp:extent cx="6486525" cy="4622800"/>
            <wp:effectExtent l="0" t="0" r="9525" b="6350"/>
            <wp:wrapSquare wrapText="bothSides"/>
            <wp:docPr id="8" name="Picture 8" descr="Graph showing bullying rates from 2009 to 2014/15 in Australian states and territories." title="Figure 4: Bullying Rates from 2009-2014/2015 in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t="1897"/>
                    <a:stretch/>
                  </pic:blipFill>
                  <pic:spPr bwMode="auto">
                    <a:xfrm>
                      <a:off x="0" y="0"/>
                      <a:ext cx="6486525" cy="46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2476" w:rsidRDefault="00F43118" w:rsidP="002D5BED">
      <w:pPr>
        <w:spacing w:after="240" w:line="259" w:lineRule="auto"/>
        <w:rPr>
          <w:rStyle w:val="SubtitleChar"/>
        </w:rPr>
      </w:pPr>
      <w:proofErr w:type="gramStart"/>
      <w:r w:rsidRPr="00B2750E">
        <w:rPr>
          <w:rStyle w:val="SubtitleChar"/>
        </w:rPr>
        <w:t>Figure 4.</w:t>
      </w:r>
      <w:proofErr w:type="gramEnd"/>
      <w:r w:rsidRPr="00B2750E">
        <w:rPr>
          <w:rStyle w:val="SubtitleChar"/>
        </w:rPr>
        <w:t xml:space="preserve"> Bullying </w:t>
      </w:r>
      <w:r w:rsidR="00812E99" w:rsidRPr="00B2750E">
        <w:rPr>
          <w:rStyle w:val="SubtitleChar"/>
        </w:rPr>
        <w:t>R</w:t>
      </w:r>
      <w:r w:rsidRPr="00B2750E">
        <w:rPr>
          <w:rStyle w:val="SubtitleChar"/>
        </w:rPr>
        <w:t xml:space="preserve">ates from 2009–2014/2015 </w:t>
      </w:r>
      <w:r w:rsidR="00812E99" w:rsidRPr="00B2750E">
        <w:rPr>
          <w:rStyle w:val="SubtitleChar"/>
        </w:rPr>
        <w:t xml:space="preserve">in </w:t>
      </w:r>
      <w:r w:rsidRPr="00B2750E">
        <w:rPr>
          <w:rStyle w:val="SubtitleChar"/>
        </w:rPr>
        <w:t xml:space="preserve">Australian </w:t>
      </w:r>
      <w:r w:rsidR="00812E99" w:rsidRPr="00B2750E">
        <w:rPr>
          <w:rStyle w:val="SubtitleChar"/>
        </w:rPr>
        <w:t>S</w:t>
      </w:r>
      <w:r w:rsidRPr="00B2750E">
        <w:rPr>
          <w:rStyle w:val="SubtitleChar"/>
        </w:rPr>
        <w:t xml:space="preserve">tates and </w:t>
      </w:r>
      <w:r w:rsidR="00812E99" w:rsidRPr="00B2750E">
        <w:rPr>
          <w:rStyle w:val="SubtitleChar"/>
        </w:rPr>
        <w:t>T</w:t>
      </w:r>
      <w:r w:rsidRPr="00B2750E">
        <w:rPr>
          <w:rStyle w:val="SubtitleChar"/>
        </w:rPr>
        <w:t>erritories</w:t>
      </w:r>
    </w:p>
    <w:p w:rsidR="00F43118" w:rsidRPr="00F43118" w:rsidRDefault="00F43118" w:rsidP="00C55811">
      <w:pPr>
        <w:spacing w:after="120"/>
        <w:rPr>
          <w:rFonts w:eastAsia="Calibri"/>
          <w:u w:color="000000"/>
          <w:bdr w:val="nil"/>
          <w:lang w:eastAsia="en-US"/>
        </w:rPr>
      </w:pPr>
      <w:r w:rsidRPr="00F43118">
        <w:rPr>
          <w:rFonts w:eastAsia="Calibri"/>
          <w:iCs/>
          <w:sz w:val="23"/>
          <w:szCs w:val="23"/>
          <w:u w:color="000000"/>
          <w:bdr w:val="nil"/>
          <w:lang w:eastAsia="en-US"/>
        </w:rPr>
        <w:t>In 2</w:t>
      </w:r>
      <w:r w:rsidRPr="00F43118">
        <w:rPr>
          <w:rFonts w:eastAsia="Calibri"/>
          <w:lang w:eastAsia="en-US"/>
        </w:rPr>
        <w:t xml:space="preserve">009/11, the bullying rate in Australia </w:t>
      </w:r>
      <w:r w:rsidRPr="00D61893">
        <w:rPr>
          <w:rFonts w:eastAsia="Calibri"/>
          <w:lang w:eastAsia="en-US"/>
        </w:rPr>
        <w:t>was 7</w:t>
      </w:r>
      <w:r w:rsidR="00E45511" w:rsidRPr="00FB1381">
        <w:rPr>
          <w:rFonts w:eastAsia="Calibri"/>
          <w:lang w:eastAsia="en-US"/>
        </w:rPr>
        <w:t>.0</w:t>
      </w:r>
      <w:r w:rsidR="00EB7478" w:rsidRPr="00D61893">
        <w:rPr>
          <w:rFonts w:eastAsia="Calibri"/>
          <w:lang w:eastAsia="en-US"/>
        </w:rPr>
        <w:t xml:space="preserve"> per cent</w:t>
      </w:r>
      <w:r w:rsidRPr="00D61893">
        <w:rPr>
          <w:rFonts w:eastAsia="Calibri"/>
          <w:lang w:eastAsia="en-US"/>
        </w:rPr>
        <w:t>, and at</w:t>
      </w:r>
      <w:r w:rsidRPr="00F43118">
        <w:rPr>
          <w:rFonts w:eastAsia="Calibri"/>
          <w:lang w:eastAsia="en-US"/>
        </w:rPr>
        <w:t xml:space="preserve"> that time the Australian rate was the 6th highest when compared to 34 European countries (N = 41 034 workers). The European prevalence data was collected through the European Working Conditions Survey (</w:t>
      </w:r>
      <w:proofErr w:type="spellStart"/>
      <w:r w:rsidRPr="00F43118">
        <w:rPr>
          <w:rFonts w:eastAsia="Calibri"/>
          <w:lang w:eastAsia="en-US"/>
        </w:rPr>
        <w:t>EWCS</w:t>
      </w:r>
      <w:proofErr w:type="spellEnd"/>
      <w:r w:rsidRPr="00F43118">
        <w:rPr>
          <w:rFonts w:eastAsia="Calibri"/>
          <w:lang w:eastAsia="en-US"/>
        </w:rPr>
        <w:t xml:space="preserve">, 2010), and </w:t>
      </w:r>
      <w:r w:rsidR="00C1054A">
        <w:rPr>
          <w:rFonts w:eastAsia="Calibri"/>
          <w:lang w:eastAsia="en-US"/>
        </w:rPr>
        <w:t xml:space="preserve">determined </w:t>
      </w:r>
      <w:r w:rsidR="00FB0F05">
        <w:rPr>
          <w:rFonts w:eastAsia="Calibri"/>
          <w:lang w:eastAsia="en-US"/>
        </w:rPr>
        <w:t xml:space="preserve">that </w:t>
      </w:r>
      <w:r w:rsidR="00FB0F05" w:rsidRPr="00F43118">
        <w:rPr>
          <w:rFonts w:eastAsia="Calibri"/>
          <w:lang w:eastAsia="en-US"/>
        </w:rPr>
        <w:t>the</w:t>
      </w:r>
      <w:r w:rsidRPr="00F43118">
        <w:rPr>
          <w:rFonts w:eastAsia="Calibri"/>
          <w:lang w:eastAsia="en-US"/>
        </w:rPr>
        <w:t xml:space="preserve"> average rate of bullying across the European countries in 2010 was 4.2</w:t>
      </w:r>
      <w:r w:rsidR="00EB7478">
        <w:rPr>
          <w:rFonts w:eastAsia="Calibri"/>
          <w:lang w:eastAsia="en-US"/>
        </w:rPr>
        <w:t xml:space="preserve"> per cent</w:t>
      </w:r>
      <w:r w:rsidR="00C55811">
        <w:rPr>
          <w:rFonts w:eastAsia="Calibri"/>
          <w:lang w:eastAsia="en-US"/>
        </w:rPr>
        <w:t>.</w:t>
      </w:r>
    </w:p>
    <w:p w:rsidR="00F43118" w:rsidRPr="00F43118" w:rsidRDefault="00F43118" w:rsidP="00C55811">
      <w:pPr>
        <w:spacing w:after="120"/>
        <w:rPr>
          <w:rFonts w:eastAsia="Cambria" w:cs="Calibri"/>
          <w:color w:val="000000"/>
          <w:u w:color="000000"/>
          <w:bdr w:val="nil"/>
          <w:lang w:val="en-US"/>
        </w:rPr>
      </w:pPr>
      <w:r w:rsidRPr="00F43118">
        <w:rPr>
          <w:rFonts w:eastAsia="Cambria" w:cs="Calibri"/>
          <w:color w:val="000000"/>
          <w:u w:color="000000"/>
          <w:bdr w:val="nil"/>
          <w:lang w:val="en-US"/>
        </w:rPr>
        <w:t xml:space="preserve">Unfortunately there </w:t>
      </w:r>
      <w:r w:rsidR="00C1054A">
        <w:rPr>
          <w:rFonts w:eastAsia="Cambria" w:cs="Calibri"/>
          <w:color w:val="000000"/>
          <w:u w:color="000000"/>
          <w:bdr w:val="nil"/>
          <w:lang w:val="en-US"/>
        </w:rPr>
        <w:t>is no current</w:t>
      </w:r>
      <w:r w:rsidRPr="00F43118">
        <w:rPr>
          <w:rFonts w:eastAsia="Cambria" w:cs="Calibri"/>
          <w:color w:val="000000"/>
          <w:u w:color="000000"/>
          <w:bdr w:val="nil"/>
          <w:lang w:val="en-US"/>
        </w:rPr>
        <w:t xml:space="preserve"> European data on the prevalence of workplace bullying so it is not possible to determine the ‘international’ ranking of the current estimate of the prevalence of bullying in Australian workers. However, the current estimate now exceeds all prevalence rates estimated for European countries in 2009/10. It is possible that the prevalence of bullying reported in the 34 European countries has shown a similar increase to the Australian rates and the rates reflect community interest in </w:t>
      </w:r>
      <w:proofErr w:type="spellStart"/>
      <w:r w:rsidRPr="00F43118">
        <w:rPr>
          <w:rFonts w:eastAsia="Cambria" w:cs="Calibri"/>
          <w:color w:val="000000"/>
          <w:u w:color="000000"/>
          <w:bdr w:val="nil"/>
          <w:lang w:val="en-US"/>
        </w:rPr>
        <w:t>recogni</w:t>
      </w:r>
      <w:r w:rsidR="00C55811">
        <w:rPr>
          <w:rFonts w:eastAsia="Cambria" w:cs="Calibri"/>
          <w:color w:val="000000"/>
          <w:u w:color="000000"/>
          <w:bdr w:val="nil"/>
          <w:lang w:val="en-US"/>
        </w:rPr>
        <w:t>sing</w:t>
      </w:r>
      <w:proofErr w:type="spellEnd"/>
      <w:r w:rsidR="00C55811">
        <w:rPr>
          <w:rFonts w:eastAsia="Cambria" w:cs="Calibri"/>
          <w:color w:val="000000"/>
          <w:u w:color="000000"/>
          <w:bdr w:val="nil"/>
          <w:lang w:val="en-US"/>
        </w:rPr>
        <w:t xml:space="preserve"> bullying (see Discussion).</w:t>
      </w:r>
    </w:p>
    <w:p w:rsidR="00F43118" w:rsidRDefault="00F43118" w:rsidP="00C55811">
      <w:pPr>
        <w:spacing w:after="120"/>
        <w:rPr>
          <w:rFonts w:eastAsia="Cambria" w:cs="Calibri"/>
          <w:color w:val="000000"/>
          <w:u w:color="000000"/>
          <w:bdr w:val="nil"/>
          <w:lang w:val="en-US"/>
        </w:rPr>
      </w:pPr>
      <w:r w:rsidRPr="00F43118">
        <w:rPr>
          <w:rFonts w:eastAsia="Cambria" w:cs="Calibri"/>
          <w:color w:val="000000"/>
          <w:u w:color="000000"/>
          <w:bdr w:val="nil"/>
          <w:lang w:val="en-US"/>
        </w:rPr>
        <w:t>Australia’s high prevalence rate estimate nevertheless is concerning, considering that European figures were likely inflated because: (a) the European Working Conditions Survey did not use a definition, and self labelling as bullying usually results in higher rates of bullying reports; bu</w:t>
      </w:r>
      <w:r w:rsidRPr="00F43118">
        <w:rPr>
          <w:rFonts w:eastAsia="Cambria" w:cs="Cambria"/>
          <w:color w:val="000000"/>
          <w:u w:color="000000"/>
          <w:bdr w:val="nil"/>
          <w:lang w:val="en-US"/>
        </w:rPr>
        <w:t xml:space="preserve">llying was assessed by asking participants: ‘And over the past 12 months, during the course of your work have you been subjected to bullying/harassment (Yes/No)’; </w:t>
      </w:r>
      <w:r w:rsidRPr="00F43118">
        <w:rPr>
          <w:rFonts w:eastAsia="Cambria" w:cs="Calibri"/>
          <w:color w:val="000000"/>
          <w:u w:color="000000"/>
          <w:bdr w:val="nil"/>
          <w:lang w:val="en-US"/>
        </w:rPr>
        <w:t xml:space="preserve">(b) the survey items measuring bullying in the European Working Conditions Survey refer to bullying over a 12-month period whereas the </w:t>
      </w:r>
      <w:proofErr w:type="spellStart"/>
      <w:r w:rsidRPr="00F43118">
        <w:rPr>
          <w:rFonts w:eastAsia="Cambria" w:cs="Calibri"/>
          <w:color w:val="000000"/>
          <w:u w:color="000000"/>
          <w:bdr w:val="nil"/>
          <w:lang w:val="en-US"/>
        </w:rPr>
        <w:t>AWB</w:t>
      </w:r>
      <w:proofErr w:type="spellEnd"/>
      <w:r w:rsidRPr="00F43118">
        <w:rPr>
          <w:rFonts w:eastAsia="Cambria" w:cs="Calibri"/>
          <w:color w:val="000000"/>
          <w:u w:color="000000"/>
          <w:bdr w:val="nil"/>
          <w:lang w:val="en-US"/>
        </w:rPr>
        <w:t xml:space="preserve"> asks after a six-month period, which should lead to fewer reports; and (c) the European Working Conditions Survey question encompasses both bullying and harassment, whereas the Australian question is restricted to bullying. For these three reasons, the levels of bullying reported in this study are generated using a conservative method; the </w:t>
      </w:r>
      <w:r w:rsidR="001146D2">
        <w:rPr>
          <w:rFonts w:eastAsia="Cambria" w:cs="Calibri"/>
          <w:color w:val="000000"/>
          <w:u w:color="000000"/>
          <w:bdr w:val="nil"/>
          <w:lang w:val="en-US"/>
        </w:rPr>
        <w:t xml:space="preserve">Australian </w:t>
      </w:r>
      <w:r w:rsidRPr="00F43118">
        <w:rPr>
          <w:rFonts w:eastAsia="Cambria" w:cs="Calibri"/>
          <w:color w:val="000000"/>
          <w:u w:color="000000"/>
          <w:bdr w:val="nil"/>
          <w:lang w:val="en-US"/>
        </w:rPr>
        <w:t xml:space="preserve">bullying rates may have been even higher if the European Working Conditions Survey </w:t>
      </w:r>
      <w:r w:rsidR="001146D2">
        <w:rPr>
          <w:rFonts w:eastAsia="Cambria" w:cs="Calibri"/>
          <w:color w:val="000000"/>
          <w:u w:color="000000"/>
          <w:bdr w:val="nil"/>
          <w:lang w:val="en-US"/>
        </w:rPr>
        <w:t>approach</w:t>
      </w:r>
      <w:r w:rsidR="001146D2" w:rsidRPr="00F43118">
        <w:rPr>
          <w:rFonts w:eastAsia="Cambria" w:cs="Calibri"/>
          <w:color w:val="000000"/>
          <w:u w:color="000000"/>
          <w:bdr w:val="nil"/>
          <w:lang w:val="en-US"/>
        </w:rPr>
        <w:t xml:space="preserve"> </w:t>
      </w:r>
      <w:r w:rsidRPr="00F43118">
        <w:rPr>
          <w:rFonts w:eastAsia="Cambria" w:cs="Calibri"/>
          <w:color w:val="000000"/>
          <w:u w:color="000000"/>
          <w:bdr w:val="nil"/>
          <w:lang w:val="en-US"/>
        </w:rPr>
        <w:t xml:space="preserve">was used. Note that the </w:t>
      </w:r>
      <w:r w:rsidRPr="00F43118">
        <w:rPr>
          <w:rFonts w:eastAsia="Cambria" w:cs="Calibri"/>
          <w:color w:val="000000"/>
          <w:u w:color="000000"/>
          <w:bdr w:val="nil"/>
          <w:lang w:val="en-US"/>
        </w:rPr>
        <w:lastRenderedPageBreak/>
        <w:t xml:space="preserve">estimate </w:t>
      </w:r>
      <w:r w:rsidR="00C1054A">
        <w:rPr>
          <w:rFonts w:eastAsia="Cambria" w:cs="Calibri"/>
          <w:color w:val="000000"/>
          <w:u w:color="000000"/>
          <w:bdr w:val="nil"/>
          <w:lang w:val="en-US"/>
        </w:rPr>
        <w:t xml:space="preserve">used here </w:t>
      </w:r>
      <w:r w:rsidRPr="00F43118">
        <w:rPr>
          <w:rFonts w:eastAsia="Cambria" w:cs="Calibri"/>
          <w:color w:val="000000"/>
          <w:u w:color="000000"/>
          <w:bdr w:val="nil"/>
          <w:lang w:val="en-US"/>
        </w:rPr>
        <w:t xml:space="preserve">was based on the international definition so as to be consistent with </w:t>
      </w:r>
      <w:r w:rsidR="009E5C3A">
        <w:rPr>
          <w:rFonts w:eastAsia="Cambria" w:cs="Calibri"/>
          <w:color w:val="000000"/>
          <w:u w:color="000000"/>
          <w:bdr w:val="nil"/>
          <w:lang w:val="en-US"/>
        </w:rPr>
        <w:t xml:space="preserve">the </w:t>
      </w:r>
      <w:r w:rsidRPr="00F43118">
        <w:rPr>
          <w:rFonts w:eastAsia="Cambria" w:cs="Calibri"/>
          <w:color w:val="000000"/>
          <w:u w:color="000000"/>
          <w:bdr w:val="nil"/>
          <w:lang w:val="en-US"/>
        </w:rPr>
        <w:t>2009/2011 data.</w:t>
      </w:r>
    </w:p>
    <w:p w:rsidR="00F43118" w:rsidRPr="00C55811" w:rsidRDefault="00F43118" w:rsidP="00C55811">
      <w:pPr>
        <w:pStyle w:val="Heading3"/>
        <w:spacing w:before="240" w:after="120"/>
        <w:rPr>
          <w:rFonts w:eastAsia="Cambria"/>
          <w:u w:color="000000"/>
        </w:rPr>
      </w:pPr>
      <w:r w:rsidRPr="00C55811">
        <w:rPr>
          <w:rFonts w:eastAsia="Cambria"/>
          <w:u w:color="000000"/>
        </w:rPr>
        <w:t xml:space="preserve">Bullying </w:t>
      </w:r>
      <w:r w:rsidR="00F216B4" w:rsidRPr="00C55811">
        <w:rPr>
          <w:rFonts w:eastAsia="Cambria"/>
          <w:u w:color="000000"/>
        </w:rPr>
        <w:t>R</w:t>
      </w:r>
      <w:r w:rsidRPr="00C55811">
        <w:rPr>
          <w:rFonts w:eastAsia="Cambria"/>
          <w:u w:color="000000"/>
        </w:rPr>
        <w:t xml:space="preserve">ates by </w:t>
      </w:r>
      <w:r w:rsidR="00F216B4" w:rsidRPr="00C55811">
        <w:rPr>
          <w:rFonts w:eastAsia="Cambria"/>
          <w:u w:color="000000"/>
        </w:rPr>
        <w:t>I</w:t>
      </w:r>
      <w:r w:rsidRPr="00C55811">
        <w:rPr>
          <w:rFonts w:eastAsia="Cambria"/>
          <w:u w:color="000000"/>
        </w:rPr>
        <w:t>ndustry</w:t>
      </w:r>
      <w:r w:rsidR="00027BE5" w:rsidRPr="00C55811">
        <w:rPr>
          <w:rFonts w:eastAsia="Cambria"/>
          <w:u w:color="000000"/>
        </w:rPr>
        <w:t>:</w:t>
      </w:r>
      <w:r w:rsidR="00CE6B6E" w:rsidRPr="00C55811">
        <w:rPr>
          <w:rFonts w:eastAsia="Cambria"/>
          <w:u w:color="000000"/>
        </w:rPr>
        <w:t xml:space="preserve"> Comparing </w:t>
      </w:r>
      <w:r w:rsidR="00F216B4" w:rsidRPr="00C55811">
        <w:rPr>
          <w:rFonts w:eastAsia="Cambria"/>
          <w:u w:color="000000"/>
        </w:rPr>
        <w:t>D</w:t>
      </w:r>
      <w:r w:rsidR="00CE6B6E" w:rsidRPr="00C55811">
        <w:rPr>
          <w:rFonts w:eastAsia="Cambria"/>
          <w:u w:color="000000"/>
        </w:rPr>
        <w:t xml:space="preserve">ata by </w:t>
      </w:r>
      <w:r w:rsidR="00F216B4" w:rsidRPr="00C55811">
        <w:rPr>
          <w:rFonts w:eastAsia="Cambria"/>
          <w:u w:color="000000"/>
        </w:rPr>
        <w:t>S</w:t>
      </w:r>
      <w:r w:rsidR="00CE6B6E" w:rsidRPr="00C55811">
        <w:rPr>
          <w:rFonts w:eastAsia="Cambria"/>
          <w:u w:color="000000"/>
        </w:rPr>
        <w:t>tate/</w:t>
      </w:r>
      <w:r w:rsidR="00F216B4" w:rsidRPr="00C55811">
        <w:rPr>
          <w:rFonts w:eastAsia="Cambria"/>
          <w:u w:color="000000"/>
        </w:rPr>
        <w:t>T</w:t>
      </w:r>
      <w:r w:rsidR="00CE6B6E" w:rsidRPr="00C55811">
        <w:rPr>
          <w:rFonts w:eastAsia="Cambria"/>
          <w:u w:color="000000"/>
        </w:rPr>
        <w:t xml:space="preserve">erritory </w:t>
      </w:r>
      <w:r w:rsidR="00F216B4" w:rsidRPr="00C55811">
        <w:rPr>
          <w:rFonts w:eastAsia="Cambria"/>
          <w:u w:color="000000"/>
        </w:rPr>
        <w:t>C</w:t>
      </w:r>
      <w:r w:rsidR="00CE6B6E" w:rsidRPr="00C55811">
        <w:rPr>
          <w:rFonts w:eastAsia="Cambria"/>
          <w:u w:color="000000"/>
        </w:rPr>
        <w:t>omposition</w:t>
      </w:r>
    </w:p>
    <w:p w:rsidR="00F43118" w:rsidRPr="007E4383" w:rsidRDefault="00F43118" w:rsidP="00C55811">
      <w:pPr>
        <w:spacing w:after="120"/>
        <w:rPr>
          <w:rFonts w:eastAsia="Calibri"/>
          <w:lang w:eastAsia="en-US"/>
        </w:rPr>
      </w:pPr>
      <w:r w:rsidRPr="007E4383">
        <w:rPr>
          <w:rFonts w:eastAsia="Cambria"/>
          <w:u w:color="000000"/>
          <w:bdr w:val="nil"/>
          <w:lang w:val="en-US"/>
        </w:rPr>
        <w:t>We examined the prevalence of workplace bullying</w:t>
      </w:r>
      <w:r w:rsidR="00B353E0">
        <w:rPr>
          <w:rFonts w:eastAsia="Cambria"/>
          <w:u w:color="000000"/>
          <w:bdr w:val="nil"/>
          <w:lang w:val="en-US"/>
        </w:rPr>
        <w:t xml:space="preserve"> (using the international definition)</w:t>
      </w:r>
      <w:r w:rsidRPr="007E4383">
        <w:rPr>
          <w:rFonts w:eastAsia="Cambria"/>
          <w:u w:color="000000"/>
          <w:bdr w:val="nil"/>
          <w:lang w:val="en-US"/>
        </w:rPr>
        <w:t xml:space="preserve"> within specific industries over time comparing data collected in 2009</w:t>
      </w:r>
      <w:r w:rsidR="002824BE">
        <w:rPr>
          <w:rFonts w:eastAsia="Cambria"/>
          <w:u w:color="000000"/>
          <w:bdr w:val="nil"/>
          <w:lang w:val="en-US"/>
        </w:rPr>
        <w:t>/</w:t>
      </w:r>
      <w:r w:rsidRPr="007E4383">
        <w:rPr>
          <w:rFonts w:eastAsia="Cambria"/>
          <w:u w:color="000000"/>
          <w:bdr w:val="nil"/>
          <w:lang w:val="en-US"/>
        </w:rPr>
        <w:t>2011 with data collected in 2014/2015</w:t>
      </w:r>
      <w:r w:rsidR="00AF7835" w:rsidRPr="007E4383">
        <w:rPr>
          <w:rFonts w:eastAsia="Cambria"/>
          <w:u w:color="000000"/>
          <w:bdr w:val="nil"/>
          <w:lang w:val="en-US"/>
        </w:rPr>
        <w:t>. T</w:t>
      </w:r>
      <w:r w:rsidRPr="007E4383">
        <w:rPr>
          <w:rFonts w:eastAsia="Calibri"/>
          <w:lang w:eastAsia="en-US"/>
        </w:rPr>
        <w:t xml:space="preserve">he most recent </w:t>
      </w:r>
      <w:r w:rsidR="00AF7835" w:rsidRPr="007E4383">
        <w:rPr>
          <w:rFonts w:eastAsia="Calibri"/>
          <w:lang w:eastAsia="en-US"/>
        </w:rPr>
        <w:t xml:space="preserve">bullying </w:t>
      </w:r>
      <w:r w:rsidRPr="007E4383">
        <w:rPr>
          <w:rFonts w:eastAsia="Calibri"/>
          <w:lang w:eastAsia="en-US"/>
        </w:rPr>
        <w:t xml:space="preserve">data </w:t>
      </w:r>
      <w:r w:rsidR="00AF7835" w:rsidRPr="007E4383">
        <w:rPr>
          <w:rFonts w:eastAsia="Calibri"/>
          <w:lang w:eastAsia="en-US"/>
        </w:rPr>
        <w:t xml:space="preserve">from all states and territories (Figure 5, green bars) </w:t>
      </w:r>
      <w:r w:rsidRPr="007E4383">
        <w:rPr>
          <w:rFonts w:eastAsia="Calibri"/>
          <w:lang w:eastAsia="en-US"/>
        </w:rPr>
        <w:t xml:space="preserve">shows industries with bullying levels above the national average (in order of prevalence) were: Electricity, gas and water supply; Health and community services; Government administration and defence; Transport and </w:t>
      </w:r>
      <w:r w:rsidR="00C55811">
        <w:rPr>
          <w:rFonts w:eastAsia="Calibri"/>
          <w:lang w:eastAsia="en-US"/>
        </w:rPr>
        <w:t>storage; Mining; and Education.</w:t>
      </w:r>
    </w:p>
    <w:p w:rsidR="00CB25EF" w:rsidRDefault="00F43118" w:rsidP="00C55811">
      <w:pPr>
        <w:spacing w:after="120"/>
        <w:rPr>
          <w:rFonts w:eastAsia="Calibri"/>
          <w:lang w:eastAsia="en-US"/>
        </w:rPr>
      </w:pPr>
      <w:r w:rsidRPr="007E4383">
        <w:rPr>
          <w:rFonts w:eastAsia="Calibri"/>
          <w:lang w:eastAsia="en-US"/>
        </w:rPr>
        <w:t>We examined how the</w:t>
      </w:r>
      <w:r w:rsidR="0049620E">
        <w:rPr>
          <w:rFonts w:eastAsia="Calibri"/>
          <w:lang w:eastAsia="en-US"/>
        </w:rPr>
        <w:t>se</w:t>
      </w:r>
      <w:r w:rsidRPr="007E4383">
        <w:rPr>
          <w:rFonts w:eastAsia="Calibri"/>
          <w:lang w:eastAsia="en-US"/>
        </w:rPr>
        <w:t xml:space="preserve"> results may have been affected by the addition of two new states, Victoria and Queensland, in the data set at 2014/2015</w:t>
      </w:r>
      <w:r w:rsidR="00AF7835" w:rsidRPr="007E4383">
        <w:rPr>
          <w:rFonts w:eastAsia="Calibri"/>
          <w:lang w:eastAsia="en-US"/>
        </w:rPr>
        <w:t>, by examining data with these two states removed (yellow bars</w:t>
      </w:r>
      <w:r w:rsidR="0060681E">
        <w:rPr>
          <w:rFonts w:eastAsia="Calibri"/>
          <w:lang w:eastAsia="en-US"/>
        </w:rPr>
        <w:t>)</w:t>
      </w:r>
      <w:r w:rsidR="00AA77A2">
        <w:rPr>
          <w:rFonts w:eastAsia="Calibri"/>
          <w:lang w:eastAsia="en-US"/>
        </w:rPr>
        <w:t xml:space="preserve"> </w:t>
      </w:r>
      <w:r w:rsidR="000730A9">
        <w:rPr>
          <w:rFonts w:eastAsia="Calibri"/>
          <w:lang w:eastAsia="en-US"/>
        </w:rPr>
        <w:t>since bullying rates are significantly higher in Queensland and Victoria</w:t>
      </w:r>
      <w:r w:rsidR="00EF0CD7">
        <w:rPr>
          <w:rFonts w:eastAsia="Calibri"/>
          <w:lang w:eastAsia="en-US"/>
        </w:rPr>
        <w:t>,</w:t>
      </w:r>
      <w:r w:rsidR="000730A9">
        <w:rPr>
          <w:rFonts w:eastAsia="Calibri"/>
          <w:lang w:eastAsia="en-US"/>
        </w:rPr>
        <w:t xml:space="preserve"> </w:t>
      </w:r>
      <w:r w:rsidR="00AA77A2">
        <w:rPr>
          <w:rFonts w:eastAsia="Calibri"/>
          <w:lang w:eastAsia="en-US"/>
        </w:rPr>
        <w:t>(</w:t>
      </w:r>
      <w:r w:rsidR="004031DE" w:rsidRPr="00727D20">
        <w:rPr>
          <w:rFonts w:eastAsia="Calibri"/>
          <w:i/>
          <w:lang w:eastAsia="en-US"/>
        </w:rPr>
        <w:t>M</w:t>
      </w:r>
      <w:r w:rsidR="000730A9">
        <w:rPr>
          <w:rFonts w:eastAsia="Calibri"/>
          <w:lang w:eastAsia="en-US"/>
        </w:rPr>
        <w:t xml:space="preserve"> = .11, </w:t>
      </w:r>
      <w:r w:rsidR="004031DE" w:rsidRPr="00727D20">
        <w:rPr>
          <w:rFonts w:eastAsia="Calibri"/>
          <w:i/>
          <w:lang w:eastAsia="en-US"/>
        </w:rPr>
        <w:t xml:space="preserve">SD </w:t>
      </w:r>
      <w:r w:rsidR="00AA77A2">
        <w:rPr>
          <w:rFonts w:eastAsia="Calibri"/>
          <w:lang w:eastAsia="en-US"/>
        </w:rPr>
        <w:t>= .31)</w:t>
      </w:r>
      <w:r w:rsidR="000730A9">
        <w:rPr>
          <w:rFonts w:eastAsia="Calibri"/>
          <w:lang w:eastAsia="en-US"/>
        </w:rPr>
        <w:t xml:space="preserve"> compared to the other states, </w:t>
      </w:r>
      <w:r w:rsidR="00AA77A2">
        <w:rPr>
          <w:rFonts w:eastAsia="Calibri"/>
          <w:lang w:eastAsia="en-US"/>
        </w:rPr>
        <w:t>(</w:t>
      </w:r>
      <w:r w:rsidR="004031DE" w:rsidRPr="00727D20">
        <w:rPr>
          <w:rFonts w:eastAsia="Calibri"/>
          <w:i/>
          <w:lang w:eastAsia="en-US"/>
        </w:rPr>
        <w:t>M</w:t>
      </w:r>
      <w:r w:rsidR="000730A9">
        <w:rPr>
          <w:rFonts w:eastAsia="Calibri"/>
          <w:lang w:eastAsia="en-US"/>
        </w:rPr>
        <w:t xml:space="preserve"> = .08, </w:t>
      </w:r>
      <w:r w:rsidR="004031DE" w:rsidRPr="00727D20">
        <w:rPr>
          <w:rFonts w:eastAsia="Calibri"/>
          <w:i/>
          <w:lang w:eastAsia="en-US"/>
        </w:rPr>
        <w:t>SD</w:t>
      </w:r>
      <w:r w:rsidR="000730A9">
        <w:rPr>
          <w:rFonts w:eastAsia="Calibri"/>
          <w:lang w:eastAsia="en-US"/>
        </w:rPr>
        <w:t xml:space="preserve"> = .27, </w:t>
      </w:r>
      <w:r w:rsidR="004031DE" w:rsidRPr="00727D20">
        <w:rPr>
          <w:rFonts w:eastAsia="Calibri"/>
          <w:i/>
          <w:lang w:eastAsia="en-US"/>
        </w:rPr>
        <w:t>t</w:t>
      </w:r>
      <w:r w:rsidR="000730A9">
        <w:rPr>
          <w:rFonts w:eastAsia="Calibri"/>
          <w:lang w:eastAsia="en-US"/>
        </w:rPr>
        <w:t xml:space="preserve"> (4233) = -2.44, </w:t>
      </w:r>
      <w:r w:rsidR="004031DE" w:rsidRPr="00727D20">
        <w:rPr>
          <w:rFonts w:eastAsia="Calibri"/>
          <w:i/>
          <w:lang w:eastAsia="en-US"/>
        </w:rPr>
        <w:t>p</w:t>
      </w:r>
      <w:r w:rsidR="000730A9">
        <w:rPr>
          <w:rFonts w:eastAsia="Calibri"/>
          <w:lang w:eastAsia="en-US"/>
        </w:rPr>
        <w:t xml:space="preserve"> &lt; .02).</w:t>
      </w:r>
    </w:p>
    <w:p w:rsidR="00CB25EF" w:rsidRDefault="00CB25EF" w:rsidP="00C55811">
      <w:pPr>
        <w:spacing w:after="120"/>
        <w:rPr>
          <w:rFonts w:eastAsia="Calibri"/>
          <w:lang w:eastAsia="en-US"/>
        </w:rPr>
      </w:pPr>
      <w:r>
        <w:rPr>
          <w:rFonts w:eastAsia="Calibri"/>
          <w:lang w:eastAsia="en-US"/>
        </w:rPr>
        <w:t>In each case the levels of bullying remained higher than the national average, even with the new states removed, implying s</w:t>
      </w:r>
      <w:r w:rsidR="0049620E">
        <w:rPr>
          <w:rFonts w:eastAsia="Calibri"/>
          <w:lang w:eastAsia="en-US"/>
        </w:rPr>
        <w:t xml:space="preserve">ubstantive increases in bullying not </w:t>
      </w:r>
      <w:r w:rsidR="00D066EC">
        <w:rPr>
          <w:rFonts w:eastAsia="Calibri"/>
          <w:lang w:eastAsia="en-US"/>
        </w:rPr>
        <w:t xml:space="preserve">simply </w:t>
      </w:r>
      <w:r w:rsidR="0049620E">
        <w:rPr>
          <w:rFonts w:eastAsia="Calibri"/>
          <w:lang w:eastAsia="en-US"/>
        </w:rPr>
        <w:t>due to sampling of new states. T</w:t>
      </w:r>
      <w:r>
        <w:rPr>
          <w:rFonts w:eastAsia="Calibri"/>
          <w:lang w:eastAsia="en-US"/>
        </w:rPr>
        <w:t xml:space="preserve">here was only one industry, Culture and recreation services where bullying rates increased </w:t>
      </w:r>
      <w:r w:rsidR="0049620E">
        <w:rPr>
          <w:rFonts w:eastAsia="Calibri"/>
          <w:lang w:eastAsia="en-US"/>
        </w:rPr>
        <w:t>when</w:t>
      </w:r>
      <w:r>
        <w:rPr>
          <w:rFonts w:eastAsia="Calibri"/>
          <w:lang w:eastAsia="en-US"/>
        </w:rPr>
        <w:t xml:space="preserve"> data from Victoria and Queensland were omitted implying that these states may be able to prevent bullying in the industry.</w:t>
      </w:r>
    </w:p>
    <w:p w:rsidR="000373B2" w:rsidRDefault="0060681E" w:rsidP="00C55811">
      <w:pPr>
        <w:spacing w:after="120"/>
        <w:rPr>
          <w:rFonts w:eastAsia="Calibri"/>
          <w:lang w:eastAsia="en-US"/>
        </w:rPr>
      </w:pPr>
      <w:r>
        <w:rPr>
          <w:rFonts w:eastAsia="Calibri"/>
          <w:lang w:eastAsia="en-US"/>
        </w:rPr>
        <w:t xml:space="preserve">This variability between states by industry should be considered when commenting on the overall </w:t>
      </w:r>
      <w:r w:rsidR="002824BE">
        <w:rPr>
          <w:rFonts w:eastAsia="Calibri"/>
          <w:lang w:eastAsia="en-US"/>
        </w:rPr>
        <w:t xml:space="preserve">increase </w:t>
      </w:r>
      <w:r>
        <w:rPr>
          <w:rFonts w:eastAsia="Calibri"/>
          <w:lang w:eastAsia="en-US"/>
        </w:rPr>
        <w:t xml:space="preserve">in bullying rates between </w:t>
      </w:r>
      <w:r w:rsidR="00495349">
        <w:rPr>
          <w:rFonts w:eastAsia="Calibri"/>
          <w:lang w:eastAsia="en-US"/>
        </w:rPr>
        <w:t>20</w:t>
      </w:r>
      <w:r>
        <w:rPr>
          <w:rFonts w:eastAsia="Calibri"/>
          <w:lang w:eastAsia="en-US"/>
        </w:rPr>
        <w:t>09</w:t>
      </w:r>
      <w:r w:rsidR="002907A1">
        <w:rPr>
          <w:rFonts w:eastAsia="Calibri"/>
          <w:lang w:eastAsia="en-US"/>
        </w:rPr>
        <w:t>/</w:t>
      </w:r>
      <w:r w:rsidR="00495349">
        <w:rPr>
          <w:rFonts w:eastAsia="Calibri"/>
          <w:lang w:eastAsia="en-US"/>
        </w:rPr>
        <w:t>20</w:t>
      </w:r>
      <w:r>
        <w:rPr>
          <w:rFonts w:eastAsia="Calibri"/>
          <w:lang w:eastAsia="en-US"/>
        </w:rPr>
        <w:t xml:space="preserve">11 (7.0 per cent) and </w:t>
      </w:r>
      <w:r w:rsidR="00495349">
        <w:rPr>
          <w:rFonts w:eastAsia="Calibri"/>
          <w:lang w:eastAsia="en-US"/>
        </w:rPr>
        <w:t>20</w:t>
      </w:r>
      <w:r>
        <w:rPr>
          <w:rFonts w:eastAsia="Calibri"/>
          <w:lang w:eastAsia="en-US"/>
        </w:rPr>
        <w:t>14</w:t>
      </w:r>
      <w:r w:rsidR="00495349">
        <w:rPr>
          <w:rFonts w:eastAsia="Calibri"/>
          <w:lang w:eastAsia="en-US"/>
        </w:rPr>
        <w:t>/20</w:t>
      </w:r>
      <w:r>
        <w:rPr>
          <w:rFonts w:eastAsia="Calibri"/>
          <w:lang w:eastAsia="en-US"/>
        </w:rPr>
        <w:t xml:space="preserve">15 (9.7 per cent), as although there appears to be an overall increase this may not be the case in each state, and each industry. </w:t>
      </w:r>
      <w:r w:rsidR="000730A9">
        <w:rPr>
          <w:rFonts w:eastAsia="Calibri"/>
          <w:lang w:eastAsia="en-US"/>
        </w:rPr>
        <w:t>C</w:t>
      </w:r>
      <w:r w:rsidR="000B18AB">
        <w:rPr>
          <w:rFonts w:eastAsia="Calibri"/>
          <w:lang w:eastAsia="en-US"/>
        </w:rPr>
        <w:t>onfidence intervals (95 per cent</w:t>
      </w:r>
      <w:r w:rsidR="00CB25EF">
        <w:rPr>
          <w:rFonts w:eastAsia="Calibri"/>
          <w:lang w:eastAsia="en-US"/>
        </w:rPr>
        <w:t xml:space="preserve">) </w:t>
      </w:r>
      <w:r w:rsidR="00495349">
        <w:rPr>
          <w:rFonts w:eastAsia="Calibri"/>
          <w:lang w:eastAsia="en-US"/>
        </w:rPr>
        <w:t>applied to the two 2014/2015 bars further highlight the amount of variance not just between</w:t>
      </w:r>
      <w:r w:rsidR="002824BE">
        <w:rPr>
          <w:rFonts w:eastAsia="Calibri"/>
          <w:lang w:eastAsia="en-US"/>
        </w:rPr>
        <w:t>,</w:t>
      </w:r>
      <w:r w:rsidR="00495349">
        <w:rPr>
          <w:rFonts w:eastAsia="Calibri"/>
          <w:lang w:eastAsia="en-US"/>
        </w:rPr>
        <w:t xml:space="preserve"> but within industry, and therefore any comparison between industr</w:t>
      </w:r>
      <w:r w:rsidR="0049620E">
        <w:rPr>
          <w:rFonts w:eastAsia="Calibri"/>
          <w:lang w:eastAsia="en-US"/>
        </w:rPr>
        <w:t>ies</w:t>
      </w:r>
      <w:r w:rsidR="00495349">
        <w:rPr>
          <w:rFonts w:eastAsia="Calibri"/>
          <w:lang w:eastAsia="en-US"/>
        </w:rPr>
        <w:t xml:space="preserve"> </w:t>
      </w:r>
      <w:r w:rsidR="000B18AB">
        <w:rPr>
          <w:rFonts w:eastAsia="Calibri"/>
          <w:lang w:eastAsia="en-US"/>
        </w:rPr>
        <w:t>with large Confidence Interval</w:t>
      </w:r>
      <w:r w:rsidR="00CB25EF">
        <w:rPr>
          <w:rFonts w:eastAsia="Calibri"/>
          <w:lang w:eastAsia="en-US"/>
        </w:rPr>
        <w:t xml:space="preserve">s </w:t>
      </w:r>
      <w:r w:rsidR="00495349">
        <w:rPr>
          <w:rFonts w:eastAsia="Calibri"/>
          <w:lang w:eastAsia="en-US"/>
        </w:rPr>
        <w:t>sho</w:t>
      </w:r>
      <w:r w:rsidR="00C55811">
        <w:rPr>
          <w:rFonts w:eastAsia="Calibri"/>
          <w:lang w:eastAsia="en-US"/>
        </w:rPr>
        <w:t xml:space="preserve">uld be </w:t>
      </w:r>
      <w:r w:rsidR="000B18AB">
        <w:rPr>
          <w:rFonts w:eastAsia="Calibri"/>
          <w:lang w:eastAsia="en-US"/>
        </w:rPr>
        <w:t>made</w:t>
      </w:r>
      <w:r w:rsidR="00C55811">
        <w:rPr>
          <w:rFonts w:eastAsia="Calibri"/>
          <w:lang w:eastAsia="en-US"/>
        </w:rPr>
        <w:t xml:space="preserve"> with caution.</w:t>
      </w:r>
    </w:p>
    <w:p w:rsidR="000B0E38" w:rsidRDefault="005C0129">
      <w:pPr>
        <w:rPr>
          <w:rFonts w:eastAsia="Calibri"/>
          <w:lang w:eastAsia="en-US"/>
        </w:rPr>
      </w:pPr>
      <w:r>
        <w:rPr>
          <w:noProof/>
        </w:rPr>
        <w:lastRenderedPageBreak/>
        <w:drawing>
          <wp:inline distT="0" distB="0" distL="0" distR="0" wp14:anchorId="4E1D2258" wp14:editId="4EBB5F03">
            <wp:extent cx="5972175" cy="8345873"/>
            <wp:effectExtent l="0" t="0" r="0" b="0"/>
            <wp:docPr id="10" name="Picture 10" descr="Graph showing bullying rates in Australian industries" title="Figure 5: Bullying Rates in Australian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5487" cy="8350502"/>
                    </a:xfrm>
                    <a:prstGeom prst="rect">
                      <a:avLst/>
                    </a:prstGeom>
                  </pic:spPr>
                </pic:pic>
              </a:graphicData>
            </a:graphic>
          </wp:inline>
        </w:drawing>
      </w:r>
    </w:p>
    <w:p w:rsidR="00DB459B" w:rsidRPr="00904E4D" w:rsidRDefault="00F43118" w:rsidP="00E40C41">
      <w:pPr>
        <w:pStyle w:val="Subtitle"/>
        <w:rPr>
          <w:rFonts w:eastAsia="Cambria"/>
          <w:szCs w:val="22"/>
          <w:u w:color="000000"/>
          <w:bdr w:val="nil"/>
          <w:lang w:val="en-US"/>
        </w:rPr>
      </w:pPr>
      <w:proofErr w:type="gramStart"/>
      <w:r w:rsidRPr="00DD3A77">
        <w:rPr>
          <w:rFonts w:eastAsia="Cambria"/>
          <w:u w:color="000000"/>
          <w:bdr w:val="nil"/>
          <w:lang w:val="en-US"/>
        </w:rPr>
        <w:t xml:space="preserve">Figure </w:t>
      </w:r>
      <w:r w:rsidR="00BD3D3C" w:rsidRPr="00DD3A77">
        <w:rPr>
          <w:rFonts w:eastAsia="Cambria"/>
          <w:u w:color="000000"/>
          <w:bdr w:val="nil"/>
          <w:lang w:val="en-US"/>
        </w:rPr>
        <w:t>5</w:t>
      </w:r>
      <w:r w:rsidR="002E6D6C">
        <w:rPr>
          <w:rFonts w:eastAsia="Cambria"/>
          <w:u w:color="000000"/>
          <w:bdr w:val="nil"/>
          <w:lang w:val="en-US"/>
        </w:rPr>
        <w:t>.</w:t>
      </w:r>
      <w:proofErr w:type="gramEnd"/>
      <w:r w:rsidRPr="00DD3A77">
        <w:rPr>
          <w:rFonts w:eastAsia="Cambria"/>
          <w:u w:color="000000"/>
          <w:bdr w:val="nil"/>
          <w:lang w:val="en-US"/>
        </w:rPr>
        <w:t xml:space="preserve"> Bullying </w:t>
      </w:r>
      <w:r w:rsidR="00812E99" w:rsidRPr="00DD3A77">
        <w:rPr>
          <w:rFonts w:eastAsia="Cambria"/>
          <w:u w:color="000000"/>
          <w:bdr w:val="nil"/>
          <w:lang w:val="en-US"/>
        </w:rPr>
        <w:t>R</w:t>
      </w:r>
      <w:r w:rsidRPr="00DD3A77">
        <w:rPr>
          <w:rFonts w:eastAsia="Cambria"/>
          <w:u w:color="000000"/>
          <w:bdr w:val="nil"/>
          <w:lang w:val="en-US"/>
        </w:rPr>
        <w:t xml:space="preserve">ates </w:t>
      </w:r>
      <w:r w:rsidR="00812E99" w:rsidRPr="00DD3A77">
        <w:rPr>
          <w:rFonts w:eastAsia="Cambria"/>
          <w:u w:color="000000"/>
          <w:bdr w:val="nil"/>
          <w:lang w:val="en-US"/>
        </w:rPr>
        <w:t xml:space="preserve">in </w:t>
      </w:r>
      <w:r w:rsidRPr="00DD3A77">
        <w:rPr>
          <w:rFonts w:eastAsia="Cambria"/>
          <w:u w:color="000000"/>
          <w:bdr w:val="nil"/>
          <w:lang w:val="en-US"/>
        </w:rPr>
        <w:t xml:space="preserve">Australian </w:t>
      </w:r>
      <w:r w:rsidR="00812E99" w:rsidRPr="00DD3A77">
        <w:rPr>
          <w:rFonts w:eastAsia="Cambria"/>
          <w:u w:color="000000"/>
          <w:bdr w:val="nil"/>
          <w:lang w:val="en-US"/>
        </w:rPr>
        <w:t>I</w:t>
      </w:r>
      <w:r w:rsidRPr="00DD3A77">
        <w:rPr>
          <w:rFonts w:eastAsia="Cambria"/>
          <w:u w:color="000000"/>
          <w:bdr w:val="nil"/>
          <w:lang w:val="en-US"/>
        </w:rPr>
        <w:t>ndustries</w:t>
      </w:r>
    </w:p>
    <w:p w:rsidR="00F43118" w:rsidRPr="00C51661" w:rsidRDefault="00F43118" w:rsidP="007C3642">
      <w:pPr>
        <w:pStyle w:val="Heading3"/>
        <w:rPr>
          <w:rFonts w:eastAsia="Cambria"/>
          <w:u w:color="000000"/>
          <w:bdr w:val="nil"/>
        </w:rPr>
      </w:pPr>
      <w:r w:rsidRPr="00F43118">
        <w:rPr>
          <w:rFonts w:eastAsia="Cambria"/>
          <w:u w:color="000000"/>
          <w:bdr w:val="nil"/>
        </w:rPr>
        <w:lastRenderedPageBreak/>
        <w:t xml:space="preserve">Bullying </w:t>
      </w:r>
      <w:r w:rsidR="00F216B4">
        <w:rPr>
          <w:rFonts w:eastAsia="Cambria"/>
          <w:u w:color="000000"/>
          <w:bdr w:val="nil"/>
        </w:rPr>
        <w:t>D</w:t>
      </w:r>
      <w:r w:rsidRPr="00F43118">
        <w:rPr>
          <w:rFonts w:eastAsia="Cambria"/>
          <w:u w:color="000000"/>
          <w:bdr w:val="nil"/>
        </w:rPr>
        <w:t xml:space="preserve">efinitions and </w:t>
      </w:r>
      <w:r w:rsidR="00F216B4">
        <w:rPr>
          <w:rFonts w:eastAsia="Cambria"/>
          <w:u w:color="000000"/>
          <w:bdr w:val="nil"/>
        </w:rPr>
        <w:t>R</w:t>
      </w:r>
      <w:r w:rsidRPr="00C51661">
        <w:rPr>
          <w:rFonts w:eastAsia="Cambria"/>
          <w:u w:color="000000"/>
          <w:bdr w:val="nil"/>
        </w:rPr>
        <w:t xml:space="preserve">ates by </w:t>
      </w:r>
      <w:r w:rsidR="00F216B4">
        <w:rPr>
          <w:rFonts w:eastAsia="Cambria"/>
          <w:u w:color="000000"/>
          <w:bdr w:val="nil"/>
        </w:rPr>
        <w:t>I</w:t>
      </w:r>
      <w:r w:rsidRPr="00C51661">
        <w:rPr>
          <w:rFonts w:eastAsia="Cambria"/>
          <w:u w:color="000000"/>
          <w:bdr w:val="nil"/>
        </w:rPr>
        <w:t>ndustry</w:t>
      </w:r>
    </w:p>
    <w:p w:rsidR="00F43118" w:rsidRDefault="00F43118" w:rsidP="004B457A">
      <w:pPr>
        <w:rPr>
          <w:u w:color="000000"/>
          <w:bdr w:val="nil"/>
          <w:lang w:val="en-US"/>
        </w:rPr>
      </w:pPr>
      <w:r w:rsidRPr="00680897">
        <w:rPr>
          <w:rFonts w:eastAsia="Cambria"/>
          <w:u w:color="000000"/>
          <w:bdr w:val="nil"/>
          <w:lang w:val="en-US"/>
        </w:rPr>
        <w:t>We assessed whether the two definitions, one based on the international literature and one based on the Safe Work Australia definition, produced different bullying rates by industry</w:t>
      </w:r>
      <w:r w:rsidR="00CC0812" w:rsidRPr="00680897">
        <w:rPr>
          <w:rFonts w:eastAsia="Cambria"/>
          <w:u w:color="000000"/>
          <w:bdr w:val="nil"/>
          <w:lang w:val="en-US"/>
        </w:rPr>
        <w:t xml:space="preserve"> (see Figure 6)</w:t>
      </w:r>
      <w:r w:rsidRPr="00680897">
        <w:rPr>
          <w:rFonts w:eastAsia="Cambria"/>
          <w:u w:color="000000"/>
          <w:bdr w:val="nil"/>
          <w:lang w:val="en-US"/>
        </w:rPr>
        <w:t xml:space="preserve">. In the </w:t>
      </w:r>
      <w:r w:rsidR="00C51661" w:rsidRPr="00680897">
        <w:rPr>
          <w:rFonts w:eastAsia="Cambria"/>
          <w:u w:color="000000"/>
          <w:bdr w:val="nil"/>
          <w:lang w:val="en-US"/>
        </w:rPr>
        <w:t>main</w:t>
      </w:r>
      <w:r w:rsidRPr="00680897">
        <w:rPr>
          <w:rFonts w:eastAsia="Cambria"/>
          <w:u w:color="000000"/>
          <w:bdr w:val="nil"/>
          <w:lang w:val="en-US"/>
        </w:rPr>
        <w:t xml:space="preserve"> the definitions were viewed similarly by industry</w:t>
      </w:r>
      <w:r w:rsidR="00CE6B6E" w:rsidRPr="00680897">
        <w:rPr>
          <w:rFonts w:eastAsia="Cambria"/>
          <w:u w:color="000000"/>
          <w:bdr w:val="nil"/>
          <w:lang w:val="en-US"/>
        </w:rPr>
        <w:t>. Where differences appeared to exist (</w:t>
      </w:r>
      <w:r w:rsidR="006760E7" w:rsidRPr="00680897">
        <w:rPr>
          <w:rFonts w:eastAsia="Cambria"/>
          <w:u w:color="000000"/>
          <w:bdr w:val="nil"/>
          <w:lang w:val="en-US"/>
        </w:rPr>
        <w:t xml:space="preserve">for </w:t>
      </w:r>
      <w:r w:rsidRPr="00680897">
        <w:rPr>
          <w:rFonts w:eastAsia="Cambria"/>
          <w:u w:color="000000"/>
          <w:bdr w:val="nil"/>
          <w:lang w:val="en-US"/>
        </w:rPr>
        <w:t>Co</w:t>
      </w:r>
      <w:r w:rsidR="000B18AB">
        <w:rPr>
          <w:rFonts w:eastAsia="Cambria"/>
          <w:u w:color="000000"/>
          <w:bdr w:val="nil"/>
          <w:lang w:val="en-US"/>
        </w:rPr>
        <w:t>nstruction</w:t>
      </w:r>
      <w:r w:rsidRPr="00680897">
        <w:rPr>
          <w:rFonts w:eastAsia="Cambria"/>
          <w:u w:color="000000"/>
          <w:bdr w:val="nil"/>
          <w:lang w:val="en-US"/>
        </w:rPr>
        <w:t xml:space="preserve"> and Property and business services the Safe Work </w:t>
      </w:r>
      <w:r w:rsidR="00027BE5">
        <w:rPr>
          <w:rFonts w:eastAsia="Cambria"/>
          <w:u w:color="000000"/>
          <w:bdr w:val="nil"/>
          <w:lang w:val="en-US"/>
        </w:rPr>
        <w:t xml:space="preserve">Australia </w:t>
      </w:r>
      <w:r w:rsidRPr="00680897">
        <w:rPr>
          <w:rFonts w:eastAsia="Cambria"/>
          <w:u w:color="000000"/>
          <w:bdr w:val="nil"/>
          <w:lang w:val="en-US"/>
        </w:rPr>
        <w:t>definition resulted in higher levels of bullying</w:t>
      </w:r>
      <w:r w:rsidR="00CC0812" w:rsidRPr="00680897">
        <w:rPr>
          <w:rFonts w:eastAsia="Cambria"/>
          <w:u w:color="000000"/>
          <w:bdr w:val="nil"/>
          <w:lang w:val="en-US"/>
        </w:rPr>
        <w:t xml:space="preserve">; </w:t>
      </w:r>
      <w:r w:rsidRPr="00680897">
        <w:rPr>
          <w:u w:color="000000"/>
          <w:bdr w:val="nil"/>
          <w:lang w:val="en-US"/>
        </w:rPr>
        <w:t xml:space="preserve">for Government administration and </w:t>
      </w:r>
      <w:proofErr w:type="spellStart"/>
      <w:r w:rsidRPr="00680897">
        <w:rPr>
          <w:u w:color="000000"/>
          <w:bdr w:val="nil"/>
          <w:lang w:val="en-US"/>
        </w:rPr>
        <w:t>defence</w:t>
      </w:r>
      <w:proofErr w:type="spellEnd"/>
      <w:r w:rsidRPr="00680897">
        <w:rPr>
          <w:u w:color="000000"/>
          <w:bdr w:val="nil"/>
          <w:lang w:val="en-US"/>
        </w:rPr>
        <w:t xml:space="preserve"> and </w:t>
      </w:r>
      <w:r w:rsidR="0089332B" w:rsidRPr="00680897">
        <w:rPr>
          <w:u w:color="000000"/>
          <w:bdr w:val="nil"/>
          <w:lang w:val="en-US"/>
        </w:rPr>
        <w:t>Cultur</w:t>
      </w:r>
      <w:r w:rsidR="0089332B">
        <w:rPr>
          <w:u w:color="000000"/>
          <w:bdr w:val="nil"/>
          <w:lang w:val="en-US"/>
        </w:rPr>
        <w:t>al</w:t>
      </w:r>
      <w:r w:rsidR="0089332B" w:rsidRPr="00680897">
        <w:rPr>
          <w:u w:color="000000"/>
          <w:bdr w:val="nil"/>
          <w:lang w:val="en-US"/>
        </w:rPr>
        <w:t xml:space="preserve"> </w:t>
      </w:r>
      <w:r w:rsidRPr="00680897">
        <w:rPr>
          <w:u w:color="000000"/>
          <w:bdr w:val="nil"/>
          <w:lang w:val="en-US"/>
        </w:rPr>
        <w:t>and</w:t>
      </w:r>
      <w:r w:rsidR="00EF245C" w:rsidRPr="00680897">
        <w:rPr>
          <w:u w:color="000000"/>
          <w:bdr w:val="nil"/>
          <w:lang w:val="en-US"/>
        </w:rPr>
        <w:t xml:space="preserve"> recreational services</w:t>
      </w:r>
      <w:r w:rsidR="00CC0812" w:rsidRPr="00680897">
        <w:rPr>
          <w:rFonts w:eastAsia="Cambria"/>
          <w:u w:color="000000"/>
          <w:bdr w:val="nil"/>
          <w:lang w:val="en-US"/>
        </w:rPr>
        <w:t xml:space="preserve"> the international </w:t>
      </w:r>
      <w:proofErr w:type="spellStart"/>
      <w:r w:rsidR="00CC0812" w:rsidRPr="00680897">
        <w:rPr>
          <w:rFonts w:eastAsia="Cambria"/>
          <w:u w:color="000000"/>
          <w:bdr w:val="nil"/>
          <w:lang w:val="en-US"/>
        </w:rPr>
        <w:t>AWB</w:t>
      </w:r>
      <w:proofErr w:type="spellEnd"/>
      <w:r w:rsidR="00CC0812" w:rsidRPr="00680897">
        <w:rPr>
          <w:rFonts w:eastAsia="Cambria"/>
          <w:u w:color="000000"/>
          <w:bdr w:val="nil"/>
          <w:lang w:val="en-US"/>
        </w:rPr>
        <w:t xml:space="preserve"> definition resulted in higher b</w:t>
      </w:r>
      <w:r w:rsidR="00CC0812" w:rsidRPr="00680897">
        <w:rPr>
          <w:u w:color="000000"/>
          <w:bdr w:val="nil"/>
          <w:lang w:val="en-US"/>
        </w:rPr>
        <w:t xml:space="preserve">ullying levels) it should be noted that there </w:t>
      </w:r>
      <w:r w:rsidR="00FA51E4">
        <w:rPr>
          <w:u w:color="000000"/>
          <w:bdr w:val="nil"/>
          <w:lang w:val="en-US"/>
        </w:rPr>
        <w:t>were</w:t>
      </w:r>
      <w:r w:rsidR="00FA51E4" w:rsidRPr="00680897">
        <w:rPr>
          <w:u w:color="000000"/>
          <w:bdr w:val="nil"/>
          <w:lang w:val="en-US"/>
        </w:rPr>
        <w:t xml:space="preserve"> </w:t>
      </w:r>
      <w:r w:rsidR="00CC0812" w:rsidRPr="00680897">
        <w:rPr>
          <w:u w:color="000000"/>
          <w:bdr w:val="nil"/>
          <w:lang w:val="en-US"/>
        </w:rPr>
        <w:t>large confidence intervals suggesting the differences are not substantive.</w:t>
      </w:r>
    </w:p>
    <w:p w:rsidR="003E665D" w:rsidRDefault="003E665D" w:rsidP="004B457A">
      <w:pPr>
        <w:rPr>
          <w:u w:color="000000"/>
          <w:bdr w:val="nil"/>
          <w:lang w:val="en-US"/>
        </w:rPr>
      </w:pPr>
    </w:p>
    <w:p w:rsidR="00B7440A" w:rsidRPr="00F43118" w:rsidRDefault="00F2666E" w:rsidP="003E665D">
      <w:pPr>
        <w:jc w:val="center"/>
        <w:rPr>
          <w:rFonts w:eastAsia="Cambria"/>
          <w:u w:color="000000"/>
          <w:bdr w:val="nil"/>
          <w:shd w:val="clear" w:color="auto" w:fill="FFFF00"/>
          <w:lang w:val="en-US"/>
        </w:rPr>
      </w:pPr>
      <w:r>
        <w:rPr>
          <w:noProof/>
        </w:rPr>
        <w:drawing>
          <wp:inline distT="0" distB="0" distL="0" distR="0" wp14:anchorId="43F848EE" wp14:editId="12D332DD">
            <wp:extent cx="6047451" cy="6729082"/>
            <wp:effectExtent l="0" t="0" r="0" b="0"/>
            <wp:docPr id="11" name="Picture 11" descr="Graph showing bullying rates by definition across Australian industries, 2014-2015." title="Figure 6: Bullying Rates by Definition: Australian Industries 2014-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051749" cy="6733864"/>
                    </a:xfrm>
                    <a:prstGeom prst="rect">
                      <a:avLst/>
                    </a:prstGeom>
                  </pic:spPr>
                </pic:pic>
              </a:graphicData>
            </a:graphic>
          </wp:inline>
        </w:drawing>
      </w:r>
    </w:p>
    <w:p w:rsidR="00F43118" w:rsidRPr="00DD3A77" w:rsidRDefault="00F43118" w:rsidP="00A07B2C">
      <w:pPr>
        <w:pStyle w:val="Subtitle"/>
        <w:spacing w:before="240"/>
        <w:rPr>
          <w:rFonts w:eastAsia="Cambria"/>
          <w:i/>
          <w:noProof/>
          <w:u w:color="000000"/>
          <w:bdr w:val="nil"/>
          <w:lang w:val="en-US"/>
        </w:rPr>
      </w:pPr>
      <w:r w:rsidRPr="00DD3A77">
        <w:rPr>
          <w:rFonts w:eastAsia="Cambria"/>
          <w:noProof/>
          <w:u w:color="000000"/>
          <w:bdr w:val="nil"/>
          <w:lang w:val="en-US"/>
        </w:rPr>
        <w:t xml:space="preserve">Figure </w:t>
      </w:r>
      <w:r w:rsidR="00BD3D3C" w:rsidRPr="00DD3A77">
        <w:rPr>
          <w:rFonts w:eastAsia="Cambria"/>
          <w:noProof/>
          <w:u w:color="000000"/>
          <w:bdr w:val="nil"/>
          <w:lang w:val="en-US"/>
        </w:rPr>
        <w:t>6</w:t>
      </w:r>
      <w:r w:rsidRPr="00DD3A77">
        <w:rPr>
          <w:rFonts w:eastAsia="Cambria"/>
          <w:noProof/>
          <w:u w:color="000000"/>
          <w:bdr w:val="nil"/>
          <w:lang w:val="en-US"/>
        </w:rPr>
        <w:t xml:space="preserve">. Bullying </w:t>
      </w:r>
      <w:r w:rsidR="00812E99" w:rsidRPr="00DD3A77">
        <w:rPr>
          <w:rFonts w:eastAsia="Cambria"/>
          <w:noProof/>
          <w:u w:color="000000"/>
          <w:bdr w:val="nil"/>
          <w:lang w:val="en-US"/>
        </w:rPr>
        <w:t>R</w:t>
      </w:r>
      <w:r w:rsidRPr="00DD3A77">
        <w:rPr>
          <w:rFonts w:eastAsia="Cambria"/>
          <w:noProof/>
          <w:u w:color="000000"/>
          <w:bdr w:val="nil"/>
          <w:lang w:val="en-US"/>
        </w:rPr>
        <w:t xml:space="preserve">ates by </w:t>
      </w:r>
      <w:r w:rsidR="00812E99" w:rsidRPr="00DD3A77">
        <w:rPr>
          <w:rFonts w:eastAsia="Cambria"/>
          <w:noProof/>
          <w:u w:color="000000"/>
          <w:bdr w:val="nil"/>
          <w:lang w:val="en-US"/>
        </w:rPr>
        <w:t>D</w:t>
      </w:r>
      <w:r w:rsidRPr="00DD3A77">
        <w:rPr>
          <w:rFonts w:eastAsia="Cambria"/>
          <w:noProof/>
          <w:u w:color="000000"/>
          <w:bdr w:val="nil"/>
          <w:lang w:val="en-US"/>
        </w:rPr>
        <w:t>efinition</w:t>
      </w:r>
      <w:r w:rsidR="0089332B">
        <w:rPr>
          <w:rFonts w:eastAsia="Cambria"/>
          <w:noProof/>
          <w:u w:color="000000"/>
          <w:bdr w:val="nil"/>
          <w:lang w:val="en-US"/>
        </w:rPr>
        <w:t>:</w:t>
      </w:r>
      <w:r w:rsidR="0089332B" w:rsidRPr="00DD3A77">
        <w:rPr>
          <w:rFonts w:eastAsia="Cambria"/>
          <w:noProof/>
          <w:u w:color="000000"/>
          <w:bdr w:val="nil"/>
          <w:lang w:val="en-US"/>
        </w:rPr>
        <w:t xml:space="preserve"> </w:t>
      </w:r>
      <w:r w:rsidRPr="00DD3A77">
        <w:rPr>
          <w:rFonts w:eastAsia="Cambria"/>
          <w:noProof/>
          <w:u w:color="000000"/>
          <w:bdr w:val="nil"/>
          <w:lang w:val="en-US"/>
        </w:rPr>
        <w:t xml:space="preserve">Australian </w:t>
      </w:r>
      <w:r w:rsidR="00812E99" w:rsidRPr="00DD3A77">
        <w:rPr>
          <w:rFonts w:eastAsia="Cambria"/>
          <w:noProof/>
          <w:u w:color="000000"/>
          <w:bdr w:val="nil"/>
          <w:lang w:val="en-US"/>
        </w:rPr>
        <w:t>I</w:t>
      </w:r>
      <w:r w:rsidRPr="00DD3A77">
        <w:rPr>
          <w:rFonts w:eastAsia="Cambria"/>
          <w:noProof/>
          <w:u w:color="000000"/>
          <w:bdr w:val="nil"/>
          <w:lang w:val="en-US"/>
        </w:rPr>
        <w:t>ndustries 2014</w:t>
      </w:r>
      <w:r w:rsidR="00DB1E76" w:rsidRPr="00B2750E">
        <w:rPr>
          <w:rStyle w:val="SubtitleChar"/>
        </w:rPr>
        <w:t>–</w:t>
      </w:r>
      <w:r w:rsidRPr="00DD3A77">
        <w:rPr>
          <w:rFonts w:eastAsia="Cambria"/>
          <w:noProof/>
          <w:u w:color="000000"/>
          <w:bdr w:val="nil"/>
          <w:lang w:val="en-US"/>
        </w:rPr>
        <w:t>2015</w:t>
      </w:r>
    </w:p>
    <w:p w:rsidR="00F43118" w:rsidRPr="00DD3A77" w:rsidRDefault="00F43118" w:rsidP="003E665D">
      <w:pPr>
        <w:pStyle w:val="Heading2"/>
        <w:keepNext/>
        <w:spacing w:before="480" w:after="120"/>
        <w:rPr>
          <w:rFonts w:eastAsia="Cambria"/>
          <w:u w:color="000000"/>
          <w:bdr w:val="nil"/>
          <w:lang w:val="en-US"/>
        </w:rPr>
      </w:pPr>
      <w:r w:rsidRPr="00DD3A77">
        <w:rPr>
          <w:rFonts w:eastAsia="Cambria"/>
          <w:u w:color="000000"/>
          <w:bdr w:val="nil"/>
          <w:lang w:val="en-US"/>
        </w:rPr>
        <w:lastRenderedPageBreak/>
        <w:t xml:space="preserve">Prevalence of </w:t>
      </w:r>
      <w:r w:rsidR="00F216B4">
        <w:rPr>
          <w:rFonts w:eastAsia="Cambria"/>
          <w:u w:color="000000"/>
          <w:bdr w:val="nil"/>
          <w:lang w:val="en-US"/>
        </w:rPr>
        <w:t>H</w:t>
      </w:r>
      <w:r w:rsidRPr="00DD3A77">
        <w:rPr>
          <w:rFonts w:eastAsia="Cambria"/>
          <w:u w:color="000000"/>
          <w:bdr w:val="nil"/>
          <w:lang w:val="en-US"/>
        </w:rPr>
        <w:t xml:space="preserve">arassment in Australian </w:t>
      </w:r>
      <w:r w:rsidR="00F216B4">
        <w:rPr>
          <w:rFonts w:eastAsia="Cambria"/>
          <w:u w:color="000000"/>
          <w:bdr w:val="nil"/>
          <w:lang w:val="en-US"/>
        </w:rPr>
        <w:t>W</w:t>
      </w:r>
      <w:r w:rsidRPr="00DD3A77">
        <w:rPr>
          <w:rFonts w:eastAsia="Cambria"/>
          <w:u w:color="000000"/>
          <w:bdr w:val="nil"/>
          <w:lang w:val="en-US"/>
        </w:rPr>
        <w:t xml:space="preserve">orkplaces </w:t>
      </w:r>
    </w:p>
    <w:p w:rsidR="00F43118" w:rsidRPr="00F43118" w:rsidRDefault="00F43118" w:rsidP="00C55811">
      <w:pPr>
        <w:spacing w:after="120"/>
        <w:rPr>
          <w:rFonts w:eastAsia="Cambria"/>
          <w:u w:color="000000"/>
          <w:bdr w:val="nil"/>
          <w:lang w:val="en-US"/>
        </w:rPr>
      </w:pPr>
      <w:r w:rsidRPr="00F43118">
        <w:rPr>
          <w:rFonts w:eastAsia="Cambria"/>
          <w:u w:color="000000"/>
          <w:bdr w:val="nil"/>
          <w:lang w:val="en-US"/>
        </w:rPr>
        <w:t xml:space="preserve">To assess the prevalence of harassment in Australia, eight different kinds of harassment were presented and participants responded how often these forms </w:t>
      </w:r>
      <w:r w:rsidR="00C55811">
        <w:rPr>
          <w:rFonts w:eastAsia="Cambria"/>
          <w:u w:color="000000"/>
          <w:bdr w:val="nil"/>
          <w:lang w:val="en-US"/>
        </w:rPr>
        <w:t>were encountered (see Table 1).</w:t>
      </w:r>
    </w:p>
    <w:p w:rsidR="00F43118" w:rsidRPr="00F43118" w:rsidRDefault="00F43118" w:rsidP="00C55811">
      <w:pPr>
        <w:spacing w:after="120"/>
        <w:rPr>
          <w:rFonts w:eastAsia="Cambria"/>
          <w:bCs/>
          <w:u w:color="000000"/>
          <w:bdr w:val="nil"/>
          <w:lang w:val="en-US"/>
        </w:rPr>
      </w:pPr>
      <w:r w:rsidRPr="00F43118">
        <w:rPr>
          <w:rFonts w:eastAsia="Cambria"/>
          <w:bCs/>
          <w:u w:color="000000"/>
          <w:bdr w:val="nil"/>
          <w:lang w:val="en-US"/>
        </w:rPr>
        <w:t>To determine the most prevalent form of harassment that Australian workers experienced, we calculated the percentage of responses that indicated that this form of harassmen</w:t>
      </w:r>
      <w:r w:rsidR="00EF245C">
        <w:rPr>
          <w:rFonts w:eastAsia="Cambria"/>
          <w:bCs/>
          <w:u w:color="000000"/>
          <w:bdr w:val="nil"/>
          <w:lang w:val="en-US"/>
        </w:rPr>
        <w:t>t had been experienced (Figure 7</w:t>
      </w:r>
      <w:r w:rsidRPr="00F43118">
        <w:rPr>
          <w:rFonts w:eastAsia="Cambria"/>
          <w:bCs/>
          <w:u w:color="000000"/>
          <w:bdr w:val="nil"/>
          <w:lang w:val="en-US"/>
        </w:rPr>
        <w:t>). Responses of ‘very rarely or never’ wer</w:t>
      </w:r>
      <w:r w:rsidR="00C55811">
        <w:rPr>
          <w:rFonts w:eastAsia="Cambria"/>
          <w:bCs/>
          <w:u w:color="000000"/>
          <w:bdr w:val="nil"/>
          <w:lang w:val="en-US"/>
        </w:rPr>
        <w:t xml:space="preserve">e </w:t>
      </w:r>
      <w:proofErr w:type="spellStart"/>
      <w:r w:rsidR="00C55811">
        <w:rPr>
          <w:rFonts w:eastAsia="Cambria"/>
          <w:bCs/>
          <w:u w:color="000000"/>
          <w:bdr w:val="nil"/>
          <w:lang w:val="en-US"/>
        </w:rPr>
        <w:t>categorised</w:t>
      </w:r>
      <w:proofErr w:type="spellEnd"/>
      <w:r w:rsidR="00C55811">
        <w:rPr>
          <w:rFonts w:eastAsia="Cambria"/>
          <w:bCs/>
          <w:u w:color="000000"/>
          <w:bdr w:val="nil"/>
          <w:lang w:val="en-US"/>
        </w:rPr>
        <w:t xml:space="preserve"> as no harassment.</w:t>
      </w:r>
    </w:p>
    <w:p w:rsidR="00013E5F" w:rsidRPr="000B18AB" w:rsidRDefault="00F43118" w:rsidP="000B18AB">
      <w:pPr>
        <w:spacing w:after="120"/>
        <w:rPr>
          <w:rFonts w:eastAsia="Cambria"/>
          <w:u w:color="000000"/>
          <w:bdr w:val="nil"/>
          <w:lang w:val="en-US"/>
        </w:rPr>
      </w:pPr>
      <w:r w:rsidRPr="00F43118">
        <w:rPr>
          <w:rFonts w:eastAsia="Cambria"/>
          <w:bCs/>
          <w:u w:color="000000"/>
          <w:bdr w:val="nil"/>
          <w:lang w:val="en-US"/>
        </w:rPr>
        <w:t xml:space="preserve">Being </w:t>
      </w:r>
      <w:r w:rsidRPr="00F43118">
        <w:rPr>
          <w:rFonts w:eastAsia="Cambria"/>
          <w:u w:color="000000"/>
          <w:bdr w:val="nil"/>
          <w:lang w:val="en-US"/>
        </w:rPr>
        <w:t xml:space="preserve">sworn or yelled at was the most commonly reported form of harassment experienced by Australian workers. Other forms that were frequently reported included: being humiliated in front of others, being physically assaulted or threatened by clients or patients of the organisation and experiencing discomfort listening to sexual </w:t>
      </w:r>
      <w:proofErr w:type="spellStart"/>
      <w:r w:rsidRPr="00F43118">
        <w:rPr>
          <w:rFonts w:eastAsia="Cambria"/>
          <w:u w:color="000000"/>
          <w:bdr w:val="nil"/>
          <w:lang w:val="en-US"/>
        </w:rPr>
        <w:t>humour</w:t>
      </w:r>
      <w:proofErr w:type="spellEnd"/>
      <w:r w:rsidRPr="00F43118">
        <w:rPr>
          <w:rFonts w:eastAsia="Cambria"/>
          <w:u w:color="000000"/>
          <w:bdr w:val="nil"/>
          <w:lang w:val="en-US"/>
        </w:rPr>
        <w:t>.</w:t>
      </w:r>
    </w:p>
    <w:p w:rsidR="00013E5F" w:rsidRDefault="00565E0C" w:rsidP="00013E5F">
      <w:pPr>
        <w:pBdr>
          <w:top w:val="nil"/>
          <w:left w:val="nil"/>
          <w:bottom w:val="nil"/>
          <w:right w:val="nil"/>
          <w:between w:val="nil"/>
          <w:bar w:val="nil"/>
        </w:pBdr>
        <w:spacing w:before="120" w:after="120"/>
        <w:jc w:val="both"/>
        <w:rPr>
          <w:rFonts w:ascii="Calibri" w:eastAsia="Cambria" w:hAnsi="Calibri" w:cs="Calibri"/>
          <w:b/>
          <w:color w:val="000000"/>
          <w:sz w:val="23"/>
          <w:szCs w:val="23"/>
          <w:u w:color="000000"/>
          <w:bdr w:val="nil"/>
          <w:lang w:val="en-US"/>
        </w:rPr>
      </w:pPr>
      <w:r>
        <w:rPr>
          <w:noProof/>
        </w:rPr>
        <w:drawing>
          <wp:inline distT="0" distB="0" distL="0" distR="0" wp14:anchorId="28AAA03A" wp14:editId="34D1A4B1">
            <wp:extent cx="5727700" cy="2618465"/>
            <wp:effectExtent l="0" t="0" r="6350" b="0"/>
            <wp:docPr id="290" name="Chart 290" descr="Figure 7 shows the prevalence of different forms of harassment in Australian Workplaces." title="Figure 7. Prevalence of Harrassment forms in Australian Workplac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3E5F" w:rsidRPr="00DD3A77" w:rsidRDefault="00013E5F" w:rsidP="00141A29">
      <w:pPr>
        <w:pStyle w:val="Subtitle"/>
        <w:rPr>
          <w:rFonts w:eastAsia="Cambria"/>
          <w:u w:color="000000"/>
          <w:bdr w:val="nil"/>
          <w:lang w:val="en-US"/>
        </w:rPr>
      </w:pPr>
      <w:proofErr w:type="gramStart"/>
      <w:r w:rsidRPr="00DD3A77">
        <w:rPr>
          <w:rFonts w:eastAsia="Cambria"/>
          <w:u w:color="000000"/>
          <w:bdr w:val="nil"/>
          <w:lang w:val="en-US"/>
        </w:rPr>
        <w:t>Figure 7.</w:t>
      </w:r>
      <w:proofErr w:type="gramEnd"/>
      <w:r w:rsidRPr="00DD3A77">
        <w:rPr>
          <w:rFonts w:eastAsia="Cambria"/>
          <w:u w:color="000000"/>
          <w:bdr w:val="nil"/>
          <w:lang w:val="en-US"/>
        </w:rPr>
        <w:t xml:space="preserve"> Prevalence of Harassment forms in Australian Workplaces</w:t>
      </w:r>
    </w:p>
    <w:p w:rsidR="00F43118" w:rsidRPr="00F43118" w:rsidRDefault="00F43118" w:rsidP="00F43118">
      <w:pPr>
        <w:pBdr>
          <w:top w:val="nil"/>
          <w:left w:val="nil"/>
          <w:bottom w:val="nil"/>
          <w:right w:val="nil"/>
          <w:between w:val="nil"/>
          <w:bar w:val="nil"/>
        </w:pBdr>
        <w:spacing w:before="120" w:after="120"/>
        <w:jc w:val="both"/>
        <w:rPr>
          <w:rFonts w:ascii="Calibri" w:eastAsia="Cambria" w:hAnsi="Calibri" w:cs="Calibri"/>
          <w:color w:val="000000"/>
          <w:szCs w:val="22"/>
          <w:u w:color="000000"/>
          <w:bdr w:val="nil"/>
          <w:lang w:val="en-US"/>
        </w:rPr>
        <w:sectPr w:rsidR="00F43118" w:rsidRPr="00F43118" w:rsidSect="006760E7">
          <w:headerReference w:type="default" r:id="rId19"/>
          <w:pgSz w:w="11900" w:h="16840"/>
          <w:pgMar w:top="1276" w:right="1440" w:bottom="1440" w:left="1440" w:header="454" w:footer="709" w:gutter="0"/>
          <w:pgNumType w:start="0"/>
          <w:cols w:space="720"/>
          <w:docGrid w:linePitch="299"/>
        </w:sectPr>
      </w:pPr>
    </w:p>
    <w:p w:rsidR="00F43118" w:rsidRPr="006033FB" w:rsidRDefault="00F43118" w:rsidP="007C3642">
      <w:pPr>
        <w:pStyle w:val="Heading3"/>
        <w:rPr>
          <w:rFonts w:eastAsia="Cambria"/>
          <w:u w:color="000000"/>
        </w:rPr>
      </w:pPr>
      <w:r w:rsidRPr="006033FB">
        <w:rPr>
          <w:rFonts w:eastAsia="Cambria"/>
          <w:u w:color="000000"/>
        </w:rPr>
        <w:lastRenderedPageBreak/>
        <w:t xml:space="preserve">Harassment in Australian workplaces </w:t>
      </w:r>
    </w:p>
    <w:p w:rsidR="00F43118" w:rsidRPr="00DD3A77" w:rsidRDefault="00F43118" w:rsidP="00141A29">
      <w:pPr>
        <w:pStyle w:val="tableheaderL"/>
        <w:rPr>
          <w:lang w:eastAsia="en-US"/>
        </w:rPr>
      </w:pPr>
      <w:proofErr w:type="gramStart"/>
      <w:r w:rsidRPr="00004989">
        <w:t>Table 1</w:t>
      </w:r>
      <w:r w:rsidRPr="00004989">
        <w:rPr>
          <w:i/>
        </w:rPr>
        <w:t>.</w:t>
      </w:r>
      <w:proofErr w:type="gramEnd"/>
      <w:r w:rsidRPr="00004989">
        <w:rPr>
          <w:i/>
        </w:rPr>
        <w:t xml:space="preserve"> </w:t>
      </w:r>
      <w:r w:rsidRPr="00004989">
        <w:t>Forms and frequency of workplace harassment in Australian workers</w:t>
      </w:r>
      <w:r w:rsidR="00EB7478" w:rsidRPr="00004989">
        <w:t xml:space="preserve"> (per cent)</w:t>
      </w:r>
    </w:p>
    <w:tbl>
      <w:tblPr>
        <w:tblStyle w:val="PlainTable211"/>
        <w:tblW w:w="4382" w:type="pct"/>
        <w:tblInd w:w="709" w:type="dxa"/>
        <w:tblBorders>
          <w:top w:val="single" w:sz="4" w:space="0" w:color="auto"/>
          <w:bottom w:val="single" w:sz="4" w:space="0" w:color="auto"/>
          <w:insideH w:val="single" w:sz="4" w:space="0" w:color="auto"/>
        </w:tblBorders>
        <w:tblLayout w:type="fixed"/>
        <w:tblLook w:val="04A0" w:firstRow="1" w:lastRow="0" w:firstColumn="1" w:lastColumn="0" w:noHBand="0" w:noVBand="1"/>
        <w:tblCaption w:val="Table 1: Forms and frequency of workplace harassment in Australian workers"/>
        <w:tblDescription w:val="Table showing percentage of Australian workers who experienced different forms of harassment."/>
      </w:tblPr>
      <w:tblGrid>
        <w:gridCol w:w="2024"/>
        <w:gridCol w:w="1342"/>
        <w:gridCol w:w="1300"/>
        <w:gridCol w:w="1150"/>
        <w:gridCol w:w="1290"/>
        <w:gridCol w:w="1009"/>
        <w:gridCol w:w="1441"/>
        <w:gridCol w:w="1290"/>
        <w:gridCol w:w="1578"/>
      </w:tblGrid>
      <w:tr w:rsidR="00F43118" w:rsidRPr="00F43118" w:rsidTr="00FE5D8C">
        <w:trPr>
          <w:cnfStyle w:val="100000000000" w:firstRow="1" w:lastRow="0" w:firstColumn="0" w:lastColumn="0" w:oddVBand="0" w:evenVBand="0" w:oddHBand="0" w:evenHBand="0" w:firstRowFirstColumn="0" w:firstRowLastColumn="0" w:lastRowFirstColumn="0" w:lastRowLastColumn="0"/>
          <w:trHeight w:val="1312"/>
          <w:tblHeader/>
        </w:trPr>
        <w:tc>
          <w:tcPr>
            <w:cnfStyle w:val="001000000000" w:firstRow="0" w:lastRow="0" w:firstColumn="1" w:lastColumn="0" w:oddVBand="0" w:evenVBand="0" w:oddHBand="0" w:evenHBand="0" w:firstRowFirstColumn="0" w:firstRowLastColumn="0" w:lastRowFirstColumn="0" w:lastRowLastColumn="0"/>
            <w:tcW w:w="815" w:type="pct"/>
            <w:tcBorders>
              <w:bottom w:val="single" w:sz="4" w:space="0" w:color="auto"/>
            </w:tcBorders>
          </w:tcPr>
          <w:p w:rsidR="00F43118" w:rsidRPr="007C3642" w:rsidRDefault="00F43118" w:rsidP="00D62C88">
            <w:pPr>
              <w:rPr>
                <w:u w:color="000000"/>
                <w:bdr w:val="nil"/>
                <w:lang w:val="en-US"/>
              </w:rPr>
            </w:pPr>
          </w:p>
        </w:tc>
        <w:tc>
          <w:tcPr>
            <w:tcW w:w="540"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Unwanted sexual advances</w:t>
            </w:r>
          </w:p>
        </w:tc>
        <w:tc>
          <w:tcPr>
            <w:tcW w:w="523"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 xml:space="preserve">Discomfort listening to sexual </w:t>
            </w:r>
            <w:proofErr w:type="spellStart"/>
            <w:r w:rsidRPr="007C3642">
              <w:rPr>
                <w:sz w:val="20"/>
                <w:szCs w:val="20"/>
                <w:u w:color="000000"/>
                <w:bdr w:val="nil"/>
                <w:lang w:val="en-US"/>
              </w:rPr>
              <w:t>humour</w:t>
            </w:r>
            <w:proofErr w:type="spellEnd"/>
          </w:p>
        </w:tc>
        <w:tc>
          <w:tcPr>
            <w:tcW w:w="463"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Unfair treatment because of gender</w:t>
            </w:r>
          </w:p>
        </w:tc>
        <w:tc>
          <w:tcPr>
            <w:tcW w:w="519"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Negative comments regarding my ethnic or racial background</w:t>
            </w:r>
          </w:p>
        </w:tc>
        <w:tc>
          <w:tcPr>
            <w:tcW w:w="406"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Sworn or yelled at</w:t>
            </w:r>
          </w:p>
        </w:tc>
        <w:tc>
          <w:tcPr>
            <w:tcW w:w="580"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Humiliated in front of others</w:t>
            </w:r>
          </w:p>
        </w:tc>
        <w:tc>
          <w:tcPr>
            <w:tcW w:w="519"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Physically assaulted/</w:t>
            </w:r>
          </w:p>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threatened by members of the organisation</w:t>
            </w:r>
          </w:p>
        </w:tc>
        <w:tc>
          <w:tcPr>
            <w:tcW w:w="636" w:type="pct"/>
            <w:tcBorders>
              <w:bottom w:val="single" w:sz="4" w:space="0" w:color="auto"/>
            </w:tcBorders>
          </w:tcPr>
          <w:p w:rsidR="00F43118" w:rsidRPr="007C3642" w:rsidRDefault="00F43118" w:rsidP="00D62C88">
            <w:pPr>
              <w:cnfStyle w:val="100000000000" w:firstRow="1" w:lastRow="0" w:firstColumn="0" w:lastColumn="0" w:oddVBand="0" w:evenVBand="0" w:oddHBand="0" w:evenHBand="0" w:firstRowFirstColumn="0" w:firstRowLastColumn="0" w:lastRowFirstColumn="0" w:lastRowLastColumn="0"/>
              <w:rPr>
                <w:sz w:val="20"/>
                <w:szCs w:val="20"/>
                <w:u w:color="000000"/>
                <w:bdr w:val="nil"/>
                <w:lang w:val="en-US"/>
              </w:rPr>
            </w:pPr>
            <w:r w:rsidRPr="007C3642">
              <w:rPr>
                <w:sz w:val="20"/>
                <w:szCs w:val="20"/>
                <w:u w:color="000000"/>
                <w:bdr w:val="nil"/>
                <w:lang w:val="en-US"/>
              </w:rPr>
              <w:t>Physically assaulted/</w:t>
            </w:r>
            <w:r w:rsidRPr="007C3642">
              <w:rPr>
                <w:sz w:val="20"/>
                <w:szCs w:val="20"/>
                <w:u w:color="000000"/>
                <w:bdr w:val="nil"/>
                <w:lang w:val="en-US"/>
              </w:rPr>
              <w:br/>
              <w:t>threatened by a client or patient</w:t>
            </w:r>
          </w:p>
        </w:tc>
      </w:tr>
      <w:tr w:rsidR="00F43118" w:rsidRPr="00F43118" w:rsidTr="00FE5D8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15" w:type="pct"/>
            <w:tcBorders>
              <w:bottom w:val="nil"/>
            </w:tcBorders>
          </w:tcPr>
          <w:p w:rsidR="00F43118" w:rsidRPr="007C3642" w:rsidRDefault="00F43118" w:rsidP="00D62C88">
            <w:pPr>
              <w:rPr>
                <w:u w:color="000000"/>
                <w:bdr w:val="nil"/>
                <w:lang w:val="en-US"/>
              </w:rPr>
            </w:pPr>
            <w:r w:rsidRPr="007C3642">
              <w:rPr>
                <w:u w:color="000000"/>
                <w:bdr w:val="nil"/>
                <w:lang w:val="en-US"/>
              </w:rPr>
              <w:t>Very Rarely/Never</w:t>
            </w:r>
          </w:p>
        </w:tc>
        <w:tc>
          <w:tcPr>
            <w:tcW w:w="540"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95.4</w:t>
            </w:r>
          </w:p>
        </w:tc>
        <w:tc>
          <w:tcPr>
            <w:tcW w:w="523"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82.1</w:t>
            </w:r>
          </w:p>
        </w:tc>
        <w:tc>
          <w:tcPr>
            <w:tcW w:w="463"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89.1</w:t>
            </w:r>
          </w:p>
        </w:tc>
        <w:tc>
          <w:tcPr>
            <w:tcW w:w="519"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92.6</w:t>
            </w:r>
          </w:p>
        </w:tc>
        <w:tc>
          <w:tcPr>
            <w:tcW w:w="406"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62.8</w:t>
            </w:r>
          </w:p>
        </w:tc>
        <w:tc>
          <w:tcPr>
            <w:tcW w:w="580"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76.8</w:t>
            </w:r>
          </w:p>
        </w:tc>
        <w:tc>
          <w:tcPr>
            <w:tcW w:w="519"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96.6</w:t>
            </w:r>
          </w:p>
        </w:tc>
        <w:tc>
          <w:tcPr>
            <w:tcW w:w="636" w:type="pct"/>
            <w:tcBorders>
              <w:top w:val="single" w:sz="4" w:space="0" w:color="auto"/>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78.2</w:t>
            </w:r>
          </w:p>
        </w:tc>
      </w:tr>
      <w:tr w:rsidR="00F43118" w:rsidRPr="00F43118" w:rsidTr="00FE5D8C">
        <w:trPr>
          <w:trHeight w:val="590"/>
        </w:trPr>
        <w:tc>
          <w:tcPr>
            <w:cnfStyle w:val="001000000000" w:firstRow="0" w:lastRow="0" w:firstColumn="1" w:lastColumn="0" w:oddVBand="0" w:evenVBand="0" w:oddHBand="0" w:evenHBand="0" w:firstRowFirstColumn="0" w:firstRowLastColumn="0" w:lastRowFirstColumn="0" w:lastRowLastColumn="0"/>
            <w:tcW w:w="815" w:type="pct"/>
            <w:tcBorders>
              <w:top w:val="nil"/>
              <w:bottom w:val="nil"/>
            </w:tcBorders>
          </w:tcPr>
          <w:p w:rsidR="00F43118" w:rsidRPr="007C3642" w:rsidRDefault="00F43118" w:rsidP="00D62C88">
            <w:pPr>
              <w:rPr>
                <w:u w:color="000000"/>
                <w:bdr w:val="nil"/>
                <w:lang w:val="en-US"/>
              </w:rPr>
            </w:pPr>
            <w:r w:rsidRPr="007C3642">
              <w:rPr>
                <w:u w:color="000000"/>
                <w:bdr w:val="nil"/>
                <w:lang w:val="en-US"/>
              </w:rPr>
              <w:t>Rarely</w:t>
            </w:r>
          </w:p>
        </w:tc>
        <w:tc>
          <w:tcPr>
            <w:tcW w:w="540"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3.1</w:t>
            </w:r>
          </w:p>
        </w:tc>
        <w:tc>
          <w:tcPr>
            <w:tcW w:w="523"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10.0</w:t>
            </w:r>
          </w:p>
        </w:tc>
        <w:tc>
          <w:tcPr>
            <w:tcW w:w="463"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5.1</w:t>
            </w:r>
          </w:p>
        </w:tc>
        <w:tc>
          <w:tcPr>
            <w:tcW w:w="519"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4.3</w:t>
            </w:r>
          </w:p>
        </w:tc>
        <w:tc>
          <w:tcPr>
            <w:tcW w:w="406"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16.9</w:t>
            </w:r>
          </w:p>
        </w:tc>
        <w:tc>
          <w:tcPr>
            <w:tcW w:w="580"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12.9</w:t>
            </w:r>
          </w:p>
        </w:tc>
        <w:tc>
          <w:tcPr>
            <w:tcW w:w="519"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2.0</w:t>
            </w:r>
          </w:p>
        </w:tc>
        <w:tc>
          <w:tcPr>
            <w:tcW w:w="636"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9.5</w:t>
            </w:r>
          </w:p>
        </w:tc>
      </w:tr>
      <w:tr w:rsidR="00F43118" w:rsidRPr="00F43118" w:rsidTr="00FE5D8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815" w:type="pct"/>
            <w:tcBorders>
              <w:top w:val="nil"/>
              <w:bottom w:val="nil"/>
            </w:tcBorders>
          </w:tcPr>
          <w:p w:rsidR="00F43118" w:rsidRPr="007C3642" w:rsidRDefault="00F43118" w:rsidP="00D62C88">
            <w:pPr>
              <w:rPr>
                <w:u w:color="000000"/>
                <w:bdr w:val="nil"/>
                <w:lang w:val="en-US"/>
              </w:rPr>
            </w:pPr>
            <w:r w:rsidRPr="007C3642">
              <w:rPr>
                <w:u w:color="000000"/>
                <w:bdr w:val="nil"/>
                <w:lang w:val="en-US"/>
              </w:rPr>
              <w:t>Sometimes</w:t>
            </w:r>
          </w:p>
        </w:tc>
        <w:tc>
          <w:tcPr>
            <w:tcW w:w="540"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1.3</w:t>
            </w:r>
          </w:p>
        </w:tc>
        <w:tc>
          <w:tcPr>
            <w:tcW w:w="523"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6.5</w:t>
            </w:r>
          </w:p>
        </w:tc>
        <w:tc>
          <w:tcPr>
            <w:tcW w:w="463"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4.0</w:t>
            </w:r>
          </w:p>
        </w:tc>
        <w:tc>
          <w:tcPr>
            <w:tcW w:w="519"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2.8</w:t>
            </w:r>
          </w:p>
        </w:tc>
        <w:tc>
          <w:tcPr>
            <w:tcW w:w="406"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14.9</w:t>
            </w:r>
          </w:p>
        </w:tc>
        <w:tc>
          <w:tcPr>
            <w:tcW w:w="580"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8.6</w:t>
            </w:r>
          </w:p>
        </w:tc>
        <w:tc>
          <w:tcPr>
            <w:tcW w:w="519"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1.3</w:t>
            </w:r>
          </w:p>
        </w:tc>
        <w:tc>
          <w:tcPr>
            <w:tcW w:w="636" w:type="pct"/>
            <w:tcBorders>
              <w:top w:val="nil"/>
              <w:bottom w:val="nil"/>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9.5</w:t>
            </w:r>
          </w:p>
        </w:tc>
      </w:tr>
      <w:tr w:rsidR="00F43118" w:rsidRPr="00F43118" w:rsidTr="00FE5D8C">
        <w:trPr>
          <w:trHeight w:val="290"/>
        </w:trPr>
        <w:tc>
          <w:tcPr>
            <w:cnfStyle w:val="001000000000" w:firstRow="0" w:lastRow="0" w:firstColumn="1" w:lastColumn="0" w:oddVBand="0" w:evenVBand="0" w:oddHBand="0" w:evenHBand="0" w:firstRowFirstColumn="0" w:firstRowLastColumn="0" w:lastRowFirstColumn="0" w:lastRowLastColumn="0"/>
            <w:tcW w:w="815" w:type="pct"/>
            <w:tcBorders>
              <w:top w:val="nil"/>
              <w:bottom w:val="nil"/>
            </w:tcBorders>
          </w:tcPr>
          <w:p w:rsidR="00F43118" w:rsidRPr="007C3642" w:rsidRDefault="00F43118" w:rsidP="00D62C88">
            <w:pPr>
              <w:rPr>
                <w:u w:color="000000"/>
                <w:bdr w:val="nil"/>
                <w:lang w:val="en-US"/>
              </w:rPr>
            </w:pPr>
            <w:r w:rsidRPr="007C3642">
              <w:rPr>
                <w:u w:color="000000"/>
                <w:bdr w:val="nil"/>
                <w:lang w:val="en-US"/>
              </w:rPr>
              <w:t>Often</w:t>
            </w:r>
          </w:p>
        </w:tc>
        <w:tc>
          <w:tcPr>
            <w:tcW w:w="540"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0.3</w:t>
            </w:r>
          </w:p>
        </w:tc>
        <w:tc>
          <w:tcPr>
            <w:tcW w:w="523"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0.9</w:t>
            </w:r>
          </w:p>
        </w:tc>
        <w:tc>
          <w:tcPr>
            <w:tcW w:w="463"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1.3</w:t>
            </w:r>
          </w:p>
        </w:tc>
        <w:tc>
          <w:tcPr>
            <w:tcW w:w="519"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0.2</w:t>
            </w:r>
          </w:p>
        </w:tc>
        <w:tc>
          <w:tcPr>
            <w:tcW w:w="406"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3.8</w:t>
            </w:r>
          </w:p>
        </w:tc>
        <w:tc>
          <w:tcPr>
            <w:tcW w:w="580"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1.3</w:t>
            </w:r>
          </w:p>
        </w:tc>
        <w:tc>
          <w:tcPr>
            <w:tcW w:w="519"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0.0</w:t>
            </w:r>
          </w:p>
        </w:tc>
        <w:tc>
          <w:tcPr>
            <w:tcW w:w="636" w:type="pct"/>
            <w:tcBorders>
              <w:top w:val="nil"/>
              <w:bottom w:val="nil"/>
            </w:tcBorders>
          </w:tcPr>
          <w:p w:rsidR="00F43118" w:rsidRPr="007C3642" w:rsidRDefault="00F43118" w:rsidP="00D62C88">
            <w:pPr>
              <w:cnfStyle w:val="000000000000" w:firstRow="0" w:lastRow="0" w:firstColumn="0" w:lastColumn="0" w:oddVBand="0" w:evenVBand="0" w:oddHBand="0" w:evenHBand="0" w:firstRowFirstColumn="0" w:firstRowLastColumn="0" w:lastRowFirstColumn="0" w:lastRowLastColumn="0"/>
            </w:pPr>
            <w:r w:rsidRPr="007C3642">
              <w:t>2.3</w:t>
            </w:r>
          </w:p>
        </w:tc>
      </w:tr>
      <w:tr w:rsidR="00F43118" w:rsidRPr="00F43118" w:rsidTr="00FE5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5" w:type="pct"/>
            <w:tcBorders>
              <w:top w:val="nil"/>
              <w:bottom w:val="single" w:sz="4" w:space="0" w:color="auto"/>
            </w:tcBorders>
          </w:tcPr>
          <w:p w:rsidR="00F43118" w:rsidRPr="007C3642" w:rsidRDefault="00F43118" w:rsidP="00D62C88">
            <w:pPr>
              <w:rPr>
                <w:u w:color="000000"/>
                <w:bdr w:val="nil"/>
                <w:lang w:val="en-US"/>
              </w:rPr>
            </w:pPr>
            <w:r w:rsidRPr="007C3642">
              <w:rPr>
                <w:u w:color="000000"/>
                <w:bdr w:val="nil"/>
                <w:lang w:val="en-US"/>
              </w:rPr>
              <w:t>Very Often/Always</w:t>
            </w:r>
          </w:p>
        </w:tc>
        <w:tc>
          <w:tcPr>
            <w:tcW w:w="540"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0.0</w:t>
            </w:r>
          </w:p>
        </w:tc>
        <w:tc>
          <w:tcPr>
            <w:tcW w:w="523"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0.5</w:t>
            </w:r>
          </w:p>
        </w:tc>
        <w:tc>
          <w:tcPr>
            <w:tcW w:w="463"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0.5</w:t>
            </w:r>
          </w:p>
        </w:tc>
        <w:tc>
          <w:tcPr>
            <w:tcW w:w="519"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0.1</w:t>
            </w:r>
          </w:p>
        </w:tc>
        <w:tc>
          <w:tcPr>
            <w:tcW w:w="406"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1.6</w:t>
            </w:r>
          </w:p>
        </w:tc>
        <w:tc>
          <w:tcPr>
            <w:tcW w:w="580"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0.5</w:t>
            </w:r>
          </w:p>
        </w:tc>
        <w:tc>
          <w:tcPr>
            <w:tcW w:w="519"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0.1</w:t>
            </w:r>
          </w:p>
        </w:tc>
        <w:tc>
          <w:tcPr>
            <w:tcW w:w="636" w:type="pct"/>
            <w:tcBorders>
              <w:top w:val="nil"/>
              <w:bottom w:val="single" w:sz="4" w:space="0" w:color="auto"/>
            </w:tcBorders>
          </w:tcPr>
          <w:p w:rsidR="00F43118" w:rsidRPr="007C3642" w:rsidRDefault="00F43118" w:rsidP="00D62C88">
            <w:pPr>
              <w:cnfStyle w:val="000000100000" w:firstRow="0" w:lastRow="0" w:firstColumn="0" w:lastColumn="0" w:oddVBand="0" w:evenVBand="0" w:oddHBand="1" w:evenHBand="0" w:firstRowFirstColumn="0" w:firstRowLastColumn="0" w:lastRowFirstColumn="0" w:lastRowLastColumn="0"/>
            </w:pPr>
            <w:r w:rsidRPr="007C3642">
              <w:t>0.5</w:t>
            </w:r>
          </w:p>
        </w:tc>
      </w:tr>
    </w:tbl>
    <w:p w:rsidR="00F43118" w:rsidRPr="00F43118" w:rsidRDefault="00F43118" w:rsidP="00F43118">
      <w:pPr>
        <w:pBdr>
          <w:top w:val="nil"/>
          <w:left w:val="nil"/>
          <w:bottom w:val="nil"/>
          <w:right w:val="nil"/>
          <w:between w:val="nil"/>
          <w:bar w:val="nil"/>
        </w:pBdr>
        <w:spacing w:after="160" w:line="360" w:lineRule="auto"/>
        <w:rPr>
          <w:rFonts w:ascii="Calibri" w:eastAsia="Cambria" w:hAnsi="Calibri" w:cs="Calibri"/>
          <w:color w:val="000000"/>
          <w:sz w:val="24"/>
          <w:u w:color="000000"/>
          <w:bdr w:val="nil"/>
          <w:lang w:val="en-US"/>
        </w:rPr>
      </w:pPr>
    </w:p>
    <w:p w:rsidR="00F43118" w:rsidRPr="00F43118" w:rsidRDefault="00F43118" w:rsidP="00F43118">
      <w:pPr>
        <w:pBdr>
          <w:top w:val="nil"/>
          <w:left w:val="nil"/>
          <w:bottom w:val="nil"/>
          <w:right w:val="nil"/>
          <w:between w:val="nil"/>
          <w:bar w:val="nil"/>
        </w:pBdr>
        <w:spacing w:after="160" w:line="360" w:lineRule="auto"/>
        <w:rPr>
          <w:rFonts w:ascii="Calibri" w:eastAsia="Cambria" w:hAnsi="Calibri" w:cs="Calibri"/>
          <w:color w:val="000000"/>
          <w:sz w:val="24"/>
          <w:u w:color="000000"/>
          <w:bdr w:val="nil"/>
          <w:lang w:val="en-US"/>
        </w:rPr>
        <w:sectPr w:rsidR="00F43118" w:rsidRPr="00F43118" w:rsidSect="00DF7EB4">
          <w:pgSz w:w="16840" w:h="11900" w:orient="landscape"/>
          <w:pgMar w:top="1440" w:right="1440" w:bottom="1440" w:left="1440" w:header="709" w:footer="709" w:gutter="0"/>
          <w:cols w:space="720"/>
        </w:sectPr>
      </w:pPr>
    </w:p>
    <w:p w:rsidR="00F43118" w:rsidRPr="00F43118" w:rsidRDefault="00F43118" w:rsidP="004153FD">
      <w:pPr>
        <w:pStyle w:val="Heading2"/>
        <w:spacing w:before="240" w:after="120"/>
        <w:rPr>
          <w:rFonts w:eastAsia="Cambria"/>
          <w:u w:color="000000"/>
          <w:lang w:eastAsia="en-US"/>
        </w:rPr>
      </w:pPr>
      <w:r w:rsidRPr="00F43118">
        <w:rPr>
          <w:rFonts w:eastAsia="Cambria"/>
          <w:u w:color="000000"/>
          <w:lang w:eastAsia="en-US"/>
        </w:rPr>
        <w:lastRenderedPageBreak/>
        <w:t xml:space="preserve">Antecedents and </w:t>
      </w:r>
      <w:r w:rsidR="00F216B4">
        <w:rPr>
          <w:rFonts w:eastAsia="Cambria"/>
          <w:u w:color="000000"/>
          <w:lang w:eastAsia="en-US"/>
        </w:rPr>
        <w:t>I</w:t>
      </w:r>
      <w:r w:rsidRPr="00F43118">
        <w:rPr>
          <w:rFonts w:eastAsia="Cambria"/>
          <w:u w:color="000000"/>
          <w:lang w:eastAsia="en-US"/>
        </w:rPr>
        <w:t xml:space="preserve">mpacts of </w:t>
      </w:r>
      <w:r w:rsidR="00F216B4">
        <w:rPr>
          <w:rFonts w:eastAsia="Cambria"/>
          <w:u w:color="000000"/>
          <w:lang w:eastAsia="en-US"/>
        </w:rPr>
        <w:t>W</w:t>
      </w:r>
      <w:r w:rsidRPr="00F43118">
        <w:rPr>
          <w:rFonts w:eastAsia="Cambria"/>
          <w:u w:color="000000"/>
          <w:lang w:eastAsia="en-US"/>
        </w:rPr>
        <w:t xml:space="preserve">orkplace </w:t>
      </w:r>
      <w:r w:rsidR="00F216B4">
        <w:rPr>
          <w:rFonts w:eastAsia="Cambria"/>
          <w:u w:color="000000"/>
          <w:lang w:eastAsia="en-US"/>
        </w:rPr>
        <w:t>B</w:t>
      </w:r>
      <w:r w:rsidRPr="00F43118">
        <w:rPr>
          <w:rFonts w:eastAsia="Cambria"/>
          <w:u w:color="000000"/>
          <w:lang w:eastAsia="en-US"/>
        </w:rPr>
        <w:t xml:space="preserve">ullying and </w:t>
      </w:r>
      <w:r w:rsidR="00F216B4">
        <w:rPr>
          <w:rFonts w:eastAsia="Cambria"/>
          <w:u w:color="000000"/>
          <w:lang w:eastAsia="en-US"/>
        </w:rPr>
        <w:t>H</w:t>
      </w:r>
      <w:r w:rsidRPr="00F43118">
        <w:rPr>
          <w:rFonts w:eastAsia="Cambria"/>
          <w:u w:color="000000"/>
          <w:lang w:eastAsia="en-US"/>
        </w:rPr>
        <w:t xml:space="preserve">arassment </w:t>
      </w:r>
    </w:p>
    <w:p w:rsidR="00F43118" w:rsidRPr="00F43118" w:rsidRDefault="00F43118" w:rsidP="004153FD">
      <w:pPr>
        <w:spacing w:after="120"/>
        <w:rPr>
          <w:rFonts w:eastAsia="Cambria"/>
          <w:u w:color="000000"/>
          <w:bdr w:val="nil"/>
          <w:lang w:val="en-US"/>
        </w:rPr>
      </w:pPr>
      <w:r w:rsidRPr="00F43118">
        <w:rPr>
          <w:rFonts w:eastAsia="Cambria"/>
          <w:u w:color="000000"/>
          <w:bdr w:val="nil"/>
          <w:lang w:val="en-US"/>
        </w:rPr>
        <w:t>Bivariate correlations (</w:t>
      </w:r>
      <w:r w:rsidRPr="00FB0F05">
        <w:rPr>
          <w:rFonts w:eastAsia="Cambria"/>
          <w:i/>
          <w:u w:color="000000"/>
          <w:bdr w:val="nil"/>
          <w:lang w:val="en-US"/>
        </w:rPr>
        <w:t>r</w:t>
      </w:r>
      <w:r w:rsidRPr="00F43118">
        <w:rPr>
          <w:rFonts w:eastAsia="Cambria"/>
          <w:u w:color="000000"/>
          <w:bdr w:val="nil"/>
          <w:lang w:val="en-US"/>
        </w:rPr>
        <w:t xml:space="preserve">) were conducted to assess relationships between </w:t>
      </w:r>
      <w:r w:rsidR="008D3D73">
        <w:rPr>
          <w:rFonts w:eastAsia="Cambria"/>
          <w:u w:color="000000"/>
          <w:bdr w:val="nil"/>
          <w:lang w:val="en-US"/>
        </w:rPr>
        <w:t xml:space="preserve">potential bullying and harassment </w:t>
      </w:r>
      <w:r w:rsidRPr="00F43118">
        <w:rPr>
          <w:rFonts w:eastAsia="Cambria"/>
          <w:u w:color="000000"/>
          <w:bdr w:val="nil"/>
          <w:lang w:val="en-US"/>
        </w:rPr>
        <w:t xml:space="preserve">antecedents (job design and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factors) and impacts (personal, health and work) with workplace bullying and harassment</w:t>
      </w:r>
      <w:r w:rsidR="008D3D73">
        <w:rPr>
          <w:rFonts w:eastAsia="Cambria"/>
          <w:u w:color="000000"/>
          <w:bdr w:val="nil"/>
          <w:lang w:val="en-US"/>
        </w:rPr>
        <w:t xml:space="preserve"> incidence</w:t>
      </w:r>
      <w:r w:rsidRPr="00F43118">
        <w:rPr>
          <w:rFonts w:eastAsia="Cambria"/>
          <w:u w:color="000000"/>
          <w:bdr w:val="nil"/>
          <w:lang w:val="en-US"/>
        </w:rPr>
        <w:t xml:space="preserve"> (see Table 2).</w:t>
      </w:r>
    </w:p>
    <w:p w:rsidR="00F43118" w:rsidRPr="00F43118" w:rsidRDefault="00F43118" w:rsidP="004153FD">
      <w:pPr>
        <w:spacing w:after="120"/>
        <w:rPr>
          <w:rFonts w:eastAsia="Cambria"/>
          <w:u w:color="000000"/>
          <w:bdr w:val="nil"/>
          <w:lang w:val="en-US"/>
        </w:rPr>
      </w:pPr>
      <w:r w:rsidRPr="00F43118">
        <w:rPr>
          <w:rFonts w:eastAsia="Cambria"/>
          <w:u w:color="000000"/>
          <w:bdr w:val="nil"/>
          <w:lang w:val="en-US"/>
        </w:rPr>
        <w:t>Bivariate correlations may indicate a positive or negative relationship.</w:t>
      </w:r>
      <w:r w:rsidR="009F5BA0">
        <w:rPr>
          <w:rFonts w:eastAsia="Cambria"/>
          <w:u w:color="000000"/>
          <w:bdr w:val="nil"/>
          <w:lang w:val="en-US"/>
        </w:rPr>
        <w:t xml:space="preserve"> </w:t>
      </w:r>
      <w:r w:rsidRPr="00F43118">
        <w:rPr>
          <w:rFonts w:eastAsia="Cambria"/>
          <w:u w:color="000000"/>
          <w:bdr w:val="nil"/>
          <w:lang w:val="en-US"/>
        </w:rPr>
        <w:t xml:space="preserve">A significant positive relationship means that higher levels </w:t>
      </w:r>
      <w:r w:rsidR="0089332B" w:rsidRPr="00F43118">
        <w:rPr>
          <w:rFonts w:eastAsia="Cambria"/>
          <w:u w:color="000000"/>
          <w:bdr w:val="nil"/>
          <w:lang w:val="en-US"/>
        </w:rPr>
        <w:t>o</w:t>
      </w:r>
      <w:r w:rsidR="0089332B">
        <w:rPr>
          <w:rFonts w:eastAsia="Cambria"/>
          <w:u w:color="000000"/>
          <w:bdr w:val="nil"/>
          <w:lang w:val="en-US"/>
        </w:rPr>
        <w:t>f</w:t>
      </w:r>
      <w:r w:rsidR="0089332B" w:rsidRPr="00F43118">
        <w:rPr>
          <w:rFonts w:eastAsia="Cambria"/>
          <w:u w:color="000000"/>
          <w:bdr w:val="nil"/>
          <w:lang w:val="en-US"/>
        </w:rPr>
        <w:t xml:space="preserve"> </w:t>
      </w:r>
      <w:r w:rsidRPr="00F43118">
        <w:rPr>
          <w:rFonts w:eastAsia="Cambria"/>
          <w:u w:color="000000"/>
          <w:bdr w:val="nil"/>
          <w:lang w:val="en-US"/>
        </w:rPr>
        <w:t xml:space="preserve">one factor correspond with higher levels of </w:t>
      </w:r>
      <w:r w:rsidR="009F5BA0">
        <w:rPr>
          <w:rFonts w:eastAsia="Cambria"/>
          <w:u w:color="000000"/>
          <w:bdr w:val="nil"/>
          <w:lang w:val="en-US"/>
        </w:rPr>
        <w:t>the othe</w:t>
      </w:r>
      <w:r w:rsidR="009F5BA0" w:rsidRPr="00F43118">
        <w:rPr>
          <w:rFonts w:eastAsia="Cambria"/>
          <w:u w:color="000000"/>
          <w:bdr w:val="nil"/>
          <w:lang w:val="en-US"/>
        </w:rPr>
        <w:t xml:space="preserve">r </w:t>
      </w:r>
      <w:r w:rsidRPr="00F43118">
        <w:rPr>
          <w:rFonts w:eastAsia="Cambria"/>
          <w:u w:color="000000"/>
          <w:bdr w:val="nil"/>
          <w:lang w:val="en-US"/>
        </w:rPr>
        <w:t>factor. If there is a positive relationship, for example, between demands and bullying it indicates that higher level</w:t>
      </w:r>
      <w:r w:rsidR="009F5BA0">
        <w:rPr>
          <w:rFonts w:eastAsia="Cambria"/>
          <w:u w:color="000000"/>
          <w:bdr w:val="nil"/>
          <w:lang w:val="en-US"/>
        </w:rPr>
        <w:t>s</w:t>
      </w:r>
      <w:r w:rsidRPr="00F43118">
        <w:rPr>
          <w:rFonts w:eastAsia="Cambria"/>
          <w:u w:color="000000"/>
          <w:bdr w:val="nil"/>
          <w:lang w:val="en-US"/>
        </w:rPr>
        <w:t xml:space="preserve"> of job demands corresponds with</w:t>
      </w:r>
      <w:r w:rsidR="009F5BA0">
        <w:rPr>
          <w:rFonts w:eastAsia="Cambria"/>
          <w:u w:color="000000"/>
          <w:bdr w:val="nil"/>
          <w:lang w:val="en-US"/>
        </w:rPr>
        <w:t xml:space="preserve"> </w:t>
      </w:r>
      <w:r w:rsidRPr="00F43118">
        <w:rPr>
          <w:rFonts w:eastAsia="Cambria"/>
          <w:u w:color="000000"/>
          <w:bdr w:val="nil"/>
          <w:lang w:val="en-US"/>
        </w:rPr>
        <w:t>higher level</w:t>
      </w:r>
      <w:r w:rsidR="009F5BA0">
        <w:rPr>
          <w:rFonts w:eastAsia="Cambria"/>
          <w:u w:color="000000"/>
          <w:bdr w:val="nil"/>
          <w:lang w:val="en-US"/>
        </w:rPr>
        <w:t>s</w:t>
      </w:r>
      <w:r w:rsidRPr="00F43118">
        <w:rPr>
          <w:rFonts w:eastAsia="Cambria"/>
          <w:u w:color="000000"/>
          <w:bdr w:val="nil"/>
          <w:lang w:val="en-US"/>
        </w:rPr>
        <w:t xml:space="preserve"> of bullying. Conversely, a significant negative relationship between resources and bullying suggests that lower levels of job resources correspond </w:t>
      </w:r>
      <w:r w:rsidR="004153FD">
        <w:rPr>
          <w:rFonts w:eastAsia="Cambria"/>
          <w:u w:color="000000"/>
          <w:bdr w:val="nil"/>
          <w:lang w:val="en-US"/>
        </w:rPr>
        <w:t>with higher levels of bullying.</w:t>
      </w:r>
    </w:p>
    <w:p w:rsidR="00DB459B" w:rsidRDefault="00F43118" w:rsidP="004153FD">
      <w:pPr>
        <w:spacing w:after="120"/>
        <w:rPr>
          <w:rFonts w:eastAsia="Cambria"/>
          <w:u w:color="000000"/>
          <w:bdr w:val="nil"/>
          <w:lang w:val="en-US"/>
        </w:rPr>
      </w:pPr>
      <w:r w:rsidRPr="00F43118">
        <w:rPr>
          <w:rFonts w:eastAsia="Cambria"/>
          <w:u w:color="000000"/>
          <w:bdr w:val="nil"/>
          <w:lang w:val="en-US"/>
        </w:rPr>
        <w:t xml:space="preserve">Effect sizes of </w:t>
      </w:r>
      <w:r w:rsidRPr="00FB0F05">
        <w:rPr>
          <w:rFonts w:eastAsia="Cambria"/>
          <w:i/>
          <w:u w:color="000000"/>
          <w:bdr w:val="nil"/>
          <w:lang w:val="en-US"/>
        </w:rPr>
        <w:t>r</w:t>
      </w:r>
      <w:r w:rsidRPr="00F43118">
        <w:rPr>
          <w:rFonts w:eastAsia="Cambria"/>
          <w:u w:color="000000"/>
          <w:bdr w:val="nil"/>
          <w:lang w:val="en-US"/>
        </w:rPr>
        <w:t xml:space="preserve"> = .10 are small, .30 medium, and .50 large (Cohen, 1992).  We focus our interpretations in general on effect sizes above small. Although correlational analyses cannot infer causation, the results </w:t>
      </w:r>
      <w:r w:rsidR="009F5BA0">
        <w:rPr>
          <w:rFonts w:eastAsia="Cambria"/>
          <w:u w:color="000000"/>
          <w:bdr w:val="nil"/>
          <w:lang w:val="en-US"/>
        </w:rPr>
        <w:t xml:space="preserve">may </w:t>
      </w:r>
      <w:r w:rsidRPr="00F43118">
        <w:rPr>
          <w:rFonts w:eastAsia="Cambria"/>
          <w:u w:color="000000"/>
          <w:bdr w:val="nil"/>
          <w:lang w:val="en-US"/>
        </w:rPr>
        <w:t xml:space="preserve">provide valuable insight into aspects </w:t>
      </w:r>
      <w:r w:rsidR="009F5BA0">
        <w:rPr>
          <w:rFonts w:eastAsia="Cambria"/>
          <w:u w:color="000000"/>
          <w:bdr w:val="nil"/>
          <w:lang w:val="en-US"/>
        </w:rPr>
        <w:t xml:space="preserve">that </w:t>
      </w:r>
      <w:r w:rsidRPr="00F43118">
        <w:rPr>
          <w:rFonts w:eastAsia="Cambria"/>
          <w:u w:color="000000"/>
          <w:bdr w:val="nil"/>
          <w:lang w:val="en-US"/>
        </w:rPr>
        <w:t>are closely related to bullying.</w:t>
      </w:r>
    </w:p>
    <w:p w:rsidR="00F43118" w:rsidRPr="004153FD" w:rsidRDefault="00F43118" w:rsidP="004153FD">
      <w:pPr>
        <w:pStyle w:val="Heading2"/>
        <w:spacing w:before="240" w:after="120"/>
        <w:rPr>
          <w:rFonts w:eastAsia="Cambria"/>
          <w:u w:color="000000"/>
          <w:lang w:eastAsia="en-US"/>
        </w:rPr>
      </w:pPr>
      <w:r w:rsidRPr="004153FD">
        <w:rPr>
          <w:rFonts w:eastAsia="Cambria"/>
          <w:u w:color="000000"/>
          <w:lang w:eastAsia="en-US"/>
        </w:rPr>
        <w:t xml:space="preserve">Characteristics of </w:t>
      </w:r>
      <w:r w:rsidR="001A28FB">
        <w:rPr>
          <w:rFonts w:eastAsia="Cambria"/>
          <w:u w:color="000000"/>
          <w:lang w:eastAsia="en-US"/>
        </w:rPr>
        <w:t>t</w:t>
      </w:r>
      <w:r w:rsidRPr="004153FD">
        <w:rPr>
          <w:rFonts w:eastAsia="Cambria"/>
          <w:u w:color="000000"/>
          <w:lang w:eastAsia="en-US"/>
        </w:rPr>
        <w:t xml:space="preserve">hose who </w:t>
      </w:r>
      <w:r w:rsidR="00F216B4" w:rsidRPr="004153FD">
        <w:rPr>
          <w:rFonts w:eastAsia="Cambria"/>
          <w:u w:color="000000"/>
          <w:lang w:eastAsia="en-US"/>
        </w:rPr>
        <w:t>E</w:t>
      </w:r>
      <w:r w:rsidRPr="004153FD">
        <w:rPr>
          <w:rFonts w:eastAsia="Cambria"/>
          <w:u w:color="000000"/>
          <w:lang w:eastAsia="en-US"/>
        </w:rPr>
        <w:t>xperienc</w:t>
      </w:r>
      <w:r w:rsidR="00F216B4" w:rsidRPr="004153FD">
        <w:rPr>
          <w:rFonts w:eastAsia="Cambria"/>
          <w:u w:color="000000"/>
          <w:lang w:eastAsia="en-US"/>
        </w:rPr>
        <w:t>e B</w:t>
      </w:r>
      <w:r w:rsidRPr="004153FD">
        <w:rPr>
          <w:rFonts w:eastAsia="Cambria"/>
          <w:u w:color="000000"/>
          <w:lang w:eastAsia="en-US"/>
        </w:rPr>
        <w:t xml:space="preserve">ullying and </w:t>
      </w:r>
      <w:r w:rsidR="00F216B4" w:rsidRPr="004153FD">
        <w:rPr>
          <w:rFonts w:eastAsia="Cambria"/>
          <w:u w:color="000000"/>
          <w:lang w:eastAsia="en-US"/>
        </w:rPr>
        <w:t>H</w:t>
      </w:r>
      <w:r w:rsidRPr="004153FD">
        <w:rPr>
          <w:rFonts w:eastAsia="Cambria"/>
          <w:u w:color="000000"/>
          <w:lang w:eastAsia="en-US"/>
        </w:rPr>
        <w:t>arassment</w:t>
      </w:r>
    </w:p>
    <w:p w:rsidR="00F43118" w:rsidRPr="00F43118" w:rsidRDefault="00F43118" w:rsidP="004153FD">
      <w:pPr>
        <w:spacing w:after="120"/>
        <w:rPr>
          <w:rFonts w:eastAsia="Cambria"/>
          <w:u w:color="000000"/>
          <w:bdr w:val="nil"/>
          <w:lang w:val="en-US"/>
        </w:rPr>
      </w:pPr>
      <w:r w:rsidRPr="00F43118">
        <w:rPr>
          <w:rFonts w:eastAsia="Cambria"/>
          <w:u w:color="000000"/>
          <w:bdr w:val="nil"/>
          <w:lang w:val="en-US"/>
        </w:rPr>
        <w:t xml:space="preserve">We considered people aspects (i.e. age, gender, and income) to determine whether certain employee demographics were more likely to be targets of bullying and harassment. Overall the demographics showed small effects in relation to </w:t>
      </w:r>
      <w:r w:rsidR="009F5BA0">
        <w:rPr>
          <w:rFonts w:eastAsia="Cambria"/>
          <w:u w:color="000000"/>
          <w:bdr w:val="nil"/>
          <w:lang w:val="en-US"/>
        </w:rPr>
        <w:t xml:space="preserve">the experience of </w:t>
      </w:r>
      <w:r w:rsidRPr="00F43118">
        <w:rPr>
          <w:rFonts w:eastAsia="Cambria"/>
          <w:u w:color="000000"/>
          <w:bdr w:val="nil"/>
          <w:lang w:val="en-US"/>
        </w:rPr>
        <w:t xml:space="preserve">bullying (Table 2). The only pattern to emerge was that gender was significantly related to bullying </w:t>
      </w:r>
      <w:r w:rsidR="009F5BA0">
        <w:rPr>
          <w:rFonts w:eastAsia="Cambria"/>
          <w:u w:color="000000"/>
          <w:bdr w:val="nil"/>
          <w:lang w:val="en-US"/>
        </w:rPr>
        <w:t xml:space="preserve">experienced </w:t>
      </w:r>
      <w:r w:rsidRPr="00F43118">
        <w:rPr>
          <w:rFonts w:eastAsia="Cambria"/>
          <w:u w:color="000000"/>
          <w:bdr w:val="nil"/>
          <w:lang w:val="en-US"/>
        </w:rPr>
        <w:t xml:space="preserve">although the effect size was very small (0.04); women experienced significantly higher levels of bullying than men, more frequently, and for longer periods. These findings have mixed support from the literature, as some studies indicate women experience more bullying while others establish an equal likelihood </w:t>
      </w:r>
      <w:r w:rsidR="009F5BA0">
        <w:rPr>
          <w:rFonts w:eastAsia="Cambria"/>
          <w:u w:color="000000"/>
          <w:bdr w:val="nil"/>
          <w:lang w:val="en-US"/>
        </w:rPr>
        <w:t>by</w:t>
      </w:r>
      <w:r w:rsidRPr="00F43118">
        <w:rPr>
          <w:rFonts w:eastAsia="Cambria"/>
          <w:u w:color="000000"/>
          <w:bdr w:val="nil"/>
          <w:lang w:val="en-US"/>
        </w:rPr>
        <w:t xml:space="preserve"> </w:t>
      </w:r>
      <w:r w:rsidR="004153FD">
        <w:rPr>
          <w:rFonts w:eastAsia="Cambria"/>
          <w:u w:color="000000"/>
          <w:bdr w:val="nil"/>
          <w:lang w:val="en-US"/>
        </w:rPr>
        <w:t xml:space="preserve">gender (Bowling &amp; </w:t>
      </w:r>
      <w:proofErr w:type="spellStart"/>
      <w:r w:rsidR="004153FD">
        <w:rPr>
          <w:rFonts w:eastAsia="Cambria"/>
          <w:u w:color="000000"/>
          <w:bdr w:val="nil"/>
          <w:lang w:val="en-US"/>
        </w:rPr>
        <w:t>Beehr</w:t>
      </w:r>
      <w:proofErr w:type="spellEnd"/>
      <w:r w:rsidR="004153FD">
        <w:rPr>
          <w:rFonts w:eastAsia="Cambria"/>
          <w:u w:color="000000"/>
          <w:bdr w:val="nil"/>
          <w:lang w:val="en-US"/>
        </w:rPr>
        <w:t>, 2006).</w:t>
      </w:r>
    </w:p>
    <w:p w:rsidR="00DB459B" w:rsidRDefault="00F43118" w:rsidP="004153FD">
      <w:pPr>
        <w:spacing w:after="120"/>
        <w:rPr>
          <w:rFonts w:eastAsia="Cambria"/>
          <w:u w:color="000000"/>
          <w:bdr w:val="nil"/>
          <w:lang w:val="en-US"/>
        </w:rPr>
      </w:pPr>
      <w:r w:rsidRPr="00F43118">
        <w:rPr>
          <w:rFonts w:eastAsia="Cambria"/>
          <w:u w:color="000000"/>
          <w:bdr w:val="nil"/>
          <w:lang w:val="en-US"/>
        </w:rPr>
        <w:t xml:space="preserve">For harassment, gender was again the prominent demographic factor </w:t>
      </w:r>
      <w:r w:rsidR="00A07A56">
        <w:rPr>
          <w:rFonts w:eastAsia="Cambria"/>
          <w:u w:color="000000"/>
          <w:bdr w:val="nil"/>
          <w:lang w:val="en-US"/>
        </w:rPr>
        <w:t xml:space="preserve">although </w:t>
      </w:r>
      <w:r w:rsidR="00721D8B">
        <w:rPr>
          <w:rFonts w:eastAsia="Cambria"/>
          <w:u w:color="000000"/>
          <w:bdr w:val="nil"/>
          <w:lang w:val="en-US"/>
        </w:rPr>
        <w:t xml:space="preserve">the </w:t>
      </w:r>
      <w:r w:rsidR="00721D8B" w:rsidRPr="00F43118">
        <w:rPr>
          <w:rFonts w:eastAsia="Cambria"/>
          <w:u w:color="000000"/>
          <w:bdr w:val="nil"/>
          <w:lang w:val="en-US"/>
        </w:rPr>
        <w:t>effect</w:t>
      </w:r>
      <w:r w:rsidRPr="00F43118">
        <w:rPr>
          <w:rFonts w:eastAsia="Cambria"/>
          <w:u w:color="000000"/>
          <w:bdr w:val="nil"/>
          <w:lang w:val="en-US"/>
        </w:rPr>
        <w:t xml:space="preserve"> sizes were small. Women were more likely to experience unwanted sexual advances, unfair treatment because of their gender, and experience being physically assaulted or threatened by a client or patient. Men were significantly more likely to experience being sworn at or yelled at in the workplace, and </w:t>
      </w:r>
      <w:r w:rsidR="009F5BA0">
        <w:rPr>
          <w:rFonts w:eastAsia="Cambria"/>
          <w:u w:color="000000"/>
          <w:bdr w:val="nil"/>
          <w:lang w:val="en-US"/>
        </w:rPr>
        <w:t xml:space="preserve">experience </w:t>
      </w:r>
      <w:r w:rsidRPr="00F43118">
        <w:rPr>
          <w:rFonts w:eastAsia="Cambria"/>
          <w:u w:color="000000"/>
          <w:bdr w:val="nil"/>
          <w:lang w:val="en-US"/>
        </w:rPr>
        <w:t>negative comments regarding ethnicity or race. Older workers were more likely to experience being physically assaulted or threatened by a client or patient. In regard to income level, higher income workers w</w:t>
      </w:r>
      <w:r w:rsidR="004153FD">
        <w:rPr>
          <w:rFonts w:eastAsia="Cambria"/>
          <w:u w:color="000000"/>
          <w:bdr w:val="nil"/>
          <w:lang w:val="en-US"/>
        </w:rPr>
        <w:t>ere more likely to be sworn at.</w:t>
      </w:r>
    </w:p>
    <w:p w:rsidR="00F43118" w:rsidRPr="004153FD" w:rsidRDefault="00F43118" w:rsidP="004153FD">
      <w:pPr>
        <w:pStyle w:val="Heading2"/>
        <w:spacing w:before="240" w:after="120"/>
        <w:rPr>
          <w:rFonts w:eastAsia="Cambria"/>
          <w:u w:color="000000"/>
          <w:lang w:eastAsia="en-US"/>
        </w:rPr>
      </w:pPr>
      <w:r w:rsidRPr="004153FD">
        <w:rPr>
          <w:rFonts w:eastAsia="Cambria"/>
          <w:u w:color="000000"/>
          <w:lang w:eastAsia="en-US"/>
        </w:rPr>
        <w:t xml:space="preserve">Work and </w:t>
      </w:r>
      <w:r w:rsidR="00F216B4" w:rsidRPr="004153FD">
        <w:rPr>
          <w:rFonts w:eastAsia="Cambria"/>
          <w:u w:color="000000"/>
          <w:lang w:eastAsia="en-US"/>
        </w:rPr>
        <w:t>O</w:t>
      </w:r>
      <w:r w:rsidRPr="004153FD">
        <w:rPr>
          <w:rFonts w:eastAsia="Cambria"/>
          <w:u w:color="000000"/>
          <w:lang w:eastAsia="en-US"/>
        </w:rPr>
        <w:t xml:space="preserve">rganisational </w:t>
      </w:r>
      <w:r w:rsidR="00F216B4" w:rsidRPr="004153FD">
        <w:rPr>
          <w:rFonts w:eastAsia="Cambria"/>
          <w:u w:color="000000"/>
          <w:lang w:eastAsia="en-US"/>
        </w:rPr>
        <w:t>F</w:t>
      </w:r>
      <w:r w:rsidRPr="004153FD">
        <w:rPr>
          <w:rFonts w:eastAsia="Cambria"/>
          <w:u w:color="000000"/>
          <w:lang w:eastAsia="en-US"/>
        </w:rPr>
        <w:t xml:space="preserve">actors </w:t>
      </w:r>
      <w:r w:rsidR="00F216B4" w:rsidRPr="004153FD">
        <w:rPr>
          <w:rFonts w:eastAsia="Cambria"/>
          <w:u w:color="000000"/>
          <w:lang w:eastAsia="en-US"/>
        </w:rPr>
        <w:t>R</w:t>
      </w:r>
      <w:r w:rsidRPr="004153FD">
        <w:rPr>
          <w:rFonts w:eastAsia="Cambria"/>
          <w:u w:color="000000"/>
          <w:lang w:eastAsia="en-US"/>
        </w:rPr>
        <w:t xml:space="preserve">elated to </w:t>
      </w:r>
      <w:r w:rsidR="00F216B4" w:rsidRPr="004153FD">
        <w:rPr>
          <w:rFonts w:eastAsia="Cambria"/>
          <w:u w:color="000000"/>
          <w:lang w:eastAsia="en-US"/>
        </w:rPr>
        <w:t>B</w:t>
      </w:r>
      <w:r w:rsidRPr="004153FD">
        <w:rPr>
          <w:rFonts w:eastAsia="Cambria"/>
          <w:u w:color="000000"/>
          <w:lang w:eastAsia="en-US"/>
        </w:rPr>
        <w:t xml:space="preserve">ullying and </w:t>
      </w:r>
      <w:r w:rsidR="00F216B4" w:rsidRPr="004153FD">
        <w:rPr>
          <w:rFonts w:eastAsia="Cambria"/>
          <w:u w:color="000000"/>
          <w:lang w:eastAsia="en-US"/>
        </w:rPr>
        <w:t>H</w:t>
      </w:r>
      <w:r w:rsidRPr="004153FD">
        <w:rPr>
          <w:rFonts w:eastAsia="Cambria"/>
          <w:u w:color="000000"/>
          <w:lang w:eastAsia="en-US"/>
        </w:rPr>
        <w:t>arassment</w:t>
      </w:r>
    </w:p>
    <w:p w:rsidR="00F43118" w:rsidRPr="00F43118" w:rsidRDefault="00F43118" w:rsidP="004153FD">
      <w:pPr>
        <w:spacing w:after="120"/>
        <w:rPr>
          <w:rFonts w:eastAsia="Cambria"/>
          <w:u w:color="000000"/>
          <w:bdr w:val="nil"/>
          <w:lang w:val="en-US"/>
        </w:rPr>
      </w:pPr>
      <w:r w:rsidRPr="00F43118">
        <w:rPr>
          <w:rFonts w:eastAsia="Cambria"/>
          <w:u w:color="000000"/>
          <w:bdr w:val="nil"/>
          <w:lang w:val="en-US"/>
        </w:rPr>
        <w:t xml:space="preserve">In relation to work factors, we focused on job demands and job resources as correlates of bullying and harassment, since they are aspects of the design of the work environment consistently linked with higher incidences of bullying in previous research (Tuckey et al., 2009). In this report, job demands refer to psychological demands (frequently referred to as work pressure) and emotional demands; job resources refer to job control, supervisor social support, and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rewards. In relation to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factors we examined PSC </w:t>
      </w:r>
      <w:r w:rsidR="009F5BA0" w:rsidRPr="00F43118">
        <w:rPr>
          <w:rFonts w:eastAsia="Cambria"/>
          <w:u w:color="000000"/>
          <w:bdr w:val="nil"/>
          <w:lang w:val="en-US"/>
        </w:rPr>
        <w:t xml:space="preserve">as an </w:t>
      </w:r>
      <w:proofErr w:type="spellStart"/>
      <w:r w:rsidR="009F5BA0" w:rsidRPr="00F43118">
        <w:rPr>
          <w:rFonts w:eastAsia="Cambria"/>
          <w:u w:color="000000"/>
          <w:bdr w:val="nil"/>
          <w:lang w:val="en-US"/>
        </w:rPr>
        <w:t>organisation</w:t>
      </w:r>
      <w:proofErr w:type="spellEnd"/>
      <w:r w:rsidR="009F5BA0" w:rsidRPr="00F43118">
        <w:rPr>
          <w:rFonts w:eastAsia="Cambria"/>
          <w:u w:color="000000"/>
          <w:bdr w:val="nil"/>
          <w:lang w:val="en-US"/>
        </w:rPr>
        <w:t xml:space="preserve">-level factor </w:t>
      </w:r>
      <w:r w:rsidRPr="00F43118">
        <w:rPr>
          <w:rFonts w:eastAsia="Cambria"/>
          <w:u w:color="000000"/>
          <w:bdr w:val="nil"/>
          <w:lang w:val="en-US"/>
        </w:rPr>
        <w:t>that gives rise to work cond</w:t>
      </w:r>
      <w:r w:rsidR="004153FD">
        <w:rPr>
          <w:rFonts w:eastAsia="Cambria"/>
          <w:u w:color="000000"/>
          <w:bdr w:val="nil"/>
          <w:lang w:val="en-US"/>
        </w:rPr>
        <w:t>itions (demands and resources).</w:t>
      </w:r>
    </w:p>
    <w:p w:rsidR="00F43118" w:rsidRPr="00F43118" w:rsidRDefault="00F43118" w:rsidP="004153FD">
      <w:pPr>
        <w:spacing w:after="120"/>
        <w:rPr>
          <w:rFonts w:eastAsia="Cambria"/>
          <w:u w:color="000000"/>
          <w:bdr w:val="nil"/>
          <w:lang w:val="en-US"/>
        </w:rPr>
      </w:pPr>
      <w:r w:rsidRPr="00F43118">
        <w:rPr>
          <w:rFonts w:eastAsia="Cambria"/>
          <w:u w:color="000000"/>
          <w:bdr w:val="nil"/>
          <w:lang w:val="en-US"/>
        </w:rPr>
        <w:t>For job design factors, job demands were significantly positively correlated with both bullying and harassment. As psychological demands and emotional demands increase</w:t>
      </w:r>
      <w:r w:rsidR="009F5BA0">
        <w:rPr>
          <w:rFonts w:eastAsia="Cambria"/>
          <w:u w:color="000000"/>
          <w:bdr w:val="nil"/>
          <w:lang w:val="en-US"/>
        </w:rPr>
        <w:t>d</w:t>
      </w:r>
      <w:r w:rsidRPr="00F43118">
        <w:rPr>
          <w:rFonts w:eastAsia="Cambria"/>
          <w:u w:color="000000"/>
          <w:bdr w:val="nil"/>
          <w:lang w:val="en-US"/>
        </w:rPr>
        <w:t xml:space="preserve">, so </w:t>
      </w:r>
      <w:r w:rsidR="009F5BA0">
        <w:rPr>
          <w:rFonts w:eastAsia="Cambria"/>
          <w:u w:color="000000"/>
          <w:bdr w:val="nil"/>
          <w:lang w:val="en-US"/>
        </w:rPr>
        <w:t xml:space="preserve">too </w:t>
      </w:r>
      <w:r w:rsidRPr="00F43118">
        <w:rPr>
          <w:rFonts w:eastAsia="Cambria"/>
          <w:u w:color="000000"/>
          <w:bdr w:val="nil"/>
          <w:lang w:val="en-US"/>
        </w:rPr>
        <w:t>d</w:t>
      </w:r>
      <w:r w:rsidR="009F5BA0">
        <w:rPr>
          <w:rFonts w:eastAsia="Cambria"/>
          <w:u w:color="000000"/>
          <w:bdr w:val="nil"/>
          <w:lang w:val="en-US"/>
        </w:rPr>
        <w:t>id</w:t>
      </w:r>
      <w:r w:rsidRPr="00F43118">
        <w:rPr>
          <w:rFonts w:eastAsia="Cambria"/>
          <w:u w:color="000000"/>
          <w:bdr w:val="nil"/>
          <w:lang w:val="en-US"/>
        </w:rPr>
        <w:t xml:space="preserve"> levels of bullying and most forms of harassment experienced. These findings mirror the broader literature and the work environment hypothesis, which establishes that bullied workers are more likely to report higher job demands such as time pressure and workload (</w:t>
      </w:r>
      <w:proofErr w:type="spellStart"/>
      <w:r w:rsidRPr="00F43118">
        <w:rPr>
          <w:rFonts w:eastAsia="Cambria"/>
          <w:u w:color="000000"/>
          <w:bdr w:val="nil"/>
          <w:lang w:val="en-US"/>
        </w:rPr>
        <w:t>Hoel</w:t>
      </w:r>
      <w:proofErr w:type="spellEnd"/>
      <w:r w:rsidRPr="00F43118">
        <w:rPr>
          <w:rFonts w:eastAsia="Cambria"/>
          <w:u w:color="000000"/>
          <w:bdr w:val="nil"/>
          <w:lang w:val="en-US"/>
        </w:rPr>
        <w:t xml:space="preserve"> &amp; Cooper, 2000)</w:t>
      </w:r>
      <w:r w:rsidR="009F5BA0">
        <w:rPr>
          <w:rFonts w:eastAsia="Cambria"/>
          <w:u w:color="000000"/>
          <w:bdr w:val="nil"/>
          <w:lang w:val="en-US"/>
        </w:rPr>
        <w:t xml:space="preserve">, and </w:t>
      </w:r>
      <w:r w:rsidR="004C64C2">
        <w:rPr>
          <w:rFonts w:eastAsia="Cambria"/>
          <w:u w:color="000000"/>
          <w:bdr w:val="nil"/>
          <w:lang w:val="en-US"/>
        </w:rPr>
        <w:t xml:space="preserve">is consistent with the theory </w:t>
      </w:r>
      <w:r w:rsidR="009F5BA0">
        <w:rPr>
          <w:rFonts w:eastAsia="Cambria"/>
          <w:u w:color="000000"/>
          <w:bdr w:val="nil"/>
          <w:lang w:val="en-US"/>
        </w:rPr>
        <w:t xml:space="preserve">that these work conditions may predispose bullying </w:t>
      </w:r>
      <w:r w:rsidR="00403508">
        <w:rPr>
          <w:rFonts w:eastAsia="Cambria"/>
          <w:u w:color="000000"/>
          <w:bdr w:val="nil"/>
          <w:lang w:val="en-US"/>
        </w:rPr>
        <w:t xml:space="preserve">and harassment </w:t>
      </w:r>
      <w:proofErr w:type="spellStart"/>
      <w:r w:rsidR="009F5BA0">
        <w:rPr>
          <w:rFonts w:eastAsia="Cambria"/>
          <w:u w:color="000000"/>
          <w:bdr w:val="nil"/>
          <w:lang w:val="en-US"/>
        </w:rPr>
        <w:t>behaviours</w:t>
      </w:r>
      <w:proofErr w:type="spellEnd"/>
      <w:r w:rsidR="009F5BA0">
        <w:rPr>
          <w:rFonts w:eastAsia="Cambria"/>
          <w:u w:color="000000"/>
          <w:bdr w:val="nil"/>
          <w:lang w:val="en-US"/>
        </w:rPr>
        <w:t xml:space="preserve"> in the workplace</w:t>
      </w:r>
      <w:r w:rsidR="004153FD">
        <w:rPr>
          <w:rFonts w:eastAsia="Cambria"/>
          <w:u w:color="000000"/>
          <w:bdr w:val="nil"/>
          <w:lang w:val="en-US"/>
        </w:rPr>
        <w:t>.</w:t>
      </w:r>
    </w:p>
    <w:p w:rsidR="00F43118" w:rsidRPr="00F43118" w:rsidRDefault="00F43118" w:rsidP="004153FD">
      <w:pPr>
        <w:spacing w:after="120"/>
        <w:rPr>
          <w:rFonts w:eastAsia="Cambria"/>
          <w:u w:color="000000"/>
          <w:bdr w:val="nil"/>
          <w:lang w:val="en-US"/>
        </w:rPr>
      </w:pPr>
      <w:r w:rsidRPr="00F43118">
        <w:rPr>
          <w:rFonts w:eastAsia="Cambria"/>
          <w:u w:color="000000"/>
          <w:bdr w:val="nil"/>
          <w:lang w:val="en-US"/>
        </w:rPr>
        <w:lastRenderedPageBreak/>
        <w:t>As expected, job resources were mostly significantly negatively related to bullying and harassment.</w:t>
      </w:r>
      <w:r w:rsidR="004C64C2">
        <w:rPr>
          <w:rFonts w:eastAsia="Cambria"/>
          <w:u w:color="000000"/>
          <w:bdr w:val="nil"/>
          <w:lang w:val="en-US"/>
        </w:rPr>
        <w:t xml:space="preserve"> In particular low supervisor support, low job rewards and to a lesser degree low job control, were also likely to be reported along with bullying an</w:t>
      </w:r>
      <w:r w:rsidR="004153FD">
        <w:rPr>
          <w:rFonts w:eastAsia="Cambria"/>
          <w:u w:color="000000"/>
          <w:bdr w:val="nil"/>
          <w:lang w:val="en-US"/>
        </w:rPr>
        <w:t>d harassment.</w:t>
      </w:r>
    </w:p>
    <w:p w:rsidR="00DB459B" w:rsidRPr="00904E4D" w:rsidRDefault="00F43118" w:rsidP="004153FD">
      <w:pPr>
        <w:spacing w:after="120"/>
        <w:rPr>
          <w:rFonts w:eastAsia="Cambria"/>
          <w:u w:color="000000"/>
          <w:bdr w:val="nil"/>
          <w:lang w:val="en-US"/>
        </w:rPr>
      </w:pPr>
      <w:r w:rsidRPr="00F43118">
        <w:rPr>
          <w:rFonts w:eastAsia="Cambria"/>
          <w:u w:color="000000"/>
          <w:bdr w:val="nil"/>
          <w:lang w:val="en-US"/>
        </w:rPr>
        <w:t xml:space="preserve">PSC was significantly </w:t>
      </w:r>
      <w:r w:rsidR="00717254">
        <w:rPr>
          <w:rFonts w:eastAsia="Cambria"/>
          <w:u w:color="000000"/>
          <w:bdr w:val="nil"/>
          <w:lang w:val="en-US"/>
        </w:rPr>
        <w:t xml:space="preserve">and </w:t>
      </w:r>
      <w:r w:rsidRPr="00F43118">
        <w:rPr>
          <w:rFonts w:eastAsia="Cambria"/>
          <w:u w:color="000000"/>
          <w:bdr w:val="nil"/>
          <w:lang w:val="en-US"/>
        </w:rPr>
        <w:t>negatively related t</w:t>
      </w:r>
      <w:r w:rsidR="004153FD">
        <w:rPr>
          <w:rFonts w:eastAsia="Cambria"/>
          <w:u w:color="000000"/>
          <w:bdr w:val="nil"/>
          <w:lang w:val="en-US"/>
        </w:rPr>
        <w:t>o both bullying and harassment.</w:t>
      </w:r>
    </w:p>
    <w:p w:rsidR="00F43118" w:rsidRPr="004153FD" w:rsidRDefault="00F43118" w:rsidP="004153FD">
      <w:pPr>
        <w:pStyle w:val="Heading2"/>
        <w:spacing w:before="240" w:after="120"/>
        <w:rPr>
          <w:rFonts w:eastAsia="Cambria"/>
          <w:u w:color="000000"/>
          <w:lang w:eastAsia="en-US"/>
        </w:rPr>
      </w:pPr>
      <w:r w:rsidRPr="004153FD">
        <w:rPr>
          <w:rFonts w:eastAsia="Cambria"/>
          <w:u w:color="000000"/>
          <w:lang w:eastAsia="en-US"/>
        </w:rPr>
        <w:t xml:space="preserve">Health and </w:t>
      </w:r>
      <w:r w:rsidR="00F216B4" w:rsidRPr="004153FD">
        <w:rPr>
          <w:rFonts w:eastAsia="Cambria"/>
          <w:u w:color="000000"/>
          <w:lang w:eastAsia="en-US"/>
        </w:rPr>
        <w:t>W</w:t>
      </w:r>
      <w:r w:rsidRPr="004153FD">
        <w:rPr>
          <w:rFonts w:eastAsia="Cambria"/>
          <w:u w:color="000000"/>
          <w:lang w:eastAsia="en-US"/>
        </w:rPr>
        <w:t xml:space="preserve">ork </w:t>
      </w:r>
      <w:r w:rsidR="00F216B4" w:rsidRPr="004153FD">
        <w:rPr>
          <w:rFonts w:eastAsia="Cambria"/>
          <w:u w:color="000000"/>
          <w:lang w:eastAsia="en-US"/>
        </w:rPr>
        <w:t>I</w:t>
      </w:r>
      <w:r w:rsidRPr="004153FD">
        <w:rPr>
          <w:rFonts w:eastAsia="Cambria"/>
          <w:u w:color="000000"/>
          <w:lang w:eastAsia="en-US"/>
        </w:rPr>
        <w:t xml:space="preserve">mpacts of </w:t>
      </w:r>
      <w:r w:rsidR="00F216B4" w:rsidRPr="004153FD">
        <w:rPr>
          <w:rFonts w:eastAsia="Cambria"/>
          <w:u w:color="000000"/>
          <w:lang w:eastAsia="en-US"/>
        </w:rPr>
        <w:t>B</w:t>
      </w:r>
      <w:r w:rsidRPr="004153FD">
        <w:rPr>
          <w:rFonts w:eastAsia="Cambria"/>
          <w:u w:color="000000"/>
          <w:lang w:eastAsia="en-US"/>
        </w:rPr>
        <w:t xml:space="preserve">ullying and </w:t>
      </w:r>
      <w:r w:rsidR="00F216B4" w:rsidRPr="004153FD">
        <w:rPr>
          <w:rFonts w:eastAsia="Cambria"/>
          <w:u w:color="000000"/>
          <w:lang w:eastAsia="en-US"/>
        </w:rPr>
        <w:t>H</w:t>
      </w:r>
      <w:r w:rsidRPr="004153FD">
        <w:rPr>
          <w:rFonts w:eastAsia="Cambria"/>
          <w:u w:color="000000"/>
          <w:lang w:eastAsia="en-US"/>
        </w:rPr>
        <w:t>arassment</w:t>
      </w:r>
    </w:p>
    <w:p w:rsidR="00F43118" w:rsidRPr="00F43118" w:rsidRDefault="00F43118" w:rsidP="004153FD">
      <w:pPr>
        <w:spacing w:after="120"/>
        <w:rPr>
          <w:rFonts w:eastAsia="Cambria"/>
          <w:u w:color="000000"/>
          <w:bdr w:val="nil"/>
          <w:lang w:val="en-US"/>
        </w:rPr>
      </w:pPr>
      <w:r w:rsidRPr="00F43118">
        <w:rPr>
          <w:rFonts w:eastAsia="Cambria"/>
          <w:u w:color="000000"/>
          <w:bdr w:val="nil"/>
          <w:lang w:val="en-US"/>
        </w:rPr>
        <w:t xml:space="preserve">Bullying was significantly related to a number of harmful health outcomes as shown in Table 2: higher levels of bullying were </w:t>
      </w:r>
      <w:r w:rsidR="004C64C2">
        <w:rPr>
          <w:rFonts w:eastAsia="Cambria"/>
          <w:u w:color="000000"/>
          <w:bdr w:val="nil"/>
          <w:lang w:val="en-US"/>
        </w:rPr>
        <w:t xml:space="preserve">significantly </w:t>
      </w:r>
      <w:r w:rsidRPr="00F43118">
        <w:rPr>
          <w:rFonts w:eastAsia="Cambria"/>
          <w:u w:color="000000"/>
          <w:bdr w:val="nil"/>
          <w:lang w:val="en-US"/>
        </w:rPr>
        <w:t>related to higher levels of emotional exhaustion, psychological distress, and depression. Further, bullying was significantly associated with work outcomes: higher levels of workplace bullying were related to lower job satisfaction and engagement, and higher intention to leave. These findings are consistent with other research (</w:t>
      </w:r>
      <w:proofErr w:type="spellStart"/>
      <w:r w:rsidRPr="00F43118">
        <w:rPr>
          <w:rFonts w:eastAsia="Cambria"/>
          <w:u w:color="000000"/>
          <w:bdr w:val="nil"/>
          <w:lang w:val="en-US"/>
        </w:rPr>
        <w:t>Hoel</w:t>
      </w:r>
      <w:proofErr w:type="spellEnd"/>
      <w:r w:rsidRPr="00F43118">
        <w:rPr>
          <w:rFonts w:eastAsia="Cambria"/>
          <w:u w:color="000000"/>
          <w:bdr w:val="nil"/>
          <w:lang w:val="en-US"/>
        </w:rPr>
        <w:t xml:space="preserve"> &amp; Cooper, 2000; </w:t>
      </w:r>
      <w:proofErr w:type="spellStart"/>
      <w:r w:rsidRPr="00F43118">
        <w:rPr>
          <w:rFonts w:eastAsia="Cambria"/>
          <w:u w:color="000000"/>
          <w:bdr w:val="nil"/>
          <w:lang w:val="en-US"/>
        </w:rPr>
        <w:t>Vartia</w:t>
      </w:r>
      <w:proofErr w:type="spellEnd"/>
      <w:r w:rsidRPr="00F43118">
        <w:rPr>
          <w:rFonts w:eastAsia="Cambria"/>
          <w:u w:color="000000"/>
          <w:bdr w:val="nil"/>
          <w:lang w:val="en-US"/>
        </w:rPr>
        <w:t xml:space="preserve">, 2001) and reviews (Nielsen &amp; </w:t>
      </w:r>
      <w:proofErr w:type="spellStart"/>
      <w:r w:rsidRPr="00F43118">
        <w:rPr>
          <w:rFonts w:eastAsia="Cambria"/>
          <w:u w:color="000000"/>
          <w:bdr w:val="nil"/>
          <w:lang w:val="en-US"/>
        </w:rPr>
        <w:t>Einarsen</w:t>
      </w:r>
      <w:proofErr w:type="spellEnd"/>
      <w:r w:rsidRPr="00F43118">
        <w:rPr>
          <w:rFonts w:eastAsia="Cambria"/>
          <w:u w:color="000000"/>
          <w:bdr w:val="nil"/>
          <w:lang w:val="en-US"/>
        </w:rPr>
        <w:t xml:space="preserve">, 2012; </w:t>
      </w:r>
      <w:proofErr w:type="spellStart"/>
      <w:r w:rsidRPr="00F43118">
        <w:rPr>
          <w:rFonts w:eastAsia="Cambria"/>
          <w:u w:color="000000"/>
          <w:bdr w:val="nil"/>
          <w:lang w:val="en-US"/>
        </w:rPr>
        <w:t>Samnani</w:t>
      </w:r>
      <w:proofErr w:type="spellEnd"/>
      <w:r w:rsidRPr="00F43118">
        <w:rPr>
          <w:rFonts w:eastAsia="Cambria"/>
          <w:u w:color="000000"/>
          <w:bdr w:val="nil"/>
          <w:lang w:val="en-US"/>
        </w:rPr>
        <w:t xml:space="preserve"> &amp; Singh, 2012). </w:t>
      </w:r>
      <w:r w:rsidR="004051CD">
        <w:rPr>
          <w:rFonts w:eastAsia="Cambria"/>
          <w:u w:color="000000"/>
          <w:bdr w:val="nil"/>
          <w:lang w:val="en-US"/>
        </w:rPr>
        <w:t>Being bullied for greater lengths of time also had se</w:t>
      </w:r>
      <w:r w:rsidR="004153FD">
        <w:rPr>
          <w:rFonts w:eastAsia="Cambria"/>
          <w:u w:color="000000"/>
          <w:bdr w:val="nil"/>
          <w:lang w:val="en-US"/>
        </w:rPr>
        <w:t>rious health and work outcomes.</w:t>
      </w:r>
    </w:p>
    <w:p w:rsidR="00F43118" w:rsidRPr="00F43118" w:rsidRDefault="00F43118" w:rsidP="004153FD">
      <w:pPr>
        <w:spacing w:after="120"/>
        <w:rPr>
          <w:rFonts w:ascii="Cambria" w:eastAsia="Cambria" w:hAnsi="Cambria" w:cs="Cambria"/>
          <w:b/>
          <w:color w:val="000000"/>
          <w:szCs w:val="22"/>
          <w:u w:color="000000"/>
          <w:bdr w:val="nil"/>
          <w:lang w:val="en-US"/>
        </w:rPr>
      </w:pPr>
      <w:r w:rsidRPr="00F43118">
        <w:rPr>
          <w:rFonts w:eastAsia="Cambria"/>
          <w:u w:color="000000"/>
          <w:bdr w:val="nil"/>
          <w:lang w:val="en-US"/>
        </w:rPr>
        <w:t>For harassment, the impacts on health and work outcomes mirror those of bullying; the different forms of harassment were associated with psychological health (emotional exhaustion, psychological distress, depression) and work outcomes (i</w:t>
      </w:r>
      <w:r w:rsidR="00666B6B">
        <w:rPr>
          <w:rFonts w:eastAsia="Cambria"/>
          <w:u w:color="000000"/>
          <w:bdr w:val="nil"/>
          <w:lang w:val="en-US"/>
        </w:rPr>
        <w:t xml:space="preserve">ntention to leave, reduced work </w:t>
      </w:r>
      <w:r w:rsidRPr="00F43118">
        <w:rPr>
          <w:rFonts w:eastAsia="Cambria"/>
          <w:u w:color="000000"/>
          <w:bdr w:val="nil"/>
          <w:lang w:val="en-US"/>
        </w:rPr>
        <w:t>engagement and job satisfaction). Being sworn at</w:t>
      </w:r>
      <w:r w:rsidR="004051CD">
        <w:rPr>
          <w:rFonts w:eastAsia="Cambria"/>
          <w:u w:color="000000"/>
          <w:bdr w:val="nil"/>
          <w:lang w:val="en-US"/>
        </w:rPr>
        <w:t>, being</w:t>
      </w:r>
      <w:r w:rsidRPr="00F43118">
        <w:rPr>
          <w:rFonts w:eastAsia="Cambria"/>
          <w:u w:color="000000"/>
          <w:bdr w:val="nil"/>
          <w:lang w:val="en-US"/>
        </w:rPr>
        <w:t xml:space="preserve"> humiliated in front of others</w:t>
      </w:r>
      <w:r w:rsidR="004051CD">
        <w:rPr>
          <w:rFonts w:eastAsia="Cambria"/>
          <w:u w:color="000000"/>
          <w:bdr w:val="nil"/>
          <w:lang w:val="en-US"/>
        </w:rPr>
        <w:t xml:space="preserve">, and experiencing unfair treatment because of gender </w:t>
      </w:r>
      <w:r w:rsidRPr="00F43118">
        <w:rPr>
          <w:rFonts w:eastAsia="Cambria"/>
          <w:u w:color="000000"/>
          <w:bdr w:val="nil"/>
          <w:lang w:val="en-US"/>
        </w:rPr>
        <w:t>were the most hazardous in terms of their consequential effects</w:t>
      </w:r>
      <w:r w:rsidR="004051CD">
        <w:rPr>
          <w:rFonts w:eastAsia="Cambria"/>
          <w:u w:color="000000"/>
          <w:bdr w:val="nil"/>
          <w:lang w:val="en-US"/>
        </w:rPr>
        <w:t>.</w:t>
      </w:r>
      <w:r w:rsidRPr="00F43118">
        <w:rPr>
          <w:rFonts w:eastAsia="Cambria"/>
          <w:u w:color="000000"/>
          <w:bdr w:val="nil"/>
          <w:lang w:val="en-US"/>
        </w:rPr>
        <w:t xml:space="preserve"> </w:t>
      </w:r>
    </w:p>
    <w:p w:rsidR="00F43118" w:rsidRPr="00F43118" w:rsidRDefault="00F43118" w:rsidP="00F43118">
      <w:pPr>
        <w:pBdr>
          <w:top w:val="nil"/>
          <w:left w:val="nil"/>
          <w:bottom w:val="nil"/>
          <w:right w:val="nil"/>
          <w:between w:val="nil"/>
          <w:bar w:val="nil"/>
        </w:pBdr>
        <w:spacing w:after="160" w:line="360" w:lineRule="auto"/>
        <w:rPr>
          <w:rFonts w:ascii="Cambria" w:eastAsia="Cambria" w:hAnsi="Cambria" w:cs="Cambria"/>
          <w:b/>
          <w:color w:val="000000"/>
          <w:szCs w:val="22"/>
          <w:u w:color="000000"/>
          <w:bdr w:val="nil"/>
          <w:lang w:val="en-US"/>
        </w:rPr>
        <w:sectPr w:rsidR="00F43118" w:rsidRPr="00F43118" w:rsidSect="00DF7EB4">
          <w:pgSz w:w="11900" w:h="16840"/>
          <w:pgMar w:top="1440" w:right="1440" w:bottom="1440" w:left="1440" w:header="709" w:footer="709" w:gutter="0"/>
          <w:cols w:space="720"/>
        </w:sectPr>
      </w:pPr>
    </w:p>
    <w:p w:rsidR="00F43118" w:rsidRDefault="00F43118" w:rsidP="00141A29">
      <w:pPr>
        <w:pStyle w:val="tableheaderL"/>
      </w:pPr>
      <w:proofErr w:type="gramStart"/>
      <w:r w:rsidRPr="00F43118">
        <w:lastRenderedPageBreak/>
        <w:t>Table 2.</w:t>
      </w:r>
      <w:proofErr w:type="gramEnd"/>
      <w:r w:rsidRPr="00F43118">
        <w:t xml:space="preserve"> </w:t>
      </w:r>
      <w:r w:rsidRPr="00DD3A77">
        <w:t>Cross-sectional: Bullying and harassment correlates with demographics, psychosocial risks, health and work</w:t>
      </w:r>
    </w:p>
    <w:p w:rsidR="001C5FCC" w:rsidRDefault="001C5FCC" w:rsidP="001C5FCC">
      <w:pPr>
        <w:tabs>
          <w:tab w:val="left" w:pos="4678"/>
          <w:tab w:val="left" w:pos="6521"/>
          <w:tab w:val="left" w:pos="7371"/>
          <w:tab w:val="left" w:pos="9781"/>
          <w:tab w:val="left" w:pos="12191"/>
        </w:tabs>
        <w:ind w:left="1440" w:firstLine="828"/>
        <w:rPr>
          <w:b/>
          <w:sz w:val="18"/>
        </w:rPr>
      </w:pPr>
      <w:r w:rsidRPr="00055C69">
        <w:rPr>
          <w:b/>
          <w:sz w:val="18"/>
        </w:rPr>
        <w:t>Worker</w:t>
      </w:r>
      <w:r w:rsidRPr="00055C69">
        <w:rPr>
          <w:b/>
          <w:sz w:val="18"/>
        </w:rPr>
        <w:tab/>
        <w:t>Job Demands</w:t>
      </w:r>
      <w:r w:rsidRPr="00055C69">
        <w:rPr>
          <w:b/>
          <w:sz w:val="18"/>
        </w:rPr>
        <w:tab/>
        <w:t>PSC</w:t>
      </w:r>
      <w:r w:rsidRPr="00055C69">
        <w:rPr>
          <w:b/>
          <w:sz w:val="18"/>
        </w:rPr>
        <w:tab/>
      </w:r>
      <w:r>
        <w:rPr>
          <w:b/>
          <w:sz w:val="18"/>
        </w:rPr>
        <w:t>Job Resources</w:t>
      </w:r>
      <w:r>
        <w:rPr>
          <w:b/>
          <w:sz w:val="18"/>
        </w:rPr>
        <w:tab/>
        <w:t>Health Outcomes</w:t>
      </w:r>
      <w:r>
        <w:rPr>
          <w:b/>
          <w:sz w:val="18"/>
        </w:rPr>
        <w:tab/>
      </w:r>
      <w:r w:rsidRPr="00055C69">
        <w:rPr>
          <w:b/>
          <w:sz w:val="18"/>
        </w:rPr>
        <w:t>Work Outcomes</w:t>
      </w:r>
    </w:p>
    <w:p w:rsidR="001C5FCC" w:rsidRPr="00055C69" w:rsidRDefault="001C5FCC" w:rsidP="001C5FCC">
      <w:pPr>
        <w:tabs>
          <w:tab w:val="left" w:pos="4395"/>
          <w:tab w:val="left" w:pos="6237"/>
          <w:tab w:val="left" w:pos="7088"/>
          <w:tab w:val="left" w:pos="9356"/>
          <w:tab w:val="left" w:pos="11766"/>
        </w:tabs>
        <w:ind w:left="1440" w:firstLine="828"/>
        <w:rPr>
          <w:b/>
          <w:sz w:val="18"/>
        </w:rPr>
      </w:pPr>
      <w:r>
        <w:rPr>
          <w:b/>
          <w:sz w:val="18"/>
        </w:rPr>
        <w:t>Demographics</w:t>
      </w:r>
    </w:p>
    <w:tbl>
      <w:tblPr>
        <w:tblStyle w:val="TableGrid2"/>
        <w:tblW w:w="4829" w:type="pct"/>
        <w:tblInd w:w="5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2: Cross-sectional: Bullying and harassment correlates with demographics, psychosocial risks, health and work"/>
        <w:tblDescription w:val="Table showing bullying and harassment associations with demographic, psychosocial, health and work variables."/>
      </w:tblPr>
      <w:tblGrid>
        <w:gridCol w:w="1769"/>
        <w:gridCol w:w="689"/>
        <w:gridCol w:w="840"/>
        <w:gridCol w:w="763"/>
        <w:gridCol w:w="865"/>
        <w:gridCol w:w="991"/>
        <w:gridCol w:w="711"/>
        <w:gridCol w:w="1134"/>
        <w:gridCol w:w="711"/>
        <w:gridCol w:w="851"/>
        <w:gridCol w:w="994"/>
        <w:gridCol w:w="851"/>
        <w:gridCol w:w="848"/>
        <w:gridCol w:w="706"/>
        <w:gridCol w:w="711"/>
        <w:gridCol w:w="848"/>
      </w:tblGrid>
      <w:tr w:rsidR="007D73AA" w:rsidRPr="00F43118" w:rsidTr="007D73AA">
        <w:trPr>
          <w:trHeight w:val="554"/>
          <w:tblHeader/>
        </w:trPr>
        <w:tc>
          <w:tcPr>
            <w:tcW w:w="619" w:type="pct"/>
            <w:tcBorders>
              <w:top w:val="single" w:sz="4" w:space="0" w:color="auto"/>
              <w:bottom w:val="single" w:sz="4" w:space="0" w:color="auto"/>
              <w:right w:val="nil"/>
            </w:tcBorders>
          </w:tcPr>
          <w:p w:rsidR="00F43118" w:rsidRDefault="00F43118" w:rsidP="00D62C88">
            <w:pPr>
              <w:rPr>
                <w:u w:color="000000"/>
                <w:bdr w:val="nil"/>
                <w:lang w:val="en-US"/>
              </w:rPr>
            </w:pPr>
          </w:p>
          <w:p w:rsidR="00DA18D5" w:rsidRPr="00F43118" w:rsidRDefault="00DA18D5" w:rsidP="00D62C88">
            <w:pPr>
              <w:rPr>
                <w:u w:color="000000"/>
                <w:bdr w:val="nil"/>
                <w:lang w:val="en-US"/>
              </w:rPr>
            </w:pPr>
          </w:p>
        </w:tc>
        <w:tc>
          <w:tcPr>
            <w:tcW w:w="241"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Age</w:t>
            </w:r>
          </w:p>
        </w:tc>
        <w:tc>
          <w:tcPr>
            <w:tcW w:w="294"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Gender</w:t>
            </w:r>
          </w:p>
        </w:tc>
        <w:tc>
          <w:tcPr>
            <w:tcW w:w="267"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Income</w:t>
            </w:r>
          </w:p>
        </w:tc>
        <w:tc>
          <w:tcPr>
            <w:tcW w:w="303"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Psycho-logical Demands</w:t>
            </w:r>
          </w:p>
        </w:tc>
        <w:tc>
          <w:tcPr>
            <w:tcW w:w="347"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Emotional Demands</w:t>
            </w:r>
          </w:p>
        </w:tc>
        <w:tc>
          <w:tcPr>
            <w:tcW w:w="249"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PSC</w:t>
            </w:r>
          </w:p>
        </w:tc>
        <w:tc>
          <w:tcPr>
            <w:tcW w:w="397"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Supervisor Social Support</w:t>
            </w:r>
          </w:p>
        </w:tc>
        <w:tc>
          <w:tcPr>
            <w:tcW w:w="249"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Job Control</w:t>
            </w:r>
          </w:p>
        </w:tc>
        <w:tc>
          <w:tcPr>
            <w:tcW w:w="298"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proofErr w:type="spellStart"/>
            <w:r w:rsidRPr="00F43118">
              <w:rPr>
                <w:spacing w:val="-6"/>
                <w:sz w:val="16"/>
                <w:szCs w:val="16"/>
                <w:u w:color="000000"/>
                <w:bdr w:val="nil"/>
                <w:lang w:val="en-US"/>
              </w:rPr>
              <w:t>Organisational</w:t>
            </w:r>
            <w:proofErr w:type="spellEnd"/>
            <w:r w:rsidRPr="00F43118">
              <w:rPr>
                <w:spacing w:val="-6"/>
                <w:sz w:val="16"/>
                <w:szCs w:val="16"/>
                <w:u w:color="000000"/>
                <w:bdr w:val="nil"/>
                <w:lang w:val="en-US"/>
              </w:rPr>
              <w:t xml:space="preserve"> Rewards</w:t>
            </w:r>
          </w:p>
        </w:tc>
        <w:tc>
          <w:tcPr>
            <w:tcW w:w="348"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Emotional Exhaustion</w:t>
            </w:r>
          </w:p>
        </w:tc>
        <w:tc>
          <w:tcPr>
            <w:tcW w:w="298"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Psycho-logical Distress</w:t>
            </w:r>
          </w:p>
        </w:tc>
        <w:tc>
          <w:tcPr>
            <w:tcW w:w="297"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Depress-ion</w:t>
            </w:r>
          </w:p>
        </w:tc>
        <w:tc>
          <w:tcPr>
            <w:tcW w:w="247"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 xml:space="preserve">Job </w:t>
            </w:r>
            <w:proofErr w:type="spellStart"/>
            <w:r w:rsidRPr="00F43118">
              <w:rPr>
                <w:spacing w:val="-6"/>
                <w:sz w:val="16"/>
                <w:szCs w:val="16"/>
                <w:u w:color="000000"/>
                <w:bdr w:val="nil"/>
                <w:lang w:val="en-US"/>
              </w:rPr>
              <w:t>Satis</w:t>
            </w:r>
            <w:proofErr w:type="spellEnd"/>
            <w:r w:rsidRPr="00F43118">
              <w:rPr>
                <w:spacing w:val="-6"/>
                <w:sz w:val="16"/>
                <w:szCs w:val="16"/>
                <w:u w:color="000000"/>
                <w:bdr w:val="nil"/>
                <w:lang w:val="en-US"/>
              </w:rPr>
              <w:t>-faction</w:t>
            </w:r>
          </w:p>
        </w:tc>
        <w:tc>
          <w:tcPr>
            <w:tcW w:w="249" w:type="pct"/>
            <w:tcBorders>
              <w:top w:val="single" w:sz="4" w:space="0" w:color="auto"/>
              <w:left w:val="nil"/>
              <w:bottom w:val="single" w:sz="4" w:space="0" w:color="auto"/>
              <w:right w:val="nil"/>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Intent to Leave</w:t>
            </w:r>
          </w:p>
        </w:tc>
        <w:tc>
          <w:tcPr>
            <w:tcW w:w="297" w:type="pct"/>
            <w:tcBorders>
              <w:top w:val="single" w:sz="4" w:space="0" w:color="auto"/>
              <w:left w:val="nil"/>
              <w:bottom w:val="single" w:sz="4" w:space="0" w:color="auto"/>
            </w:tcBorders>
          </w:tcPr>
          <w:p w:rsidR="00F43118" w:rsidRPr="00F43118" w:rsidRDefault="00F43118" w:rsidP="00D62C88">
            <w:pPr>
              <w:rPr>
                <w:spacing w:val="-6"/>
                <w:sz w:val="16"/>
                <w:szCs w:val="16"/>
                <w:u w:color="000000"/>
                <w:bdr w:val="nil"/>
                <w:lang w:val="en-US"/>
              </w:rPr>
            </w:pPr>
            <w:r w:rsidRPr="00F43118">
              <w:rPr>
                <w:spacing w:val="-6"/>
                <w:sz w:val="16"/>
                <w:szCs w:val="16"/>
                <w:u w:color="000000"/>
                <w:bdr w:val="nil"/>
                <w:lang w:val="en-US"/>
              </w:rPr>
              <w:t>Work Engage-</w:t>
            </w:r>
            <w:proofErr w:type="spellStart"/>
            <w:r w:rsidRPr="00F43118">
              <w:rPr>
                <w:spacing w:val="-6"/>
                <w:sz w:val="16"/>
                <w:szCs w:val="16"/>
                <w:u w:color="000000"/>
                <w:bdr w:val="nil"/>
                <w:lang w:val="en-US"/>
              </w:rPr>
              <w:t>ment</w:t>
            </w:r>
            <w:proofErr w:type="spellEnd"/>
          </w:p>
        </w:tc>
      </w:tr>
      <w:tr w:rsidR="007D73AA" w:rsidRPr="00F43118" w:rsidTr="007D73AA">
        <w:trPr>
          <w:trHeight w:val="792"/>
        </w:trPr>
        <w:tc>
          <w:tcPr>
            <w:tcW w:w="619" w:type="pct"/>
            <w:tcBorders>
              <w:top w:val="single" w:sz="4" w:space="0" w:color="auto"/>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Subjected to bullying at the workplace during the last 6 months?</w:t>
            </w:r>
          </w:p>
        </w:tc>
        <w:tc>
          <w:tcPr>
            <w:tcW w:w="241"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.01</w:t>
            </w:r>
          </w:p>
        </w:tc>
        <w:tc>
          <w:tcPr>
            <w:tcW w:w="294"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.04**</w:t>
            </w:r>
          </w:p>
        </w:tc>
        <w:tc>
          <w:tcPr>
            <w:tcW w:w="267"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.00</w:t>
            </w:r>
          </w:p>
        </w:tc>
        <w:tc>
          <w:tcPr>
            <w:tcW w:w="303"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.16**</w:t>
            </w:r>
          </w:p>
        </w:tc>
        <w:tc>
          <w:tcPr>
            <w:tcW w:w="347"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.21**</w:t>
            </w:r>
          </w:p>
        </w:tc>
        <w:tc>
          <w:tcPr>
            <w:tcW w:w="249"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-.27**</w:t>
            </w:r>
          </w:p>
        </w:tc>
        <w:tc>
          <w:tcPr>
            <w:tcW w:w="397"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-.26**</w:t>
            </w:r>
          </w:p>
        </w:tc>
        <w:tc>
          <w:tcPr>
            <w:tcW w:w="249"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-.01**</w:t>
            </w:r>
          </w:p>
        </w:tc>
        <w:tc>
          <w:tcPr>
            <w:tcW w:w="298"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-.23**</w:t>
            </w:r>
          </w:p>
        </w:tc>
        <w:tc>
          <w:tcPr>
            <w:tcW w:w="348"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.22**</w:t>
            </w:r>
          </w:p>
        </w:tc>
        <w:tc>
          <w:tcPr>
            <w:tcW w:w="298"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.24**</w:t>
            </w:r>
          </w:p>
        </w:tc>
        <w:tc>
          <w:tcPr>
            <w:tcW w:w="297"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.24**</w:t>
            </w:r>
          </w:p>
        </w:tc>
        <w:tc>
          <w:tcPr>
            <w:tcW w:w="247"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-.21**</w:t>
            </w:r>
          </w:p>
        </w:tc>
        <w:tc>
          <w:tcPr>
            <w:tcW w:w="249"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.13**</w:t>
            </w:r>
          </w:p>
        </w:tc>
        <w:tc>
          <w:tcPr>
            <w:tcW w:w="297" w:type="pct"/>
            <w:tcBorders>
              <w:top w:val="single" w:sz="4" w:space="0" w:color="auto"/>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-.11**</w:t>
            </w:r>
          </w:p>
        </w:tc>
      </w:tr>
      <w:tr w:rsidR="007D73AA" w:rsidRPr="00F43118" w:rsidTr="007D73AA">
        <w:trPr>
          <w:trHeight w:val="683"/>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 xml:space="preserve">How often exposed to these bullying </w:t>
            </w:r>
            <w:proofErr w:type="spellStart"/>
            <w:r w:rsidRPr="00F43118">
              <w:rPr>
                <w:sz w:val="16"/>
                <w:szCs w:val="16"/>
                <w:u w:color="000000"/>
                <w:bdr w:val="nil"/>
                <w:lang w:val="en-US"/>
              </w:rPr>
              <w:t>behaviours</w:t>
            </w:r>
            <w:proofErr w:type="spellEnd"/>
            <w:r w:rsidRPr="00F43118">
              <w:rPr>
                <w:sz w:val="16"/>
                <w:szCs w:val="16"/>
                <w:u w:color="000000"/>
                <w:bdr w:val="nil"/>
                <w:lang w:val="en-US"/>
              </w:rPr>
              <w:t xml:space="preserve">? </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.05**</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.06**</w:t>
            </w:r>
          </w:p>
        </w:tc>
        <w:tc>
          <w:tcPr>
            <w:tcW w:w="267" w:type="pct"/>
            <w:tcBorders>
              <w:top w:val="nil"/>
              <w:left w:val="nil"/>
              <w:bottom w:val="nil"/>
              <w:right w:val="nil"/>
            </w:tcBorders>
            <w:shd w:val="clear" w:color="auto" w:fill="auto"/>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.00</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.11*</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.20**</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.15**</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.19**</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-.05</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-.11*</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.16**</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-.21**</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.18**</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.12*</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.04</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.03</w:t>
            </w:r>
          </w:p>
        </w:tc>
      </w:tr>
      <w:tr w:rsidR="007D73AA" w:rsidRPr="00F43118" w:rsidTr="007D73AA">
        <w:trPr>
          <w:trHeight w:val="706"/>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 xml:space="preserve">How long exposed to these bullying </w:t>
            </w:r>
            <w:proofErr w:type="spellStart"/>
            <w:r w:rsidRPr="00F43118">
              <w:rPr>
                <w:sz w:val="16"/>
                <w:szCs w:val="16"/>
                <w:u w:color="000000"/>
                <w:bdr w:val="nil"/>
                <w:lang w:val="en-US"/>
              </w:rPr>
              <w:t>behaviours</w:t>
            </w:r>
            <w:proofErr w:type="spellEnd"/>
            <w:r w:rsidRPr="00F43118">
              <w:rPr>
                <w:sz w:val="16"/>
                <w:szCs w:val="16"/>
                <w:u w:color="000000"/>
                <w:bdr w:val="nil"/>
                <w:lang w:val="en-US"/>
              </w:rPr>
              <w:t>?</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.03</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.05**</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.03*</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.14**</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.21**</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-.26**</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-.25**</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-.08**</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-.20**</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.19**</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-.22**</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.21**</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-.20**</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.13**</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-.11**</w:t>
            </w:r>
          </w:p>
        </w:tc>
      </w:tr>
      <w:tr w:rsidR="007D73AA" w:rsidRPr="00F43118" w:rsidTr="007D73AA">
        <w:trPr>
          <w:trHeight w:val="417"/>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Experienced unwanted sexual advances.</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.05**</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.08**</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-.02</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.07</w:t>
            </w:r>
            <w:r w:rsidRPr="00F43118">
              <w:rPr>
                <w:vertAlign w:val="superscript"/>
              </w:rPr>
              <w:t>**</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.10</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-.11</w:t>
            </w:r>
            <w:r w:rsidRPr="00F43118">
              <w:rPr>
                <w:vertAlign w:val="superscript"/>
              </w:rPr>
              <w:t>**</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-.11**</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-.06**</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-.10</w:t>
            </w:r>
            <w:r w:rsidRPr="00F43118">
              <w:rPr>
                <w:vertAlign w:val="superscript"/>
              </w:rPr>
              <w:t>**</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.12</w:t>
            </w:r>
            <w:r w:rsidRPr="00F43118">
              <w:rPr>
                <w:vertAlign w:val="superscript"/>
              </w:rPr>
              <w:t>**</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.12</w:t>
            </w:r>
            <w:r w:rsidRPr="00F43118">
              <w:rPr>
                <w:vertAlign w:val="superscript"/>
              </w:rPr>
              <w:t>**</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.11</w:t>
            </w:r>
            <w:r w:rsidRPr="00F43118">
              <w:rPr>
                <w:vertAlign w:val="superscript"/>
              </w:rPr>
              <w:t>**</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-.07</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.05**</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-.04</w:t>
            </w:r>
            <w:r w:rsidRPr="00F43118">
              <w:rPr>
                <w:vertAlign w:val="superscript"/>
              </w:rPr>
              <w:t>*</w:t>
            </w:r>
          </w:p>
        </w:tc>
      </w:tr>
      <w:tr w:rsidR="007D73AA" w:rsidRPr="00F43118" w:rsidTr="007D73AA">
        <w:trPr>
          <w:trHeight w:val="683"/>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 xml:space="preserve">Experienced discomfort listening to sexual </w:t>
            </w:r>
            <w:proofErr w:type="spellStart"/>
            <w:r w:rsidRPr="00F43118">
              <w:rPr>
                <w:sz w:val="16"/>
                <w:szCs w:val="16"/>
                <w:u w:color="000000"/>
                <w:bdr w:val="nil"/>
                <w:lang w:val="en-US"/>
              </w:rPr>
              <w:t>humour</w:t>
            </w:r>
            <w:proofErr w:type="spellEnd"/>
            <w:r w:rsidRPr="00F43118">
              <w:rPr>
                <w:sz w:val="16"/>
                <w:szCs w:val="16"/>
                <w:u w:color="000000"/>
                <w:bdr w:val="nil"/>
                <w:lang w:val="en-US"/>
              </w:rPr>
              <w:t>.</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.04**</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.04*</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.05**</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.13</w:t>
            </w:r>
            <w:r w:rsidRPr="00F43118">
              <w:rPr>
                <w:vertAlign w:val="superscript"/>
              </w:rPr>
              <w:t>**</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.16</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-.15</w:t>
            </w:r>
            <w:r w:rsidRPr="00F43118">
              <w:rPr>
                <w:vertAlign w:val="superscript"/>
              </w:rPr>
              <w:t>**</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-.10</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-.04*</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.11</w:t>
            </w:r>
            <w:r w:rsidRPr="00F43118">
              <w:rPr>
                <w:vertAlign w:val="superscript"/>
              </w:rPr>
              <w:t>**</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.12</w:t>
            </w:r>
            <w:r w:rsidRPr="00F43118">
              <w:rPr>
                <w:vertAlign w:val="superscript"/>
              </w:rPr>
              <w:t>**</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.11</w:t>
            </w:r>
            <w:r w:rsidRPr="00F43118">
              <w:rPr>
                <w:vertAlign w:val="superscript"/>
              </w:rPr>
              <w:t>**</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-.11</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.07**</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-.07</w:t>
            </w:r>
            <w:r w:rsidRPr="00F43118">
              <w:rPr>
                <w:vertAlign w:val="superscript"/>
              </w:rPr>
              <w:t>**</w:t>
            </w:r>
          </w:p>
        </w:tc>
      </w:tr>
      <w:tr w:rsidR="007D73AA" w:rsidRPr="00F43118" w:rsidTr="007D73AA">
        <w:trPr>
          <w:trHeight w:val="633"/>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Experienced unfair treatment because of my gender.</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.02</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.14**</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-.01</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.17</w:t>
            </w:r>
            <w:r w:rsidRPr="00F43118">
              <w:rPr>
                <w:vertAlign w:val="superscript"/>
              </w:rPr>
              <w:t>**</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.17</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-.26</w:t>
            </w:r>
            <w:r w:rsidRPr="00F43118">
              <w:rPr>
                <w:vertAlign w:val="superscript"/>
              </w:rPr>
              <w:t>**</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-.20</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-.09**</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-.21</w:t>
            </w:r>
            <w:r w:rsidRPr="00F43118">
              <w:rPr>
                <w:vertAlign w:val="superscript"/>
              </w:rPr>
              <w:t>**</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.18</w:t>
            </w:r>
            <w:r w:rsidRPr="00F43118">
              <w:rPr>
                <w:vertAlign w:val="superscript"/>
              </w:rPr>
              <w:t>**</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.17</w:t>
            </w:r>
            <w:r w:rsidRPr="00F43118">
              <w:rPr>
                <w:vertAlign w:val="superscript"/>
              </w:rPr>
              <w:t>**</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.15</w:t>
            </w:r>
            <w:r w:rsidRPr="00F43118">
              <w:rPr>
                <w:vertAlign w:val="superscript"/>
              </w:rPr>
              <w:t>**</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-.20</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.14**</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-.13</w:t>
            </w:r>
            <w:r w:rsidRPr="00F43118">
              <w:rPr>
                <w:vertAlign w:val="superscript"/>
              </w:rPr>
              <w:t>**</w:t>
            </w:r>
          </w:p>
        </w:tc>
      </w:tr>
      <w:tr w:rsidR="007D73AA" w:rsidRPr="00F43118" w:rsidTr="007D73AA">
        <w:trPr>
          <w:trHeight w:val="706"/>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Negative comments made regarding my ethnic or racial background.</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-.04**</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-.08**</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.06**</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.10</w:t>
            </w:r>
            <w:r w:rsidRPr="00F43118">
              <w:rPr>
                <w:vertAlign w:val="superscript"/>
              </w:rPr>
              <w:t>**</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.12</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-.08</w:t>
            </w:r>
            <w:r w:rsidRPr="00F43118">
              <w:rPr>
                <w:vertAlign w:val="superscript"/>
              </w:rPr>
              <w:t>**</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-.05</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-.01</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.07</w:t>
            </w:r>
            <w:r w:rsidRPr="00F43118">
              <w:rPr>
                <w:vertAlign w:val="superscript"/>
              </w:rPr>
              <w:t>**</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.08</w:t>
            </w:r>
            <w:r w:rsidRPr="00F43118">
              <w:rPr>
                <w:vertAlign w:val="superscript"/>
              </w:rPr>
              <w:t>**</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-.06</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.06**</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.02</w:t>
            </w:r>
          </w:p>
        </w:tc>
      </w:tr>
      <w:tr w:rsidR="007D73AA" w:rsidRPr="00F43118" w:rsidTr="007D73AA">
        <w:trPr>
          <w:trHeight w:val="450"/>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Sworn and/or yelled at.</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.00</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-.08**</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.08**</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.24</w:t>
            </w:r>
            <w:r w:rsidRPr="00F43118">
              <w:rPr>
                <w:vertAlign w:val="superscript"/>
              </w:rPr>
              <w:t>**</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.32</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-.24</w:t>
            </w:r>
            <w:r w:rsidRPr="00F43118">
              <w:rPr>
                <w:vertAlign w:val="superscript"/>
              </w:rPr>
              <w:t>**</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-.17</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-.05**</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-.17</w:t>
            </w:r>
            <w:r w:rsidRPr="00F43118">
              <w:rPr>
                <w:vertAlign w:val="superscript"/>
              </w:rPr>
              <w:t>**</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.26</w:t>
            </w:r>
            <w:r w:rsidRPr="00F43118">
              <w:rPr>
                <w:vertAlign w:val="superscript"/>
              </w:rPr>
              <w:t>**</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.18</w:t>
            </w:r>
            <w:r w:rsidRPr="00F43118">
              <w:rPr>
                <w:vertAlign w:val="superscript"/>
              </w:rPr>
              <w:t>**</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.17</w:t>
            </w:r>
            <w:r w:rsidRPr="00F43118">
              <w:rPr>
                <w:vertAlign w:val="superscript"/>
              </w:rPr>
              <w:t>**</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-.18</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.10**</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-.14</w:t>
            </w:r>
            <w:r w:rsidRPr="00F43118">
              <w:rPr>
                <w:vertAlign w:val="superscript"/>
              </w:rPr>
              <w:t>**</w:t>
            </w:r>
          </w:p>
        </w:tc>
      </w:tr>
      <w:tr w:rsidR="007D73AA" w:rsidRPr="00F43118" w:rsidTr="007D73AA">
        <w:trPr>
          <w:trHeight w:val="437"/>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Humiliated in front of others.</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.00</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.03*</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.03*</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.26</w:t>
            </w:r>
            <w:r w:rsidRPr="00F43118">
              <w:rPr>
                <w:vertAlign w:val="superscript"/>
              </w:rPr>
              <w:t>**</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.33</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-.28</w:t>
            </w:r>
            <w:r w:rsidRPr="00F43118">
              <w:rPr>
                <w:vertAlign w:val="superscript"/>
              </w:rPr>
              <w:t>**</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-.20</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-.06**</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-.22</w:t>
            </w:r>
            <w:r w:rsidRPr="00F43118">
              <w:rPr>
                <w:vertAlign w:val="superscript"/>
              </w:rPr>
              <w:t>**</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.28</w:t>
            </w:r>
            <w:r w:rsidRPr="00F43118">
              <w:rPr>
                <w:vertAlign w:val="superscript"/>
              </w:rPr>
              <w:t>**</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.28</w:t>
            </w:r>
            <w:r w:rsidRPr="00F43118">
              <w:rPr>
                <w:vertAlign w:val="superscript"/>
              </w:rPr>
              <w:t>**</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.28</w:t>
            </w:r>
            <w:r w:rsidRPr="00F43118">
              <w:rPr>
                <w:vertAlign w:val="superscript"/>
              </w:rPr>
              <w:t>**</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-.24</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.12**</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-.12</w:t>
            </w:r>
            <w:r w:rsidRPr="00F43118">
              <w:rPr>
                <w:vertAlign w:val="superscript"/>
              </w:rPr>
              <w:t>**</w:t>
            </w:r>
          </w:p>
        </w:tc>
      </w:tr>
      <w:tr w:rsidR="007D73AA" w:rsidRPr="00F43118" w:rsidTr="007D73AA">
        <w:trPr>
          <w:trHeight w:val="70"/>
        </w:trPr>
        <w:tc>
          <w:tcPr>
            <w:tcW w:w="619" w:type="pct"/>
            <w:tcBorders>
              <w:top w:val="nil"/>
              <w:left w:val="nil"/>
              <w:bottom w:val="nil"/>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Experienced being physically assaulted/threatened by members of the organisation.</w:t>
            </w:r>
          </w:p>
        </w:tc>
        <w:tc>
          <w:tcPr>
            <w:tcW w:w="241"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.03**</w:t>
            </w:r>
          </w:p>
        </w:tc>
        <w:tc>
          <w:tcPr>
            <w:tcW w:w="294"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.02</w:t>
            </w:r>
          </w:p>
        </w:tc>
        <w:tc>
          <w:tcPr>
            <w:tcW w:w="26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.00</w:t>
            </w:r>
          </w:p>
        </w:tc>
        <w:tc>
          <w:tcPr>
            <w:tcW w:w="303"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.12</w:t>
            </w:r>
            <w:r w:rsidRPr="00F43118">
              <w:rPr>
                <w:vertAlign w:val="superscript"/>
              </w:rPr>
              <w:t>**</w:t>
            </w:r>
          </w:p>
        </w:tc>
        <w:tc>
          <w:tcPr>
            <w:tcW w:w="3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.16</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3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-.02</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34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.13</w:t>
            </w:r>
            <w:r w:rsidRPr="00F43118">
              <w:rPr>
                <w:vertAlign w:val="superscript"/>
              </w:rPr>
              <w:t>**</w:t>
            </w:r>
          </w:p>
        </w:tc>
        <w:tc>
          <w:tcPr>
            <w:tcW w:w="298"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.14</w:t>
            </w:r>
            <w:r w:rsidRPr="00F43118">
              <w:rPr>
                <w:vertAlign w:val="superscript"/>
              </w:rPr>
              <w:t>**</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.12</w:t>
            </w:r>
            <w:r w:rsidRPr="00F43118">
              <w:rPr>
                <w:vertAlign w:val="superscript"/>
              </w:rPr>
              <w:t>**</w:t>
            </w:r>
          </w:p>
        </w:tc>
        <w:tc>
          <w:tcPr>
            <w:tcW w:w="24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249"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.04**</w:t>
            </w:r>
          </w:p>
        </w:tc>
        <w:tc>
          <w:tcPr>
            <w:tcW w:w="297" w:type="pct"/>
            <w:tcBorders>
              <w:top w:val="nil"/>
              <w:left w:val="nil"/>
              <w:bottom w:val="nil"/>
              <w:right w:val="nil"/>
            </w:tcBorders>
            <w:tcMar>
              <w:left w:w="28" w:type="dxa"/>
              <w:right w:w="28" w:type="dxa"/>
            </w:tcMar>
            <w:vAlign w:val="center"/>
          </w:tcPr>
          <w:p w:rsidR="00F43118" w:rsidRPr="00F43118" w:rsidRDefault="00F43118" w:rsidP="00D62C88">
            <w:pPr>
              <w:rPr>
                <w:u w:color="000000"/>
                <w:bdr w:val="nil"/>
                <w:lang w:val="en-US"/>
              </w:rPr>
            </w:pPr>
            <w:r w:rsidRPr="00F43118">
              <w:t>-.02</w:t>
            </w:r>
          </w:p>
        </w:tc>
      </w:tr>
      <w:tr w:rsidR="007D73AA" w:rsidRPr="00F43118" w:rsidTr="007D73AA">
        <w:trPr>
          <w:trHeight w:val="811"/>
        </w:trPr>
        <w:tc>
          <w:tcPr>
            <w:tcW w:w="619" w:type="pct"/>
            <w:tcBorders>
              <w:top w:val="nil"/>
              <w:left w:val="nil"/>
              <w:bottom w:val="single" w:sz="4" w:space="0" w:color="auto"/>
              <w:right w:val="nil"/>
            </w:tcBorders>
          </w:tcPr>
          <w:p w:rsidR="00F43118" w:rsidRPr="00F43118" w:rsidRDefault="00F43118" w:rsidP="00D62C88">
            <w:pPr>
              <w:rPr>
                <w:sz w:val="16"/>
                <w:szCs w:val="16"/>
                <w:u w:color="000000"/>
                <w:bdr w:val="nil"/>
                <w:lang w:val="en-US"/>
              </w:rPr>
            </w:pPr>
            <w:r w:rsidRPr="00F43118">
              <w:rPr>
                <w:sz w:val="16"/>
                <w:szCs w:val="16"/>
                <w:u w:color="000000"/>
                <w:bdr w:val="nil"/>
                <w:lang w:val="en-US"/>
              </w:rPr>
              <w:t>Experienced being physically assaulted/threatened by a client or patient.</w:t>
            </w:r>
          </w:p>
        </w:tc>
        <w:tc>
          <w:tcPr>
            <w:tcW w:w="241"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.08**</w:t>
            </w:r>
          </w:p>
        </w:tc>
        <w:tc>
          <w:tcPr>
            <w:tcW w:w="294"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.12**</w:t>
            </w:r>
          </w:p>
        </w:tc>
        <w:tc>
          <w:tcPr>
            <w:tcW w:w="267"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.00</w:t>
            </w:r>
          </w:p>
        </w:tc>
        <w:tc>
          <w:tcPr>
            <w:tcW w:w="303"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.25</w:t>
            </w:r>
            <w:r w:rsidRPr="00F43118">
              <w:rPr>
                <w:vertAlign w:val="superscript"/>
              </w:rPr>
              <w:t>**</w:t>
            </w:r>
          </w:p>
        </w:tc>
        <w:tc>
          <w:tcPr>
            <w:tcW w:w="347"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.38</w:t>
            </w:r>
            <w:r w:rsidRPr="00F43118">
              <w:rPr>
                <w:vertAlign w:val="superscript"/>
              </w:rPr>
              <w:t>**</w:t>
            </w:r>
          </w:p>
        </w:tc>
        <w:tc>
          <w:tcPr>
            <w:tcW w:w="249"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-.11</w:t>
            </w:r>
            <w:r w:rsidRPr="00F43118">
              <w:rPr>
                <w:vertAlign w:val="superscript"/>
              </w:rPr>
              <w:t>**</w:t>
            </w:r>
          </w:p>
        </w:tc>
        <w:tc>
          <w:tcPr>
            <w:tcW w:w="397"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-.05</w:t>
            </w:r>
            <w:r w:rsidRPr="00F43118">
              <w:rPr>
                <w:vertAlign w:val="superscript"/>
              </w:rPr>
              <w:t>**</w:t>
            </w:r>
          </w:p>
        </w:tc>
        <w:tc>
          <w:tcPr>
            <w:tcW w:w="249"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-.01</w:t>
            </w:r>
          </w:p>
        </w:tc>
        <w:tc>
          <w:tcPr>
            <w:tcW w:w="298"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-.09</w:t>
            </w:r>
            <w:r w:rsidRPr="00F43118">
              <w:rPr>
                <w:vertAlign w:val="superscript"/>
              </w:rPr>
              <w:t>**</w:t>
            </w:r>
          </w:p>
        </w:tc>
        <w:tc>
          <w:tcPr>
            <w:tcW w:w="348"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.16</w:t>
            </w:r>
            <w:r w:rsidRPr="00F43118">
              <w:rPr>
                <w:vertAlign w:val="superscript"/>
              </w:rPr>
              <w:t>**</w:t>
            </w:r>
          </w:p>
        </w:tc>
        <w:tc>
          <w:tcPr>
            <w:tcW w:w="298"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.07</w:t>
            </w:r>
            <w:r w:rsidRPr="00F43118">
              <w:rPr>
                <w:vertAlign w:val="superscript"/>
              </w:rPr>
              <w:t>**</w:t>
            </w:r>
          </w:p>
        </w:tc>
        <w:tc>
          <w:tcPr>
            <w:tcW w:w="297"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.01</w:t>
            </w:r>
            <w:r w:rsidRPr="00F43118">
              <w:rPr>
                <w:vertAlign w:val="superscript"/>
              </w:rPr>
              <w:t>**</w:t>
            </w:r>
          </w:p>
        </w:tc>
        <w:tc>
          <w:tcPr>
            <w:tcW w:w="247"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-.06</w:t>
            </w:r>
            <w:r w:rsidRPr="00F43118">
              <w:rPr>
                <w:vertAlign w:val="superscript"/>
              </w:rPr>
              <w:t>**</w:t>
            </w:r>
          </w:p>
        </w:tc>
        <w:tc>
          <w:tcPr>
            <w:tcW w:w="249"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rPr>
                <w:u w:color="000000"/>
                <w:bdr w:val="nil"/>
                <w:lang w:val="en-US"/>
              </w:rPr>
              <w:t>-.01</w:t>
            </w:r>
          </w:p>
        </w:tc>
        <w:tc>
          <w:tcPr>
            <w:tcW w:w="297" w:type="pct"/>
            <w:tcBorders>
              <w:top w:val="nil"/>
              <w:left w:val="nil"/>
              <w:bottom w:val="single" w:sz="4" w:space="0" w:color="auto"/>
              <w:right w:val="nil"/>
            </w:tcBorders>
            <w:tcMar>
              <w:left w:w="28" w:type="dxa"/>
              <w:right w:w="28" w:type="dxa"/>
            </w:tcMar>
            <w:vAlign w:val="center"/>
          </w:tcPr>
          <w:p w:rsidR="00F43118" w:rsidRPr="00F43118" w:rsidRDefault="00F43118" w:rsidP="00D62C88">
            <w:pPr>
              <w:rPr>
                <w:u w:color="000000"/>
                <w:bdr w:val="nil"/>
                <w:lang w:val="en-US"/>
              </w:rPr>
            </w:pPr>
            <w:r w:rsidRPr="00F43118">
              <w:t>.01</w:t>
            </w:r>
          </w:p>
        </w:tc>
      </w:tr>
    </w:tbl>
    <w:p w:rsidR="00F43118" w:rsidRPr="00F43118" w:rsidRDefault="00F43118" w:rsidP="00D62C88">
      <w:pPr>
        <w:pStyle w:val="references"/>
        <w:sectPr w:rsidR="00F43118" w:rsidRPr="00F43118" w:rsidSect="00DF7EB4">
          <w:pgSz w:w="16840" w:h="11900" w:orient="landscape"/>
          <w:pgMar w:top="1134" w:right="1134" w:bottom="1134" w:left="1134" w:header="709" w:footer="709" w:gutter="0"/>
          <w:cols w:space="708"/>
          <w:docGrid w:linePitch="360"/>
        </w:sectPr>
      </w:pPr>
      <w:r w:rsidRPr="00F43118">
        <w:rPr>
          <w:i/>
          <w:iCs/>
        </w:rPr>
        <w:t>Note</w:t>
      </w:r>
      <w:r w:rsidRPr="00F43118">
        <w:t>. ** Correlation is significant at the 0.01 level.  N = 4242; Gender, 1 = male, 2 = female.</w:t>
      </w:r>
    </w:p>
    <w:p w:rsidR="00F43118" w:rsidRPr="00F43118" w:rsidRDefault="00F43118" w:rsidP="00E2784F">
      <w:pPr>
        <w:pStyle w:val="Heading2"/>
        <w:spacing w:before="240" w:after="120"/>
        <w:rPr>
          <w:rFonts w:eastAsia="Cambria"/>
          <w:u w:color="000000"/>
          <w:lang w:eastAsia="en-US"/>
        </w:rPr>
      </w:pPr>
      <w:r w:rsidRPr="00F43118">
        <w:rPr>
          <w:rFonts w:eastAsia="Cambria"/>
          <w:u w:color="000000"/>
          <w:lang w:eastAsia="en-US"/>
        </w:rPr>
        <w:lastRenderedPageBreak/>
        <w:t xml:space="preserve">Predicting </w:t>
      </w:r>
      <w:r w:rsidR="00F216B4">
        <w:rPr>
          <w:rFonts w:eastAsia="Cambria"/>
          <w:u w:color="000000"/>
          <w:lang w:eastAsia="en-US"/>
        </w:rPr>
        <w:t>W</w:t>
      </w:r>
      <w:r w:rsidRPr="00F43118">
        <w:rPr>
          <w:rFonts w:eastAsia="Cambria"/>
          <w:u w:color="000000"/>
          <w:lang w:eastAsia="en-US"/>
        </w:rPr>
        <w:t xml:space="preserve">orkplace </w:t>
      </w:r>
      <w:r w:rsidR="00F216B4">
        <w:rPr>
          <w:rFonts w:eastAsia="Cambria"/>
          <w:u w:color="000000"/>
          <w:lang w:eastAsia="en-US"/>
        </w:rPr>
        <w:t>B</w:t>
      </w:r>
      <w:r w:rsidRPr="00F43118">
        <w:rPr>
          <w:rFonts w:eastAsia="Cambria"/>
          <w:u w:color="000000"/>
          <w:lang w:eastAsia="en-US"/>
        </w:rPr>
        <w:t xml:space="preserve">ullying: Longitudinal </w:t>
      </w:r>
      <w:r w:rsidR="00F216B4">
        <w:rPr>
          <w:rFonts w:eastAsia="Cambria"/>
          <w:u w:color="000000"/>
          <w:lang w:eastAsia="en-US"/>
        </w:rPr>
        <w:t>L</w:t>
      </w:r>
      <w:r w:rsidRPr="00F43118">
        <w:rPr>
          <w:rFonts w:eastAsia="Cambria"/>
          <w:u w:color="000000"/>
          <w:lang w:eastAsia="en-US"/>
        </w:rPr>
        <w:t xml:space="preserve">ogistic </w:t>
      </w:r>
      <w:r w:rsidR="00F216B4">
        <w:rPr>
          <w:rFonts w:eastAsia="Cambria"/>
          <w:u w:color="000000"/>
          <w:lang w:eastAsia="en-US"/>
        </w:rPr>
        <w:t>R</w:t>
      </w:r>
      <w:r w:rsidRPr="00F43118">
        <w:rPr>
          <w:rFonts w:eastAsia="Cambria"/>
          <w:u w:color="000000"/>
          <w:lang w:eastAsia="en-US"/>
        </w:rPr>
        <w:t xml:space="preserve">egression </w:t>
      </w:r>
    </w:p>
    <w:p w:rsidR="00F43118" w:rsidRPr="00F43118" w:rsidRDefault="007D2ED5" w:rsidP="00E2784F">
      <w:pPr>
        <w:spacing w:after="120"/>
        <w:rPr>
          <w:rFonts w:eastAsia="Cambria"/>
          <w:u w:color="000000"/>
          <w:bdr w:val="nil"/>
          <w:lang w:val="en-US"/>
        </w:rPr>
      </w:pPr>
      <w:r>
        <w:rPr>
          <w:rFonts w:eastAsia="Cambria"/>
          <w:u w:color="000000"/>
          <w:bdr w:val="nil"/>
          <w:lang w:val="en-US"/>
        </w:rPr>
        <w:t>Since bullying rates have increased, and given that the harassment items most linked to heath and work outcomes were not on the face of it linked to gender and race (i.e., sworn at or yelled at, humiliated in front of others), and were likely also to form aspects of bullying behavior, we proceeded to conduct an analysis to specifically p</w:t>
      </w:r>
      <w:r w:rsidR="00F43118" w:rsidRPr="00F43118">
        <w:rPr>
          <w:rFonts w:eastAsia="Cambria"/>
          <w:u w:color="000000"/>
          <w:bdr w:val="nil"/>
          <w:lang w:val="en-US"/>
        </w:rPr>
        <w:t xml:space="preserve">redict future bullying. We assessed the possible cause (antecedent) variables (job design, </w:t>
      </w:r>
      <w:proofErr w:type="spellStart"/>
      <w:r w:rsidR="00F43118" w:rsidRPr="00F43118">
        <w:rPr>
          <w:rFonts w:eastAsia="Cambria"/>
          <w:u w:color="000000"/>
          <w:bdr w:val="nil"/>
          <w:lang w:val="en-US"/>
        </w:rPr>
        <w:t>organisational</w:t>
      </w:r>
      <w:proofErr w:type="spellEnd"/>
      <w:r w:rsidR="00F43118" w:rsidRPr="00F43118">
        <w:rPr>
          <w:rFonts w:eastAsia="Cambria"/>
          <w:u w:color="000000"/>
          <w:bdr w:val="nil"/>
          <w:lang w:val="en-US"/>
        </w:rPr>
        <w:t xml:space="preserve">) in 2010/2011 and we used these </w:t>
      </w:r>
      <w:r w:rsidR="004051CD">
        <w:rPr>
          <w:rFonts w:eastAsia="Cambria"/>
          <w:u w:color="000000"/>
          <w:bdr w:val="nil"/>
          <w:lang w:val="en-US"/>
        </w:rPr>
        <w:t xml:space="preserve">factors to </w:t>
      </w:r>
      <w:r w:rsidR="00F43118" w:rsidRPr="00F43118">
        <w:rPr>
          <w:rFonts w:eastAsia="Cambria"/>
          <w:u w:color="000000"/>
          <w:bdr w:val="nil"/>
          <w:lang w:val="en-US"/>
        </w:rPr>
        <w:t>predict bullying in 2014/2015. In the analysis we used people who were in the same organisation at both time points (</w:t>
      </w:r>
      <w:r w:rsidR="00F43118" w:rsidRPr="00D12249">
        <w:rPr>
          <w:rFonts w:eastAsia="Cambria"/>
          <w:i/>
          <w:u w:color="000000"/>
          <w:bdr w:val="nil"/>
          <w:lang w:val="en-US"/>
        </w:rPr>
        <w:t>N</w:t>
      </w:r>
      <w:r w:rsidR="00F43118" w:rsidRPr="00F43118">
        <w:rPr>
          <w:rFonts w:eastAsia="Cambria"/>
          <w:u w:color="000000"/>
          <w:bdr w:val="nil"/>
          <w:lang w:val="en-US"/>
        </w:rPr>
        <w:t xml:space="preserve"> = 1172). Individual data were matched across time. We controlled for bullying exposure at 2010/2011, to control for personal bias in responding, and</w:t>
      </w:r>
      <w:r w:rsidR="00E2784F">
        <w:rPr>
          <w:rFonts w:eastAsia="Cambria"/>
          <w:u w:color="000000"/>
          <w:bdr w:val="nil"/>
          <w:lang w:val="en-US"/>
        </w:rPr>
        <w:t xml:space="preserve"> to predict change in bullying.</w:t>
      </w:r>
    </w:p>
    <w:p w:rsidR="004051CD" w:rsidRDefault="00F43118" w:rsidP="00E2784F">
      <w:pPr>
        <w:spacing w:after="120"/>
        <w:rPr>
          <w:rFonts w:eastAsia="Cambria"/>
          <w:u w:color="000000"/>
          <w:bdr w:val="nil"/>
          <w:lang w:val="en-US"/>
        </w:rPr>
      </w:pPr>
      <w:r w:rsidRPr="00F43118">
        <w:rPr>
          <w:rFonts w:eastAsia="Cambria"/>
          <w:u w:color="000000"/>
          <w:bdr w:val="nil"/>
          <w:lang w:val="en-US"/>
        </w:rPr>
        <w:t xml:space="preserve">We used a longitudinal design to throw light on the causes of bullying. The longitudinal design is much stronger than the previous cross-sectional correlation analysis; the longitudinal study predicts change over time, whereas the bivariate analyses were conducted at only one point in time (2014/2015) so it is impossible to know which factor preceded the other. Also using a logistic regression we could consider a number of possible predictors at once (the bivariate analysis considers only </w:t>
      </w:r>
      <w:r w:rsidR="004051CD">
        <w:rPr>
          <w:rFonts w:eastAsia="Cambria"/>
          <w:u w:color="000000"/>
          <w:bdr w:val="nil"/>
          <w:lang w:val="en-US"/>
        </w:rPr>
        <w:t>one</w:t>
      </w:r>
      <w:r w:rsidR="00E2784F">
        <w:rPr>
          <w:rFonts w:eastAsia="Cambria"/>
          <w:u w:color="000000"/>
          <w:bdr w:val="nil"/>
          <w:lang w:val="en-US"/>
        </w:rPr>
        <w:t>).</w:t>
      </w:r>
    </w:p>
    <w:p w:rsidR="00F43118" w:rsidRDefault="00F43118" w:rsidP="00E2784F">
      <w:pPr>
        <w:spacing w:after="120"/>
        <w:rPr>
          <w:rFonts w:eastAsia="Cambria"/>
          <w:u w:color="000000"/>
          <w:bdr w:val="nil"/>
          <w:lang w:val="en-US"/>
        </w:rPr>
      </w:pPr>
      <w:r w:rsidRPr="00F43118">
        <w:rPr>
          <w:rFonts w:eastAsia="Cambria"/>
          <w:u w:color="000000"/>
          <w:bdr w:val="nil"/>
          <w:lang w:val="en-US"/>
        </w:rPr>
        <w:t>Following the hierarchical logic of PSC theory, that PSC is related to work factors, job demands and job resources, that in turn are associated with bullying, we first assessed the relationship between PSC and the work factors. As shown in Table 3, PSC is significant</w:t>
      </w:r>
      <w:r w:rsidR="00E2784F">
        <w:rPr>
          <w:rFonts w:eastAsia="Cambria"/>
          <w:u w:color="000000"/>
          <w:bdr w:val="nil"/>
          <w:lang w:val="en-US"/>
        </w:rPr>
        <w:t>ly related to all work factors.</w:t>
      </w:r>
    </w:p>
    <w:p w:rsidR="00F43118" w:rsidRPr="001939AA" w:rsidRDefault="001939AA" w:rsidP="00141A29">
      <w:pPr>
        <w:pStyle w:val="tableheaderL"/>
      </w:pPr>
      <w:proofErr w:type="gramStart"/>
      <w:r w:rsidRPr="001939AA">
        <w:t>Table 3.</w:t>
      </w:r>
      <w:proofErr w:type="gramEnd"/>
      <w:r w:rsidRPr="001939AA">
        <w:t xml:space="preserve"> </w:t>
      </w:r>
      <w:r w:rsidRPr="00DD3A77">
        <w:t>Correlation between PSC and job design factors</w:t>
      </w:r>
    </w:p>
    <w:tbl>
      <w:tblPr>
        <w:tblStyle w:val="TableGrid"/>
        <w:tblW w:w="0" w:type="auto"/>
        <w:tblInd w:w="5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Correlation between PSC and job design factors"/>
        <w:tblDescription w:val="Table showing correlations between PSC and job design factors."/>
      </w:tblPr>
      <w:tblGrid>
        <w:gridCol w:w="2943"/>
        <w:gridCol w:w="2835"/>
      </w:tblGrid>
      <w:tr w:rsidR="001939AA" w:rsidRPr="00800281" w:rsidTr="00C55811">
        <w:trPr>
          <w:tblHeader/>
        </w:trPr>
        <w:tc>
          <w:tcPr>
            <w:tcW w:w="2943" w:type="dxa"/>
            <w:tcBorders>
              <w:top w:val="single" w:sz="4" w:space="0" w:color="auto"/>
              <w:bottom w:val="single" w:sz="4" w:space="0" w:color="auto"/>
            </w:tcBorders>
          </w:tcPr>
          <w:p w:rsidR="001939AA" w:rsidRPr="00800281" w:rsidRDefault="001939AA" w:rsidP="004B457A">
            <w:pPr>
              <w:rPr>
                <w:b/>
                <w:u w:color="000000"/>
                <w:bdr w:val="nil"/>
                <w:lang w:val="en-US"/>
              </w:rPr>
            </w:pPr>
            <w:r w:rsidRPr="00800281">
              <w:rPr>
                <w:b/>
                <w:u w:color="000000"/>
                <w:bdr w:val="nil"/>
                <w:lang w:val="en-US"/>
              </w:rPr>
              <w:t>Work Psychosocial Risks</w:t>
            </w:r>
          </w:p>
        </w:tc>
        <w:tc>
          <w:tcPr>
            <w:tcW w:w="2835" w:type="dxa"/>
            <w:tcBorders>
              <w:top w:val="single" w:sz="4" w:space="0" w:color="auto"/>
              <w:bottom w:val="single" w:sz="4" w:space="0" w:color="auto"/>
            </w:tcBorders>
          </w:tcPr>
          <w:p w:rsidR="001939AA" w:rsidRPr="00800281" w:rsidRDefault="001939AA" w:rsidP="004B457A">
            <w:pPr>
              <w:rPr>
                <w:b/>
                <w:u w:color="000000"/>
                <w:bdr w:val="nil"/>
                <w:lang w:val="en-US"/>
              </w:rPr>
            </w:pPr>
            <w:r w:rsidRPr="00800281">
              <w:rPr>
                <w:b/>
                <w:u w:color="000000"/>
                <w:bdr w:val="nil"/>
                <w:lang w:val="en-US"/>
              </w:rPr>
              <w:t xml:space="preserve">PSC </w:t>
            </w:r>
          </w:p>
        </w:tc>
      </w:tr>
      <w:tr w:rsidR="004051CD" w:rsidTr="00D12249">
        <w:tc>
          <w:tcPr>
            <w:tcW w:w="2943" w:type="dxa"/>
            <w:tcBorders>
              <w:top w:val="single" w:sz="4" w:space="0" w:color="auto"/>
              <w:bottom w:val="nil"/>
            </w:tcBorders>
          </w:tcPr>
          <w:p w:rsidR="004051CD" w:rsidRPr="00D178FA" w:rsidRDefault="004051CD" w:rsidP="004B457A">
            <w:pPr>
              <w:rPr>
                <w:u w:color="000000"/>
                <w:bdr w:val="nil"/>
                <w:lang w:val="en-US"/>
              </w:rPr>
            </w:pPr>
            <w:r w:rsidRPr="00F43118">
              <w:rPr>
                <w:u w:color="000000"/>
                <w:bdr w:val="nil"/>
                <w:lang w:val="en-US"/>
              </w:rPr>
              <w:t>Psychological demands</w:t>
            </w:r>
          </w:p>
        </w:tc>
        <w:tc>
          <w:tcPr>
            <w:tcW w:w="2835" w:type="dxa"/>
            <w:tcBorders>
              <w:top w:val="single" w:sz="4" w:space="0" w:color="auto"/>
              <w:bottom w:val="nil"/>
            </w:tcBorders>
          </w:tcPr>
          <w:p w:rsidR="004051CD" w:rsidRPr="00D178FA" w:rsidRDefault="004051CD" w:rsidP="004B457A">
            <w:pPr>
              <w:rPr>
                <w:u w:color="000000"/>
                <w:bdr w:val="nil"/>
                <w:lang w:val="en-US"/>
              </w:rPr>
            </w:pPr>
            <w:r w:rsidRPr="00F43118">
              <w:rPr>
                <w:u w:color="000000"/>
                <w:bdr w:val="nil"/>
                <w:lang w:val="en-US"/>
              </w:rPr>
              <w:t>-.29**</w:t>
            </w:r>
          </w:p>
        </w:tc>
      </w:tr>
      <w:tr w:rsidR="004051CD" w:rsidTr="00D12249">
        <w:tc>
          <w:tcPr>
            <w:tcW w:w="2943" w:type="dxa"/>
            <w:tcBorders>
              <w:top w:val="nil"/>
              <w:bottom w:val="nil"/>
            </w:tcBorders>
          </w:tcPr>
          <w:p w:rsidR="004051CD" w:rsidRPr="00D178FA" w:rsidRDefault="004051CD" w:rsidP="004B457A">
            <w:pPr>
              <w:rPr>
                <w:u w:color="000000"/>
                <w:bdr w:val="nil"/>
                <w:lang w:val="en-US"/>
              </w:rPr>
            </w:pPr>
            <w:r w:rsidRPr="00F43118">
              <w:rPr>
                <w:u w:color="000000"/>
                <w:bdr w:val="nil"/>
                <w:lang w:val="en-US"/>
              </w:rPr>
              <w:t>Emotional demands</w:t>
            </w:r>
          </w:p>
        </w:tc>
        <w:tc>
          <w:tcPr>
            <w:tcW w:w="2835" w:type="dxa"/>
            <w:tcBorders>
              <w:top w:val="nil"/>
              <w:bottom w:val="nil"/>
            </w:tcBorders>
          </w:tcPr>
          <w:p w:rsidR="004051CD" w:rsidRPr="00D178FA" w:rsidRDefault="004051CD" w:rsidP="004B457A">
            <w:pPr>
              <w:rPr>
                <w:u w:color="000000"/>
                <w:bdr w:val="nil"/>
                <w:lang w:val="en-US"/>
              </w:rPr>
            </w:pPr>
            <w:r w:rsidRPr="00F43118">
              <w:rPr>
                <w:u w:color="000000"/>
                <w:bdr w:val="nil"/>
                <w:lang w:val="en-US"/>
              </w:rPr>
              <w:t>-.13**</w:t>
            </w:r>
          </w:p>
        </w:tc>
      </w:tr>
      <w:tr w:rsidR="004051CD" w:rsidTr="00D12249">
        <w:tc>
          <w:tcPr>
            <w:tcW w:w="2943" w:type="dxa"/>
            <w:tcBorders>
              <w:top w:val="nil"/>
              <w:bottom w:val="nil"/>
            </w:tcBorders>
          </w:tcPr>
          <w:p w:rsidR="004051CD" w:rsidRPr="00F43118" w:rsidRDefault="004051CD" w:rsidP="004B457A">
            <w:pPr>
              <w:rPr>
                <w:u w:color="000000"/>
                <w:bdr w:val="nil"/>
                <w:lang w:val="en-US"/>
              </w:rPr>
            </w:pPr>
            <w:r w:rsidRPr="00F43118">
              <w:rPr>
                <w:u w:color="000000"/>
                <w:bdr w:val="nil"/>
                <w:lang w:val="en-US"/>
              </w:rPr>
              <w:t>Supervisor social support</w:t>
            </w:r>
          </w:p>
        </w:tc>
        <w:tc>
          <w:tcPr>
            <w:tcW w:w="2835" w:type="dxa"/>
            <w:tcBorders>
              <w:top w:val="nil"/>
              <w:bottom w:val="nil"/>
            </w:tcBorders>
          </w:tcPr>
          <w:p w:rsidR="004051CD" w:rsidRPr="00F43118" w:rsidRDefault="004051CD" w:rsidP="004B457A">
            <w:pPr>
              <w:rPr>
                <w:u w:color="000000"/>
                <w:bdr w:val="nil"/>
                <w:lang w:val="en-US"/>
              </w:rPr>
            </w:pPr>
            <w:r w:rsidRPr="00F43118">
              <w:rPr>
                <w:u w:color="000000"/>
                <w:bdr w:val="nil"/>
                <w:lang w:val="en-US"/>
              </w:rPr>
              <w:t>.51**</w:t>
            </w:r>
          </w:p>
        </w:tc>
      </w:tr>
      <w:tr w:rsidR="004051CD" w:rsidTr="00D12249">
        <w:tc>
          <w:tcPr>
            <w:tcW w:w="2943" w:type="dxa"/>
            <w:tcBorders>
              <w:top w:val="nil"/>
              <w:bottom w:val="nil"/>
            </w:tcBorders>
          </w:tcPr>
          <w:p w:rsidR="004051CD" w:rsidRPr="00F43118" w:rsidRDefault="004051CD" w:rsidP="004B457A">
            <w:pPr>
              <w:rPr>
                <w:u w:color="000000"/>
                <w:bdr w:val="nil"/>
                <w:lang w:val="en-US"/>
              </w:rPr>
            </w:pPr>
            <w:proofErr w:type="spellStart"/>
            <w:r w:rsidRPr="00F43118">
              <w:rPr>
                <w:u w:color="000000"/>
                <w:bdr w:val="nil"/>
                <w:lang w:val="en-US"/>
              </w:rPr>
              <w:t>Organisational</w:t>
            </w:r>
            <w:proofErr w:type="spellEnd"/>
            <w:r w:rsidRPr="00F43118">
              <w:rPr>
                <w:u w:color="000000"/>
                <w:bdr w:val="nil"/>
                <w:lang w:val="en-US"/>
              </w:rPr>
              <w:t xml:space="preserve"> rewards</w:t>
            </w:r>
          </w:p>
        </w:tc>
        <w:tc>
          <w:tcPr>
            <w:tcW w:w="2835" w:type="dxa"/>
            <w:tcBorders>
              <w:top w:val="nil"/>
              <w:bottom w:val="nil"/>
            </w:tcBorders>
          </w:tcPr>
          <w:p w:rsidR="004051CD" w:rsidRPr="00F43118" w:rsidRDefault="004051CD" w:rsidP="004B457A">
            <w:pPr>
              <w:rPr>
                <w:u w:color="000000"/>
                <w:bdr w:val="nil"/>
                <w:lang w:val="en-US"/>
              </w:rPr>
            </w:pPr>
            <w:r w:rsidRPr="00F43118">
              <w:rPr>
                <w:u w:color="000000"/>
                <w:bdr w:val="nil"/>
                <w:lang w:val="en-US"/>
              </w:rPr>
              <w:t>.46**</w:t>
            </w:r>
          </w:p>
        </w:tc>
      </w:tr>
      <w:tr w:rsidR="004051CD" w:rsidTr="00D12249">
        <w:tc>
          <w:tcPr>
            <w:tcW w:w="2943" w:type="dxa"/>
            <w:tcBorders>
              <w:top w:val="nil"/>
              <w:bottom w:val="single" w:sz="4" w:space="0" w:color="auto"/>
            </w:tcBorders>
          </w:tcPr>
          <w:p w:rsidR="004051CD" w:rsidRPr="00F43118" w:rsidRDefault="004051CD" w:rsidP="004B457A">
            <w:pPr>
              <w:rPr>
                <w:u w:color="000000"/>
                <w:bdr w:val="nil"/>
                <w:lang w:val="en-US"/>
              </w:rPr>
            </w:pPr>
            <w:r w:rsidRPr="00F43118">
              <w:rPr>
                <w:u w:color="000000"/>
                <w:bdr w:val="nil"/>
                <w:lang w:val="en-US"/>
              </w:rPr>
              <w:t>Job control</w:t>
            </w:r>
          </w:p>
        </w:tc>
        <w:tc>
          <w:tcPr>
            <w:tcW w:w="2835" w:type="dxa"/>
            <w:tcBorders>
              <w:top w:val="nil"/>
              <w:bottom w:val="single" w:sz="4" w:space="0" w:color="auto"/>
            </w:tcBorders>
          </w:tcPr>
          <w:p w:rsidR="004051CD" w:rsidRPr="00F43118" w:rsidRDefault="004051CD" w:rsidP="004B457A">
            <w:pPr>
              <w:rPr>
                <w:u w:color="000000"/>
                <w:bdr w:val="nil"/>
                <w:lang w:val="en-US"/>
              </w:rPr>
            </w:pPr>
            <w:r w:rsidRPr="00F43118">
              <w:rPr>
                <w:u w:color="000000"/>
                <w:bdr w:val="nil"/>
                <w:lang w:val="en-US"/>
              </w:rPr>
              <w:t>.29**</w:t>
            </w:r>
          </w:p>
        </w:tc>
      </w:tr>
    </w:tbl>
    <w:p w:rsidR="00F43118" w:rsidRPr="00F43118" w:rsidRDefault="001F5A09" w:rsidP="00D62C88">
      <w:pPr>
        <w:pStyle w:val="references"/>
      </w:pPr>
      <w:r>
        <w:tab/>
      </w:r>
      <w:r>
        <w:tab/>
      </w:r>
      <w:r w:rsidR="005B5215">
        <w:t xml:space="preserve">Note. **, </w:t>
      </w:r>
      <w:r w:rsidR="005B5215" w:rsidRPr="005B5215">
        <w:rPr>
          <w:i/>
        </w:rPr>
        <w:t xml:space="preserve">p </w:t>
      </w:r>
      <w:r w:rsidR="005B5215">
        <w:t>&lt; .01.</w:t>
      </w:r>
    </w:p>
    <w:p w:rsidR="00F43118" w:rsidRPr="00F43118" w:rsidRDefault="00F43118" w:rsidP="00E2784F">
      <w:pPr>
        <w:spacing w:after="120"/>
        <w:rPr>
          <w:rFonts w:ascii="Segoe UI" w:hAnsi="Segoe UI" w:cs="Segoe UI"/>
          <w:sz w:val="23"/>
          <w:szCs w:val="23"/>
          <w:u w:color="000000"/>
        </w:rPr>
      </w:pPr>
      <w:r w:rsidRPr="00F43118">
        <w:rPr>
          <w:rFonts w:eastAsia="Cambria"/>
          <w:u w:color="000000"/>
          <w:bdr w:val="nil"/>
          <w:lang w:val="en-US"/>
        </w:rPr>
        <w:t>Next we tested how PSC and the work factors predicted bullying</w:t>
      </w:r>
      <w:r w:rsidR="005729AE">
        <w:rPr>
          <w:rFonts w:eastAsia="Cambria"/>
          <w:u w:color="000000"/>
          <w:bdr w:val="nil"/>
          <w:lang w:val="en-US"/>
        </w:rPr>
        <w:t xml:space="preserve"> (results are shown in Figure 7)</w:t>
      </w:r>
      <w:r w:rsidRPr="00F43118">
        <w:rPr>
          <w:rFonts w:eastAsia="Cambria"/>
          <w:u w:color="000000"/>
          <w:bdr w:val="nil"/>
          <w:lang w:val="en-US"/>
        </w:rPr>
        <w:t xml:space="preserve">. Taking PSC and demands first, in a logistic regression, step 1 of Model 1 (see </w:t>
      </w:r>
      <w:r w:rsidR="0049768B">
        <w:rPr>
          <w:rFonts w:eastAsia="Cambria"/>
          <w:u w:color="000000"/>
          <w:bdr w:val="nil"/>
          <w:lang w:val="en-US"/>
        </w:rPr>
        <w:t>Table 4</w:t>
      </w:r>
      <w:r w:rsidRPr="00F43118">
        <w:rPr>
          <w:rFonts w:eastAsia="Cambria"/>
          <w:u w:color="000000"/>
          <w:bdr w:val="nil"/>
          <w:lang w:val="en-US"/>
        </w:rPr>
        <w:t xml:space="preserve">), showed PSC was significantly negatively related to bullying over time, after controlling for baseline levels of bullying.  Of the two demands forward entered in step 2, emotional demands only was significant. Since the model controls for initial levels of bullying, these significant relationships predict change in bullying over time – almost over a four year period. </w:t>
      </w:r>
      <w:r w:rsidR="004051CD">
        <w:rPr>
          <w:rFonts w:eastAsia="Cambria"/>
          <w:u w:color="000000"/>
          <w:bdr w:val="nil"/>
          <w:lang w:val="en-US"/>
        </w:rPr>
        <w:t xml:space="preserve">The results show that </w:t>
      </w:r>
      <w:r w:rsidR="004051CD">
        <w:rPr>
          <w:rFonts w:cs="Segoe UI"/>
          <w:u w:color="000000"/>
        </w:rPr>
        <w:t>t</w:t>
      </w:r>
      <w:r w:rsidRPr="00F43118">
        <w:rPr>
          <w:rFonts w:cs="Segoe UI"/>
          <w:u w:color="000000"/>
        </w:rPr>
        <w:t>o predict bullying over this length of time it is important to consider PSC and emotional demands.</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We assessed the mediated effect of PSC on bullying through emotional demands. First PSC to emotional demands longitudinal was significant, B = -.14, SE = .03, </w:t>
      </w:r>
      <w:r w:rsidRPr="00F43118">
        <w:rPr>
          <w:rFonts w:eastAsia="Cambria"/>
          <w:i/>
          <w:u w:color="000000"/>
          <w:bdr w:val="nil"/>
          <w:lang w:val="en-US"/>
        </w:rPr>
        <w:t xml:space="preserve">p </w:t>
      </w:r>
      <w:r w:rsidRPr="00F43118">
        <w:rPr>
          <w:rFonts w:eastAsia="Cambria"/>
          <w:u w:color="000000"/>
          <w:bdr w:val="nil"/>
          <w:lang w:val="en-US"/>
        </w:rPr>
        <w:t xml:space="preserve">&lt; .001.  Emotional demands predicting bullying longitudinal was significant, B = .81, SE = .14, </w:t>
      </w:r>
      <w:r w:rsidRPr="00F43118">
        <w:rPr>
          <w:rFonts w:eastAsia="Cambria"/>
          <w:i/>
          <w:u w:color="000000"/>
          <w:bdr w:val="nil"/>
          <w:lang w:val="en-US"/>
        </w:rPr>
        <w:t>p</w:t>
      </w:r>
      <w:r w:rsidRPr="00F43118">
        <w:rPr>
          <w:rFonts w:eastAsia="Cambria"/>
          <w:u w:color="000000"/>
          <w:bdr w:val="nil"/>
          <w:lang w:val="en-US"/>
        </w:rPr>
        <w:t xml:space="preserve"> &lt; .001 (see Table 4</w:t>
      </w:r>
      <w:r w:rsidR="0049768B">
        <w:rPr>
          <w:rFonts w:eastAsia="Cambria"/>
          <w:u w:color="000000"/>
          <w:bdr w:val="nil"/>
          <w:lang w:val="en-US"/>
        </w:rPr>
        <w:t>, step 2</w:t>
      </w:r>
      <w:r w:rsidRPr="00F43118">
        <w:rPr>
          <w:rFonts w:eastAsia="Cambria"/>
          <w:u w:color="000000"/>
          <w:bdr w:val="nil"/>
          <w:lang w:val="en-US"/>
        </w:rPr>
        <w:t xml:space="preserve">). Combining these effects together we found the mediated effect was significant </w:t>
      </w:r>
      <w:r w:rsidR="0049768B">
        <w:rPr>
          <w:rFonts w:eastAsia="Cambria"/>
          <w:u w:color="000000"/>
          <w:bdr w:val="nil"/>
          <w:lang w:val="en-US"/>
        </w:rPr>
        <w:t>(</w:t>
      </w:r>
      <w:r w:rsidRPr="00F43118">
        <w:rPr>
          <w:rFonts w:eastAsia="Cambria"/>
          <w:u w:color="000000"/>
          <w:bdr w:val="nil"/>
          <w:lang w:val="en-US"/>
        </w:rPr>
        <w:t>95</w:t>
      </w:r>
      <w:r w:rsidR="005B5215">
        <w:rPr>
          <w:rFonts w:eastAsia="Cambria"/>
          <w:u w:color="000000"/>
          <w:bdr w:val="nil"/>
          <w:lang w:val="en-US"/>
        </w:rPr>
        <w:t xml:space="preserve"> per cent</w:t>
      </w:r>
      <w:r w:rsidRPr="00F43118">
        <w:rPr>
          <w:rFonts w:eastAsia="Cambria"/>
          <w:u w:color="000000"/>
          <w:bdr w:val="nil"/>
          <w:lang w:val="en-US"/>
        </w:rPr>
        <w:t xml:space="preserve"> confidence interval [lower level, -0.18, upper level -.06]</w:t>
      </w:r>
      <w:r w:rsidR="0049768B">
        <w:rPr>
          <w:rFonts w:eastAsia="Cambria"/>
          <w:u w:color="000000"/>
          <w:bdr w:val="nil"/>
          <w:lang w:val="en-US"/>
        </w:rPr>
        <w:t>)</w:t>
      </w:r>
      <w:r w:rsidRPr="00F43118">
        <w:rPr>
          <w:rFonts w:eastAsia="Cambria"/>
          <w:u w:color="000000"/>
          <w:bdr w:val="nil"/>
          <w:lang w:val="en-US"/>
        </w:rPr>
        <w:t>.  Therefore PSC predicted bullying, in part, because of its intermediat</w:t>
      </w:r>
      <w:r w:rsidR="00E2784F">
        <w:rPr>
          <w:rFonts w:eastAsia="Cambria"/>
          <w:u w:color="000000"/>
          <w:bdr w:val="nil"/>
          <w:lang w:val="en-US"/>
        </w:rPr>
        <w:t>e effects on emotional demands.</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Considering PSC and resources, in Model 2, (</w:t>
      </w:r>
      <w:r w:rsidR="0049768B">
        <w:rPr>
          <w:rFonts w:eastAsia="Cambria"/>
          <w:u w:color="000000"/>
          <w:bdr w:val="nil"/>
          <w:lang w:val="en-US"/>
        </w:rPr>
        <w:t>Table 4</w:t>
      </w:r>
      <w:r w:rsidRPr="00F43118">
        <w:rPr>
          <w:rFonts w:eastAsia="Cambria"/>
          <w:u w:color="000000"/>
          <w:bdr w:val="nil"/>
          <w:lang w:val="en-US"/>
        </w:rPr>
        <w:t xml:space="preserve">) at the first step, PSC again significantly predicted </w:t>
      </w:r>
      <w:r w:rsidR="0049768B">
        <w:rPr>
          <w:rFonts w:eastAsia="Cambria"/>
          <w:u w:color="000000"/>
          <w:bdr w:val="nil"/>
          <w:lang w:val="en-US"/>
        </w:rPr>
        <w:t xml:space="preserve">future </w:t>
      </w:r>
      <w:r w:rsidRPr="00F43118">
        <w:rPr>
          <w:rFonts w:eastAsia="Cambria"/>
          <w:u w:color="000000"/>
          <w:bdr w:val="nil"/>
          <w:lang w:val="en-US"/>
        </w:rPr>
        <w:t xml:space="preserve">bullying over baseline levels of bullying. The addition of job resources, job control, supervisor social support and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rewards did not significantly improve the prediction of bullying. Job control alone was the only resource to significantly predict bullying over </w:t>
      </w:r>
      <w:r w:rsidR="00E2784F">
        <w:rPr>
          <w:rFonts w:eastAsia="Cambria"/>
          <w:u w:color="000000"/>
          <w:bdr w:val="nil"/>
          <w:lang w:val="en-US"/>
        </w:rPr>
        <w:t>time.</w:t>
      </w:r>
    </w:p>
    <w:p w:rsidR="008C241C" w:rsidRPr="00C55CE8" w:rsidRDefault="00F43118" w:rsidP="00E2784F">
      <w:pPr>
        <w:spacing w:after="120"/>
        <w:rPr>
          <w:rFonts w:eastAsia="Cambria"/>
          <w:u w:color="000000"/>
          <w:bdr w:val="nil"/>
          <w:lang w:val="en-US"/>
        </w:rPr>
      </w:pPr>
      <w:r w:rsidRPr="00F43118">
        <w:rPr>
          <w:rFonts w:eastAsia="Cambria"/>
          <w:u w:color="000000"/>
          <w:bdr w:val="nil"/>
          <w:lang w:val="en-US"/>
        </w:rPr>
        <w:t xml:space="preserve">We assessed the mediated effect of PSC on bullying through job control. First PSC to job control (longitudinally) was significant, B = .16, SE = .03, </w:t>
      </w:r>
      <w:r w:rsidRPr="00666BA1">
        <w:rPr>
          <w:rFonts w:eastAsia="Cambria"/>
          <w:i/>
          <w:u w:color="000000"/>
          <w:bdr w:val="nil"/>
          <w:lang w:val="en-US"/>
        </w:rPr>
        <w:t>p</w:t>
      </w:r>
      <w:r w:rsidRPr="00F43118">
        <w:rPr>
          <w:rFonts w:eastAsia="Cambria"/>
          <w:u w:color="000000"/>
          <w:bdr w:val="nil"/>
          <w:lang w:val="en-US"/>
        </w:rPr>
        <w:t xml:space="preserve"> &lt; .001. Job control predicted bullying, B = .29, SE = .12, </w:t>
      </w:r>
      <w:r w:rsidRPr="00666BA1">
        <w:rPr>
          <w:rFonts w:eastAsia="Cambria"/>
          <w:i/>
          <w:u w:color="000000"/>
          <w:bdr w:val="nil"/>
          <w:lang w:val="en-US"/>
        </w:rPr>
        <w:t>p</w:t>
      </w:r>
      <w:r w:rsidRPr="00F43118">
        <w:rPr>
          <w:rFonts w:eastAsia="Cambria"/>
          <w:u w:color="000000"/>
          <w:bdr w:val="nil"/>
          <w:lang w:val="en-US"/>
        </w:rPr>
        <w:t xml:space="preserve"> &lt; .01. The mediated effect was supported; PSC was </w:t>
      </w:r>
      <w:r w:rsidRPr="00F43118">
        <w:rPr>
          <w:rFonts w:eastAsia="Cambria"/>
          <w:u w:color="000000"/>
          <w:bdr w:val="nil"/>
          <w:lang w:val="en-US"/>
        </w:rPr>
        <w:lastRenderedPageBreak/>
        <w:t>significantly related to bullying in part because of its effect on job control (95</w:t>
      </w:r>
      <w:r w:rsidR="005B5215">
        <w:rPr>
          <w:rFonts w:eastAsia="Cambria"/>
          <w:u w:color="000000"/>
          <w:bdr w:val="nil"/>
          <w:lang w:val="en-US"/>
        </w:rPr>
        <w:t xml:space="preserve"> per cent</w:t>
      </w:r>
      <w:r w:rsidR="000B18AB">
        <w:rPr>
          <w:rFonts w:eastAsia="Cambria"/>
          <w:u w:color="000000"/>
          <w:bdr w:val="nil"/>
          <w:lang w:val="en-US"/>
        </w:rPr>
        <w:t xml:space="preserve"> Confidence Interval </w:t>
      </w:r>
      <w:r w:rsidR="00E2784F">
        <w:rPr>
          <w:rFonts w:eastAsia="Cambria"/>
          <w:u w:color="000000"/>
          <w:bdr w:val="nil"/>
          <w:lang w:val="en-US"/>
        </w:rPr>
        <w:t>[.009, .09]).</w:t>
      </w:r>
    </w:p>
    <w:p w:rsidR="00F43118" w:rsidRPr="00F43118" w:rsidRDefault="00F43118" w:rsidP="00141A29">
      <w:pPr>
        <w:pStyle w:val="tableheaderL"/>
      </w:pPr>
      <w:proofErr w:type="gramStart"/>
      <w:r w:rsidRPr="00F43118">
        <w:t>Table 4.</w:t>
      </w:r>
      <w:proofErr w:type="gramEnd"/>
      <w:r w:rsidRPr="00F43118">
        <w:t xml:space="preserve"> </w:t>
      </w:r>
      <w:r w:rsidRPr="00DD3A77">
        <w:t xml:space="preserve">Longitudinal logistic regression models predicting </w:t>
      </w:r>
      <w:r w:rsidR="007850C6" w:rsidRPr="00DD3A77">
        <w:t xml:space="preserve">bullying Time 3 </w:t>
      </w:r>
      <w:r w:rsidRPr="00DD3A77">
        <w:t>from PSC and job design factors</w:t>
      </w:r>
      <w:r w:rsidRPr="00F43118">
        <w:t xml:space="preserve"> </w:t>
      </w:r>
    </w:p>
    <w:tbl>
      <w:tblPr>
        <w:tblW w:w="4837" w:type="pct"/>
        <w:tblBorders>
          <w:top w:val="single" w:sz="4" w:space="0" w:color="auto"/>
          <w:bottom w:val="single" w:sz="4" w:space="0" w:color="auto"/>
        </w:tblBorders>
        <w:tblCellMar>
          <w:left w:w="0" w:type="dxa"/>
          <w:right w:w="0" w:type="dxa"/>
        </w:tblCellMar>
        <w:tblLook w:val="04A0" w:firstRow="1" w:lastRow="0" w:firstColumn="1" w:lastColumn="0" w:noHBand="0" w:noVBand="1"/>
        <w:tblCaption w:val="Table 4: Longitudinal logistic regression  models predicting bullying Time 3 from PSC and job design factors"/>
        <w:tblDescription w:val="Table showing longitudinal regression models predicting bullying at time 3 from PSC and job design factors."/>
      </w:tblPr>
      <w:tblGrid>
        <w:gridCol w:w="3878"/>
        <w:gridCol w:w="1530"/>
        <w:gridCol w:w="1159"/>
        <w:gridCol w:w="1143"/>
        <w:gridCol w:w="1041"/>
      </w:tblGrid>
      <w:tr w:rsidR="00F43118" w:rsidRPr="00F43118" w:rsidTr="001F5A09">
        <w:trPr>
          <w:trHeight w:val="294"/>
        </w:trPr>
        <w:tc>
          <w:tcPr>
            <w:tcW w:w="2216"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C55CE8" w:rsidRDefault="00F43118" w:rsidP="00D62C88">
            <w:pPr>
              <w:rPr>
                <w:rFonts w:eastAsia="Cambria"/>
                <w:b/>
                <w:u w:color="000000"/>
                <w:bdr w:val="nil"/>
                <w:lang w:val="en-US" w:eastAsia="en-US"/>
              </w:rPr>
            </w:pPr>
            <w:r w:rsidRPr="00F43118">
              <w:rPr>
                <w:rFonts w:eastAsia="Cambria"/>
                <w:u w:color="000000"/>
                <w:bdr w:val="nil"/>
                <w:lang w:val="en-US" w:eastAsia="en-US"/>
              </w:rPr>
              <w:t> </w:t>
            </w:r>
            <w:r w:rsidRPr="00C55CE8">
              <w:rPr>
                <w:rFonts w:eastAsia="Cambria"/>
                <w:b/>
                <w:u w:color="000000"/>
                <w:bdr w:val="nil"/>
                <w:lang w:val="en-US" w:eastAsia="en-US"/>
              </w:rPr>
              <w:t>Model 1 Demand factors</w:t>
            </w:r>
          </w:p>
        </w:tc>
        <w:tc>
          <w:tcPr>
            <w:tcW w:w="874"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B</w:t>
            </w:r>
          </w:p>
        </w:tc>
        <w:tc>
          <w:tcPr>
            <w:tcW w:w="662"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proofErr w:type="spellStart"/>
            <w:r w:rsidRPr="00F43118">
              <w:rPr>
                <w:rFonts w:eastAsia="Cambria"/>
                <w:u w:color="000000"/>
                <w:bdr w:val="nil"/>
                <w:lang w:val="en-US" w:eastAsia="en-US"/>
              </w:rPr>
              <w:t>S.E</w:t>
            </w:r>
            <w:proofErr w:type="spellEnd"/>
          </w:p>
        </w:tc>
        <w:tc>
          <w:tcPr>
            <w:tcW w:w="653"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Sig</w:t>
            </w:r>
          </w:p>
        </w:tc>
        <w:tc>
          <w:tcPr>
            <w:tcW w:w="595"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proofErr w:type="spellStart"/>
            <w:r w:rsidRPr="00F43118">
              <w:rPr>
                <w:rFonts w:eastAsia="Cambria"/>
                <w:u w:color="000000"/>
                <w:bdr w:val="nil"/>
                <w:lang w:val="en-US" w:eastAsia="en-US"/>
              </w:rPr>
              <w:t>Exp</w:t>
            </w:r>
            <w:proofErr w:type="spellEnd"/>
            <w:r w:rsidRPr="00F43118">
              <w:rPr>
                <w:rFonts w:eastAsia="Cambria"/>
                <w:u w:color="000000"/>
                <w:bdr w:val="nil"/>
                <w:lang w:val="en-US" w:eastAsia="en-US"/>
              </w:rPr>
              <w:t>(B)</w:t>
            </w:r>
          </w:p>
        </w:tc>
      </w:tr>
      <w:tr w:rsidR="001F5A09" w:rsidRPr="00F43118" w:rsidTr="001F5A09">
        <w:trPr>
          <w:trHeight w:val="280"/>
        </w:trPr>
        <w:tc>
          <w:tcPr>
            <w:tcW w:w="2216" w:type="pct"/>
            <w:tcBorders>
              <w:top w:val="nil"/>
              <w:left w:val="nil"/>
              <w:bottom w:val="nil"/>
              <w:right w:val="nil"/>
            </w:tcBorders>
            <w:noWrap/>
            <w:tcMar>
              <w:top w:w="0" w:type="dxa"/>
              <w:left w:w="108" w:type="dxa"/>
              <w:bottom w:w="0" w:type="dxa"/>
              <w:right w:w="108" w:type="dxa"/>
            </w:tcMar>
            <w:vAlign w:val="bottom"/>
          </w:tcPr>
          <w:p w:rsidR="001F5A09" w:rsidRPr="001F5A09" w:rsidRDefault="001F5A09" w:rsidP="00D62C88">
            <w:pPr>
              <w:rPr>
                <w:rFonts w:eastAsia="Cambria"/>
                <w:b/>
                <w:u w:color="000000"/>
                <w:bdr w:val="nil"/>
                <w:lang w:val="en-US" w:eastAsia="en-US"/>
              </w:rPr>
            </w:pPr>
            <w:r w:rsidRPr="001F5A09">
              <w:rPr>
                <w:rFonts w:eastAsia="Cambria"/>
                <w:b/>
                <w:u w:color="000000"/>
                <w:bdr w:val="nil"/>
                <w:lang w:val="en-US" w:eastAsia="en-US"/>
              </w:rPr>
              <w:t>Step 1</w:t>
            </w:r>
          </w:p>
        </w:tc>
        <w:tc>
          <w:tcPr>
            <w:tcW w:w="874" w:type="pct"/>
            <w:tcBorders>
              <w:top w:val="nil"/>
              <w:left w:val="nil"/>
              <w:bottom w:val="nil"/>
              <w:right w:val="nil"/>
            </w:tcBorders>
            <w:noWrap/>
            <w:tcMar>
              <w:top w:w="0" w:type="dxa"/>
              <w:left w:w="108" w:type="dxa"/>
              <w:bottom w:w="0" w:type="dxa"/>
              <w:right w:w="108" w:type="dxa"/>
            </w:tcMar>
            <w:vAlign w:val="bottom"/>
          </w:tcPr>
          <w:p w:rsidR="001F5A09" w:rsidRDefault="001F5A09" w:rsidP="00D62C88">
            <w:pPr>
              <w:rPr>
                <w:rFonts w:eastAsia="Cambria"/>
                <w:u w:color="000000"/>
                <w:bdr w:val="nil"/>
                <w:lang w:val="en-US" w:eastAsia="en-US"/>
              </w:rPr>
            </w:pPr>
          </w:p>
        </w:tc>
        <w:tc>
          <w:tcPr>
            <w:tcW w:w="662" w:type="pct"/>
            <w:tcBorders>
              <w:top w:val="nil"/>
              <w:left w:val="nil"/>
              <w:bottom w:val="nil"/>
              <w:right w:val="nil"/>
            </w:tcBorders>
            <w:noWrap/>
            <w:tcMar>
              <w:top w:w="0" w:type="dxa"/>
              <w:left w:w="108" w:type="dxa"/>
              <w:bottom w:w="0" w:type="dxa"/>
              <w:right w:w="108" w:type="dxa"/>
            </w:tcMar>
            <w:vAlign w:val="bottom"/>
          </w:tcPr>
          <w:p w:rsidR="001F5A09" w:rsidRDefault="001F5A09" w:rsidP="00D62C88">
            <w:pPr>
              <w:rPr>
                <w:rFonts w:eastAsia="Cambria"/>
                <w:u w:color="000000"/>
                <w:bdr w:val="nil"/>
                <w:lang w:val="en-US" w:eastAsia="en-US"/>
              </w:rPr>
            </w:pPr>
          </w:p>
        </w:tc>
        <w:tc>
          <w:tcPr>
            <w:tcW w:w="653" w:type="pct"/>
            <w:tcBorders>
              <w:top w:val="nil"/>
              <w:left w:val="nil"/>
              <w:bottom w:val="nil"/>
              <w:right w:val="nil"/>
            </w:tcBorders>
            <w:noWrap/>
            <w:tcMar>
              <w:top w:w="0" w:type="dxa"/>
              <w:left w:w="108" w:type="dxa"/>
              <w:bottom w:w="0" w:type="dxa"/>
              <w:right w:w="108" w:type="dxa"/>
            </w:tcMar>
            <w:vAlign w:val="bottom"/>
          </w:tcPr>
          <w:p w:rsidR="001F5A09" w:rsidRPr="00666BA1" w:rsidRDefault="001F5A09" w:rsidP="00D62C88">
            <w:pPr>
              <w:rPr>
                <w:rFonts w:eastAsia="Cambria"/>
                <w:u w:color="000000"/>
                <w:bdr w:val="nil"/>
                <w:lang w:val="en-US" w:eastAsia="en-US"/>
              </w:rPr>
            </w:pPr>
          </w:p>
        </w:tc>
        <w:tc>
          <w:tcPr>
            <w:tcW w:w="595" w:type="pct"/>
            <w:tcBorders>
              <w:top w:val="nil"/>
              <w:left w:val="nil"/>
              <w:bottom w:val="nil"/>
              <w:right w:val="nil"/>
            </w:tcBorders>
            <w:noWrap/>
            <w:tcMar>
              <w:top w:w="0" w:type="dxa"/>
              <w:left w:w="108" w:type="dxa"/>
              <w:bottom w:w="0" w:type="dxa"/>
              <w:right w:w="108" w:type="dxa"/>
            </w:tcMar>
            <w:vAlign w:val="bottom"/>
          </w:tcPr>
          <w:p w:rsidR="001F5A09" w:rsidRPr="00F43118" w:rsidRDefault="001F5A09" w:rsidP="00D62C88">
            <w:pPr>
              <w:rPr>
                <w:rFonts w:eastAsia="Cambria"/>
                <w:u w:color="000000"/>
                <w:bdr w:val="nil"/>
                <w:lang w:val="en-US" w:eastAsia="en-US"/>
              </w:rPr>
            </w:pPr>
          </w:p>
        </w:tc>
      </w:tr>
      <w:tr w:rsidR="00F43118" w:rsidRPr="00F43118" w:rsidTr="001F5A09">
        <w:trPr>
          <w:trHeight w:val="280"/>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Bullied Time 2</w:t>
            </w:r>
          </w:p>
        </w:tc>
        <w:tc>
          <w:tcPr>
            <w:tcW w:w="874" w:type="pct"/>
            <w:tcBorders>
              <w:top w:val="nil"/>
              <w:left w:val="nil"/>
              <w:bottom w:val="nil"/>
              <w:right w:val="nil"/>
            </w:tcBorders>
            <w:noWrap/>
            <w:tcMar>
              <w:top w:w="0" w:type="dxa"/>
              <w:left w:w="108" w:type="dxa"/>
              <w:bottom w:w="0" w:type="dxa"/>
              <w:right w:w="108" w:type="dxa"/>
            </w:tcMar>
            <w:vAlign w:val="bottom"/>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.69</w:t>
            </w:r>
          </w:p>
        </w:tc>
        <w:tc>
          <w:tcPr>
            <w:tcW w:w="662" w:type="pct"/>
            <w:tcBorders>
              <w:top w:val="nil"/>
              <w:left w:val="nil"/>
              <w:bottom w:val="nil"/>
              <w:right w:val="nil"/>
            </w:tcBorders>
            <w:noWrap/>
            <w:tcMar>
              <w:top w:w="0" w:type="dxa"/>
              <w:left w:w="108" w:type="dxa"/>
              <w:bottom w:w="0" w:type="dxa"/>
              <w:right w:w="108" w:type="dxa"/>
            </w:tcMar>
            <w:vAlign w:val="bottom"/>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.34</w:t>
            </w:r>
          </w:p>
        </w:tc>
        <w:tc>
          <w:tcPr>
            <w:tcW w:w="653" w:type="pct"/>
            <w:tcBorders>
              <w:top w:val="nil"/>
              <w:left w:val="nil"/>
              <w:bottom w:val="nil"/>
              <w:right w:val="nil"/>
            </w:tcBorders>
            <w:noWrap/>
            <w:tcMar>
              <w:top w:w="0" w:type="dxa"/>
              <w:left w:w="108" w:type="dxa"/>
              <w:bottom w:w="0" w:type="dxa"/>
              <w:right w:w="108" w:type="dxa"/>
            </w:tcMar>
            <w:vAlign w:val="bottom"/>
            <w:hideMark/>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.04</w:t>
            </w:r>
          </w:p>
        </w:tc>
        <w:tc>
          <w:tcPr>
            <w:tcW w:w="595"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2.00</w:t>
            </w:r>
          </w:p>
        </w:tc>
      </w:tr>
      <w:tr w:rsidR="00F43118" w:rsidRPr="00F43118" w:rsidTr="001F5A09">
        <w:trPr>
          <w:trHeight w:val="280"/>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PSC Time 2#</w:t>
            </w:r>
          </w:p>
        </w:tc>
        <w:tc>
          <w:tcPr>
            <w:tcW w:w="874"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w:t>
            </w:r>
            <w:r w:rsidR="00666BA1">
              <w:rPr>
                <w:rFonts w:eastAsia="Cambria"/>
                <w:u w:color="000000"/>
                <w:bdr w:val="nil"/>
                <w:lang w:val="en-US" w:eastAsia="en-US"/>
              </w:rPr>
              <w:t>0</w:t>
            </w:r>
            <w:r w:rsidRPr="00F43118">
              <w:rPr>
                <w:rFonts w:eastAsia="Cambria"/>
                <w:u w:color="000000"/>
                <w:bdr w:val="nil"/>
                <w:lang w:val="en-US" w:eastAsia="en-US"/>
              </w:rPr>
              <w:t>.40</w:t>
            </w:r>
          </w:p>
        </w:tc>
        <w:tc>
          <w:tcPr>
            <w:tcW w:w="662" w:type="pct"/>
            <w:tcBorders>
              <w:top w:val="nil"/>
              <w:left w:val="nil"/>
              <w:bottom w:val="nil"/>
              <w:right w:val="nil"/>
            </w:tcBorders>
            <w:noWrap/>
            <w:tcMar>
              <w:top w:w="0" w:type="dxa"/>
              <w:left w:w="108" w:type="dxa"/>
              <w:bottom w:w="0" w:type="dxa"/>
              <w:right w:w="108" w:type="dxa"/>
            </w:tcMar>
            <w:vAlign w:val="bottom"/>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.12</w:t>
            </w:r>
          </w:p>
        </w:tc>
        <w:tc>
          <w:tcPr>
            <w:tcW w:w="653" w:type="pct"/>
            <w:tcBorders>
              <w:top w:val="nil"/>
              <w:left w:val="nil"/>
              <w:bottom w:val="nil"/>
              <w:right w:val="nil"/>
            </w:tcBorders>
            <w:noWrap/>
            <w:tcMar>
              <w:top w:w="0" w:type="dxa"/>
              <w:left w:w="108" w:type="dxa"/>
              <w:bottom w:w="0" w:type="dxa"/>
              <w:right w:w="108" w:type="dxa"/>
            </w:tcMar>
            <w:vAlign w:val="bottom"/>
            <w:hideMark/>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.002</w:t>
            </w:r>
          </w:p>
        </w:tc>
        <w:tc>
          <w:tcPr>
            <w:tcW w:w="595"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0.67</w:t>
            </w:r>
          </w:p>
        </w:tc>
      </w:tr>
      <w:tr w:rsidR="00F43118" w:rsidRPr="00F43118" w:rsidTr="00DD3A77">
        <w:trPr>
          <w:trHeight w:val="280"/>
        </w:trPr>
        <w:tc>
          <w:tcPr>
            <w:tcW w:w="5000" w:type="pct"/>
            <w:gridSpan w:val="5"/>
            <w:tcBorders>
              <w:top w:val="nil"/>
              <w:left w:val="nil"/>
              <w:bottom w:val="nil"/>
              <w:right w:val="nil"/>
            </w:tcBorders>
            <w:noWrap/>
            <w:tcMar>
              <w:top w:w="0" w:type="dxa"/>
              <w:left w:w="108" w:type="dxa"/>
              <w:bottom w:w="0" w:type="dxa"/>
              <w:right w:w="108" w:type="dxa"/>
            </w:tcMar>
            <w:vAlign w:val="bottom"/>
            <w:hideMark/>
          </w:tcPr>
          <w:p w:rsidR="00F43118" w:rsidRPr="00C55CE8" w:rsidRDefault="00F43118" w:rsidP="00D62C88">
            <w:pPr>
              <w:rPr>
                <w:rFonts w:eastAsia="Cambria"/>
                <w:b/>
                <w:bdr w:val="nil"/>
                <w:lang w:val="en-US" w:eastAsia="en-US"/>
              </w:rPr>
            </w:pPr>
            <w:r w:rsidRPr="00C55CE8">
              <w:rPr>
                <w:rFonts w:eastAsia="Cambria"/>
                <w:b/>
                <w:bdr w:val="nil"/>
                <w:lang w:val="en-US" w:eastAsia="en-US"/>
              </w:rPr>
              <w:t>Step 2</w:t>
            </w:r>
          </w:p>
        </w:tc>
      </w:tr>
      <w:tr w:rsidR="00F43118" w:rsidRPr="00F43118" w:rsidTr="001F5A09">
        <w:trPr>
          <w:trHeight w:val="280"/>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Bullied Time 2</w:t>
            </w:r>
          </w:p>
        </w:tc>
        <w:tc>
          <w:tcPr>
            <w:tcW w:w="874" w:type="pct"/>
            <w:tcBorders>
              <w:top w:val="nil"/>
              <w:left w:val="nil"/>
              <w:bottom w:val="nil"/>
              <w:right w:val="nil"/>
            </w:tcBorders>
            <w:noWrap/>
            <w:tcMar>
              <w:top w:w="0" w:type="dxa"/>
              <w:left w:w="108" w:type="dxa"/>
              <w:bottom w:w="0" w:type="dxa"/>
              <w:right w:w="108" w:type="dxa"/>
            </w:tcMar>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w:t>
            </w:r>
            <w:r w:rsidR="00666BA1">
              <w:rPr>
                <w:rFonts w:eastAsia="Cambria"/>
                <w:u w:color="000000"/>
                <w:bdr w:val="nil"/>
                <w:lang w:val="en-US" w:eastAsia="en-US"/>
              </w:rPr>
              <w:t>0</w:t>
            </w:r>
            <w:r w:rsidRPr="00F43118">
              <w:rPr>
                <w:rFonts w:eastAsia="Cambria"/>
                <w:u w:color="000000"/>
                <w:bdr w:val="nil"/>
                <w:lang w:val="en-US" w:eastAsia="en-US"/>
              </w:rPr>
              <w:t>.05</w:t>
            </w:r>
          </w:p>
        </w:tc>
        <w:tc>
          <w:tcPr>
            <w:tcW w:w="662" w:type="pct"/>
            <w:tcBorders>
              <w:top w:val="nil"/>
              <w:left w:val="nil"/>
              <w:bottom w:val="nil"/>
              <w:right w:val="nil"/>
            </w:tcBorders>
            <w:noWrap/>
            <w:tcMar>
              <w:top w:w="0" w:type="dxa"/>
              <w:left w:w="108" w:type="dxa"/>
              <w:bottom w:w="0" w:type="dxa"/>
              <w:right w:w="108" w:type="dxa"/>
            </w:tcMar>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.36</w:t>
            </w:r>
          </w:p>
        </w:tc>
        <w:tc>
          <w:tcPr>
            <w:tcW w:w="653" w:type="pct"/>
            <w:tcBorders>
              <w:top w:val="nil"/>
              <w:left w:val="nil"/>
              <w:bottom w:val="nil"/>
              <w:right w:val="nil"/>
            </w:tcBorders>
            <w:noWrap/>
            <w:tcMar>
              <w:top w:w="0" w:type="dxa"/>
              <w:left w:w="108" w:type="dxa"/>
              <w:bottom w:w="0" w:type="dxa"/>
              <w:right w:w="108" w:type="dxa"/>
            </w:tcMar>
            <w:hideMark/>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.89</w:t>
            </w:r>
          </w:p>
        </w:tc>
        <w:tc>
          <w:tcPr>
            <w:tcW w:w="595" w:type="pct"/>
            <w:tcBorders>
              <w:top w:val="nil"/>
              <w:left w:val="nil"/>
              <w:bottom w:val="nil"/>
              <w:right w:val="nil"/>
            </w:tcBorders>
            <w:noWrap/>
            <w:tcMar>
              <w:top w:w="0" w:type="dxa"/>
              <w:left w:w="108" w:type="dxa"/>
              <w:bottom w:w="0" w:type="dxa"/>
              <w:right w:w="108" w:type="dxa"/>
            </w:tcMar>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.95</w:t>
            </w:r>
          </w:p>
        </w:tc>
      </w:tr>
      <w:tr w:rsidR="00F43118" w:rsidRPr="00F43118" w:rsidTr="001F5A09">
        <w:trPr>
          <w:trHeight w:val="280"/>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PSC Time 2#</w:t>
            </w:r>
          </w:p>
        </w:tc>
        <w:tc>
          <w:tcPr>
            <w:tcW w:w="874" w:type="pct"/>
            <w:tcBorders>
              <w:top w:val="nil"/>
              <w:left w:val="nil"/>
              <w:bottom w:val="nil"/>
              <w:right w:val="nil"/>
            </w:tcBorders>
            <w:noWrap/>
            <w:tcMar>
              <w:top w:w="0" w:type="dxa"/>
              <w:left w:w="108" w:type="dxa"/>
              <w:bottom w:w="0" w:type="dxa"/>
              <w:right w:w="108" w:type="dxa"/>
            </w:tcMar>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-0.30</w:t>
            </w:r>
          </w:p>
        </w:tc>
        <w:tc>
          <w:tcPr>
            <w:tcW w:w="662" w:type="pct"/>
            <w:tcBorders>
              <w:top w:val="nil"/>
              <w:left w:val="nil"/>
              <w:bottom w:val="nil"/>
              <w:right w:val="nil"/>
            </w:tcBorders>
            <w:noWrap/>
            <w:tcMar>
              <w:top w:w="0" w:type="dxa"/>
              <w:left w:w="108" w:type="dxa"/>
              <w:bottom w:w="0" w:type="dxa"/>
              <w:right w:w="108" w:type="dxa"/>
            </w:tcMar>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.13</w:t>
            </w:r>
          </w:p>
        </w:tc>
        <w:tc>
          <w:tcPr>
            <w:tcW w:w="653" w:type="pct"/>
            <w:tcBorders>
              <w:top w:val="nil"/>
              <w:left w:val="nil"/>
              <w:bottom w:val="nil"/>
              <w:right w:val="nil"/>
            </w:tcBorders>
            <w:noWrap/>
            <w:tcMar>
              <w:top w:w="0" w:type="dxa"/>
              <w:left w:w="108" w:type="dxa"/>
              <w:bottom w:w="0" w:type="dxa"/>
              <w:right w:w="108" w:type="dxa"/>
            </w:tcMar>
            <w:hideMark/>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.02</w:t>
            </w:r>
          </w:p>
        </w:tc>
        <w:tc>
          <w:tcPr>
            <w:tcW w:w="595" w:type="pct"/>
            <w:tcBorders>
              <w:top w:val="nil"/>
              <w:left w:val="nil"/>
              <w:bottom w:val="nil"/>
              <w:right w:val="nil"/>
            </w:tcBorders>
            <w:noWrap/>
            <w:tcMar>
              <w:top w:w="0" w:type="dxa"/>
              <w:left w:w="108" w:type="dxa"/>
              <w:bottom w:w="0" w:type="dxa"/>
              <w:right w:w="108" w:type="dxa"/>
            </w:tcMar>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.74</w:t>
            </w:r>
          </w:p>
        </w:tc>
      </w:tr>
      <w:tr w:rsidR="00F43118" w:rsidRPr="00F43118" w:rsidTr="001F5A09">
        <w:trPr>
          <w:trHeight w:val="280"/>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Psychological Demands Time 2#</w:t>
            </w:r>
          </w:p>
        </w:tc>
        <w:tc>
          <w:tcPr>
            <w:tcW w:w="874"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libri"/>
                <w:u w:color="000000"/>
                <w:bdr w:val="nil"/>
                <w:lang w:eastAsia="en-US"/>
              </w:rPr>
            </w:pPr>
          </w:p>
        </w:tc>
        <w:tc>
          <w:tcPr>
            <w:tcW w:w="662" w:type="pct"/>
            <w:tcBorders>
              <w:top w:val="nil"/>
              <w:left w:val="nil"/>
              <w:bottom w:val="nil"/>
              <w:right w:val="nil"/>
            </w:tcBorders>
            <w:noWrap/>
            <w:tcMar>
              <w:top w:w="0" w:type="dxa"/>
              <w:left w:w="108" w:type="dxa"/>
              <w:bottom w:w="0" w:type="dxa"/>
              <w:right w:w="108" w:type="dxa"/>
            </w:tcMar>
            <w:hideMark/>
          </w:tcPr>
          <w:p w:rsidR="00F43118" w:rsidRPr="00F43118" w:rsidRDefault="00F43118" w:rsidP="00D62C88">
            <w:pPr>
              <w:rPr>
                <w:rFonts w:eastAsia="Calibri"/>
                <w:u w:color="000000"/>
                <w:bdr w:val="nil"/>
                <w:lang w:eastAsia="en-US"/>
              </w:rPr>
            </w:pPr>
          </w:p>
        </w:tc>
        <w:tc>
          <w:tcPr>
            <w:tcW w:w="653" w:type="pct"/>
            <w:tcBorders>
              <w:top w:val="nil"/>
              <w:left w:val="nil"/>
              <w:bottom w:val="nil"/>
              <w:right w:val="nil"/>
            </w:tcBorders>
            <w:noWrap/>
            <w:tcMar>
              <w:top w:w="0" w:type="dxa"/>
              <w:left w:w="108" w:type="dxa"/>
              <w:bottom w:w="0" w:type="dxa"/>
              <w:right w:w="108" w:type="dxa"/>
            </w:tcMar>
            <w:hideMark/>
          </w:tcPr>
          <w:p w:rsidR="00F43118" w:rsidRPr="00666BA1" w:rsidRDefault="00666BA1" w:rsidP="00D62C88">
            <w:pPr>
              <w:rPr>
                <w:rFonts w:eastAsia="Cambria"/>
                <w:u w:color="000000"/>
                <w:bdr w:val="nil"/>
                <w:lang w:val="en-US" w:eastAsia="en-US"/>
              </w:rPr>
            </w:pPr>
            <w:r w:rsidRPr="00666BA1">
              <w:rPr>
                <w:rFonts w:eastAsia="Cambria"/>
                <w:u w:color="000000"/>
                <w:bdr w:val="nil"/>
                <w:lang w:val="en-US" w:eastAsia="en-US"/>
              </w:rPr>
              <w:t>n</w:t>
            </w:r>
            <w:r w:rsidR="00F43118" w:rsidRPr="00666BA1">
              <w:rPr>
                <w:rFonts w:eastAsia="Cambria"/>
                <w:u w:color="000000"/>
                <w:bdr w:val="nil"/>
                <w:lang w:val="en-US" w:eastAsia="en-US"/>
              </w:rPr>
              <w:t>s</w:t>
            </w:r>
          </w:p>
        </w:tc>
        <w:tc>
          <w:tcPr>
            <w:tcW w:w="595" w:type="pct"/>
            <w:tcBorders>
              <w:top w:val="nil"/>
              <w:left w:val="nil"/>
              <w:bottom w:val="nil"/>
              <w:right w:val="nil"/>
            </w:tcBorders>
            <w:noWrap/>
            <w:tcMar>
              <w:top w:w="0" w:type="dxa"/>
              <w:left w:w="108" w:type="dxa"/>
              <w:bottom w:w="0" w:type="dxa"/>
              <w:right w:w="108" w:type="dxa"/>
            </w:tcMar>
            <w:hideMark/>
          </w:tcPr>
          <w:p w:rsidR="00F43118" w:rsidRPr="00F43118" w:rsidRDefault="00F43118" w:rsidP="00D62C88">
            <w:pPr>
              <w:rPr>
                <w:rFonts w:eastAsia="Calibri"/>
                <w:u w:color="000000"/>
                <w:bdr w:val="nil"/>
                <w:lang w:eastAsia="en-US"/>
              </w:rPr>
            </w:pPr>
          </w:p>
        </w:tc>
      </w:tr>
      <w:tr w:rsidR="00F43118" w:rsidRPr="00F43118" w:rsidTr="001F5A09">
        <w:trPr>
          <w:trHeight w:val="280"/>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Emotional Demands Time 2#</w:t>
            </w:r>
          </w:p>
        </w:tc>
        <w:tc>
          <w:tcPr>
            <w:tcW w:w="874"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0.81</w:t>
            </w:r>
          </w:p>
        </w:tc>
        <w:tc>
          <w:tcPr>
            <w:tcW w:w="662" w:type="pct"/>
            <w:tcBorders>
              <w:top w:val="nil"/>
              <w:left w:val="nil"/>
              <w:bottom w:val="nil"/>
              <w:right w:val="nil"/>
            </w:tcBorders>
            <w:noWrap/>
            <w:tcMar>
              <w:top w:w="0" w:type="dxa"/>
              <w:left w:w="108" w:type="dxa"/>
              <w:bottom w:w="0" w:type="dxa"/>
              <w:right w:w="108" w:type="dxa"/>
            </w:tcMar>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.14</w:t>
            </w:r>
          </w:p>
        </w:tc>
        <w:tc>
          <w:tcPr>
            <w:tcW w:w="653" w:type="pct"/>
            <w:tcBorders>
              <w:top w:val="nil"/>
              <w:left w:val="nil"/>
              <w:bottom w:val="nil"/>
              <w:right w:val="nil"/>
            </w:tcBorders>
            <w:noWrap/>
            <w:tcMar>
              <w:top w:w="0" w:type="dxa"/>
              <w:left w:w="108" w:type="dxa"/>
              <w:bottom w:w="0" w:type="dxa"/>
              <w:right w:w="108" w:type="dxa"/>
            </w:tcMar>
            <w:hideMark/>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.001</w:t>
            </w:r>
          </w:p>
        </w:tc>
        <w:tc>
          <w:tcPr>
            <w:tcW w:w="595" w:type="pct"/>
            <w:tcBorders>
              <w:top w:val="nil"/>
              <w:left w:val="nil"/>
              <w:bottom w:val="nil"/>
              <w:right w:val="nil"/>
            </w:tcBorders>
            <w:noWrap/>
            <w:tcMar>
              <w:top w:w="0" w:type="dxa"/>
              <w:left w:w="108" w:type="dxa"/>
              <w:bottom w:w="0" w:type="dxa"/>
              <w:right w:w="108" w:type="dxa"/>
            </w:tcMar>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2.25</w:t>
            </w:r>
          </w:p>
        </w:tc>
      </w:tr>
      <w:tr w:rsidR="00F43118" w:rsidRPr="00F43118" w:rsidTr="00DD3A77">
        <w:trPr>
          <w:trHeight w:val="294"/>
        </w:trPr>
        <w:tc>
          <w:tcPr>
            <w:tcW w:w="5000" w:type="pct"/>
            <w:gridSpan w:val="5"/>
            <w:tcBorders>
              <w:top w:val="single" w:sz="4" w:space="0" w:color="auto"/>
              <w:left w:val="nil"/>
              <w:bottom w:val="single" w:sz="4" w:space="0" w:color="auto"/>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p>
        </w:tc>
      </w:tr>
      <w:tr w:rsidR="00F43118" w:rsidRPr="00F43118" w:rsidTr="001F5A09">
        <w:trPr>
          <w:trHeight w:val="294"/>
        </w:trPr>
        <w:tc>
          <w:tcPr>
            <w:tcW w:w="2216"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C55CE8" w:rsidRDefault="00F43118" w:rsidP="00D62C88">
            <w:pPr>
              <w:rPr>
                <w:rFonts w:eastAsia="Cambria"/>
                <w:b/>
                <w:u w:color="000000"/>
                <w:bdr w:val="nil"/>
                <w:lang w:val="en-US" w:eastAsia="en-US"/>
              </w:rPr>
            </w:pPr>
            <w:r w:rsidRPr="00F43118">
              <w:rPr>
                <w:rFonts w:eastAsia="Cambria"/>
                <w:u w:color="000000"/>
                <w:bdr w:val="nil"/>
                <w:lang w:val="en-US" w:eastAsia="en-US"/>
              </w:rPr>
              <w:t> </w:t>
            </w:r>
            <w:r w:rsidRPr="00C55CE8">
              <w:rPr>
                <w:rFonts w:eastAsia="Cambria"/>
                <w:b/>
                <w:u w:color="000000"/>
                <w:bdr w:val="nil"/>
                <w:lang w:val="en-US" w:eastAsia="en-US"/>
              </w:rPr>
              <w:t>Model 2 Resource factors</w:t>
            </w:r>
          </w:p>
        </w:tc>
        <w:tc>
          <w:tcPr>
            <w:tcW w:w="874"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B</w:t>
            </w:r>
          </w:p>
        </w:tc>
        <w:tc>
          <w:tcPr>
            <w:tcW w:w="662"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proofErr w:type="spellStart"/>
            <w:r w:rsidRPr="00F43118">
              <w:rPr>
                <w:rFonts w:eastAsia="Cambria"/>
                <w:u w:color="000000"/>
                <w:bdr w:val="nil"/>
                <w:lang w:val="en-US" w:eastAsia="en-US"/>
              </w:rPr>
              <w:t>S.E</w:t>
            </w:r>
            <w:proofErr w:type="spellEnd"/>
          </w:p>
        </w:tc>
        <w:tc>
          <w:tcPr>
            <w:tcW w:w="653"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Sig</w:t>
            </w:r>
          </w:p>
        </w:tc>
        <w:tc>
          <w:tcPr>
            <w:tcW w:w="595" w:type="pct"/>
            <w:tcBorders>
              <w:top w:val="single" w:sz="4" w:space="0" w:color="auto"/>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proofErr w:type="spellStart"/>
            <w:r w:rsidRPr="00F43118">
              <w:rPr>
                <w:rFonts w:eastAsia="Cambria"/>
                <w:u w:color="000000"/>
                <w:bdr w:val="nil"/>
                <w:lang w:val="en-US" w:eastAsia="en-US"/>
              </w:rPr>
              <w:t>Exp</w:t>
            </w:r>
            <w:proofErr w:type="spellEnd"/>
            <w:r w:rsidRPr="00F43118">
              <w:rPr>
                <w:rFonts w:eastAsia="Cambria"/>
                <w:u w:color="000000"/>
                <w:bdr w:val="nil"/>
                <w:lang w:val="en-US" w:eastAsia="en-US"/>
              </w:rPr>
              <w:t>(B)</w:t>
            </w:r>
          </w:p>
        </w:tc>
      </w:tr>
      <w:tr w:rsidR="001F5A09"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tcPr>
          <w:p w:rsidR="001F5A09" w:rsidRPr="001F5A09" w:rsidRDefault="001F5A09" w:rsidP="00D62C88">
            <w:pPr>
              <w:rPr>
                <w:rFonts w:eastAsia="Cambria"/>
                <w:b/>
                <w:u w:color="000000"/>
                <w:bdr w:val="nil"/>
                <w:lang w:val="en-US" w:eastAsia="en-US"/>
              </w:rPr>
            </w:pPr>
            <w:r w:rsidRPr="001F5A09">
              <w:rPr>
                <w:rFonts w:eastAsia="Cambria"/>
                <w:b/>
                <w:u w:color="000000"/>
                <w:bdr w:val="nil"/>
                <w:lang w:val="en-US" w:eastAsia="en-US"/>
              </w:rPr>
              <w:t>Step 1</w:t>
            </w:r>
          </w:p>
        </w:tc>
        <w:tc>
          <w:tcPr>
            <w:tcW w:w="874" w:type="pct"/>
            <w:tcBorders>
              <w:top w:val="nil"/>
              <w:left w:val="nil"/>
              <w:bottom w:val="nil"/>
              <w:right w:val="nil"/>
            </w:tcBorders>
            <w:noWrap/>
            <w:tcMar>
              <w:top w:w="0" w:type="dxa"/>
              <w:left w:w="108" w:type="dxa"/>
              <w:bottom w:w="0" w:type="dxa"/>
              <w:right w:w="108" w:type="dxa"/>
            </w:tcMar>
            <w:vAlign w:val="bottom"/>
          </w:tcPr>
          <w:p w:rsidR="001F5A09" w:rsidRDefault="001F5A09" w:rsidP="00D62C88">
            <w:pPr>
              <w:rPr>
                <w:rFonts w:eastAsia="Cambria"/>
                <w:u w:color="000000"/>
                <w:bdr w:val="nil"/>
                <w:lang w:val="en-US" w:eastAsia="en-US"/>
              </w:rPr>
            </w:pPr>
          </w:p>
        </w:tc>
        <w:tc>
          <w:tcPr>
            <w:tcW w:w="662" w:type="pct"/>
            <w:tcBorders>
              <w:top w:val="nil"/>
              <w:left w:val="nil"/>
              <w:bottom w:val="nil"/>
              <w:right w:val="nil"/>
            </w:tcBorders>
            <w:noWrap/>
            <w:tcMar>
              <w:top w:w="0" w:type="dxa"/>
              <w:left w:w="108" w:type="dxa"/>
              <w:bottom w:w="0" w:type="dxa"/>
              <w:right w:w="108" w:type="dxa"/>
            </w:tcMar>
            <w:vAlign w:val="bottom"/>
          </w:tcPr>
          <w:p w:rsidR="001F5A09" w:rsidRDefault="001F5A09" w:rsidP="00D62C88">
            <w:pPr>
              <w:rPr>
                <w:rFonts w:eastAsia="Cambria"/>
                <w:u w:color="000000"/>
                <w:bdr w:val="nil"/>
                <w:lang w:val="en-US" w:eastAsia="en-US"/>
              </w:rPr>
            </w:pPr>
          </w:p>
        </w:tc>
        <w:tc>
          <w:tcPr>
            <w:tcW w:w="653" w:type="pct"/>
            <w:tcBorders>
              <w:top w:val="nil"/>
              <w:left w:val="nil"/>
              <w:bottom w:val="nil"/>
              <w:right w:val="nil"/>
            </w:tcBorders>
            <w:noWrap/>
            <w:tcMar>
              <w:top w:w="0" w:type="dxa"/>
              <w:left w:w="108" w:type="dxa"/>
              <w:bottom w:w="0" w:type="dxa"/>
              <w:right w:w="108" w:type="dxa"/>
            </w:tcMar>
            <w:vAlign w:val="bottom"/>
          </w:tcPr>
          <w:p w:rsidR="001F5A09" w:rsidRPr="00666BA1" w:rsidRDefault="001F5A09" w:rsidP="00D62C88">
            <w:pPr>
              <w:rPr>
                <w:rFonts w:eastAsia="Cambria"/>
                <w:u w:color="000000"/>
                <w:bdr w:val="nil"/>
                <w:lang w:val="en-US" w:eastAsia="en-US"/>
              </w:rPr>
            </w:pPr>
          </w:p>
        </w:tc>
        <w:tc>
          <w:tcPr>
            <w:tcW w:w="595" w:type="pct"/>
            <w:tcBorders>
              <w:top w:val="nil"/>
              <w:left w:val="nil"/>
              <w:bottom w:val="nil"/>
              <w:right w:val="nil"/>
            </w:tcBorders>
            <w:noWrap/>
            <w:tcMar>
              <w:top w:w="0" w:type="dxa"/>
              <w:left w:w="108" w:type="dxa"/>
              <w:bottom w:w="0" w:type="dxa"/>
              <w:right w:w="108" w:type="dxa"/>
            </w:tcMar>
            <w:vAlign w:val="bottom"/>
          </w:tcPr>
          <w:p w:rsidR="001F5A09" w:rsidRPr="00F43118" w:rsidRDefault="001F5A09" w:rsidP="00D62C88">
            <w:pPr>
              <w:rPr>
                <w:rFonts w:eastAsia="Cambria"/>
                <w:u w:color="000000"/>
                <w:bdr w:val="nil"/>
                <w:lang w:val="en-US" w:eastAsia="en-US"/>
              </w:rPr>
            </w:pPr>
          </w:p>
        </w:tc>
      </w:tr>
      <w:tr w:rsidR="00F43118"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Bullied Time 2</w:t>
            </w:r>
          </w:p>
        </w:tc>
        <w:tc>
          <w:tcPr>
            <w:tcW w:w="874" w:type="pct"/>
            <w:tcBorders>
              <w:top w:val="nil"/>
              <w:left w:val="nil"/>
              <w:bottom w:val="nil"/>
              <w:right w:val="nil"/>
            </w:tcBorders>
            <w:noWrap/>
            <w:tcMar>
              <w:top w:w="0" w:type="dxa"/>
              <w:left w:w="108" w:type="dxa"/>
              <w:bottom w:w="0" w:type="dxa"/>
              <w:right w:w="108" w:type="dxa"/>
            </w:tcMar>
            <w:vAlign w:val="bottom"/>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.66</w:t>
            </w:r>
          </w:p>
        </w:tc>
        <w:tc>
          <w:tcPr>
            <w:tcW w:w="662" w:type="pct"/>
            <w:tcBorders>
              <w:top w:val="nil"/>
              <w:left w:val="nil"/>
              <w:bottom w:val="nil"/>
              <w:right w:val="nil"/>
            </w:tcBorders>
            <w:noWrap/>
            <w:tcMar>
              <w:top w:w="0" w:type="dxa"/>
              <w:left w:w="108" w:type="dxa"/>
              <w:bottom w:w="0" w:type="dxa"/>
              <w:right w:w="108" w:type="dxa"/>
            </w:tcMar>
            <w:vAlign w:val="bottom"/>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.34</w:t>
            </w:r>
          </w:p>
        </w:tc>
        <w:tc>
          <w:tcPr>
            <w:tcW w:w="653" w:type="pct"/>
            <w:tcBorders>
              <w:top w:val="nil"/>
              <w:left w:val="nil"/>
              <w:bottom w:val="nil"/>
              <w:right w:val="nil"/>
            </w:tcBorders>
            <w:noWrap/>
            <w:tcMar>
              <w:top w:w="0" w:type="dxa"/>
              <w:left w:w="108" w:type="dxa"/>
              <w:bottom w:w="0" w:type="dxa"/>
              <w:right w:w="108" w:type="dxa"/>
            </w:tcMar>
            <w:vAlign w:val="bottom"/>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.05</w:t>
            </w:r>
          </w:p>
        </w:tc>
        <w:tc>
          <w:tcPr>
            <w:tcW w:w="595"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1.93</w:t>
            </w:r>
          </w:p>
        </w:tc>
      </w:tr>
      <w:tr w:rsidR="00F43118"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PSC Time 2#</w:t>
            </w:r>
          </w:p>
        </w:tc>
        <w:tc>
          <w:tcPr>
            <w:tcW w:w="874"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w:t>
            </w:r>
            <w:r w:rsidR="00666BA1">
              <w:rPr>
                <w:rFonts w:eastAsia="Cambria"/>
                <w:u w:color="000000"/>
                <w:bdr w:val="nil"/>
                <w:lang w:val="en-US" w:eastAsia="en-US"/>
              </w:rPr>
              <w:t>0</w:t>
            </w:r>
            <w:r w:rsidRPr="00F43118">
              <w:rPr>
                <w:rFonts w:eastAsia="Cambria"/>
                <w:u w:color="000000"/>
                <w:bdr w:val="nil"/>
                <w:lang w:val="en-US" w:eastAsia="en-US"/>
              </w:rPr>
              <w:t>.40</w:t>
            </w:r>
          </w:p>
        </w:tc>
        <w:tc>
          <w:tcPr>
            <w:tcW w:w="662" w:type="pct"/>
            <w:tcBorders>
              <w:top w:val="nil"/>
              <w:left w:val="nil"/>
              <w:bottom w:val="nil"/>
              <w:right w:val="nil"/>
            </w:tcBorders>
            <w:noWrap/>
            <w:tcMar>
              <w:top w:w="0" w:type="dxa"/>
              <w:left w:w="108" w:type="dxa"/>
              <w:bottom w:w="0" w:type="dxa"/>
              <w:right w:w="108" w:type="dxa"/>
            </w:tcMar>
            <w:vAlign w:val="bottom"/>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.12</w:t>
            </w:r>
          </w:p>
        </w:tc>
        <w:tc>
          <w:tcPr>
            <w:tcW w:w="653" w:type="pct"/>
            <w:tcBorders>
              <w:top w:val="nil"/>
              <w:left w:val="nil"/>
              <w:bottom w:val="nil"/>
              <w:right w:val="nil"/>
            </w:tcBorders>
            <w:noWrap/>
            <w:tcMar>
              <w:top w:w="0" w:type="dxa"/>
              <w:left w:w="108" w:type="dxa"/>
              <w:bottom w:w="0" w:type="dxa"/>
              <w:right w:w="108" w:type="dxa"/>
            </w:tcMar>
            <w:vAlign w:val="bottom"/>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.001</w:t>
            </w:r>
          </w:p>
        </w:tc>
        <w:tc>
          <w:tcPr>
            <w:tcW w:w="595"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0.66</w:t>
            </w:r>
          </w:p>
        </w:tc>
      </w:tr>
      <w:tr w:rsidR="00F43118"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tcPr>
          <w:p w:rsidR="00F43118" w:rsidRPr="00C55CE8" w:rsidRDefault="00F43118" w:rsidP="00D62C88">
            <w:pPr>
              <w:rPr>
                <w:rFonts w:eastAsia="Cambria"/>
                <w:b/>
                <w:u w:color="000000"/>
                <w:bdr w:val="nil"/>
                <w:lang w:val="en-US" w:eastAsia="en-US"/>
              </w:rPr>
            </w:pPr>
            <w:r w:rsidRPr="00C55CE8">
              <w:rPr>
                <w:rFonts w:eastAsia="Cambria"/>
                <w:b/>
                <w:u w:color="000000"/>
                <w:bdr w:val="nil"/>
                <w:lang w:val="en-US" w:eastAsia="en-US"/>
              </w:rPr>
              <w:t>Step 2</w:t>
            </w:r>
          </w:p>
        </w:tc>
        <w:tc>
          <w:tcPr>
            <w:tcW w:w="874"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p>
        </w:tc>
        <w:tc>
          <w:tcPr>
            <w:tcW w:w="662"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p>
        </w:tc>
        <w:tc>
          <w:tcPr>
            <w:tcW w:w="653" w:type="pct"/>
            <w:tcBorders>
              <w:top w:val="nil"/>
              <w:left w:val="nil"/>
              <w:bottom w:val="nil"/>
              <w:right w:val="nil"/>
            </w:tcBorders>
            <w:noWrap/>
            <w:tcMar>
              <w:top w:w="0" w:type="dxa"/>
              <w:left w:w="108" w:type="dxa"/>
              <w:bottom w:w="0" w:type="dxa"/>
              <w:right w:w="108" w:type="dxa"/>
            </w:tcMar>
            <w:vAlign w:val="bottom"/>
          </w:tcPr>
          <w:p w:rsidR="00F43118" w:rsidRPr="00666BA1" w:rsidRDefault="00F43118" w:rsidP="00D62C88">
            <w:pPr>
              <w:rPr>
                <w:rFonts w:eastAsia="Cambria"/>
                <w:u w:color="000000"/>
                <w:bdr w:val="nil"/>
                <w:lang w:val="en-US" w:eastAsia="en-US"/>
              </w:rPr>
            </w:pPr>
          </w:p>
        </w:tc>
        <w:tc>
          <w:tcPr>
            <w:tcW w:w="595"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p>
        </w:tc>
      </w:tr>
      <w:tr w:rsidR="00F43118"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Bullied Time 2</w:t>
            </w:r>
          </w:p>
        </w:tc>
        <w:tc>
          <w:tcPr>
            <w:tcW w:w="874"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0.72</w:t>
            </w:r>
          </w:p>
        </w:tc>
        <w:tc>
          <w:tcPr>
            <w:tcW w:w="662" w:type="pct"/>
            <w:tcBorders>
              <w:top w:val="nil"/>
              <w:left w:val="nil"/>
              <w:bottom w:val="nil"/>
              <w:right w:val="nil"/>
            </w:tcBorders>
            <w:noWrap/>
            <w:tcMar>
              <w:top w:w="0" w:type="dxa"/>
              <w:left w:w="108" w:type="dxa"/>
              <w:bottom w:w="0" w:type="dxa"/>
              <w:right w:w="108" w:type="dxa"/>
            </w:tcMar>
            <w:vAlign w:val="bottom"/>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.34</w:t>
            </w:r>
          </w:p>
        </w:tc>
        <w:tc>
          <w:tcPr>
            <w:tcW w:w="653" w:type="pct"/>
            <w:tcBorders>
              <w:top w:val="nil"/>
              <w:left w:val="nil"/>
              <w:bottom w:val="nil"/>
              <w:right w:val="nil"/>
            </w:tcBorders>
            <w:noWrap/>
            <w:tcMar>
              <w:top w:w="0" w:type="dxa"/>
              <w:left w:w="108" w:type="dxa"/>
              <w:bottom w:w="0" w:type="dxa"/>
              <w:right w:w="108" w:type="dxa"/>
            </w:tcMar>
            <w:vAlign w:val="bottom"/>
            <w:hideMark/>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.034</w:t>
            </w:r>
          </w:p>
        </w:tc>
        <w:tc>
          <w:tcPr>
            <w:tcW w:w="595"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2.05</w:t>
            </w:r>
          </w:p>
        </w:tc>
      </w:tr>
      <w:tr w:rsidR="00F43118"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PSC Time 2#</w:t>
            </w:r>
          </w:p>
        </w:tc>
        <w:tc>
          <w:tcPr>
            <w:tcW w:w="874"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-0.52</w:t>
            </w:r>
          </w:p>
        </w:tc>
        <w:tc>
          <w:tcPr>
            <w:tcW w:w="662" w:type="pct"/>
            <w:tcBorders>
              <w:top w:val="nil"/>
              <w:left w:val="nil"/>
              <w:bottom w:val="nil"/>
              <w:right w:val="nil"/>
            </w:tcBorders>
            <w:noWrap/>
            <w:tcMar>
              <w:top w:w="0" w:type="dxa"/>
              <w:left w:w="108" w:type="dxa"/>
              <w:bottom w:w="0" w:type="dxa"/>
              <w:right w:w="108" w:type="dxa"/>
            </w:tcMar>
            <w:vAlign w:val="bottom"/>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.13</w:t>
            </w:r>
          </w:p>
        </w:tc>
        <w:tc>
          <w:tcPr>
            <w:tcW w:w="653" w:type="pct"/>
            <w:tcBorders>
              <w:top w:val="nil"/>
              <w:left w:val="nil"/>
              <w:bottom w:val="nil"/>
              <w:right w:val="nil"/>
            </w:tcBorders>
            <w:noWrap/>
            <w:tcMar>
              <w:top w:w="0" w:type="dxa"/>
              <w:left w:w="108" w:type="dxa"/>
              <w:bottom w:w="0" w:type="dxa"/>
              <w:right w:w="108" w:type="dxa"/>
            </w:tcMar>
            <w:vAlign w:val="bottom"/>
            <w:hideMark/>
          </w:tcPr>
          <w:p w:rsidR="00F43118" w:rsidRPr="00666BA1" w:rsidRDefault="00F43118" w:rsidP="00D62C88">
            <w:pPr>
              <w:rPr>
                <w:rFonts w:eastAsia="Cambria"/>
                <w:u w:color="000000"/>
                <w:bdr w:val="nil"/>
                <w:lang w:val="en-US" w:eastAsia="en-US"/>
              </w:rPr>
            </w:pPr>
            <w:r w:rsidRPr="00666BA1">
              <w:rPr>
                <w:rFonts w:eastAsia="Cambria"/>
                <w:u w:color="000000"/>
                <w:bdr w:val="nil"/>
                <w:lang w:val="en-US" w:eastAsia="en-US"/>
              </w:rPr>
              <w:t>.001</w:t>
            </w:r>
          </w:p>
        </w:tc>
        <w:tc>
          <w:tcPr>
            <w:tcW w:w="595"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0.60</w:t>
            </w:r>
          </w:p>
        </w:tc>
      </w:tr>
      <w:tr w:rsidR="00F43118"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Supervisor Social Support Time 2#</w:t>
            </w:r>
          </w:p>
        </w:tc>
        <w:tc>
          <w:tcPr>
            <w:tcW w:w="874" w:type="pct"/>
            <w:tcBorders>
              <w:top w:val="nil"/>
              <w:left w:val="nil"/>
              <w:bottom w:val="nil"/>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p>
        </w:tc>
        <w:tc>
          <w:tcPr>
            <w:tcW w:w="662" w:type="pct"/>
            <w:tcBorders>
              <w:top w:val="nil"/>
              <w:left w:val="nil"/>
              <w:bottom w:val="nil"/>
              <w:right w:val="nil"/>
            </w:tcBorders>
            <w:noWrap/>
            <w:tcMar>
              <w:top w:w="0" w:type="dxa"/>
              <w:left w:w="108" w:type="dxa"/>
              <w:bottom w:w="0" w:type="dxa"/>
              <w:right w:w="108" w:type="dxa"/>
            </w:tcMar>
          </w:tcPr>
          <w:p w:rsidR="00F43118" w:rsidRPr="00F43118" w:rsidRDefault="00F43118" w:rsidP="00D62C88">
            <w:pPr>
              <w:rPr>
                <w:rFonts w:eastAsia="Cambria"/>
                <w:u w:color="000000"/>
                <w:bdr w:val="nil"/>
                <w:lang w:val="en-US" w:eastAsia="en-US"/>
              </w:rPr>
            </w:pPr>
          </w:p>
        </w:tc>
        <w:tc>
          <w:tcPr>
            <w:tcW w:w="653" w:type="pct"/>
            <w:tcBorders>
              <w:top w:val="nil"/>
              <w:left w:val="nil"/>
              <w:bottom w:val="nil"/>
              <w:right w:val="nil"/>
            </w:tcBorders>
            <w:noWrap/>
            <w:tcMar>
              <w:top w:w="0" w:type="dxa"/>
              <w:left w:w="108" w:type="dxa"/>
              <w:bottom w:w="0" w:type="dxa"/>
              <w:right w:w="108" w:type="dxa"/>
            </w:tcMar>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ns</w:t>
            </w:r>
          </w:p>
        </w:tc>
        <w:tc>
          <w:tcPr>
            <w:tcW w:w="595" w:type="pct"/>
            <w:tcBorders>
              <w:top w:val="nil"/>
              <w:left w:val="nil"/>
              <w:bottom w:val="nil"/>
              <w:right w:val="nil"/>
            </w:tcBorders>
            <w:noWrap/>
            <w:tcMar>
              <w:top w:w="0" w:type="dxa"/>
              <w:left w:w="108" w:type="dxa"/>
              <w:bottom w:w="0" w:type="dxa"/>
              <w:right w:w="108" w:type="dxa"/>
            </w:tcMar>
          </w:tcPr>
          <w:p w:rsidR="00F43118" w:rsidRPr="00F43118" w:rsidRDefault="00F43118" w:rsidP="00D62C88">
            <w:pPr>
              <w:rPr>
                <w:rFonts w:eastAsia="Cambria"/>
                <w:u w:color="000000"/>
                <w:bdr w:val="nil"/>
                <w:lang w:val="en-US" w:eastAsia="en-US"/>
              </w:rPr>
            </w:pPr>
          </w:p>
        </w:tc>
      </w:tr>
      <w:tr w:rsidR="00F43118" w:rsidRPr="00F43118" w:rsidTr="001F5A09">
        <w:trPr>
          <w:trHeight w:val="105"/>
        </w:trPr>
        <w:tc>
          <w:tcPr>
            <w:tcW w:w="2216" w:type="pct"/>
            <w:tcBorders>
              <w:top w:val="nil"/>
              <w:left w:val="nil"/>
              <w:bottom w:val="nil"/>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Job Control Time 2#</w:t>
            </w:r>
          </w:p>
        </w:tc>
        <w:tc>
          <w:tcPr>
            <w:tcW w:w="874" w:type="pct"/>
            <w:tcBorders>
              <w:top w:val="nil"/>
              <w:left w:val="nil"/>
              <w:bottom w:val="nil"/>
              <w:right w:val="nil"/>
            </w:tcBorders>
            <w:noWrap/>
            <w:tcMar>
              <w:top w:w="0" w:type="dxa"/>
              <w:left w:w="108" w:type="dxa"/>
              <w:bottom w:w="0" w:type="dxa"/>
              <w:right w:w="108" w:type="dxa"/>
            </w:tcMar>
            <w:vAlign w:val="bottom"/>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.29</w:t>
            </w:r>
          </w:p>
        </w:tc>
        <w:tc>
          <w:tcPr>
            <w:tcW w:w="662" w:type="pct"/>
            <w:tcBorders>
              <w:top w:val="nil"/>
              <w:left w:val="nil"/>
              <w:bottom w:val="nil"/>
              <w:right w:val="nil"/>
            </w:tcBorders>
            <w:noWrap/>
            <w:tcMar>
              <w:top w:w="0" w:type="dxa"/>
              <w:left w:w="108" w:type="dxa"/>
              <w:bottom w:w="0" w:type="dxa"/>
              <w:right w:w="108" w:type="dxa"/>
            </w:tcMar>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0</w:t>
            </w:r>
            <w:r w:rsidR="00F43118" w:rsidRPr="00F43118">
              <w:rPr>
                <w:rFonts w:eastAsia="Cambria"/>
                <w:u w:color="000000"/>
                <w:bdr w:val="nil"/>
                <w:lang w:val="en-US" w:eastAsia="en-US"/>
              </w:rPr>
              <w:t>.12</w:t>
            </w:r>
          </w:p>
        </w:tc>
        <w:tc>
          <w:tcPr>
            <w:tcW w:w="653" w:type="pct"/>
            <w:tcBorders>
              <w:top w:val="nil"/>
              <w:left w:val="nil"/>
              <w:bottom w:val="nil"/>
              <w:right w:val="nil"/>
            </w:tcBorders>
            <w:noWrap/>
            <w:tcMar>
              <w:top w:w="0" w:type="dxa"/>
              <w:left w:w="108" w:type="dxa"/>
              <w:bottom w:w="0" w:type="dxa"/>
              <w:right w:w="108" w:type="dxa"/>
            </w:tcMar>
            <w:hideMark/>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.01</w:t>
            </w:r>
          </w:p>
        </w:tc>
        <w:tc>
          <w:tcPr>
            <w:tcW w:w="595" w:type="pct"/>
            <w:tcBorders>
              <w:top w:val="nil"/>
              <w:left w:val="nil"/>
              <w:bottom w:val="nil"/>
              <w:right w:val="nil"/>
            </w:tcBorders>
            <w:noWrap/>
            <w:tcMar>
              <w:top w:w="0" w:type="dxa"/>
              <w:left w:w="108" w:type="dxa"/>
              <w:bottom w:w="0" w:type="dxa"/>
              <w:right w:w="108" w:type="dxa"/>
            </w:tcMar>
          </w:tcPr>
          <w:p w:rsidR="00F43118" w:rsidRPr="00F43118" w:rsidRDefault="00F43118" w:rsidP="00D62C88">
            <w:pPr>
              <w:rPr>
                <w:rFonts w:eastAsia="Cambria"/>
                <w:u w:color="000000"/>
                <w:bdr w:val="nil"/>
                <w:lang w:val="en-US" w:eastAsia="en-US"/>
              </w:rPr>
            </w:pPr>
            <w:r w:rsidRPr="00F43118">
              <w:rPr>
                <w:rFonts w:eastAsia="Cambria"/>
                <w:u w:color="000000"/>
                <w:bdr w:val="nil"/>
                <w:lang w:val="en-US" w:eastAsia="en-US"/>
              </w:rPr>
              <w:t>1.34</w:t>
            </w:r>
          </w:p>
        </w:tc>
      </w:tr>
      <w:tr w:rsidR="00F43118" w:rsidRPr="00F43118" w:rsidTr="001F5A09">
        <w:trPr>
          <w:trHeight w:val="105"/>
        </w:trPr>
        <w:tc>
          <w:tcPr>
            <w:tcW w:w="2216" w:type="pct"/>
            <w:tcBorders>
              <w:top w:val="nil"/>
              <w:left w:val="nil"/>
              <w:bottom w:val="single" w:sz="4" w:space="0" w:color="auto"/>
              <w:right w:val="nil"/>
            </w:tcBorders>
            <w:noWrap/>
            <w:tcMar>
              <w:top w:w="0" w:type="dxa"/>
              <w:left w:w="108" w:type="dxa"/>
              <w:bottom w:w="0" w:type="dxa"/>
              <w:right w:w="108" w:type="dxa"/>
            </w:tcMar>
            <w:vAlign w:val="bottom"/>
            <w:hideMark/>
          </w:tcPr>
          <w:p w:rsidR="00F43118" w:rsidRPr="00F43118" w:rsidRDefault="00F43118" w:rsidP="00D62C88">
            <w:pPr>
              <w:rPr>
                <w:rFonts w:eastAsia="Cambria"/>
                <w:u w:color="000000"/>
                <w:bdr w:val="nil"/>
                <w:lang w:val="en-US" w:eastAsia="en-US"/>
              </w:rPr>
            </w:pPr>
            <w:proofErr w:type="spellStart"/>
            <w:r w:rsidRPr="00F43118">
              <w:rPr>
                <w:rFonts w:eastAsia="Cambria"/>
                <w:u w:color="000000"/>
                <w:bdr w:val="nil"/>
                <w:lang w:val="en-US" w:eastAsia="en-US"/>
              </w:rPr>
              <w:t>Organisational</w:t>
            </w:r>
            <w:proofErr w:type="spellEnd"/>
            <w:r w:rsidRPr="00F43118">
              <w:rPr>
                <w:rFonts w:eastAsia="Cambria"/>
                <w:u w:color="000000"/>
                <w:bdr w:val="nil"/>
                <w:lang w:val="en-US" w:eastAsia="en-US"/>
              </w:rPr>
              <w:t xml:space="preserve"> Rewards Time 2#</w:t>
            </w:r>
          </w:p>
        </w:tc>
        <w:tc>
          <w:tcPr>
            <w:tcW w:w="874" w:type="pct"/>
            <w:tcBorders>
              <w:top w:val="nil"/>
              <w:left w:val="nil"/>
              <w:bottom w:val="single" w:sz="4" w:space="0" w:color="auto"/>
              <w:right w:val="nil"/>
            </w:tcBorders>
            <w:noWrap/>
            <w:tcMar>
              <w:top w:w="0" w:type="dxa"/>
              <w:left w:w="108" w:type="dxa"/>
              <w:bottom w:w="0" w:type="dxa"/>
              <w:right w:w="108" w:type="dxa"/>
            </w:tcMar>
            <w:vAlign w:val="bottom"/>
          </w:tcPr>
          <w:p w:rsidR="00F43118" w:rsidRPr="00F43118" w:rsidRDefault="00F43118" w:rsidP="00D62C88">
            <w:pPr>
              <w:rPr>
                <w:rFonts w:eastAsia="Cambria"/>
                <w:u w:color="000000"/>
                <w:bdr w:val="nil"/>
                <w:lang w:val="en-US" w:eastAsia="en-US"/>
              </w:rPr>
            </w:pPr>
          </w:p>
        </w:tc>
        <w:tc>
          <w:tcPr>
            <w:tcW w:w="662" w:type="pct"/>
            <w:tcBorders>
              <w:top w:val="nil"/>
              <w:left w:val="nil"/>
              <w:bottom w:val="single" w:sz="4" w:space="0" w:color="auto"/>
              <w:right w:val="nil"/>
            </w:tcBorders>
            <w:noWrap/>
            <w:tcMar>
              <w:top w:w="0" w:type="dxa"/>
              <w:left w:w="108" w:type="dxa"/>
              <w:bottom w:w="0" w:type="dxa"/>
              <w:right w:w="108" w:type="dxa"/>
            </w:tcMar>
          </w:tcPr>
          <w:p w:rsidR="00F43118" w:rsidRPr="00F43118" w:rsidRDefault="00F43118" w:rsidP="00D62C88">
            <w:pPr>
              <w:rPr>
                <w:rFonts w:eastAsia="Cambria"/>
                <w:u w:color="000000"/>
                <w:bdr w:val="nil"/>
                <w:lang w:val="en-US" w:eastAsia="en-US"/>
              </w:rPr>
            </w:pPr>
          </w:p>
        </w:tc>
        <w:tc>
          <w:tcPr>
            <w:tcW w:w="653" w:type="pct"/>
            <w:tcBorders>
              <w:top w:val="nil"/>
              <w:left w:val="nil"/>
              <w:bottom w:val="single" w:sz="4" w:space="0" w:color="auto"/>
              <w:right w:val="nil"/>
            </w:tcBorders>
            <w:noWrap/>
            <w:tcMar>
              <w:top w:w="0" w:type="dxa"/>
              <w:left w:w="108" w:type="dxa"/>
              <w:bottom w:w="0" w:type="dxa"/>
              <w:right w:w="108" w:type="dxa"/>
            </w:tcMar>
            <w:hideMark/>
          </w:tcPr>
          <w:p w:rsidR="00F43118" w:rsidRPr="00F43118" w:rsidRDefault="00666BA1" w:rsidP="00D62C88">
            <w:pPr>
              <w:rPr>
                <w:rFonts w:eastAsia="Cambria"/>
                <w:u w:color="000000"/>
                <w:bdr w:val="nil"/>
                <w:lang w:val="en-US" w:eastAsia="en-US"/>
              </w:rPr>
            </w:pPr>
            <w:r>
              <w:rPr>
                <w:rFonts w:eastAsia="Cambria"/>
                <w:u w:color="000000"/>
                <w:bdr w:val="nil"/>
                <w:lang w:val="en-US" w:eastAsia="en-US"/>
              </w:rPr>
              <w:t>ns</w:t>
            </w:r>
          </w:p>
        </w:tc>
        <w:tc>
          <w:tcPr>
            <w:tcW w:w="595" w:type="pct"/>
            <w:tcBorders>
              <w:top w:val="nil"/>
              <w:left w:val="nil"/>
              <w:bottom w:val="single" w:sz="4" w:space="0" w:color="auto"/>
              <w:right w:val="nil"/>
            </w:tcBorders>
            <w:noWrap/>
            <w:tcMar>
              <w:top w:w="0" w:type="dxa"/>
              <w:left w:w="108" w:type="dxa"/>
              <w:bottom w:w="0" w:type="dxa"/>
              <w:right w:w="108" w:type="dxa"/>
            </w:tcMar>
          </w:tcPr>
          <w:p w:rsidR="00F43118" w:rsidRPr="00F43118" w:rsidRDefault="00F43118" w:rsidP="00D62C88">
            <w:pPr>
              <w:rPr>
                <w:rFonts w:eastAsia="Cambria"/>
                <w:u w:color="000000"/>
                <w:bdr w:val="nil"/>
                <w:lang w:val="en-US" w:eastAsia="en-US"/>
              </w:rPr>
            </w:pPr>
          </w:p>
        </w:tc>
      </w:tr>
    </w:tbl>
    <w:p w:rsidR="00F43118" w:rsidRDefault="00F43118" w:rsidP="00D62C88">
      <w:pPr>
        <w:pStyle w:val="references"/>
      </w:pPr>
      <w:r w:rsidRPr="00F43118">
        <w:t>Note. #Standardised score</w:t>
      </w:r>
    </w:p>
    <w:p w:rsidR="008C241C" w:rsidRDefault="008C241C" w:rsidP="00F43118">
      <w:pPr>
        <w:pBdr>
          <w:top w:val="nil"/>
          <w:left w:val="nil"/>
          <w:bottom w:val="nil"/>
          <w:right w:val="nil"/>
          <w:between w:val="nil"/>
          <w:bar w:val="nil"/>
        </w:pBdr>
        <w:spacing w:after="160" w:line="276" w:lineRule="auto"/>
        <w:jc w:val="both"/>
        <w:rPr>
          <w:rFonts w:ascii="Calibri" w:eastAsia="Cambria" w:hAnsi="Calibri" w:cs="Calibri"/>
          <w:color w:val="000000"/>
          <w:szCs w:val="22"/>
          <w:u w:color="000000"/>
          <w:bdr w:val="nil"/>
          <w:lang w:val="en-US"/>
        </w:rPr>
      </w:pPr>
    </w:p>
    <w:p w:rsidR="005729AE" w:rsidRDefault="005729AE" w:rsidP="00DD3A77">
      <w:pPr>
        <w:jc w:val="center"/>
        <w:rPr>
          <w:rFonts w:ascii="Arial Black" w:eastAsia="Cambria" w:hAnsi="Arial Black" w:cs="Calibri"/>
          <w:b/>
          <w:sz w:val="24"/>
          <w:u w:color="000000"/>
          <w:bdr w:val="nil"/>
          <w:lang w:val="en-US"/>
        </w:rPr>
      </w:pPr>
      <w:r>
        <w:rPr>
          <w:rFonts w:ascii="Arial Black" w:eastAsia="Cambria" w:hAnsi="Arial Black" w:cs="Calibri"/>
          <w:b/>
          <w:noProof/>
          <w:sz w:val="24"/>
          <w:u w:color="000000"/>
          <w:bdr w:val="nil"/>
        </w:rPr>
        <w:drawing>
          <wp:inline distT="0" distB="0" distL="0" distR="0" wp14:anchorId="15946E95" wp14:editId="7A630146">
            <wp:extent cx="4036695" cy="1354347"/>
            <wp:effectExtent l="0" t="0" r="1905" b="0"/>
            <wp:docPr id="9" name="Picture 9" descr="Figure 8 shows a flow chart of PSC, demands and resources predicting bullying." title="Figure 8. PSC, Demands and Resources Predicting 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llyingmodel19thfeb (2).gif"/>
                    <pic:cNvPicPr/>
                  </pic:nvPicPr>
                  <pic:blipFill rotWithShape="1">
                    <a:blip r:embed="rId20" cstate="print">
                      <a:extLst>
                        <a:ext uri="{28A0092B-C50C-407E-A947-70E740481C1C}">
                          <a14:useLocalDpi xmlns:a14="http://schemas.microsoft.com/office/drawing/2010/main" val="0"/>
                        </a:ext>
                      </a:extLst>
                    </a:blip>
                    <a:srcRect t="21127" r="27988" b="46661"/>
                    <a:stretch/>
                  </pic:blipFill>
                  <pic:spPr bwMode="auto">
                    <a:xfrm>
                      <a:off x="0" y="0"/>
                      <a:ext cx="4037745" cy="1354699"/>
                    </a:xfrm>
                    <a:prstGeom prst="rect">
                      <a:avLst/>
                    </a:prstGeom>
                    <a:ln>
                      <a:noFill/>
                    </a:ln>
                    <a:extLst>
                      <a:ext uri="{53640926-AAD7-44D8-BBD7-CCE9431645EC}">
                        <a14:shadowObscured xmlns:a14="http://schemas.microsoft.com/office/drawing/2010/main"/>
                      </a:ext>
                    </a:extLst>
                  </pic:spPr>
                </pic:pic>
              </a:graphicData>
            </a:graphic>
          </wp:inline>
        </w:drawing>
      </w:r>
    </w:p>
    <w:p w:rsidR="00801EFB" w:rsidRPr="00DD3A77" w:rsidRDefault="00EC2885" w:rsidP="00EC2885">
      <w:pPr>
        <w:pStyle w:val="references"/>
        <w:rPr>
          <w:noProof/>
        </w:rPr>
      </w:pPr>
      <w:r>
        <w:rPr>
          <w:noProof/>
        </w:rPr>
        <w:tab/>
      </w:r>
      <w:r>
        <w:rPr>
          <w:noProof/>
        </w:rPr>
        <w:tab/>
      </w:r>
      <w:r w:rsidR="00801EFB" w:rsidRPr="00DD3A77">
        <w:rPr>
          <w:noProof/>
        </w:rPr>
        <w:t>Note each path represents a 4 year lag</w:t>
      </w:r>
    </w:p>
    <w:p w:rsidR="006005EF" w:rsidRDefault="006005EF" w:rsidP="006005EF">
      <w:pPr>
        <w:pStyle w:val="Subtitle"/>
        <w:rPr>
          <w:rFonts w:ascii="Arial Black" w:eastAsia="Cambria" w:hAnsi="Arial Black"/>
          <w:sz w:val="24"/>
          <w:u w:color="000000"/>
          <w:bdr w:val="nil"/>
          <w:lang w:val="en-US"/>
        </w:rPr>
      </w:pPr>
      <w:r w:rsidRPr="00CB20E9">
        <w:rPr>
          <w:rFonts w:eastAsia="Cambria"/>
          <w:noProof/>
          <w:u w:color="000000"/>
          <w:bdr w:val="nil"/>
          <w:lang w:val="en-US"/>
        </w:rPr>
        <w:t xml:space="preserve">Figure </w:t>
      </w:r>
      <w:r w:rsidR="00801EFB">
        <w:rPr>
          <w:rFonts w:eastAsia="Cambria"/>
          <w:noProof/>
          <w:u w:color="000000"/>
          <w:bdr w:val="nil"/>
          <w:lang w:val="en-US"/>
        </w:rPr>
        <w:t>8.</w:t>
      </w:r>
      <w:r w:rsidRPr="00CB20E9">
        <w:rPr>
          <w:rFonts w:eastAsia="Cambria"/>
          <w:noProof/>
          <w:u w:color="000000"/>
          <w:bdr w:val="nil"/>
          <w:lang w:val="en-US"/>
        </w:rPr>
        <w:t xml:space="preserve"> </w:t>
      </w:r>
      <w:r w:rsidRPr="00DD3A77">
        <w:rPr>
          <w:rFonts w:eastAsia="Cambria"/>
          <w:noProof/>
          <w:u w:color="000000"/>
          <w:bdr w:val="nil"/>
          <w:lang w:val="en-US"/>
        </w:rPr>
        <w:t>PSC, D</w:t>
      </w:r>
      <w:r>
        <w:rPr>
          <w:rFonts w:eastAsia="Cambria"/>
          <w:noProof/>
          <w:u w:color="000000"/>
          <w:bdr w:val="nil"/>
          <w:lang w:val="en-US"/>
        </w:rPr>
        <w:t xml:space="preserve">emands and Resources Predicting </w:t>
      </w:r>
      <w:r w:rsidRPr="00DD3A77">
        <w:rPr>
          <w:rFonts w:eastAsia="Cambria"/>
          <w:noProof/>
          <w:u w:color="000000"/>
          <w:bdr w:val="nil"/>
          <w:lang w:val="en-US"/>
        </w:rPr>
        <w:t>Bullying</w:t>
      </w:r>
    </w:p>
    <w:p w:rsidR="006005EF" w:rsidRDefault="006005EF">
      <w:pPr>
        <w:rPr>
          <w:rFonts w:ascii="Arial Black" w:eastAsia="Cambria" w:hAnsi="Arial Black" w:cs="Calibri"/>
          <w:b/>
          <w:sz w:val="28"/>
          <w:szCs w:val="28"/>
          <w:u w:color="000000"/>
          <w:bdr w:val="nil"/>
          <w:lang w:val="en-US"/>
        </w:rPr>
      </w:pPr>
    </w:p>
    <w:p w:rsidR="004B457A" w:rsidRDefault="004B457A">
      <w:pPr>
        <w:rPr>
          <w:rFonts w:ascii="Arial Black" w:eastAsia="Cambria" w:hAnsi="Arial Black" w:cs="Calibri"/>
          <w:b/>
          <w:sz w:val="28"/>
          <w:szCs w:val="28"/>
          <w:u w:color="000000"/>
          <w:bdr w:val="nil"/>
          <w:lang w:val="en-US"/>
        </w:rPr>
      </w:pPr>
      <w:r>
        <w:rPr>
          <w:rFonts w:ascii="Arial Black" w:eastAsia="Cambria" w:hAnsi="Arial Black" w:cs="Calibri"/>
          <w:b/>
          <w:sz w:val="28"/>
          <w:szCs w:val="28"/>
          <w:u w:color="000000"/>
          <w:bdr w:val="nil"/>
          <w:lang w:val="en-US"/>
        </w:rPr>
        <w:br w:type="page"/>
      </w:r>
    </w:p>
    <w:p w:rsidR="00F43118" w:rsidRPr="00DD3A77" w:rsidRDefault="00F43118" w:rsidP="007C3642">
      <w:pPr>
        <w:pStyle w:val="Heading1"/>
        <w:rPr>
          <w:rFonts w:eastAsia="Cambria"/>
          <w:u w:color="000000"/>
          <w:bdr w:val="nil"/>
          <w:lang w:val="en-US"/>
        </w:rPr>
      </w:pPr>
      <w:r w:rsidRPr="00DD3A77">
        <w:rPr>
          <w:rFonts w:eastAsia="Cambria"/>
          <w:u w:color="000000"/>
          <w:bdr w:val="nil"/>
          <w:lang w:val="en-US"/>
        </w:rPr>
        <w:lastRenderedPageBreak/>
        <w:t>Discussion</w:t>
      </w:r>
    </w:p>
    <w:p w:rsidR="00F43118" w:rsidRPr="00E2784F" w:rsidRDefault="00F43118" w:rsidP="00E2784F">
      <w:pPr>
        <w:pStyle w:val="Heading2"/>
        <w:spacing w:before="240" w:after="120"/>
        <w:rPr>
          <w:rFonts w:eastAsia="Cambria"/>
          <w:u w:color="000000"/>
          <w:lang w:eastAsia="en-US"/>
        </w:rPr>
      </w:pPr>
      <w:r w:rsidRPr="00E2784F">
        <w:rPr>
          <w:rFonts w:eastAsia="Cambria"/>
          <w:u w:color="000000"/>
          <w:lang w:eastAsia="en-US"/>
        </w:rPr>
        <w:t xml:space="preserve">Levels of </w:t>
      </w:r>
      <w:r w:rsidR="00400475" w:rsidRPr="00E2784F">
        <w:rPr>
          <w:rFonts w:eastAsia="Cambria"/>
          <w:u w:color="000000"/>
          <w:lang w:eastAsia="en-US"/>
        </w:rPr>
        <w:t>B</w:t>
      </w:r>
      <w:r w:rsidRPr="00E2784F">
        <w:rPr>
          <w:rFonts w:eastAsia="Cambria"/>
          <w:u w:color="000000"/>
          <w:lang w:eastAsia="en-US"/>
        </w:rPr>
        <w:t>ullying</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The objective of this report </w:t>
      </w:r>
      <w:r w:rsidR="00FA51E4">
        <w:rPr>
          <w:rFonts w:eastAsia="Cambria"/>
          <w:u w:color="000000"/>
          <w:bdr w:val="nil"/>
          <w:lang w:val="en-US"/>
        </w:rPr>
        <w:t>was</w:t>
      </w:r>
      <w:r w:rsidRPr="00F43118">
        <w:rPr>
          <w:rFonts w:eastAsia="Cambria"/>
          <w:u w:color="000000"/>
          <w:bdr w:val="nil"/>
          <w:lang w:val="en-US"/>
        </w:rPr>
        <w:t xml:space="preserve"> to present national surveillance data on the prevalence, antecedents and impacts of workplace bullying and harassment in Australia. Based on population based evidence, the rate of bullying in Australia workplaces in 2014/2015 was determined to be 9.6</w:t>
      </w:r>
      <w:r w:rsidR="005B5215">
        <w:rPr>
          <w:rFonts w:eastAsia="Cambria"/>
          <w:u w:color="000000"/>
          <w:bdr w:val="nil"/>
          <w:lang w:val="en-US"/>
        </w:rPr>
        <w:t xml:space="preserve"> per cent</w:t>
      </w:r>
      <w:r w:rsidRPr="00F43118">
        <w:rPr>
          <w:rFonts w:eastAsia="Cambria"/>
          <w:u w:color="000000"/>
          <w:bdr w:val="nil"/>
          <w:lang w:val="en-US"/>
        </w:rPr>
        <w:t>. This finding was verified using two strict definitions of bullying, an international standard based on the literature (9.7</w:t>
      </w:r>
      <w:r w:rsidR="005B5215">
        <w:rPr>
          <w:rFonts w:eastAsia="Cambria"/>
          <w:u w:color="000000"/>
          <w:bdr w:val="nil"/>
          <w:lang w:val="en-US"/>
        </w:rPr>
        <w:t xml:space="preserve"> per cent</w:t>
      </w:r>
      <w:r w:rsidRPr="00F43118">
        <w:rPr>
          <w:rFonts w:eastAsia="Cambria"/>
          <w:u w:color="000000"/>
          <w:bdr w:val="nil"/>
          <w:lang w:val="en-US"/>
        </w:rPr>
        <w:t>), and the other used by Safe Work Australia (9.4</w:t>
      </w:r>
      <w:r w:rsidR="005B5215">
        <w:rPr>
          <w:rFonts w:eastAsia="Cambria"/>
          <w:u w:color="000000"/>
          <w:bdr w:val="nil"/>
          <w:lang w:val="en-US"/>
        </w:rPr>
        <w:t xml:space="preserve"> per cent</w:t>
      </w:r>
      <w:r w:rsidR="00E2784F">
        <w:rPr>
          <w:rFonts w:eastAsia="Cambria"/>
          <w:u w:color="000000"/>
          <w:bdr w:val="nil"/>
          <w:lang w:val="en-US"/>
        </w:rPr>
        <w:t>).</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Most bullied Australian workers experienced bullying at least once a week to once a month, and if bullied, it usually lasted between one to six months, </w:t>
      </w:r>
      <w:r w:rsidRPr="004B0ED8">
        <w:rPr>
          <w:rFonts w:eastAsia="Cambria"/>
          <w:u w:color="000000"/>
          <w:bdr w:val="nil"/>
          <w:lang w:val="en-US"/>
        </w:rPr>
        <w:t xml:space="preserve">with </w:t>
      </w:r>
      <w:r w:rsidRPr="001C7C73">
        <w:rPr>
          <w:rFonts w:eastAsia="Cambria"/>
          <w:u w:color="000000"/>
          <w:bdr w:val="nil"/>
          <w:lang w:val="en-US"/>
        </w:rPr>
        <w:t>16</w:t>
      </w:r>
      <w:r w:rsidR="004B0ED8" w:rsidRPr="00EE5046">
        <w:rPr>
          <w:rFonts w:eastAsia="Cambria"/>
          <w:u w:color="000000"/>
          <w:bdr w:val="nil"/>
          <w:lang w:val="en-US"/>
        </w:rPr>
        <w:t>.3</w:t>
      </w:r>
      <w:r w:rsidR="005B5215" w:rsidRPr="004B0ED8">
        <w:rPr>
          <w:rFonts w:eastAsia="Cambria"/>
          <w:u w:color="000000"/>
          <w:bdr w:val="nil"/>
          <w:lang w:val="en-US"/>
        </w:rPr>
        <w:t xml:space="preserve"> pe</w:t>
      </w:r>
      <w:r w:rsidR="005B5215" w:rsidRPr="001C7C73">
        <w:rPr>
          <w:rFonts w:eastAsia="Cambria"/>
          <w:u w:color="000000"/>
          <w:bdr w:val="nil"/>
          <w:lang w:val="en-US"/>
        </w:rPr>
        <w:t>r cent</w:t>
      </w:r>
      <w:r w:rsidRPr="001C7C73">
        <w:rPr>
          <w:rFonts w:eastAsia="Cambria"/>
          <w:u w:color="000000"/>
          <w:bdr w:val="nil"/>
          <w:lang w:val="en-US"/>
        </w:rPr>
        <w:t xml:space="preserve"> reporting </w:t>
      </w:r>
      <w:r w:rsidR="00FA51E4" w:rsidRPr="002149A9">
        <w:rPr>
          <w:rFonts w:eastAsia="Cambria"/>
          <w:u w:color="000000"/>
          <w:bdr w:val="nil"/>
          <w:lang w:val="en-US"/>
        </w:rPr>
        <w:t xml:space="preserve">exposure </w:t>
      </w:r>
      <w:r w:rsidRPr="00F42C59">
        <w:rPr>
          <w:rFonts w:eastAsia="Cambria"/>
          <w:u w:color="000000"/>
          <w:bdr w:val="nil"/>
          <w:lang w:val="en-US"/>
        </w:rPr>
        <w:t>greater than 2 years.</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The Australian national average </w:t>
      </w:r>
      <w:r w:rsidR="00FA51E4">
        <w:rPr>
          <w:rFonts w:eastAsia="Cambria"/>
          <w:u w:color="000000"/>
          <w:bdr w:val="nil"/>
          <w:lang w:val="en-US"/>
        </w:rPr>
        <w:t xml:space="preserve">of 9.6 per cent of workers reporting bullying </w:t>
      </w:r>
      <w:r w:rsidRPr="00F43118">
        <w:rPr>
          <w:rFonts w:eastAsia="Cambria"/>
          <w:u w:color="000000"/>
          <w:bdr w:val="nil"/>
          <w:lang w:val="en-US"/>
        </w:rPr>
        <w:t xml:space="preserve">in 2014/2015 increased </w:t>
      </w:r>
      <w:r w:rsidRPr="004B0ED8">
        <w:rPr>
          <w:rFonts w:eastAsia="Cambria"/>
          <w:u w:color="000000"/>
          <w:bdr w:val="nil"/>
          <w:lang w:val="en-US"/>
        </w:rPr>
        <w:t>from 7</w:t>
      </w:r>
      <w:r w:rsidR="00E45511" w:rsidRPr="00EE5046">
        <w:rPr>
          <w:rFonts w:eastAsia="Cambria"/>
          <w:u w:color="000000"/>
          <w:bdr w:val="nil"/>
          <w:lang w:val="en-US"/>
        </w:rPr>
        <w:t>.0</w:t>
      </w:r>
      <w:r w:rsidR="005B5215" w:rsidRPr="004B0ED8">
        <w:rPr>
          <w:rFonts w:eastAsia="Cambria"/>
          <w:u w:color="000000"/>
          <w:bdr w:val="nil"/>
          <w:lang w:val="en-US"/>
        </w:rPr>
        <w:t xml:space="preserve"> per cent</w:t>
      </w:r>
      <w:r w:rsidRPr="004B0ED8">
        <w:rPr>
          <w:rFonts w:eastAsia="Cambria"/>
          <w:u w:color="000000"/>
          <w:bdr w:val="nil"/>
          <w:lang w:val="en-US"/>
        </w:rPr>
        <w:t xml:space="preserve"> in</w:t>
      </w:r>
      <w:r w:rsidRPr="00F43118">
        <w:rPr>
          <w:rFonts w:eastAsia="Cambria"/>
          <w:u w:color="000000"/>
          <w:bdr w:val="nil"/>
          <w:lang w:val="en-US"/>
        </w:rPr>
        <w:t xml:space="preserve"> 2009/2011 and is higher than all of the 34 European countries who participated in a 2010 European Working Conditions Survey. However it is important to interpret this comparison with caution due to the time variation in data collection. Since 2010 </w:t>
      </w:r>
      <w:r w:rsidR="00ED4D0B">
        <w:rPr>
          <w:rFonts w:eastAsia="Cambria"/>
          <w:u w:color="000000"/>
          <w:bdr w:val="nil"/>
          <w:lang w:val="en-US"/>
        </w:rPr>
        <w:t>changes in</w:t>
      </w:r>
      <w:r w:rsidRPr="00F43118">
        <w:rPr>
          <w:rFonts w:eastAsia="Cambria"/>
          <w:u w:color="000000"/>
          <w:bdr w:val="nil"/>
          <w:lang w:val="en-US"/>
        </w:rPr>
        <w:t xml:space="preserve"> work </w:t>
      </w:r>
      <w:r w:rsidR="00471259">
        <w:rPr>
          <w:rFonts w:eastAsia="Cambria"/>
          <w:u w:color="000000"/>
          <w:bdr w:val="nil"/>
          <w:lang w:val="en-US"/>
        </w:rPr>
        <w:t>organisation</w:t>
      </w:r>
      <w:r w:rsidR="002B41C7">
        <w:rPr>
          <w:rFonts w:eastAsia="Cambria"/>
          <w:u w:color="000000"/>
          <w:bdr w:val="nil"/>
          <w:lang w:val="en-US"/>
        </w:rPr>
        <w:t xml:space="preserve">, such as increased competition and work intensification, a </w:t>
      </w:r>
      <w:r w:rsidRPr="00F43118">
        <w:rPr>
          <w:rFonts w:eastAsia="Cambria"/>
          <w:u w:color="000000"/>
          <w:bdr w:val="nil"/>
          <w:lang w:val="en-US"/>
        </w:rPr>
        <w:t xml:space="preserve">shift towards </w:t>
      </w:r>
      <w:proofErr w:type="spellStart"/>
      <w:r w:rsidRPr="00F43118">
        <w:rPr>
          <w:rFonts w:eastAsia="Cambria"/>
          <w:u w:color="000000"/>
          <w:bdr w:val="nil"/>
          <w:lang w:val="en-US"/>
        </w:rPr>
        <w:t>casualisation</w:t>
      </w:r>
      <w:proofErr w:type="spellEnd"/>
      <w:r w:rsidRPr="00F43118">
        <w:rPr>
          <w:rFonts w:eastAsia="Cambria"/>
          <w:u w:color="000000"/>
          <w:bdr w:val="nil"/>
          <w:lang w:val="en-US"/>
        </w:rPr>
        <w:t xml:space="preserve"> rather than job permanency, </w:t>
      </w:r>
      <w:r w:rsidR="002B41C7">
        <w:rPr>
          <w:rFonts w:eastAsia="Cambria"/>
          <w:u w:color="000000"/>
          <w:bdr w:val="nil"/>
          <w:lang w:val="en-US"/>
        </w:rPr>
        <w:t xml:space="preserve">and </w:t>
      </w:r>
      <w:r w:rsidRPr="00F43118">
        <w:rPr>
          <w:rFonts w:eastAsia="Cambria"/>
          <w:u w:color="000000"/>
          <w:bdr w:val="nil"/>
          <w:lang w:val="en-US"/>
        </w:rPr>
        <w:t>technolog</w:t>
      </w:r>
      <w:r w:rsidR="002B41C7">
        <w:rPr>
          <w:rFonts w:eastAsia="Cambria"/>
          <w:u w:color="000000"/>
          <w:bdr w:val="nil"/>
          <w:lang w:val="en-US"/>
        </w:rPr>
        <w:t>ical changes</w:t>
      </w:r>
      <w:r w:rsidRPr="00F43118">
        <w:rPr>
          <w:rFonts w:eastAsia="Cambria"/>
          <w:u w:color="000000"/>
          <w:bdr w:val="nil"/>
          <w:lang w:val="en-US"/>
        </w:rPr>
        <w:t xml:space="preserve"> would also </w:t>
      </w:r>
      <w:r w:rsidR="00FA51E4">
        <w:rPr>
          <w:rFonts w:eastAsia="Cambria"/>
          <w:u w:color="000000"/>
          <w:bdr w:val="nil"/>
          <w:lang w:val="en-US"/>
        </w:rPr>
        <w:t xml:space="preserve">likely </w:t>
      </w:r>
      <w:r w:rsidRPr="00F43118">
        <w:rPr>
          <w:rFonts w:eastAsia="Cambria"/>
          <w:u w:color="000000"/>
          <w:bdr w:val="nil"/>
          <w:lang w:val="en-US"/>
        </w:rPr>
        <w:t xml:space="preserve">have an influence on European rates. Therefore more recent data </w:t>
      </w:r>
      <w:r w:rsidR="009058AB">
        <w:rPr>
          <w:rFonts w:eastAsia="Cambria"/>
          <w:u w:color="000000"/>
          <w:bdr w:val="nil"/>
          <w:lang w:val="en-US"/>
        </w:rPr>
        <w:t xml:space="preserve">are </w:t>
      </w:r>
      <w:r w:rsidR="002B41C7">
        <w:rPr>
          <w:rFonts w:eastAsia="Cambria"/>
          <w:u w:color="000000"/>
          <w:bdr w:val="nil"/>
          <w:lang w:val="en-US"/>
        </w:rPr>
        <w:t xml:space="preserve">needed </w:t>
      </w:r>
      <w:r w:rsidRPr="00F43118">
        <w:rPr>
          <w:rFonts w:eastAsia="Cambria"/>
          <w:u w:color="000000"/>
          <w:bdr w:val="nil"/>
          <w:lang w:val="en-US"/>
        </w:rPr>
        <w:t xml:space="preserve">before any strong comparative conclusions are drawn. </w:t>
      </w:r>
      <w:r w:rsidR="009058AB">
        <w:rPr>
          <w:rFonts w:eastAsia="Cambria"/>
          <w:u w:color="000000"/>
          <w:bdr w:val="nil"/>
          <w:lang w:val="en-US"/>
        </w:rPr>
        <w:t>However</w:t>
      </w:r>
      <w:r w:rsidRPr="00F43118">
        <w:rPr>
          <w:rFonts w:eastAsia="Cambria"/>
          <w:u w:color="000000"/>
          <w:bdr w:val="nil"/>
          <w:lang w:val="en-US"/>
        </w:rPr>
        <w:t>, Australian rates are</w:t>
      </w:r>
      <w:r w:rsidR="009058AB">
        <w:rPr>
          <w:rFonts w:eastAsia="Cambria"/>
          <w:u w:color="000000"/>
          <w:bdr w:val="nil"/>
          <w:lang w:val="en-US"/>
        </w:rPr>
        <w:t>, nevertheless,</w:t>
      </w:r>
      <w:r w:rsidR="00E2784F">
        <w:rPr>
          <w:rFonts w:eastAsia="Cambria"/>
          <w:u w:color="000000"/>
          <w:bdr w:val="nil"/>
          <w:lang w:val="en-US"/>
        </w:rPr>
        <w:t xml:space="preserve"> still high.</w:t>
      </w:r>
    </w:p>
    <w:p w:rsidR="00C55CE8" w:rsidRDefault="00F43118" w:rsidP="00E2784F">
      <w:pPr>
        <w:spacing w:after="120"/>
      </w:pPr>
      <w:r w:rsidRPr="00F43118">
        <w:t xml:space="preserve">Moreover, </w:t>
      </w:r>
      <w:r w:rsidR="002B41C7">
        <w:t xml:space="preserve">there is a growing awareness in </w:t>
      </w:r>
      <w:r w:rsidRPr="00F43118">
        <w:t>Australia surrounding mental health in the workplace,</w:t>
      </w:r>
      <w:r w:rsidR="002B41C7">
        <w:t xml:space="preserve"> and risk factors such as bullying and harassment.</w:t>
      </w:r>
      <w:r w:rsidR="009809BE">
        <w:t xml:space="preserve"> </w:t>
      </w:r>
      <w:r w:rsidR="002B41C7" w:rsidRPr="00F43118">
        <w:t xml:space="preserve">Campaigns and awareness from social media surrounding the nature and effects of </w:t>
      </w:r>
      <w:proofErr w:type="gramStart"/>
      <w:r w:rsidR="002B41C7" w:rsidRPr="00F43118">
        <w:t>bullying,</w:t>
      </w:r>
      <w:proofErr w:type="gramEnd"/>
      <w:r w:rsidR="002B41C7" w:rsidRPr="00F43118">
        <w:t xml:space="preserve"> may have </w:t>
      </w:r>
      <w:r w:rsidR="002B41C7">
        <w:t xml:space="preserve">created a </w:t>
      </w:r>
      <w:r w:rsidR="002B41C7" w:rsidRPr="00F43118">
        <w:t>clear</w:t>
      </w:r>
      <w:r w:rsidR="002B41C7">
        <w:t>er</w:t>
      </w:r>
      <w:r w:rsidR="002B41C7" w:rsidRPr="00F43118">
        <w:t xml:space="preserve"> </w:t>
      </w:r>
      <w:r w:rsidR="002B41C7">
        <w:t xml:space="preserve">perception of bullying in the working population </w:t>
      </w:r>
      <w:r w:rsidR="0009128D">
        <w:t>that has</w:t>
      </w:r>
      <w:r w:rsidR="009809BE">
        <w:t xml:space="preserve"> le</w:t>
      </w:r>
      <w:r w:rsidRPr="00F43118">
        <w:t xml:space="preserve">d to increased prevalence rates as people </w:t>
      </w:r>
      <w:r w:rsidR="0009128D">
        <w:t>have become</w:t>
      </w:r>
      <w:r w:rsidR="002B41C7">
        <w:t xml:space="preserve"> more readily able to </w:t>
      </w:r>
      <w:r w:rsidRPr="00F43118">
        <w:t xml:space="preserve">recognise </w:t>
      </w:r>
      <w:r w:rsidR="00ED4D0B">
        <w:t>bullying</w:t>
      </w:r>
      <w:r w:rsidR="002B41C7">
        <w:t>.</w:t>
      </w:r>
    </w:p>
    <w:p w:rsidR="00F43118" w:rsidRPr="00F43118" w:rsidRDefault="002B41C7" w:rsidP="00E2784F">
      <w:pPr>
        <w:spacing w:after="120"/>
      </w:pPr>
      <w:r>
        <w:t>B</w:t>
      </w:r>
      <w:r w:rsidRPr="00F43118">
        <w:t xml:space="preserve">ullying rates </w:t>
      </w:r>
      <w:r>
        <w:t>increased in m</w:t>
      </w:r>
      <w:r w:rsidR="00F43118" w:rsidRPr="00F43118">
        <w:t xml:space="preserve">ost Australian states and territories except for South Australia and the Northern Territory. South Australia has the lowest rates of bullying and the rate has declined since 2011. </w:t>
      </w:r>
    </w:p>
    <w:p w:rsidR="00F43118" w:rsidRPr="00F43118" w:rsidRDefault="00F43118" w:rsidP="00E2784F">
      <w:pPr>
        <w:spacing w:after="120"/>
      </w:pPr>
      <w:r w:rsidRPr="00F43118">
        <w:t>The industries with the highest levels of bullying were Electricity, gas and water supply (caveats apply); Health and community services; Government administration and defence; Transport and storage; Mining; and Education. Therefore it may be most effective to funnel greater national attention, resources and/or preventive efforts into these industries with the greatest risk</w:t>
      </w:r>
      <w:r w:rsidR="00080110">
        <w:t xml:space="preserve"> of bullying</w:t>
      </w:r>
      <w:r w:rsidR="00E2784F">
        <w:t>.</w:t>
      </w:r>
    </w:p>
    <w:p w:rsidR="00F43118" w:rsidRPr="00F43118" w:rsidRDefault="00F43118" w:rsidP="00E2784F">
      <w:pPr>
        <w:spacing w:after="120"/>
      </w:pPr>
      <w:r w:rsidRPr="00F43118">
        <w:t xml:space="preserve">In relation to workplace harassment, the </w:t>
      </w:r>
      <w:proofErr w:type="spellStart"/>
      <w:r w:rsidRPr="00F43118">
        <w:t>AWB</w:t>
      </w:r>
      <w:proofErr w:type="spellEnd"/>
      <w:r w:rsidRPr="00F43118">
        <w:t xml:space="preserve"> results indicate that the most common exposure to harassment in Australian workplaces was being yelled at or sworn at, at 37</w:t>
      </w:r>
      <w:r w:rsidR="00C10735">
        <w:t>.2</w:t>
      </w:r>
      <w:r w:rsidR="005B5215">
        <w:t xml:space="preserve"> per cent</w:t>
      </w:r>
      <w:r w:rsidRPr="00F43118">
        <w:t xml:space="preserve">. Exposure to mistreatment at work is greater than that indicated by the bullying prevalence data alone, meaning that the potential health and safety risk is also greater. Other forms </w:t>
      </w:r>
      <w:r w:rsidR="00A12F09">
        <w:t xml:space="preserve">of harassment </w:t>
      </w:r>
      <w:r w:rsidRPr="00F43118">
        <w:t xml:space="preserve">that rated highly for exposure </w:t>
      </w:r>
      <w:r w:rsidR="00ED4D0B">
        <w:t xml:space="preserve">were </w:t>
      </w:r>
      <w:r w:rsidRPr="00F43118">
        <w:t>being humiliated in front of others, being physically assaulted or threatened by clients or patients of the organisation, and experiencing discomfort listening to sexual h</w:t>
      </w:r>
      <w:r w:rsidR="00E2784F">
        <w:t>umour.</w:t>
      </w:r>
    </w:p>
    <w:p w:rsidR="00260052" w:rsidRPr="00D61893" w:rsidRDefault="00F43118" w:rsidP="00E2784F">
      <w:pPr>
        <w:spacing w:after="120"/>
      </w:pPr>
      <w:r w:rsidRPr="00F43118">
        <w:t xml:space="preserve">In relation to </w:t>
      </w:r>
      <w:r w:rsidR="00260052">
        <w:t>vulnerable groups, a</w:t>
      </w:r>
      <w:r w:rsidRPr="00F43118">
        <w:t xml:space="preserve"> pattern to emerge was that women experienced significantly higher levels of bullying than men, more frequently, and for longer periods</w:t>
      </w:r>
      <w:r w:rsidR="00260052">
        <w:t>, although the effect was small</w:t>
      </w:r>
      <w:r w:rsidRPr="00F43118">
        <w:t>. Considering how these</w:t>
      </w:r>
      <w:r w:rsidR="00666B6B">
        <w:t xml:space="preserve"> </w:t>
      </w:r>
      <w:r w:rsidRPr="00F43118">
        <w:t xml:space="preserve">results relate to the academic literature, most recent research has not solely focused on individual victim </w:t>
      </w:r>
      <w:r w:rsidR="005B5215">
        <w:t>c</w:t>
      </w:r>
      <w:r w:rsidRPr="00F43118">
        <w:t xml:space="preserve">haracteristics for some time. Despite this, a meta-analysis study by Bowling and </w:t>
      </w:r>
      <w:proofErr w:type="spellStart"/>
      <w:r w:rsidRPr="00F43118">
        <w:t>Beehr</w:t>
      </w:r>
      <w:proofErr w:type="spellEnd"/>
      <w:r w:rsidRPr="00F43118">
        <w:t xml:space="preserve"> (2006) provide some insight into these findings. In regards to victim demographics, they state</w:t>
      </w:r>
      <w:r w:rsidR="00F67C58">
        <w:t xml:space="preserve"> that</w:t>
      </w:r>
      <w:r w:rsidRPr="00F43118">
        <w:t xml:space="preserve"> women may pose safer targets, yet there are other studies which found </w:t>
      </w:r>
      <w:r w:rsidR="008A4C6F">
        <w:t xml:space="preserve">that </w:t>
      </w:r>
      <w:r w:rsidRPr="00F43118">
        <w:t xml:space="preserve">both genders are equally likely to be bullied (Cortina, </w:t>
      </w:r>
      <w:proofErr w:type="spellStart"/>
      <w:r w:rsidRPr="00F43118">
        <w:t>Magley</w:t>
      </w:r>
      <w:proofErr w:type="spellEnd"/>
      <w:r w:rsidRPr="00F43118">
        <w:t xml:space="preserve">, Williams, &amp; </w:t>
      </w:r>
      <w:proofErr w:type="spellStart"/>
      <w:r w:rsidRPr="00F43118">
        <w:t>Langhout</w:t>
      </w:r>
      <w:proofErr w:type="spellEnd"/>
      <w:r w:rsidRPr="00F43118">
        <w:t xml:space="preserve">, 2001). For harassment, gender was again the prominent demographic </w:t>
      </w:r>
      <w:r w:rsidR="00ED4D0B">
        <w:t xml:space="preserve">target </w:t>
      </w:r>
      <w:r w:rsidRPr="00F43118">
        <w:t xml:space="preserve">factor, showing on average small effects. Women were more likely to experience unwanted sexual advances, unfair </w:t>
      </w:r>
      <w:r w:rsidRPr="00F43118">
        <w:lastRenderedPageBreak/>
        <w:t xml:space="preserve">treatment because of their gender, and be </w:t>
      </w:r>
      <w:r w:rsidRPr="00D61893">
        <w:t xml:space="preserve">physically assaulted or threatened by a client or patient. </w:t>
      </w:r>
      <w:r w:rsidR="00260052" w:rsidRPr="00D61893">
        <w:t xml:space="preserve">Unfair treatment due to gender was experienced by </w:t>
      </w:r>
      <w:r w:rsidR="00D61893" w:rsidRPr="00EE5046">
        <w:t>10.9</w:t>
      </w:r>
      <w:r w:rsidR="00260052" w:rsidRPr="00D61893">
        <w:t xml:space="preserve"> per cent of respondents</w:t>
      </w:r>
      <w:r w:rsidR="004031DE" w:rsidRPr="003B1A22">
        <w:t>.</w:t>
      </w:r>
    </w:p>
    <w:p w:rsidR="00260052" w:rsidRPr="00F43118" w:rsidRDefault="00F67C58" w:rsidP="00E2784F">
      <w:pPr>
        <w:spacing w:after="120"/>
      </w:pPr>
      <w:r w:rsidRPr="00D61893">
        <w:t xml:space="preserve">Negative comments due to race or ethnicity were experienced by </w:t>
      </w:r>
      <w:r w:rsidR="00D61893" w:rsidRPr="00EE5046">
        <w:t>7.4</w:t>
      </w:r>
      <w:r w:rsidR="00D61893" w:rsidRPr="00D61893">
        <w:t xml:space="preserve"> </w:t>
      </w:r>
      <w:r w:rsidRPr="00D61893">
        <w:t xml:space="preserve">per cent of respondents. </w:t>
      </w:r>
      <w:r w:rsidR="00F43118" w:rsidRPr="001D2BBC">
        <w:t>Men were significantly more likely to experience being sworn at or yelled at in the workplace</w:t>
      </w:r>
      <w:r w:rsidR="00F43118" w:rsidRPr="00F43118">
        <w:t>, and negative comments regarding ethnicity or race.</w:t>
      </w:r>
    </w:p>
    <w:p w:rsidR="00F43118" w:rsidRPr="00F43118" w:rsidRDefault="00F43118" w:rsidP="00E2784F">
      <w:pPr>
        <w:spacing w:after="120"/>
      </w:pPr>
      <w:r w:rsidRPr="00F43118">
        <w:t>In relation to factors that may predict bullying we focused on job design and organisational factors. Cross-</w:t>
      </w:r>
      <w:proofErr w:type="spellStart"/>
      <w:r w:rsidRPr="00F43118">
        <w:t>sectionally</w:t>
      </w:r>
      <w:proofErr w:type="spellEnd"/>
      <w:r w:rsidRPr="00F43118">
        <w:t xml:space="preserve"> we found that job demands (psychological and emotional) were related positively, and job resources (i.e., supervisor social support, organisational justice, and organisational rewards) negatively, to reports of bullying. These findings are consistent with the literature that links poor quality work such as time pressure, haste, and workload (</w:t>
      </w:r>
      <w:proofErr w:type="spellStart"/>
      <w:r w:rsidRPr="00F43118">
        <w:t>Hoel</w:t>
      </w:r>
      <w:proofErr w:type="spellEnd"/>
      <w:r w:rsidRPr="00F43118">
        <w:t xml:space="preserve"> &amp; Cooper, 2000; Tuckey et al., 2009; </w:t>
      </w:r>
      <w:proofErr w:type="spellStart"/>
      <w:r w:rsidRPr="00F43118">
        <w:t>Vartia</w:t>
      </w:r>
      <w:proofErr w:type="spellEnd"/>
      <w:r w:rsidRPr="00F43118">
        <w:t xml:space="preserve">, 2011; Zapf, </w:t>
      </w:r>
      <w:proofErr w:type="spellStart"/>
      <w:r w:rsidRPr="00F43118">
        <w:t>Einarsen</w:t>
      </w:r>
      <w:proofErr w:type="spellEnd"/>
      <w:r w:rsidRPr="00F43118">
        <w:t xml:space="preserve">, </w:t>
      </w:r>
      <w:proofErr w:type="spellStart"/>
      <w:r w:rsidRPr="00F43118">
        <w:t>Hoel</w:t>
      </w:r>
      <w:proofErr w:type="spellEnd"/>
      <w:r w:rsidR="00ED4D0B">
        <w:t>,</w:t>
      </w:r>
      <w:r w:rsidRPr="00F43118">
        <w:t xml:space="preserve"> &amp; </w:t>
      </w:r>
      <w:proofErr w:type="spellStart"/>
      <w:r w:rsidRPr="00F43118">
        <w:t>Varita</w:t>
      </w:r>
      <w:proofErr w:type="spellEnd"/>
      <w:r w:rsidRPr="00F43118">
        <w:t>, 2003) and lower job resources in the form of autonomy and job control (</w:t>
      </w:r>
      <w:proofErr w:type="spellStart"/>
      <w:r w:rsidRPr="00F43118">
        <w:t>Vartia</w:t>
      </w:r>
      <w:proofErr w:type="spellEnd"/>
      <w:r w:rsidRPr="00F43118">
        <w:t xml:space="preserve">, 2001; Zapf et al., 2003) to workplace bullying. Poor work quality (in all its forms) </w:t>
      </w:r>
      <w:r w:rsidR="00ED4D0B" w:rsidRPr="00F43118">
        <w:t>w</w:t>
      </w:r>
      <w:r w:rsidR="00ED4D0B">
        <w:t xml:space="preserve">as </w:t>
      </w:r>
      <w:r w:rsidRPr="00F43118">
        <w:t>likewise related to all aspect</w:t>
      </w:r>
      <w:r w:rsidR="00E2784F">
        <w:t>s of harassment.</w:t>
      </w:r>
    </w:p>
    <w:p w:rsidR="00400475" w:rsidRDefault="00F43118" w:rsidP="00E2784F">
      <w:pPr>
        <w:spacing w:after="120"/>
        <w:rPr>
          <w:rFonts w:eastAsia="Cambria"/>
          <w:u w:color="000000"/>
          <w:bdr w:val="nil"/>
          <w:lang w:val="en-US"/>
        </w:rPr>
      </w:pPr>
      <w:r w:rsidRPr="00F43118">
        <w:rPr>
          <w:rFonts w:eastAsia="Cambria"/>
          <w:u w:color="000000"/>
          <w:bdr w:val="nil"/>
          <w:lang w:val="en-US"/>
        </w:rPr>
        <w:t>In a comprehensive test, using a longitudinal design, and controlling for initial levels of bullying, we found evidence for a ‘causal process’ whereby PSC predicted job design factors that in turn predicted bullying. In a PSC – demand process, we found that when PSC was low, higher levels of emotional demands were evident. These higher levels of emotional demands were in turn related to increased bullying (also when PSC was high, lower levels of emotional demands were evident, and bullying levels were lower). In a PSC</w:t>
      </w:r>
      <w:r w:rsidR="00260052">
        <w:rPr>
          <w:rFonts w:eastAsia="Cambria"/>
          <w:u w:color="000000"/>
          <w:bdr w:val="nil"/>
          <w:lang w:val="en-US"/>
        </w:rPr>
        <w:t xml:space="preserve"> </w:t>
      </w:r>
      <w:r w:rsidR="00260052" w:rsidRPr="00F43118">
        <w:rPr>
          <w:rFonts w:eastAsia="Cambria"/>
          <w:u w:color="000000"/>
          <w:bdr w:val="nil"/>
          <w:lang w:val="en-US"/>
        </w:rPr>
        <w:t>–</w:t>
      </w:r>
      <w:r w:rsidR="00260052">
        <w:rPr>
          <w:rFonts w:eastAsia="Cambria"/>
          <w:u w:color="000000"/>
          <w:bdr w:val="nil"/>
          <w:lang w:val="en-US"/>
        </w:rPr>
        <w:t xml:space="preserve"> </w:t>
      </w:r>
      <w:r w:rsidRPr="00F43118">
        <w:rPr>
          <w:rFonts w:eastAsia="Cambria"/>
          <w:u w:color="000000"/>
          <w:bdr w:val="nil"/>
          <w:lang w:val="en-US"/>
        </w:rPr>
        <w:t xml:space="preserve">control (resource) process, we found that low PSC was associated with low job control which in turn led to increased bullying (and the alternative process, when PSC was high, control was high, and bullying was less). In other words, PSC predicted bullying </w:t>
      </w:r>
      <w:r w:rsidR="00F67C58">
        <w:rPr>
          <w:rFonts w:eastAsia="Cambria"/>
          <w:u w:color="000000"/>
          <w:bdr w:val="nil"/>
          <w:lang w:val="en-US"/>
        </w:rPr>
        <w:t xml:space="preserve">over four years </w:t>
      </w:r>
      <w:r w:rsidRPr="00F43118">
        <w:rPr>
          <w:rFonts w:eastAsia="Cambria"/>
          <w:u w:color="000000"/>
          <w:bdr w:val="nil"/>
          <w:lang w:val="en-US"/>
        </w:rPr>
        <w:t xml:space="preserve">through its effect on work quality </w:t>
      </w:r>
      <w:r w:rsidR="00ED4D0B">
        <w:rPr>
          <w:rFonts w:eastAsia="Cambria"/>
          <w:u w:color="000000"/>
          <w:bdr w:val="nil"/>
          <w:lang w:val="en-US"/>
        </w:rPr>
        <w:t>(</w:t>
      </w:r>
      <w:r w:rsidRPr="00F43118">
        <w:rPr>
          <w:rFonts w:eastAsia="Cambria"/>
          <w:u w:color="000000"/>
          <w:bdr w:val="nil"/>
          <w:lang w:val="en-US"/>
        </w:rPr>
        <w:t>demands and resources).</w:t>
      </w:r>
      <w:r w:rsidR="008C241C">
        <w:rPr>
          <w:rFonts w:eastAsia="Cambria"/>
          <w:u w:color="000000"/>
          <w:bdr w:val="nil"/>
          <w:lang w:val="en-US"/>
        </w:rPr>
        <w:t xml:space="preserve"> Over and above these effects PSC was also directly related to bullying which may indicate the action of specific bullying policies or other unmeasured factors underpinning this relationship.</w:t>
      </w:r>
    </w:p>
    <w:p w:rsidR="00F43118" w:rsidRPr="00F43118" w:rsidRDefault="00F43118" w:rsidP="00E2784F">
      <w:pPr>
        <w:pStyle w:val="Heading2"/>
        <w:spacing w:before="240" w:after="120"/>
        <w:rPr>
          <w:rFonts w:eastAsia="Cambria"/>
          <w:u w:color="000000"/>
          <w:bdr w:val="nil"/>
          <w:lang w:val="en-US"/>
        </w:rPr>
      </w:pPr>
      <w:r w:rsidRPr="00F43118">
        <w:rPr>
          <w:rFonts w:eastAsia="Cambria"/>
          <w:u w:color="000000"/>
          <w:bdr w:val="nil"/>
          <w:lang w:val="en-US"/>
        </w:rPr>
        <w:t>Impacts</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The results clearly demonstrated the deleterious effects of bullying. In relation to health outcomes, bullying was related to emotional exhaustion, psychological distress, depression; it also had effects on work outcomes, and was significantly negatively associated with job satisfaction and work engagement, and positively </w:t>
      </w:r>
      <w:r w:rsidR="00ED4D0B">
        <w:rPr>
          <w:rFonts w:eastAsia="Cambria"/>
          <w:u w:color="000000"/>
          <w:bdr w:val="nil"/>
          <w:lang w:val="en-US"/>
        </w:rPr>
        <w:t xml:space="preserve">related </w:t>
      </w:r>
      <w:r w:rsidRPr="00F43118">
        <w:rPr>
          <w:rFonts w:eastAsia="Cambria"/>
          <w:u w:color="000000"/>
          <w:bdr w:val="nil"/>
          <w:lang w:val="en-US"/>
        </w:rPr>
        <w:t xml:space="preserve">with intention to leave the workplace. These findings are consistent with the literature, which has linked bullying and harassment to a range of psychological health and well-being outcomes, including general mental health outcomes, anxiety, depression, post-traumatic stress, </w:t>
      </w:r>
      <w:proofErr w:type="spellStart"/>
      <w:r w:rsidRPr="00F43118">
        <w:rPr>
          <w:rFonts w:eastAsia="Cambria"/>
          <w:u w:color="000000"/>
          <w:bdr w:val="nil"/>
          <w:lang w:val="en-US"/>
        </w:rPr>
        <w:t>generalised</w:t>
      </w:r>
      <w:proofErr w:type="spellEnd"/>
      <w:r w:rsidRPr="00F43118">
        <w:rPr>
          <w:rFonts w:eastAsia="Cambria"/>
          <w:u w:color="000000"/>
          <w:bdr w:val="nil"/>
          <w:lang w:val="en-US"/>
        </w:rPr>
        <w:t xml:space="preserve"> strain, psychosomatic symptoms, burnout, and physical health problems (Nielson &amp; </w:t>
      </w:r>
      <w:proofErr w:type="spellStart"/>
      <w:r w:rsidRPr="00F43118">
        <w:rPr>
          <w:rFonts w:eastAsia="Cambria"/>
          <w:u w:color="000000"/>
          <w:bdr w:val="nil"/>
          <w:lang w:val="en-US"/>
        </w:rPr>
        <w:t>Einarsen</w:t>
      </w:r>
      <w:proofErr w:type="spellEnd"/>
      <w:r w:rsidRPr="00F43118">
        <w:rPr>
          <w:rFonts w:eastAsia="Cambria"/>
          <w:u w:color="000000"/>
          <w:bdr w:val="nil"/>
          <w:lang w:val="en-US"/>
        </w:rPr>
        <w:t>, 2012), and work outcomes such as increased intention to leave (</w:t>
      </w:r>
      <w:proofErr w:type="spellStart"/>
      <w:r w:rsidRPr="00F43118">
        <w:rPr>
          <w:rFonts w:eastAsia="Cambria"/>
          <w:u w:color="000000"/>
          <w:bdr w:val="nil"/>
          <w:lang w:val="en-US"/>
        </w:rPr>
        <w:t>Kieseker</w:t>
      </w:r>
      <w:proofErr w:type="spellEnd"/>
      <w:r w:rsidRPr="00F43118">
        <w:rPr>
          <w:rFonts w:eastAsia="Cambria"/>
          <w:u w:color="000000"/>
          <w:bdr w:val="nil"/>
          <w:lang w:val="en-US"/>
        </w:rPr>
        <w:t xml:space="preserve"> &amp; Marchant, 1999; </w:t>
      </w:r>
      <w:proofErr w:type="spellStart"/>
      <w:r w:rsidRPr="00F43118">
        <w:rPr>
          <w:rFonts w:eastAsia="Cambria"/>
          <w:u w:color="000000"/>
          <w:bdr w:val="nil"/>
          <w:lang w:val="en-US"/>
        </w:rPr>
        <w:t>Salin</w:t>
      </w:r>
      <w:proofErr w:type="spellEnd"/>
      <w:r w:rsidRPr="00F43118">
        <w:rPr>
          <w:rFonts w:eastAsia="Cambria"/>
          <w:u w:color="000000"/>
          <w:bdr w:val="nil"/>
          <w:lang w:val="en-US"/>
        </w:rPr>
        <w:t>, 2003).</w:t>
      </w:r>
    </w:p>
    <w:p w:rsidR="00400475" w:rsidRDefault="00F43118" w:rsidP="00E2784F">
      <w:pPr>
        <w:spacing w:after="120"/>
        <w:rPr>
          <w:rFonts w:eastAsia="Cambria"/>
          <w:u w:color="000000"/>
          <w:bdr w:val="nil"/>
          <w:lang w:val="en-US"/>
        </w:rPr>
      </w:pPr>
      <w:r w:rsidRPr="00F43118">
        <w:rPr>
          <w:rFonts w:eastAsia="Cambria"/>
          <w:u w:color="000000"/>
          <w:bdr w:val="nil"/>
          <w:lang w:val="en-US"/>
        </w:rPr>
        <w:t xml:space="preserve">For harassment, the majority of these relationships were mirrored; harassment forms were associated with increased emotional exhaustion, psychological distress, depression, intention to leave, </w:t>
      </w:r>
      <w:r w:rsidR="00ED4D0B">
        <w:rPr>
          <w:rFonts w:eastAsia="Cambria"/>
          <w:u w:color="000000"/>
          <w:bdr w:val="nil"/>
          <w:lang w:val="en-US"/>
        </w:rPr>
        <w:t xml:space="preserve">and </w:t>
      </w:r>
      <w:r w:rsidRPr="00F43118">
        <w:rPr>
          <w:rFonts w:eastAsia="Cambria"/>
          <w:u w:color="000000"/>
          <w:bdr w:val="nil"/>
          <w:lang w:val="en-US"/>
        </w:rPr>
        <w:t>reduced work e</w:t>
      </w:r>
      <w:r w:rsidR="00E2784F">
        <w:rPr>
          <w:rFonts w:eastAsia="Cambria"/>
          <w:u w:color="000000"/>
          <w:bdr w:val="nil"/>
          <w:lang w:val="en-US"/>
        </w:rPr>
        <w:t>ngagement and job satisfaction.</w:t>
      </w:r>
    </w:p>
    <w:p w:rsidR="00F43118" w:rsidRPr="00F43118" w:rsidRDefault="00F43118" w:rsidP="00E2784F">
      <w:pPr>
        <w:pStyle w:val="Heading2"/>
        <w:spacing w:before="240" w:after="120"/>
        <w:rPr>
          <w:rFonts w:eastAsia="Cambria"/>
          <w:u w:color="000000"/>
          <w:bdr w:val="nil"/>
          <w:lang w:val="en-US"/>
        </w:rPr>
      </w:pPr>
      <w:r w:rsidRPr="00F43118">
        <w:rPr>
          <w:rFonts w:eastAsia="Cambria"/>
          <w:u w:color="000000"/>
          <w:bdr w:val="nil"/>
          <w:lang w:val="en-US"/>
        </w:rPr>
        <w:t xml:space="preserve">Explanations for </w:t>
      </w:r>
      <w:r w:rsidR="00400475">
        <w:rPr>
          <w:rFonts w:eastAsia="Cambria"/>
          <w:u w:color="000000"/>
          <w:bdr w:val="nil"/>
          <w:lang w:val="en-US"/>
        </w:rPr>
        <w:t>W</w:t>
      </w:r>
      <w:r w:rsidRPr="00F43118">
        <w:rPr>
          <w:rFonts w:eastAsia="Cambria"/>
          <w:u w:color="000000"/>
          <w:bdr w:val="nil"/>
          <w:lang w:val="en-US"/>
        </w:rPr>
        <w:t xml:space="preserve">orkplace </w:t>
      </w:r>
      <w:r w:rsidR="00400475">
        <w:rPr>
          <w:rFonts w:eastAsia="Cambria"/>
          <w:u w:color="000000"/>
          <w:bdr w:val="nil"/>
          <w:lang w:val="en-US"/>
        </w:rPr>
        <w:t>B</w:t>
      </w:r>
      <w:r w:rsidRPr="00F43118">
        <w:rPr>
          <w:rFonts w:eastAsia="Cambria"/>
          <w:u w:color="000000"/>
          <w:bdr w:val="nil"/>
          <w:lang w:val="en-US"/>
        </w:rPr>
        <w:t>ullying</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The findings of this report prompt reflection into the reasons why workplace bullying rates appear to have increased over the last few years. We consider each of the four </w:t>
      </w:r>
      <w:r w:rsidR="00491EEB" w:rsidRPr="00F43118">
        <w:rPr>
          <w:rFonts w:eastAsia="Cambria"/>
          <w:u w:color="000000"/>
          <w:bdr w:val="nil"/>
          <w:lang w:val="en-US"/>
        </w:rPr>
        <w:t>hypotheses</w:t>
      </w:r>
      <w:r w:rsidRPr="00F43118">
        <w:rPr>
          <w:rFonts w:eastAsia="Cambria"/>
          <w:u w:color="000000"/>
          <w:bdr w:val="nil"/>
          <w:lang w:val="en-US"/>
        </w:rPr>
        <w:t xml:space="preserve"> posed in the introduction in turn in relation to the evidence available from the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data.</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The ‘Psychosocial Safety Climate Hypothesis’ — refers to managerial regard for workplace psychological health and safety. In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contexts with low PSC we expected higher levels of job demands and lower </w:t>
      </w:r>
      <w:r w:rsidR="009F39DA" w:rsidRPr="00F43118">
        <w:rPr>
          <w:rFonts w:eastAsia="Cambria"/>
          <w:u w:color="000000"/>
          <w:bdr w:val="nil"/>
          <w:lang w:val="en-US"/>
        </w:rPr>
        <w:t>resources, which then (by mechanisms explained in the ‘Work Environment Hypothesis’)</w:t>
      </w:r>
      <w:r w:rsidRPr="00F43118">
        <w:rPr>
          <w:rFonts w:eastAsia="Cambria"/>
          <w:u w:color="000000"/>
          <w:bdr w:val="nil"/>
          <w:lang w:val="en-US"/>
        </w:rPr>
        <w:t xml:space="preserve"> le</w:t>
      </w:r>
      <w:r w:rsidR="00ED4D0B">
        <w:rPr>
          <w:rFonts w:eastAsia="Cambria"/>
          <w:u w:color="000000"/>
          <w:bdr w:val="nil"/>
          <w:lang w:val="en-US"/>
        </w:rPr>
        <w:t>a</w:t>
      </w:r>
      <w:r w:rsidRPr="00F43118">
        <w:rPr>
          <w:rFonts w:eastAsia="Cambria"/>
          <w:u w:color="000000"/>
          <w:bdr w:val="nil"/>
          <w:lang w:val="en-US"/>
        </w:rPr>
        <w:t xml:space="preserve">d to bullying. There was strong support for this hypothesis. PSC was significantly negatively correlated to bullying and all forms of </w:t>
      </w:r>
      <w:r w:rsidRPr="00F43118">
        <w:rPr>
          <w:rFonts w:eastAsia="Cambria"/>
          <w:u w:color="000000"/>
          <w:bdr w:val="nil"/>
          <w:lang w:val="en-US"/>
        </w:rPr>
        <w:lastRenderedPageBreak/>
        <w:t xml:space="preserve">harassment, which is also supported by prior studies (Bond et al., 2010; Law et al., 2011). Even after considering the main job demands and job resources, and controlling for baseline levels of bullying, PSC continued to exert an effect on bullying. The results from longitudinal analysis confirm that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PSC is a leading indicator of workplace bullying, and support the idea that bullying is a symptom of the functioning of the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system. The results support PSC </w:t>
      </w:r>
      <w:r w:rsidR="000B18AB">
        <w:rPr>
          <w:rFonts w:eastAsia="Cambria"/>
          <w:u w:color="000000"/>
          <w:bdr w:val="nil"/>
          <w:lang w:val="en-US"/>
        </w:rPr>
        <w:t xml:space="preserve">as a </w:t>
      </w:r>
      <w:proofErr w:type="spellStart"/>
      <w:r w:rsidR="000B18AB">
        <w:rPr>
          <w:rFonts w:eastAsia="Cambria"/>
          <w:u w:color="000000"/>
          <w:bdr w:val="nil"/>
          <w:lang w:val="en-US"/>
        </w:rPr>
        <w:t>‘cause</w:t>
      </w:r>
      <w:proofErr w:type="spellEnd"/>
      <w:r w:rsidR="000B18AB">
        <w:rPr>
          <w:rFonts w:eastAsia="Cambria"/>
          <w:u w:color="000000"/>
          <w:bdr w:val="nil"/>
          <w:lang w:val="en-US"/>
        </w:rPr>
        <w:t xml:space="preserve"> of the causes’</w:t>
      </w:r>
      <w:r w:rsidR="00F67C58">
        <w:rPr>
          <w:rFonts w:eastAsia="Cambria"/>
          <w:u w:color="000000"/>
          <w:bdr w:val="nil"/>
          <w:lang w:val="en-US"/>
        </w:rPr>
        <w:t xml:space="preserve"> of workplace bullying, </w:t>
      </w:r>
      <w:r w:rsidRPr="00F43118">
        <w:rPr>
          <w:rFonts w:eastAsia="Cambria"/>
          <w:u w:color="000000"/>
          <w:bdr w:val="nil"/>
          <w:lang w:val="en-US"/>
        </w:rPr>
        <w:t>as a leading indicator of workplace psychosocial risks and job design factors that contribute to bullying and harassment rates in the workplace. They highlight the value of PSC as a litmus test for identifying industries, work units, and workers at risk of bullying at work, and as a prime avenue for preventative action.</w:t>
      </w:r>
    </w:p>
    <w:p w:rsidR="00F43118" w:rsidRPr="00F43118" w:rsidRDefault="00F43118" w:rsidP="00E2784F">
      <w:pPr>
        <w:spacing w:after="120"/>
        <w:rPr>
          <w:rFonts w:eastAsia="Cambria"/>
          <w:highlight w:val="yellow"/>
          <w:u w:color="000000"/>
          <w:bdr w:val="nil"/>
          <w:lang w:val="en-US"/>
        </w:rPr>
      </w:pPr>
      <w:r w:rsidRPr="00F43118">
        <w:rPr>
          <w:rFonts w:eastAsia="Cambria"/>
          <w:u w:color="000000"/>
          <w:bdr w:val="nil"/>
          <w:lang w:val="en-US"/>
        </w:rPr>
        <w:t>The ‘Productivity Hypothesis’ — refers to a means to obtain more productivity from workers</w:t>
      </w:r>
      <w:r w:rsidR="00F67C58">
        <w:rPr>
          <w:rFonts w:eastAsia="Cambria"/>
          <w:u w:color="000000"/>
          <w:bdr w:val="nil"/>
          <w:lang w:val="en-US"/>
        </w:rPr>
        <w:t xml:space="preserve"> through bullying</w:t>
      </w:r>
      <w:r w:rsidRPr="00F43118">
        <w:rPr>
          <w:rFonts w:eastAsia="Cambria"/>
          <w:u w:color="000000"/>
          <w:bdr w:val="nil"/>
          <w:lang w:val="en-US"/>
        </w:rPr>
        <w:t xml:space="preserve">. </w:t>
      </w:r>
      <w:r w:rsidRPr="00F43118">
        <w:rPr>
          <w:u w:color="000000"/>
          <w:bdr w:val="nil"/>
          <w:lang w:val="en-US"/>
        </w:rPr>
        <w:t xml:space="preserve">It is widely acknowledged that the nature of work in Australia (and globally) is continually changing, and workers are facing high levels of job insecurity and work intensification as a consequence of increasing </w:t>
      </w:r>
      <w:proofErr w:type="spellStart"/>
      <w:r w:rsidRPr="00F43118">
        <w:rPr>
          <w:u w:color="000000"/>
          <w:bdr w:val="nil"/>
          <w:lang w:val="en-US"/>
        </w:rPr>
        <w:t>globalisation</w:t>
      </w:r>
      <w:proofErr w:type="spellEnd"/>
      <w:r w:rsidRPr="00F43118">
        <w:rPr>
          <w:u w:color="000000"/>
          <w:bdr w:val="nil"/>
          <w:lang w:val="en-US"/>
        </w:rPr>
        <w:t xml:space="preserve"> and </w:t>
      </w:r>
      <w:proofErr w:type="spellStart"/>
      <w:r w:rsidRPr="00F43118">
        <w:rPr>
          <w:u w:color="000000"/>
          <w:bdr w:val="nil"/>
          <w:lang w:val="en-US"/>
        </w:rPr>
        <w:t>digitalisation</w:t>
      </w:r>
      <w:proofErr w:type="spellEnd"/>
      <w:r w:rsidRPr="00F43118">
        <w:rPr>
          <w:u w:color="000000"/>
          <w:bdr w:val="nil"/>
          <w:lang w:val="en-US"/>
        </w:rPr>
        <w:t xml:space="preserve"> (</w:t>
      </w:r>
      <w:r w:rsidRPr="00F43118">
        <w:rPr>
          <w:rFonts w:eastAsia="Cambria"/>
          <w:u w:color="000000"/>
          <w:bdr w:val="nil"/>
          <w:lang w:val="en-US"/>
        </w:rPr>
        <w:t xml:space="preserve">Green &amp; McIntosh, 2001; </w:t>
      </w:r>
      <w:proofErr w:type="spellStart"/>
      <w:r w:rsidRPr="00F43118">
        <w:rPr>
          <w:rFonts w:eastAsia="Cambria"/>
          <w:u w:color="000000"/>
          <w:bdr w:val="nil"/>
          <w:lang w:val="en-US"/>
        </w:rPr>
        <w:t>Houtman</w:t>
      </w:r>
      <w:proofErr w:type="spellEnd"/>
      <w:r w:rsidRPr="00F43118">
        <w:rPr>
          <w:rFonts w:eastAsia="Cambria"/>
          <w:u w:color="000000"/>
          <w:bdr w:val="nil"/>
          <w:lang w:val="en-US"/>
        </w:rPr>
        <w:t xml:space="preserve">, </w:t>
      </w:r>
      <w:proofErr w:type="spellStart"/>
      <w:r w:rsidRPr="00F43118">
        <w:rPr>
          <w:rFonts w:eastAsia="Cambria"/>
          <w:u w:color="000000"/>
          <w:bdr w:val="nil"/>
          <w:lang w:val="en-US"/>
        </w:rPr>
        <w:t>Goudswaard</w:t>
      </w:r>
      <w:proofErr w:type="spellEnd"/>
      <w:r w:rsidRPr="00F43118">
        <w:rPr>
          <w:rFonts w:eastAsia="Cambria"/>
          <w:u w:color="000000"/>
          <w:bdr w:val="nil"/>
          <w:lang w:val="en-US"/>
        </w:rPr>
        <w:t xml:space="preserve">, Evers, &amp; van de </w:t>
      </w:r>
      <w:proofErr w:type="spellStart"/>
      <w:r w:rsidRPr="00F43118">
        <w:rPr>
          <w:rFonts w:eastAsia="Cambria"/>
          <w:u w:color="000000"/>
          <w:bdr w:val="nil"/>
          <w:lang w:val="en-US"/>
        </w:rPr>
        <w:t>Bovenkamp</w:t>
      </w:r>
      <w:proofErr w:type="spellEnd"/>
      <w:r w:rsidRPr="00F43118">
        <w:rPr>
          <w:rFonts w:eastAsia="Cambria"/>
          <w:u w:color="000000"/>
          <w:bdr w:val="nil"/>
          <w:lang w:val="en-US"/>
        </w:rPr>
        <w:t xml:space="preserve">, 2005). Since </w:t>
      </w:r>
      <w:proofErr w:type="spellStart"/>
      <w:r w:rsidRPr="00F43118">
        <w:rPr>
          <w:u w:color="000000"/>
          <w:bdr w:val="nil"/>
          <w:lang w:val="en-US"/>
        </w:rPr>
        <w:t>organisations</w:t>
      </w:r>
      <w:proofErr w:type="spellEnd"/>
      <w:r w:rsidRPr="00F43118">
        <w:rPr>
          <w:u w:color="000000"/>
          <w:bdr w:val="nil"/>
          <w:lang w:val="en-US"/>
        </w:rPr>
        <w:t xml:space="preserve"> are open systems, they are influenced by the surrounding political and economic contextual factors (Katz &amp; Kahn, 1987). </w:t>
      </w:r>
      <w:r w:rsidRPr="00F43118">
        <w:rPr>
          <w:rFonts w:eastAsia="Cambria"/>
          <w:u w:color="000000"/>
          <w:bdr w:val="nil"/>
          <w:lang w:val="en-US"/>
        </w:rPr>
        <w:t>T</w:t>
      </w:r>
      <w:r w:rsidRPr="00F43118">
        <w:rPr>
          <w:u w:color="000000"/>
          <w:bdr w:val="nil"/>
          <w:lang w:val="en-US"/>
        </w:rPr>
        <w:t xml:space="preserve">o thrive in the current economic climate, management may </w:t>
      </w:r>
      <w:proofErr w:type="spellStart"/>
      <w:r w:rsidRPr="00F43118">
        <w:rPr>
          <w:u w:color="000000"/>
          <w:bdr w:val="nil"/>
          <w:lang w:val="en-US"/>
        </w:rPr>
        <w:t>capitalise</w:t>
      </w:r>
      <w:proofErr w:type="spellEnd"/>
      <w:r w:rsidRPr="00F43118">
        <w:rPr>
          <w:u w:color="000000"/>
          <w:bdr w:val="nil"/>
          <w:lang w:val="en-US"/>
        </w:rPr>
        <w:t xml:space="preserve"> on worker productivity at the expense of worker psychological health and safety. In order to compete internationally, many </w:t>
      </w:r>
      <w:proofErr w:type="spellStart"/>
      <w:r w:rsidRPr="00F43118">
        <w:rPr>
          <w:u w:color="000000"/>
          <w:bdr w:val="nil"/>
          <w:lang w:val="en-US"/>
        </w:rPr>
        <w:t>organisations</w:t>
      </w:r>
      <w:proofErr w:type="spellEnd"/>
      <w:r w:rsidRPr="00F43118">
        <w:rPr>
          <w:u w:color="000000"/>
          <w:bdr w:val="nil"/>
          <w:lang w:val="en-US"/>
        </w:rPr>
        <w:t xml:space="preserve"> are downsizing, restructuring, and outsourcing non-core work, to become more </w:t>
      </w:r>
      <w:proofErr w:type="spellStart"/>
      <w:r w:rsidRPr="00F43118">
        <w:rPr>
          <w:u w:color="000000"/>
          <w:bdr w:val="nil"/>
          <w:lang w:val="en-US"/>
        </w:rPr>
        <w:t>specialised</w:t>
      </w:r>
      <w:proofErr w:type="spellEnd"/>
      <w:r w:rsidRPr="00F43118">
        <w:rPr>
          <w:u w:color="000000"/>
          <w:bdr w:val="nil"/>
          <w:lang w:val="en-US"/>
        </w:rPr>
        <w:t xml:space="preserve"> (Cooper, </w:t>
      </w:r>
      <w:proofErr w:type="spellStart"/>
      <w:r w:rsidRPr="00F43118">
        <w:rPr>
          <w:u w:color="000000"/>
          <w:bdr w:val="nil"/>
          <w:lang w:val="en-US"/>
        </w:rPr>
        <w:t>Dewe</w:t>
      </w:r>
      <w:proofErr w:type="spellEnd"/>
      <w:r w:rsidRPr="00F43118">
        <w:rPr>
          <w:u w:color="000000"/>
          <w:bdr w:val="nil"/>
          <w:lang w:val="en-US"/>
        </w:rPr>
        <w:t xml:space="preserve">, &amp; O’Driscoll, 2001). </w:t>
      </w:r>
      <w:r w:rsidRPr="00F43118">
        <w:rPr>
          <w:rFonts w:eastAsia="Cambria"/>
          <w:u w:color="000000"/>
          <w:bdr w:val="nil"/>
          <w:lang w:val="en-US"/>
        </w:rPr>
        <w:t xml:space="preserve">The Productivity Hypothesis corresponds to the global trend among capitalist societies for ever-increasing focus on growth and profits at the expense of worker wellbeing. With this mindset, workers may become viewed as highly disposable—replaceable—and able to be bullied into increasing their </w:t>
      </w:r>
      <w:proofErr w:type="spellStart"/>
      <w:r w:rsidRPr="00F43118">
        <w:rPr>
          <w:rFonts w:eastAsia="Cambria"/>
          <w:u w:color="000000"/>
          <w:bdr w:val="nil"/>
          <w:lang w:val="en-US"/>
        </w:rPr>
        <w:t>labour</w:t>
      </w:r>
      <w:proofErr w:type="spellEnd"/>
      <w:r w:rsidRPr="00F43118">
        <w:rPr>
          <w:rFonts w:eastAsia="Cambria"/>
          <w:u w:color="000000"/>
          <w:bdr w:val="nil"/>
          <w:lang w:val="en-US"/>
        </w:rPr>
        <w:t xml:space="preserve"> outputs. Furthermore, in this system, many managers or supervisors feel pressured to compete for job permanency, and strained to complete tasks or meet targets or objectives. As a result they may employ bullying tactics, under these stressful conditions and pressures, perhaps through poor performance management processes</w:t>
      </w:r>
      <w:r w:rsidR="00E2784F">
        <w:rPr>
          <w:rFonts w:eastAsia="Cambria"/>
          <w:u w:color="000000"/>
          <w:bdr w:val="nil"/>
          <w:lang w:val="en-US"/>
        </w:rPr>
        <w:t>, to drive greater performance.</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Since PSC reflects management priority and concern for worker psychological health over productivity, PSC theory embodies the Productivity Hypothesis. As PSC predicted future bullying this is support for the Productivity Hypothesis. It is worth noting that psychological demands, such as having to work hard and fast, was a significant predictor of bullying too, but considered in conjunction with emotional demands, was not as strong. The observation that low job control predicted bullying could result from increased competition between workers.</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The ‘Work Environment Hypothesis’  — posed that poor management gives rise to poor work quality, aspects of task and job design, such as high levels of demands and low levels of resources, that create risk for bullying. This hypothesis was supported as we found high demands (psychological demands, emotional demands) and low resources (job control, rewards, supervisor support) were related to bullying. The work environment factors that predicted </w:t>
      </w:r>
      <w:r w:rsidRPr="00F43118">
        <w:rPr>
          <w:rFonts w:eastAsia="Cambria"/>
          <w:i/>
          <w:u w:color="000000"/>
          <w:bdr w:val="nil"/>
          <w:lang w:val="en-US"/>
        </w:rPr>
        <w:t>future</w:t>
      </w:r>
      <w:r w:rsidRPr="00F43118">
        <w:rPr>
          <w:rFonts w:eastAsia="Cambria"/>
          <w:u w:color="000000"/>
          <w:bdr w:val="nil"/>
          <w:lang w:val="en-US"/>
        </w:rPr>
        <w:t xml:space="preserve"> bullying were high emotional demands and low job control. </w:t>
      </w:r>
    </w:p>
    <w:p w:rsidR="00400475" w:rsidRPr="00C55CE8" w:rsidRDefault="00F43118" w:rsidP="00E2784F">
      <w:pPr>
        <w:spacing w:after="120"/>
        <w:rPr>
          <w:rFonts w:eastAsia="Cambria"/>
          <w:u w:color="000000"/>
          <w:bdr w:val="nil"/>
          <w:lang w:val="en-US"/>
        </w:rPr>
      </w:pPr>
      <w:r w:rsidRPr="00D61893">
        <w:rPr>
          <w:rFonts w:eastAsia="Cambria"/>
          <w:u w:color="000000"/>
          <w:bdr w:val="nil"/>
          <w:lang w:val="en-US"/>
        </w:rPr>
        <w:t xml:space="preserve">The ‘Retain-and-build Personal Power Hypothesis’ — refers to a tactic to maintain the status quo of personal power or power distribution within the organisation. The fact that we observed that </w:t>
      </w:r>
      <w:r w:rsidR="00D61893" w:rsidRPr="00AC75D7">
        <w:rPr>
          <w:rFonts w:eastAsia="Cambria"/>
          <w:u w:color="000000"/>
          <w:bdr w:val="nil"/>
          <w:lang w:val="en-US"/>
        </w:rPr>
        <w:t>6</w:t>
      </w:r>
      <w:r w:rsidR="00D61893" w:rsidRPr="00EE5046">
        <w:rPr>
          <w:rFonts w:eastAsia="Cambria"/>
          <w:u w:color="000000"/>
          <w:bdr w:val="nil"/>
          <w:lang w:val="en-US"/>
        </w:rPr>
        <w:t>2.3</w:t>
      </w:r>
      <w:r w:rsidR="00D61893" w:rsidRPr="00D61893">
        <w:rPr>
          <w:rFonts w:eastAsia="Cambria"/>
          <w:u w:color="000000"/>
          <w:bdr w:val="nil"/>
          <w:lang w:val="en-US"/>
        </w:rPr>
        <w:t xml:space="preserve"> </w:t>
      </w:r>
      <w:r w:rsidR="005B5215" w:rsidRPr="001D2BBC">
        <w:rPr>
          <w:rFonts w:eastAsia="Cambria"/>
          <w:u w:color="000000"/>
          <w:bdr w:val="nil"/>
          <w:lang w:val="en-US"/>
        </w:rPr>
        <w:t>per cent</w:t>
      </w:r>
      <w:r w:rsidRPr="001D2BBC">
        <w:rPr>
          <w:rFonts w:eastAsia="Cambria"/>
          <w:u w:color="000000"/>
          <w:bdr w:val="nil"/>
          <w:lang w:val="en-US"/>
        </w:rPr>
        <w:t xml:space="preserve"> of bullying perpetrators were</w:t>
      </w:r>
      <w:r w:rsidR="00F052A4" w:rsidRPr="00AC75D7">
        <w:rPr>
          <w:rFonts w:eastAsia="Cambria"/>
          <w:u w:color="000000"/>
          <w:bdr w:val="nil"/>
          <w:lang w:val="en-US"/>
        </w:rPr>
        <w:t xml:space="preserve"> reported to be</w:t>
      </w:r>
      <w:r w:rsidRPr="00AC75D7">
        <w:rPr>
          <w:rFonts w:eastAsia="Cambria"/>
          <w:u w:color="000000"/>
          <w:bdr w:val="nil"/>
          <w:lang w:val="en-US"/>
        </w:rPr>
        <w:t xml:space="preserve"> </w:t>
      </w:r>
      <w:r w:rsidR="00F052A4" w:rsidRPr="00AC75D7">
        <w:rPr>
          <w:rFonts w:eastAsia="Cambria"/>
          <w:u w:color="000000"/>
          <w:bdr w:val="nil"/>
          <w:lang w:val="en-US"/>
        </w:rPr>
        <w:t>a supervisor lends</w:t>
      </w:r>
      <w:r w:rsidRPr="00AC75D7">
        <w:rPr>
          <w:rFonts w:eastAsia="Cambria"/>
          <w:u w:color="000000"/>
          <w:bdr w:val="nil"/>
          <w:lang w:val="en-US"/>
        </w:rPr>
        <w:t xml:space="preserve"> credence to this hypothesis. Also</w:t>
      </w:r>
      <w:r w:rsidRPr="00F43118">
        <w:rPr>
          <w:rFonts w:eastAsia="Cambria"/>
          <w:u w:color="000000"/>
          <w:bdr w:val="nil"/>
          <w:lang w:val="en-US"/>
        </w:rPr>
        <w:t xml:space="preserve"> since low job control was a predictor of future bullying this also supports the idea of a power differential in bullying; those in higher power situations keeping those in lower positions with low job control/power by bullying. </w:t>
      </w:r>
    </w:p>
    <w:p w:rsidR="00F43118" w:rsidRPr="00F43118" w:rsidRDefault="00F43118" w:rsidP="00E2784F">
      <w:pPr>
        <w:pStyle w:val="Heading2"/>
        <w:spacing w:before="240" w:after="120"/>
        <w:rPr>
          <w:rFonts w:eastAsia="Cambria"/>
          <w:u w:color="000000"/>
          <w:bdr w:val="nil"/>
          <w:lang w:val="en-US"/>
        </w:rPr>
      </w:pPr>
      <w:r w:rsidRPr="00F43118">
        <w:rPr>
          <w:rFonts w:eastAsia="Cambria"/>
          <w:u w:color="000000"/>
          <w:bdr w:val="nil"/>
          <w:lang w:val="en-US"/>
        </w:rPr>
        <w:t xml:space="preserve">Practical Implications </w:t>
      </w:r>
    </w:p>
    <w:p w:rsidR="00D178FA" w:rsidRDefault="00F43118" w:rsidP="00E2784F">
      <w:pPr>
        <w:spacing w:after="120"/>
        <w:rPr>
          <w:rFonts w:eastAsia="Cambria"/>
          <w:u w:color="000000"/>
          <w:bdr w:val="nil"/>
          <w:lang w:val="en-US"/>
        </w:rPr>
      </w:pPr>
      <w:r w:rsidRPr="00F43118">
        <w:rPr>
          <w:rFonts w:eastAsia="Cambria"/>
          <w:u w:color="000000"/>
          <w:bdr w:val="nil"/>
          <w:lang w:val="en-US"/>
        </w:rPr>
        <w:t xml:space="preserve">To protect and promote the </w:t>
      </w:r>
      <w:r w:rsidR="00F67C58">
        <w:rPr>
          <w:rFonts w:eastAsia="Cambria"/>
          <w:u w:color="000000"/>
          <w:bdr w:val="nil"/>
          <w:lang w:val="en-US"/>
        </w:rPr>
        <w:t xml:space="preserve">psychological health and </w:t>
      </w:r>
      <w:r w:rsidRPr="00F43118">
        <w:rPr>
          <w:rFonts w:eastAsia="Cambria"/>
          <w:u w:color="000000"/>
          <w:bdr w:val="nil"/>
          <w:lang w:val="en-US"/>
        </w:rPr>
        <w:t>well-being of Australian workers</w:t>
      </w:r>
      <w:r w:rsidR="0059133D">
        <w:rPr>
          <w:rFonts w:eastAsia="Cambria"/>
          <w:u w:color="000000"/>
          <w:bdr w:val="nil"/>
          <w:lang w:val="en-US"/>
        </w:rPr>
        <w:t>,</w:t>
      </w:r>
      <w:r w:rsidRPr="00F43118">
        <w:rPr>
          <w:rFonts w:eastAsia="Cambria"/>
          <w:u w:color="000000"/>
          <w:bdr w:val="nil"/>
          <w:lang w:val="en-US"/>
        </w:rPr>
        <w:t xml:space="preserve"> change must occur</w:t>
      </w:r>
      <w:r w:rsidR="0059133D">
        <w:rPr>
          <w:rFonts w:eastAsia="Cambria"/>
          <w:u w:color="000000"/>
          <w:bdr w:val="nil"/>
          <w:lang w:val="en-US"/>
        </w:rPr>
        <w:t>,</w:t>
      </w:r>
      <w:r w:rsidRPr="00F43118">
        <w:rPr>
          <w:rFonts w:eastAsia="Cambria"/>
          <w:u w:color="000000"/>
          <w:bdr w:val="nil"/>
          <w:lang w:val="en-US"/>
        </w:rPr>
        <w:t xml:space="preserve"> as the current prevalence levels and effects of bullying and harassment are not economically, socially or ethically acceptable. </w:t>
      </w:r>
      <w:r w:rsidR="00491EEB">
        <w:rPr>
          <w:rFonts w:eastAsia="Cambria"/>
          <w:u w:color="000000"/>
          <w:bdr w:val="nil"/>
          <w:lang w:val="en-US"/>
        </w:rPr>
        <w:t xml:space="preserve"> </w:t>
      </w:r>
      <w:r w:rsidRPr="00F43118">
        <w:rPr>
          <w:rFonts w:eastAsia="Cambria"/>
          <w:u w:color="000000"/>
          <w:bdr w:val="nil"/>
          <w:lang w:val="en-US"/>
        </w:rPr>
        <w:t xml:space="preserve">As higher levels of PSC have been linked to higher levels of worker productivity, there is a strong business case to </w:t>
      </w:r>
      <w:r w:rsidRPr="00F43118">
        <w:rPr>
          <w:rFonts w:eastAsia="Cambria"/>
          <w:u w:color="000000"/>
          <w:bdr w:val="nil"/>
          <w:lang w:val="en-US"/>
        </w:rPr>
        <w:lastRenderedPageBreak/>
        <w:t>complement</w:t>
      </w:r>
      <w:r w:rsidR="00FB130B">
        <w:rPr>
          <w:rFonts w:eastAsia="Cambria"/>
          <w:u w:color="000000"/>
          <w:bdr w:val="nil"/>
          <w:lang w:val="en-US"/>
        </w:rPr>
        <w:t xml:space="preserve"> the</w:t>
      </w:r>
      <w:r w:rsidRPr="00F43118">
        <w:rPr>
          <w:rFonts w:eastAsia="Cambria"/>
          <w:u w:color="000000"/>
          <w:bdr w:val="nil"/>
          <w:lang w:val="en-US"/>
        </w:rPr>
        <w:t xml:space="preserve"> ethical reasons to focus on the development of PSC in </w:t>
      </w:r>
      <w:proofErr w:type="spellStart"/>
      <w:r w:rsidRPr="00F43118">
        <w:rPr>
          <w:rFonts w:eastAsia="Cambria"/>
          <w:u w:color="000000"/>
          <w:bdr w:val="nil"/>
          <w:lang w:val="en-US"/>
        </w:rPr>
        <w:t>organisations</w:t>
      </w:r>
      <w:proofErr w:type="spellEnd"/>
      <w:r w:rsidRPr="00F43118">
        <w:rPr>
          <w:rFonts w:eastAsia="Cambria"/>
          <w:u w:color="000000"/>
          <w:bdr w:val="nil"/>
          <w:lang w:val="en-US"/>
        </w:rPr>
        <w:t xml:space="preserve"> and teams. Becher and Dollard (201</w:t>
      </w:r>
      <w:r w:rsidR="00115BA3">
        <w:rPr>
          <w:rFonts w:eastAsia="Cambria"/>
          <w:u w:color="000000"/>
          <w:bdr w:val="nil"/>
          <w:lang w:val="en-US"/>
        </w:rPr>
        <w:t>6)</w:t>
      </w:r>
      <w:r w:rsidRPr="00F43118">
        <w:rPr>
          <w:rFonts w:eastAsia="Cambria"/>
          <w:u w:color="000000"/>
          <w:bdr w:val="nil"/>
          <w:lang w:val="en-US"/>
        </w:rPr>
        <w:t xml:space="preserve"> estimate that costs to Australian employers for lost productivity due to sickness absence and </w:t>
      </w:r>
      <w:proofErr w:type="spellStart"/>
      <w:r w:rsidRPr="00F43118">
        <w:rPr>
          <w:rFonts w:eastAsia="Cambria"/>
          <w:u w:color="000000"/>
          <w:bdr w:val="nil"/>
          <w:lang w:val="en-US"/>
        </w:rPr>
        <w:t>presenteeism</w:t>
      </w:r>
      <w:proofErr w:type="spellEnd"/>
      <w:r w:rsidRPr="00F43118">
        <w:rPr>
          <w:rFonts w:eastAsia="Cambria"/>
          <w:u w:color="000000"/>
          <w:bdr w:val="nil"/>
          <w:lang w:val="en-US"/>
        </w:rPr>
        <w:t xml:space="preserve"> due to low PSC is $6 billion per year</w:t>
      </w:r>
      <w:r w:rsidR="006B0605">
        <w:rPr>
          <w:rStyle w:val="FootnoteReference"/>
          <w:rFonts w:ascii="Calibri" w:eastAsia="Cambria" w:hAnsi="Calibri" w:cs="Calibri"/>
          <w:color w:val="000000"/>
          <w:szCs w:val="22"/>
          <w:u w:color="000000"/>
          <w:bdr w:val="nil"/>
          <w:lang w:val="en-US"/>
        </w:rPr>
        <w:footnoteReference w:id="2"/>
      </w:r>
      <w:r w:rsidRPr="00F43118">
        <w:rPr>
          <w:rFonts w:eastAsia="Cambria"/>
          <w:u w:color="000000"/>
          <w:bdr w:val="nil"/>
          <w:lang w:val="en-US"/>
        </w:rPr>
        <w:t xml:space="preserve">. </w:t>
      </w:r>
      <w:r w:rsidR="00D178FA">
        <w:rPr>
          <w:rFonts w:eastAsia="Cambria"/>
          <w:u w:color="000000"/>
          <w:bdr w:val="nil"/>
          <w:lang w:val="en-US"/>
        </w:rPr>
        <w:t>The link between PSC and productivity loss via sickness absence has been shown previously (Dollard &amp; Bakker, 2010), and is also reported by t</w:t>
      </w:r>
      <w:r w:rsidR="009F39DA">
        <w:rPr>
          <w:rFonts w:eastAsia="Cambria"/>
          <w:u w:color="000000"/>
          <w:bdr w:val="nil"/>
          <w:lang w:val="en-US"/>
        </w:rPr>
        <w:t>he Australian Public Service Commission</w:t>
      </w:r>
      <w:r w:rsidR="00D178FA">
        <w:rPr>
          <w:rFonts w:eastAsia="Cambria"/>
          <w:u w:color="000000"/>
          <w:bdr w:val="nil"/>
          <w:lang w:val="en-US"/>
        </w:rPr>
        <w:t xml:space="preserve"> (2015)</w:t>
      </w:r>
      <w:r w:rsidR="0059133D">
        <w:rPr>
          <w:rFonts w:eastAsia="Cambria"/>
          <w:u w:color="000000"/>
          <w:bdr w:val="nil"/>
          <w:lang w:val="en-US"/>
        </w:rPr>
        <w:t>,</w:t>
      </w:r>
      <w:r w:rsidR="00D178FA">
        <w:rPr>
          <w:rFonts w:eastAsia="Cambria"/>
          <w:u w:color="000000"/>
          <w:bdr w:val="nil"/>
          <w:lang w:val="en-US"/>
        </w:rPr>
        <w:t xml:space="preserve"> </w:t>
      </w:r>
      <w:r w:rsidR="0059133D">
        <w:rPr>
          <w:rFonts w:eastAsia="Cambria"/>
          <w:u w:color="000000"/>
          <w:bdr w:val="nil"/>
          <w:lang w:val="en-US"/>
        </w:rPr>
        <w:t xml:space="preserve">which </w:t>
      </w:r>
      <w:r w:rsidR="00C8218E">
        <w:rPr>
          <w:rFonts w:eastAsia="Cambria"/>
          <w:u w:color="000000"/>
          <w:bdr w:val="nil"/>
          <w:lang w:val="en-US"/>
        </w:rPr>
        <w:t xml:space="preserve">recently assessed </w:t>
      </w:r>
      <w:r w:rsidR="009F39DA">
        <w:rPr>
          <w:rFonts w:eastAsia="Cambria"/>
          <w:u w:color="000000"/>
          <w:bdr w:val="nil"/>
          <w:lang w:val="en-US"/>
        </w:rPr>
        <w:t xml:space="preserve">PSC in </w:t>
      </w:r>
      <w:r w:rsidR="0059133D">
        <w:rPr>
          <w:rFonts w:eastAsia="Cambria"/>
          <w:u w:color="000000"/>
          <w:bdr w:val="nil"/>
          <w:lang w:val="en-US"/>
        </w:rPr>
        <w:t xml:space="preserve">its </w:t>
      </w:r>
      <w:r w:rsidR="009F39DA">
        <w:rPr>
          <w:rFonts w:eastAsia="Cambria"/>
          <w:u w:color="000000"/>
          <w:bdr w:val="nil"/>
          <w:lang w:val="en-US"/>
        </w:rPr>
        <w:t>annual public service census</w:t>
      </w:r>
      <w:r w:rsidR="00D178FA">
        <w:rPr>
          <w:rFonts w:eastAsia="Cambria"/>
          <w:u w:color="000000"/>
          <w:bdr w:val="nil"/>
          <w:lang w:val="en-US"/>
        </w:rPr>
        <w:t>. Ag</w:t>
      </w:r>
      <w:r w:rsidR="009F39DA">
        <w:rPr>
          <w:rFonts w:eastAsia="Cambria"/>
          <w:u w:color="000000"/>
          <w:bdr w:val="nil"/>
          <w:lang w:val="en-US"/>
        </w:rPr>
        <w:t xml:space="preserve">ency </w:t>
      </w:r>
      <w:r w:rsidR="00D178FA">
        <w:rPr>
          <w:rFonts w:eastAsia="Cambria"/>
          <w:u w:color="000000"/>
          <w:bdr w:val="nil"/>
          <w:lang w:val="en-US"/>
        </w:rPr>
        <w:t xml:space="preserve">PSC </w:t>
      </w:r>
      <w:r w:rsidR="009F39DA">
        <w:rPr>
          <w:rFonts w:eastAsia="Cambria"/>
          <w:u w:color="000000"/>
          <w:bdr w:val="nil"/>
          <w:lang w:val="en-US"/>
        </w:rPr>
        <w:t>level</w:t>
      </w:r>
      <w:r w:rsidR="00D178FA">
        <w:rPr>
          <w:rFonts w:eastAsia="Cambria"/>
          <w:u w:color="000000"/>
          <w:bdr w:val="nil"/>
          <w:lang w:val="en-US"/>
        </w:rPr>
        <w:t xml:space="preserve">s were </w:t>
      </w:r>
      <w:r w:rsidR="009F39DA">
        <w:rPr>
          <w:rFonts w:eastAsia="Cambria"/>
          <w:u w:color="000000"/>
          <w:bdr w:val="nil"/>
          <w:lang w:val="en-US"/>
        </w:rPr>
        <w:t xml:space="preserve">negatively related to </w:t>
      </w:r>
      <w:r w:rsidR="00F67C58">
        <w:rPr>
          <w:rFonts w:eastAsia="Cambria"/>
          <w:u w:color="000000"/>
          <w:bdr w:val="nil"/>
          <w:lang w:val="en-US"/>
        </w:rPr>
        <w:t xml:space="preserve">average agency </w:t>
      </w:r>
      <w:r w:rsidR="00E2784F">
        <w:rPr>
          <w:rFonts w:eastAsia="Cambria"/>
          <w:u w:color="000000"/>
          <w:bdr w:val="nil"/>
          <w:lang w:val="en-US"/>
        </w:rPr>
        <w:t>sick leave days per employee.</w:t>
      </w:r>
    </w:p>
    <w:p w:rsidR="00F43118" w:rsidRPr="00F43118" w:rsidRDefault="00F43118" w:rsidP="00E2784F">
      <w:pPr>
        <w:spacing w:after="120"/>
        <w:rPr>
          <w:rFonts w:eastAsia="Cambria"/>
          <w:u w:color="000000"/>
          <w:bdr w:val="nil"/>
          <w:lang w:val="en-US"/>
        </w:rPr>
      </w:pPr>
      <w:r w:rsidRPr="00F43118">
        <w:rPr>
          <w:rFonts w:eastAsia="Cambria"/>
          <w:u w:color="000000"/>
          <w:bdr w:val="nil"/>
          <w:lang w:val="en-US"/>
        </w:rPr>
        <w:t xml:space="preserve">As the </w:t>
      </w:r>
      <w:proofErr w:type="spellStart"/>
      <w:r w:rsidRPr="00F43118">
        <w:rPr>
          <w:rFonts w:eastAsia="Cambria"/>
          <w:u w:color="000000"/>
          <w:bdr w:val="nil"/>
          <w:lang w:val="en-US"/>
        </w:rPr>
        <w:t>AWB</w:t>
      </w:r>
      <w:proofErr w:type="spellEnd"/>
      <w:r w:rsidRPr="00F43118">
        <w:rPr>
          <w:rFonts w:eastAsia="Cambria"/>
          <w:u w:color="000000"/>
          <w:bdr w:val="nil"/>
          <w:lang w:val="en-US"/>
        </w:rPr>
        <w:t xml:space="preserve"> findings indicate, the work environment has a significant impact on the occurrence of bullying and harassment. Even if personality types and other individual factors play a role in the formation of bullying and harassment incidents, the responsibility and resolution of these occurrences does not rest solely on the perpetrator or the victim. Rather, the organisation itself holds the duty of care to provide an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climate that </w:t>
      </w:r>
      <w:r w:rsidR="00F67C58">
        <w:rPr>
          <w:rFonts w:eastAsia="Cambria"/>
          <w:u w:color="000000"/>
          <w:bdr w:val="nil"/>
          <w:lang w:val="en-US"/>
        </w:rPr>
        <w:t>creates a</w:t>
      </w:r>
      <w:r w:rsidR="00383D04">
        <w:rPr>
          <w:rFonts w:eastAsia="Cambria"/>
          <w:u w:color="000000"/>
          <w:bdr w:val="nil"/>
          <w:lang w:val="en-US"/>
        </w:rPr>
        <w:t xml:space="preserve"> working context that does not provoke bullying and harassment, and that </w:t>
      </w:r>
      <w:r w:rsidRPr="00F43118">
        <w:rPr>
          <w:rFonts w:eastAsia="Cambria"/>
          <w:u w:color="000000"/>
          <w:bdr w:val="nil"/>
          <w:lang w:val="en-US"/>
        </w:rPr>
        <w:t xml:space="preserve">does not tolerate the use of bullying or harassment in any form. To deliver this duty of care senior management must communicate the value of wellbeing over productivity, and facilitate access </w:t>
      </w:r>
      <w:r w:rsidR="00383D04">
        <w:rPr>
          <w:rFonts w:eastAsia="Cambria"/>
          <w:u w:color="000000"/>
          <w:bdr w:val="nil"/>
          <w:lang w:val="en-US"/>
        </w:rPr>
        <w:t>to</w:t>
      </w:r>
      <w:r w:rsidRPr="00F43118">
        <w:rPr>
          <w:rFonts w:eastAsia="Cambria"/>
          <w:u w:color="000000"/>
          <w:bdr w:val="nil"/>
          <w:lang w:val="en-US"/>
        </w:rPr>
        <w:t xml:space="preserve"> resources, processes and structures that will resolve bullying and harassment if they do arise. Whilst ideally all senior management should </w:t>
      </w:r>
      <w:proofErr w:type="spellStart"/>
      <w:r w:rsidRPr="00F43118">
        <w:rPr>
          <w:rFonts w:eastAsia="Cambria"/>
          <w:u w:color="000000"/>
          <w:bdr w:val="nil"/>
          <w:lang w:val="en-US"/>
        </w:rPr>
        <w:t>prioritise</w:t>
      </w:r>
      <w:proofErr w:type="spellEnd"/>
      <w:r w:rsidRPr="00F43118">
        <w:rPr>
          <w:rFonts w:eastAsia="Cambria"/>
          <w:u w:color="000000"/>
          <w:bdr w:val="nil"/>
          <w:lang w:val="en-US"/>
        </w:rPr>
        <w:t xml:space="preserve"> workers’ wellbeing this could be difficult in reality. </w:t>
      </w:r>
      <w:proofErr w:type="spellStart"/>
      <w:r w:rsidRPr="00F43118">
        <w:rPr>
          <w:rFonts w:eastAsia="Cambria"/>
          <w:u w:color="000000"/>
          <w:bdr w:val="nil"/>
          <w:lang w:val="en-US"/>
        </w:rPr>
        <w:t>Organisations</w:t>
      </w:r>
      <w:proofErr w:type="spellEnd"/>
      <w:r w:rsidRPr="00F43118">
        <w:rPr>
          <w:rFonts w:eastAsia="Cambria"/>
          <w:u w:color="000000"/>
          <w:bdr w:val="nil"/>
          <w:lang w:val="en-US"/>
        </w:rPr>
        <w:t xml:space="preserve"> may be hesitant to risk profits and may be reluctant to invest time or other resources in addressing their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climate. However the economic case for </w:t>
      </w:r>
      <w:r w:rsidR="00383D04">
        <w:rPr>
          <w:rFonts w:eastAsia="Cambria"/>
          <w:u w:color="000000"/>
          <w:bdr w:val="nil"/>
          <w:lang w:val="en-US"/>
        </w:rPr>
        <w:t>improving PSC</w:t>
      </w:r>
      <w:r w:rsidR="00383D04" w:rsidRPr="00F43118">
        <w:rPr>
          <w:rFonts w:eastAsia="Cambria"/>
          <w:u w:color="000000"/>
          <w:bdr w:val="nil"/>
          <w:lang w:val="en-US"/>
        </w:rPr>
        <w:t xml:space="preserve"> </w:t>
      </w:r>
      <w:r w:rsidRPr="00F43118">
        <w:rPr>
          <w:rFonts w:eastAsia="Cambria"/>
          <w:u w:color="000000"/>
          <w:bdr w:val="nil"/>
          <w:lang w:val="en-US"/>
        </w:rPr>
        <w:t>is concrete (Becher &amp; Dollard, 201</w:t>
      </w:r>
      <w:r w:rsidR="00115BA3">
        <w:rPr>
          <w:rFonts w:eastAsia="Cambria"/>
          <w:u w:color="000000"/>
          <w:bdr w:val="nil"/>
          <w:lang w:val="en-US"/>
        </w:rPr>
        <w:t>6</w:t>
      </w:r>
      <w:r w:rsidRPr="00F43118">
        <w:rPr>
          <w:rFonts w:eastAsia="Cambria"/>
          <w:u w:color="000000"/>
          <w:bdr w:val="nil"/>
          <w:lang w:val="en-US"/>
        </w:rPr>
        <w:t>)</w:t>
      </w:r>
      <w:r w:rsidR="00471259">
        <w:rPr>
          <w:rFonts w:eastAsia="Cambria"/>
          <w:u w:color="000000"/>
          <w:bdr w:val="nil"/>
          <w:lang w:val="en-US"/>
        </w:rPr>
        <w:t xml:space="preserve"> and the cost benefits associated with PSC should be drawn to the attention of management</w:t>
      </w:r>
      <w:r w:rsidR="00E2784F">
        <w:rPr>
          <w:rFonts w:eastAsia="Cambria"/>
          <w:u w:color="000000"/>
          <w:bdr w:val="nil"/>
          <w:lang w:val="en-US"/>
        </w:rPr>
        <w:t>.</w:t>
      </w:r>
    </w:p>
    <w:p w:rsidR="00E30013" w:rsidRDefault="00491EEB" w:rsidP="00E2784F">
      <w:pPr>
        <w:spacing w:after="120"/>
        <w:rPr>
          <w:rFonts w:eastAsia="Cambria"/>
          <w:u w:color="000000"/>
          <w:bdr w:val="nil"/>
          <w:lang w:val="en-US"/>
        </w:rPr>
      </w:pPr>
      <w:r w:rsidRPr="00F43118">
        <w:rPr>
          <w:rFonts w:eastAsia="Cambria"/>
          <w:u w:color="000000"/>
          <w:bdr w:val="nil"/>
          <w:lang w:val="en-US"/>
        </w:rPr>
        <w:t>Improving workplace PSC to reduce workplace bullying and harassment is a clear recommendation from this research</w:t>
      </w:r>
      <w:r w:rsidR="00E30013">
        <w:rPr>
          <w:rFonts w:eastAsia="Cambria"/>
          <w:u w:color="000000"/>
          <w:bdr w:val="nil"/>
          <w:lang w:val="en-US"/>
        </w:rPr>
        <w:t>, as it is a</w:t>
      </w:r>
      <w:r w:rsidR="00E30013" w:rsidRPr="002A556A">
        <w:rPr>
          <w:rFonts w:eastAsia="Cambria"/>
          <w:u w:color="000000"/>
          <w:bdr w:val="nil"/>
          <w:lang w:val="en-US"/>
        </w:rPr>
        <w:t xml:space="preserve"> more effective target than</w:t>
      </w:r>
      <w:r w:rsidR="00E30013">
        <w:rPr>
          <w:rFonts w:eastAsia="Cambria"/>
          <w:u w:color="000000"/>
          <w:bdr w:val="nil"/>
          <w:lang w:val="en-US"/>
        </w:rPr>
        <w:t xml:space="preserve"> </w:t>
      </w:r>
      <w:r w:rsidR="00471259">
        <w:rPr>
          <w:rFonts w:eastAsia="Cambria"/>
          <w:u w:color="000000"/>
          <w:bdr w:val="nil"/>
          <w:lang w:val="en-US"/>
        </w:rPr>
        <w:t xml:space="preserve">focusing on </w:t>
      </w:r>
      <w:r w:rsidR="00E30013" w:rsidRPr="002A556A">
        <w:rPr>
          <w:rFonts w:eastAsia="Cambria"/>
          <w:u w:color="000000"/>
          <w:bdr w:val="nil"/>
          <w:lang w:val="en-US"/>
        </w:rPr>
        <w:t>job design</w:t>
      </w:r>
      <w:r w:rsidR="00E30013">
        <w:rPr>
          <w:rFonts w:eastAsia="Cambria"/>
          <w:u w:color="000000"/>
          <w:bdr w:val="nil"/>
          <w:lang w:val="en-US"/>
        </w:rPr>
        <w:t xml:space="preserve"> factors</w:t>
      </w:r>
      <w:r w:rsidR="004060BB">
        <w:rPr>
          <w:rFonts w:eastAsia="Cambria"/>
          <w:u w:color="000000"/>
          <w:bdr w:val="nil"/>
          <w:lang w:val="en-US"/>
        </w:rPr>
        <w:t xml:space="preserve"> alone</w:t>
      </w:r>
      <w:r w:rsidR="000B18AB">
        <w:rPr>
          <w:rFonts w:eastAsia="Cambria"/>
          <w:u w:color="000000"/>
          <w:bdr w:val="nil"/>
          <w:lang w:val="en-US"/>
        </w:rPr>
        <w:t xml:space="preserve">. </w:t>
      </w:r>
      <w:r w:rsidR="00A576F4" w:rsidRPr="00DD3A77">
        <w:rPr>
          <w:rFonts w:eastAsia="Cambria"/>
          <w:u w:color="000000"/>
          <w:bdr w:val="nil"/>
          <w:lang w:val="en-US"/>
        </w:rPr>
        <w:t>Increasing PSC</w:t>
      </w:r>
      <w:r w:rsidR="00E30013" w:rsidRPr="00F43118">
        <w:rPr>
          <w:rFonts w:eastAsia="Cambria"/>
          <w:u w:color="000000"/>
          <w:bdr w:val="nil"/>
          <w:lang w:val="en-US"/>
        </w:rPr>
        <w:t xml:space="preserve"> can be achieved by developing clear </w:t>
      </w:r>
      <w:proofErr w:type="spellStart"/>
      <w:r w:rsidR="00E30013" w:rsidRPr="00F43118">
        <w:rPr>
          <w:rFonts w:eastAsia="Cambria"/>
          <w:u w:color="000000"/>
          <w:bdr w:val="nil"/>
          <w:lang w:val="en-US"/>
        </w:rPr>
        <w:t>organisational</w:t>
      </w:r>
      <w:proofErr w:type="spellEnd"/>
      <w:r w:rsidR="00E30013" w:rsidRPr="00F43118">
        <w:rPr>
          <w:rFonts w:eastAsia="Cambria"/>
          <w:u w:color="000000"/>
          <w:bdr w:val="nil"/>
          <w:lang w:val="en-US"/>
        </w:rPr>
        <w:t xml:space="preserve"> procedures, management practices and communication systems relating to bullying and harassment </w:t>
      </w:r>
      <w:proofErr w:type="spellStart"/>
      <w:r w:rsidR="00E30013" w:rsidRPr="00F43118">
        <w:rPr>
          <w:rFonts w:eastAsia="Cambria"/>
          <w:u w:color="000000"/>
          <w:bdr w:val="nil"/>
          <w:lang w:val="en-US"/>
        </w:rPr>
        <w:t>behaviours</w:t>
      </w:r>
      <w:proofErr w:type="spellEnd"/>
      <w:r w:rsidR="00680897">
        <w:rPr>
          <w:rFonts w:eastAsia="Cambria"/>
          <w:u w:color="000000"/>
          <w:bdr w:val="nil"/>
          <w:lang w:val="en-US"/>
        </w:rPr>
        <w:t>.</w:t>
      </w:r>
      <w:r w:rsidR="00A576F4">
        <w:rPr>
          <w:rFonts w:eastAsia="Cambria"/>
          <w:u w:color="000000"/>
          <w:bdr w:val="nil"/>
          <w:lang w:val="en-US"/>
        </w:rPr>
        <w:t xml:space="preserve"> </w:t>
      </w:r>
      <w:r w:rsidR="00471259">
        <w:rPr>
          <w:rFonts w:eastAsia="Cambria"/>
          <w:u w:color="000000"/>
          <w:bdr w:val="nil"/>
          <w:lang w:val="en-US"/>
        </w:rPr>
        <w:t>M</w:t>
      </w:r>
      <w:r w:rsidR="00A576F4" w:rsidRPr="002A556A">
        <w:rPr>
          <w:rFonts w:eastAsia="Cambria"/>
          <w:u w:color="000000"/>
          <w:bdr w:val="nil"/>
          <w:lang w:val="en-US"/>
        </w:rPr>
        <w:t>anagement personnel should concentrate resources into fostering</w:t>
      </w:r>
      <w:r w:rsidR="00A576F4" w:rsidRPr="00F43118">
        <w:rPr>
          <w:rFonts w:eastAsia="Cambria"/>
          <w:u w:color="000000"/>
          <w:bdr w:val="nil"/>
          <w:lang w:val="en-US"/>
        </w:rPr>
        <w:t xml:space="preserve"> a work environment in which </w:t>
      </w:r>
      <w:r w:rsidR="00A576F4" w:rsidRPr="00DD3A77">
        <w:rPr>
          <w:rFonts w:eastAsia="Cambria"/>
          <w:u w:color="000000"/>
          <w:bdr w:val="nil"/>
          <w:lang w:val="en-US"/>
        </w:rPr>
        <w:t>workers feel valued, psychologically safe, and healthy. In this process, senior managers should consult with workers and their representatives to modify and promote better work structures and processes,</w:t>
      </w:r>
      <w:r w:rsidR="00471259" w:rsidRPr="00DD3A77">
        <w:rPr>
          <w:rFonts w:eastAsia="Cambria"/>
          <w:u w:color="000000"/>
          <w:bdr w:val="nil"/>
          <w:lang w:val="en-US"/>
        </w:rPr>
        <w:t xml:space="preserve"> such as </w:t>
      </w:r>
      <w:proofErr w:type="spellStart"/>
      <w:r w:rsidR="00A576F4" w:rsidRPr="00DD3A77">
        <w:rPr>
          <w:rFonts w:eastAsia="Cambria"/>
          <w:u w:color="000000"/>
          <w:bdr w:val="nil"/>
          <w:lang w:val="en-US"/>
        </w:rPr>
        <w:t>organisational</w:t>
      </w:r>
      <w:proofErr w:type="spellEnd"/>
      <w:r w:rsidR="00A576F4" w:rsidRPr="00DD3A77">
        <w:rPr>
          <w:rFonts w:eastAsia="Cambria"/>
          <w:u w:color="000000"/>
          <w:bdr w:val="nil"/>
          <w:lang w:val="en-US"/>
        </w:rPr>
        <w:t xml:space="preserve"> communication</w:t>
      </w:r>
      <w:r w:rsidR="00471259" w:rsidRPr="00DD3A77">
        <w:rPr>
          <w:rFonts w:eastAsia="Cambria"/>
          <w:u w:color="000000"/>
          <w:bdr w:val="nil"/>
          <w:lang w:val="en-US"/>
        </w:rPr>
        <w:t xml:space="preserve"> and</w:t>
      </w:r>
      <w:r w:rsidR="00A576F4" w:rsidRPr="00DD3A77">
        <w:rPr>
          <w:rFonts w:eastAsia="Cambria"/>
          <w:u w:color="000000"/>
          <w:bdr w:val="nil"/>
          <w:lang w:val="en-US"/>
        </w:rPr>
        <w:t xml:space="preserve"> performance management</w:t>
      </w:r>
      <w:r w:rsidR="00471259" w:rsidRPr="00DD3A77">
        <w:rPr>
          <w:rFonts w:eastAsia="Cambria"/>
          <w:u w:color="000000"/>
          <w:bdr w:val="nil"/>
          <w:lang w:val="en-US"/>
        </w:rPr>
        <w:t xml:space="preserve">, and improve work conditions such as </w:t>
      </w:r>
      <w:r w:rsidR="004060BB" w:rsidRPr="00DD3A77">
        <w:rPr>
          <w:rFonts w:eastAsia="Cambria"/>
          <w:u w:color="000000"/>
          <w:bdr w:val="nil"/>
          <w:lang w:val="en-US"/>
        </w:rPr>
        <w:t>resourcing (job control, supervisor support</w:t>
      </w:r>
      <w:r w:rsidR="00471259" w:rsidRPr="00DD3A77">
        <w:rPr>
          <w:rFonts w:eastAsia="Cambria"/>
          <w:u w:color="000000"/>
          <w:bdr w:val="nil"/>
          <w:lang w:val="en-US"/>
        </w:rPr>
        <w:t>, rewards</w:t>
      </w:r>
      <w:r w:rsidR="004060BB" w:rsidRPr="00DD3A77">
        <w:rPr>
          <w:rFonts w:eastAsia="Cambria"/>
          <w:u w:color="000000"/>
          <w:bdr w:val="nil"/>
          <w:lang w:val="en-US"/>
        </w:rPr>
        <w:t xml:space="preserve">), </w:t>
      </w:r>
      <w:r w:rsidR="00471259" w:rsidRPr="00DD3A77">
        <w:rPr>
          <w:rFonts w:eastAsia="Cambria"/>
          <w:u w:color="000000"/>
          <w:bdr w:val="nil"/>
          <w:lang w:val="en-US"/>
        </w:rPr>
        <w:t xml:space="preserve">and reduce job demands. </w:t>
      </w:r>
      <w:r w:rsidR="00A576F4" w:rsidRPr="00DD3A77">
        <w:rPr>
          <w:rFonts w:eastAsia="Cambria"/>
          <w:u w:color="000000"/>
          <w:bdr w:val="nil"/>
          <w:lang w:val="en-US"/>
        </w:rPr>
        <w:t>R</w:t>
      </w:r>
      <w:r w:rsidR="00E30013" w:rsidRPr="00DD3A77">
        <w:rPr>
          <w:rFonts w:eastAsia="Cambria"/>
          <w:u w:color="000000"/>
          <w:bdr w:val="nil"/>
          <w:lang w:val="en-US"/>
        </w:rPr>
        <w:t xml:space="preserve">esearch has also identified that establishing policies and procedures to manage interpersonal conflict is critical in prevention (Rayner &amp; Lewis, 2011), </w:t>
      </w:r>
      <w:r w:rsidR="002E6D6C">
        <w:rPr>
          <w:rFonts w:eastAsia="Cambria"/>
          <w:u w:color="000000"/>
          <w:bdr w:val="nil"/>
          <w:lang w:val="en-US"/>
        </w:rPr>
        <w:t>in addition to</w:t>
      </w:r>
      <w:r w:rsidR="00E30013" w:rsidRPr="00DD3A77">
        <w:rPr>
          <w:rFonts w:eastAsia="Cambria"/>
          <w:u w:color="000000"/>
          <w:bdr w:val="nil"/>
          <w:lang w:val="en-US"/>
        </w:rPr>
        <w:t xml:space="preserve"> promoting better working conditions within the </w:t>
      </w:r>
      <w:proofErr w:type="spellStart"/>
      <w:r w:rsidR="00E30013" w:rsidRPr="00DD3A77">
        <w:rPr>
          <w:rFonts w:eastAsia="Cambria"/>
          <w:u w:color="000000"/>
          <w:bdr w:val="nil"/>
          <w:lang w:val="en-US"/>
        </w:rPr>
        <w:t>organisation</w:t>
      </w:r>
      <w:proofErr w:type="spellEnd"/>
      <w:r w:rsidR="00E30013" w:rsidRPr="00DD3A77">
        <w:rPr>
          <w:rFonts w:eastAsia="Cambria"/>
          <w:u w:color="000000"/>
          <w:bdr w:val="nil"/>
          <w:lang w:val="en-US"/>
        </w:rPr>
        <w:t xml:space="preserve"> (</w:t>
      </w:r>
      <w:proofErr w:type="spellStart"/>
      <w:r w:rsidR="00E30013" w:rsidRPr="00DD3A77">
        <w:rPr>
          <w:rFonts w:eastAsia="Cambria"/>
          <w:u w:color="000000"/>
          <w:bdr w:val="nil"/>
          <w:lang w:val="en-US"/>
        </w:rPr>
        <w:t>Skogsad</w:t>
      </w:r>
      <w:proofErr w:type="spellEnd"/>
      <w:r w:rsidR="00E30013" w:rsidRPr="00DD3A77">
        <w:rPr>
          <w:rFonts w:eastAsia="Cambria"/>
          <w:u w:color="000000"/>
          <w:bdr w:val="nil"/>
          <w:lang w:val="en-US"/>
        </w:rPr>
        <w:t xml:space="preserve">, </w:t>
      </w:r>
      <w:proofErr w:type="spellStart"/>
      <w:r w:rsidR="00E30013" w:rsidRPr="00DD3A77">
        <w:rPr>
          <w:rFonts w:eastAsia="Cambria"/>
          <w:u w:color="000000"/>
          <w:bdr w:val="nil"/>
          <w:lang w:val="en-US"/>
        </w:rPr>
        <w:t>Torsheim</w:t>
      </w:r>
      <w:proofErr w:type="spellEnd"/>
      <w:r w:rsidR="00E30013" w:rsidRPr="00DD3A77">
        <w:rPr>
          <w:rFonts w:eastAsia="Cambria"/>
          <w:u w:color="000000"/>
          <w:bdr w:val="nil"/>
          <w:lang w:val="en-US"/>
        </w:rPr>
        <w:t xml:space="preserve">, </w:t>
      </w:r>
      <w:proofErr w:type="spellStart"/>
      <w:r w:rsidR="00E30013" w:rsidRPr="00DD3A77">
        <w:rPr>
          <w:rFonts w:eastAsia="Cambria"/>
          <w:u w:color="000000"/>
          <w:bdr w:val="nil"/>
          <w:lang w:val="en-US"/>
        </w:rPr>
        <w:t>Einarsen</w:t>
      </w:r>
      <w:proofErr w:type="spellEnd"/>
      <w:r w:rsidR="00E30013" w:rsidRPr="002A556A">
        <w:rPr>
          <w:rFonts w:eastAsia="Cambria"/>
          <w:u w:color="000000"/>
          <w:bdr w:val="nil"/>
          <w:lang w:val="en-US"/>
        </w:rPr>
        <w:t xml:space="preserve">, &amp; </w:t>
      </w:r>
      <w:proofErr w:type="spellStart"/>
      <w:r w:rsidR="00E30013" w:rsidRPr="002A556A">
        <w:rPr>
          <w:rFonts w:eastAsia="Cambria"/>
          <w:u w:color="000000"/>
          <w:bdr w:val="nil"/>
          <w:lang w:val="en-US"/>
        </w:rPr>
        <w:t>Hauge</w:t>
      </w:r>
      <w:proofErr w:type="spellEnd"/>
      <w:r w:rsidR="00E30013" w:rsidRPr="002A556A">
        <w:rPr>
          <w:rFonts w:eastAsia="Cambria"/>
          <w:u w:color="000000"/>
          <w:bdr w:val="nil"/>
          <w:lang w:val="en-US"/>
        </w:rPr>
        <w:t>, 2011)</w:t>
      </w:r>
      <w:r w:rsidR="00E30013">
        <w:rPr>
          <w:rFonts w:eastAsia="Cambria"/>
          <w:u w:color="000000"/>
          <w:bdr w:val="nil"/>
          <w:lang w:val="en-US"/>
        </w:rPr>
        <w:t>.</w:t>
      </w:r>
      <w:r w:rsidR="00E30013" w:rsidRPr="002A556A">
        <w:rPr>
          <w:rFonts w:eastAsia="Cambria"/>
          <w:u w:color="000000"/>
          <w:bdr w:val="nil"/>
          <w:lang w:val="en-US"/>
        </w:rPr>
        <w:t xml:space="preserve"> </w:t>
      </w:r>
      <w:r w:rsidR="00A576F4">
        <w:rPr>
          <w:rFonts w:eastAsia="Cambria"/>
          <w:u w:color="000000"/>
          <w:bdr w:val="nil"/>
          <w:lang w:val="en-US"/>
        </w:rPr>
        <w:t xml:space="preserve">Furthermore, </w:t>
      </w:r>
      <w:r w:rsidR="00E30013">
        <w:rPr>
          <w:rFonts w:eastAsia="Cambria"/>
          <w:u w:color="000000"/>
          <w:bdr w:val="nil"/>
          <w:lang w:val="en-US"/>
        </w:rPr>
        <w:t>w</w:t>
      </w:r>
      <w:r w:rsidR="00E30013" w:rsidRPr="00F43118">
        <w:rPr>
          <w:rFonts w:eastAsia="Cambria"/>
          <w:u w:color="000000"/>
          <w:bdr w:val="nil"/>
          <w:lang w:val="en-US"/>
        </w:rPr>
        <w:t xml:space="preserve">orkers should </w:t>
      </w:r>
      <w:r w:rsidR="00E30013">
        <w:rPr>
          <w:rFonts w:eastAsia="Cambria"/>
          <w:u w:color="000000"/>
          <w:bdr w:val="nil"/>
          <w:lang w:val="en-US"/>
        </w:rPr>
        <w:t xml:space="preserve">also </w:t>
      </w:r>
      <w:r w:rsidR="00E30013" w:rsidRPr="00F43118">
        <w:rPr>
          <w:rFonts w:eastAsia="Cambria"/>
          <w:u w:color="000000"/>
          <w:bdr w:val="nil"/>
          <w:lang w:val="en-US"/>
        </w:rPr>
        <w:t xml:space="preserve">receive information that informs them of their roles, responsibilities and rights, and the </w:t>
      </w:r>
      <w:proofErr w:type="spellStart"/>
      <w:r w:rsidR="00E30013" w:rsidRPr="00F43118">
        <w:rPr>
          <w:rFonts w:eastAsia="Cambria"/>
          <w:u w:color="000000"/>
          <w:bdr w:val="nil"/>
          <w:lang w:val="en-US"/>
        </w:rPr>
        <w:t>organisations’</w:t>
      </w:r>
      <w:proofErr w:type="spellEnd"/>
      <w:r w:rsidR="00E30013" w:rsidRPr="00F43118">
        <w:rPr>
          <w:rFonts w:eastAsia="Cambria"/>
          <w:u w:color="000000"/>
          <w:bdr w:val="nil"/>
          <w:lang w:val="en-US"/>
        </w:rPr>
        <w:t xml:space="preserve"> role in dealing with any bullying or harassment </w:t>
      </w:r>
      <w:r w:rsidR="008905AC" w:rsidRPr="00F43118">
        <w:rPr>
          <w:rFonts w:eastAsia="Cambria"/>
          <w:u w:color="000000"/>
          <w:bdr w:val="nil"/>
          <w:lang w:val="en-US"/>
        </w:rPr>
        <w:t>inciden</w:t>
      </w:r>
      <w:r w:rsidR="008905AC">
        <w:rPr>
          <w:rFonts w:eastAsia="Cambria"/>
          <w:u w:color="000000"/>
          <w:bdr w:val="nil"/>
          <w:lang w:val="en-US"/>
        </w:rPr>
        <w:t>t</w:t>
      </w:r>
      <w:r w:rsidR="008905AC" w:rsidRPr="00F43118">
        <w:rPr>
          <w:rFonts w:eastAsia="Cambria"/>
          <w:u w:color="000000"/>
          <w:bdr w:val="nil"/>
          <w:lang w:val="en-US"/>
        </w:rPr>
        <w:t>s</w:t>
      </w:r>
      <w:r w:rsidR="00E2784F">
        <w:rPr>
          <w:rFonts w:eastAsia="Cambria"/>
          <w:u w:color="000000"/>
          <w:bdr w:val="nil"/>
          <w:lang w:val="en-US"/>
        </w:rPr>
        <w:t>.</w:t>
      </w:r>
    </w:p>
    <w:p w:rsidR="00491EEB" w:rsidRPr="00DD3A77" w:rsidRDefault="00491EEB" w:rsidP="00E2784F">
      <w:pPr>
        <w:spacing w:after="120"/>
        <w:rPr>
          <w:rFonts w:eastAsia="Cambria"/>
          <w:u w:color="000000"/>
          <w:bdr w:val="nil"/>
          <w:lang w:val="en-US"/>
        </w:rPr>
      </w:pPr>
      <w:r w:rsidRPr="00C55CE8">
        <w:t xml:space="preserve">Organisational surveillance of psychosocial risk levels is </w:t>
      </w:r>
      <w:r w:rsidR="00E30013" w:rsidRPr="00C55CE8">
        <w:t xml:space="preserve">regarded as </w:t>
      </w:r>
      <w:r w:rsidRPr="00C55CE8">
        <w:t>best practice and would assist with determining bullying risk</w:t>
      </w:r>
      <w:r w:rsidR="00E30013" w:rsidRPr="00C55CE8">
        <w:t xml:space="preserve"> levels</w:t>
      </w:r>
      <w:r w:rsidRPr="00C55CE8">
        <w:t xml:space="preserve"> and potential contributors (high job demands, low levels of resources). Therefore annual monitoring of PSC levels is recommended within all organisations. Organisational surveillance of PSC levels </w:t>
      </w:r>
      <w:r w:rsidR="004060BB" w:rsidRPr="00C55CE8">
        <w:t xml:space="preserve">is </w:t>
      </w:r>
      <w:r w:rsidRPr="00C55CE8">
        <w:t xml:space="preserve">a strategy adopted by the Australian Public Service Commission </w:t>
      </w:r>
      <w:r w:rsidR="004060BB" w:rsidRPr="00C55CE8">
        <w:t>and</w:t>
      </w:r>
      <w:r w:rsidRPr="00C55CE8">
        <w:t xml:space="preserve"> can be used as a focal point for developing health and safety strategies towards bullying prevention and intervention.</w:t>
      </w:r>
      <w:r w:rsidRPr="00C55CE8">
        <w:rPr>
          <w:rFonts w:eastAsia="Cambria"/>
        </w:rPr>
        <w:t xml:space="preserve"> Recent </w:t>
      </w:r>
      <w:proofErr w:type="spellStart"/>
      <w:r w:rsidRPr="00C55CE8">
        <w:rPr>
          <w:rFonts w:eastAsia="Cambria"/>
        </w:rPr>
        <w:t>AWB</w:t>
      </w:r>
      <w:proofErr w:type="spellEnd"/>
      <w:r w:rsidRPr="00C55CE8">
        <w:rPr>
          <w:rFonts w:eastAsia="Cambria"/>
        </w:rPr>
        <w:t xml:space="preserve"> research established PSC benchmarks for low-risk (PSC at 41 or above) and high-risk (PSC at 37 or below) of employee job strain and</w:t>
      </w:r>
      <w:r w:rsidRPr="002149A9">
        <w:rPr>
          <w:rFonts w:eastAsia="Cambria"/>
          <w:u w:color="000000"/>
          <w:bdr w:val="nil"/>
          <w:lang w:val="en-US"/>
        </w:rPr>
        <w:t xml:space="preserve"> depressive symptoms (Bailey, Dollard, &amp; Richards, 2015).</w:t>
      </w:r>
      <w:r w:rsidR="004060BB" w:rsidRPr="00F42C59">
        <w:rPr>
          <w:rFonts w:eastAsia="Cambria"/>
          <w:u w:color="000000"/>
          <w:bdr w:val="nil"/>
          <w:lang w:val="en-US"/>
        </w:rPr>
        <w:t xml:space="preserve"> </w:t>
      </w:r>
      <w:r w:rsidRPr="00D61893">
        <w:rPr>
          <w:rFonts w:eastAsia="Cambria"/>
          <w:u w:color="000000"/>
          <w:bdr w:val="nil"/>
          <w:lang w:val="en-US"/>
        </w:rPr>
        <w:t xml:space="preserve">Researchers found using population </w:t>
      </w:r>
      <w:proofErr w:type="gramStart"/>
      <w:r w:rsidRPr="00D61893">
        <w:rPr>
          <w:rFonts w:eastAsia="Cambria"/>
          <w:u w:color="000000"/>
          <w:bdr w:val="nil"/>
          <w:lang w:val="en-US"/>
        </w:rPr>
        <w:t>attributable</w:t>
      </w:r>
      <w:proofErr w:type="gramEnd"/>
      <w:r w:rsidRPr="00D61893">
        <w:rPr>
          <w:rFonts w:eastAsia="Cambria"/>
          <w:u w:color="000000"/>
          <w:bdr w:val="nil"/>
          <w:lang w:val="en-US"/>
        </w:rPr>
        <w:t xml:space="preserve"> risk (PAR) that improving PSC in </w:t>
      </w:r>
      <w:proofErr w:type="spellStart"/>
      <w:r w:rsidRPr="00D61893">
        <w:rPr>
          <w:rFonts w:eastAsia="Cambria"/>
          <w:u w:color="000000"/>
          <w:bdr w:val="nil"/>
          <w:lang w:val="en-US"/>
        </w:rPr>
        <w:t>organisations</w:t>
      </w:r>
      <w:proofErr w:type="spellEnd"/>
      <w:r w:rsidRPr="00D61893">
        <w:rPr>
          <w:rFonts w:eastAsia="Cambria"/>
          <w:u w:color="000000"/>
          <w:bdr w:val="nil"/>
          <w:lang w:val="en-US"/>
        </w:rPr>
        <w:t xml:space="preserve"> to above 37 could reduce </w:t>
      </w:r>
      <w:r w:rsidRPr="001D2BBC">
        <w:rPr>
          <w:rFonts w:eastAsia="Cambria"/>
          <w:u w:color="000000"/>
          <w:bdr w:val="nil"/>
          <w:lang w:val="en-US"/>
        </w:rPr>
        <w:t xml:space="preserve">14 per cent of job strain and </w:t>
      </w:r>
      <w:r w:rsidRPr="00AC75D7">
        <w:rPr>
          <w:rFonts w:eastAsia="Cambria"/>
          <w:u w:color="000000"/>
          <w:bdr w:val="nil"/>
          <w:lang w:val="en-US"/>
        </w:rPr>
        <w:t>16 per cent</w:t>
      </w:r>
      <w:r w:rsidRPr="001C7C73">
        <w:rPr>
          <w:rFonts w:eastAsia="Cambria"/>
          <w:u w:color="000000"/>
          <w:bdr w:val="nil"/>
          <w:lang w:val="en-US"/>
        </w:rPr>
        <w:t xml:space="preserve"> of depressive symptoms in the working population. Clearly some reduction in depressive symptoms </w:t>
      </w:r>
      <w:r w:rsidR="004060BB" w:rsidRPr="002149A9">
        <w:rPr>
          <w:rFonts w:eastAsia="Cambria"/>
          <w:u w:color="000000"/>
          <w:bdr w:val="nil"/>
          <w:lang w:val="en-US"/>
        </w:rPr>
        <w:t>c</w:t>
      </w:r>
      <w:r w:rsidR="004060BB" w:rsidRPr="00F42C59">
        <w:rPr>
          <w:rFonts w:eastAsia="Cambria"/>
          <w:u w:color="000000"/>
          <w:bdr w:val="nil"/>
          <w:lang w:val="en-US"/>
        </w:rPr>
        <w:t>ould be expected</w:t>
      </w:r>
      <w:r w:rsidRPr="00D61893">
        <w:rPr>
          <w:rFonts w:eastAsia="Cambria"/>
          <w:u w:color="000000"/>
          <w:bdr w:val="nil"/>
          <w:lang w:val="en-US"/>
        </w:rPr>
        <w:t xml:space="preserve"> because bullying and </w:t>
      </w:r>
      <w:r w:rsidRPr="00D61893">
        <w:rPr>
          <w:rFonts w:eastAsia="Cambria"/>
          <w:u w:color="000000"/>
          <w:bdr w:val="nil"/>
          <w:lang w:val="en-US"/>
        </w:rPr>
        <w:lastRenderedPageBreak/>
        <w:t>other psychosocial ris</w:t>
      </w:r>
      <w:r w:rsidRPr="00DD3A77">
        <w:rPr>
          <w:rFonts w:eastAsia="Cambria"/>
          <w:u w:color="000000"/>
          <w:bdr w:val="nil"/>
          <w:lang w:val="en-US"/>
        </w:rPr>
        <w:t xml:space="preserve">ks reduce as PSC increases. </w:t>
      </w:r>
      <w:r w:rsidR="00E61588">
        <w:rPr>
          <w:rFonts w:eastAsia="Cambria"/>
          <w:u w:color="000000"/>
          <w:bdr w:val="nil"/>
          <w:lang w:val="en-US"/>
        </w:rPr>
        <w:t>PSC</w:t>
      </w:r>
      <w:r w:rsidR="00E61588" w:rsidRPr="00DD3A77">
        <w:rPr>
          <w:rFonts w:eastAsia="Cambria"/>
          <w:u w:color="000000"/>
          <w:bdr w:val="nil"/>
          <w:lang w:val="en-US"/>
        </w:rPr>
        <w:t xml:space="preserve"> </w:t>
      </w:r>
      <w:r w:rsidRPr="00DD3A77">
        <w:rPr>
          <w:rFonts w:eastAsia="Cambria"/>
          <w:u w:color="000000"/>
          <w:bdr w:val="nil"/>
          <w:lang w:val="en-US"/>
        </w:rPr>
        <w:t xml:space="preserve">benchmarks could be used in </w:t>
      </w:r>
      <w:proofErr w:type="spellStart"/>
      <w:r w:rsidRPr="00DD3A77">
        <w:rPr>
          <w:rFonts w:eastAsia="Cambria"/>
          <w:u w:color="000000"/>
          <w:bdr w:val="nil"/>
          <w:lang w:val="en-US"/>
        </w:rPr>
        <w:t>organisations</w:t>
      </w:r>
      <w:proofErr w:type="spellEnd"/>
      <w:r w:rsidRPr="00DD3A77">
        <w:rPr>
          <w:rFonts w:eastAsia="Cambria"/>
          <w:u w:color="000000"/>
          <w:bdr w:val="nil"/>
          <w:lang w:val="en-US"/>
        </w:rPr>
        <w:t xml:space="preserve"> to provide information about the different aspects of PSC that fall below national standards and </w:t>
      </w:r>
      <w:r w:rsidR="00231650">
        <w:rPr>
          <w:rFonts w:eastAsia="Cambria"/>
          <w:u w:color="000000"/>
          <w:bdr w:val="nil"/>
          <w:lang w:val="en-US"/>
        </w:rPr>
        <w:t>help identify the</w:t>
      </w:r>
      <w:r w:rsidR="00231650" w:rsidRPr="00DD3A77">
        <w:rPr>
          <w:rFonts w:eastAsia="Cambria"/>
          <w:u w:color="000000"/>
          <w:bdr w:val="nil"/>
          <w:lang w:val="en-US"/>
        </w:rPr>
        <w:t xml:space="preserve"> </w:t>
      </w:r>
      <w:r w:rsidR="00E61588">
        <w:rPr>
          <w:rFonts w:eastAsia="Cambria"/>
          <w:u w:color="000000"/>
          <w:bdr w:val="nil"/>
          <w:lang w:val="en-US"/>
        </w:rPr>
        <w:t xml:space="preserve">domains of PSC </w:t>
      </w:r>
      <w:r w:rsidR="004060BB" w:rsidRPr="00DD3A77">
        <w:rPr>
          <w:rFonts w:eastAsia="Cambria"/>
          <w:u w:color="000000"/>
          <w:bdr w:val="nil"/>
          <w:lang w:val="en-US"/>
        </w:rPr>
        <w:t xml:space="preserve">to </w:t>
      </w:r>
      <w:r w:rsidR="00E2784F">
        <w:rPr>
          <w:rFonts w:eastAsia="Cambria"/>
          <w:u w:color="000000"/>
          <w:bdr w:val="nil"/>
          <w:lang w:val="en-US"/>
        </w:rPr>
        <w:t>target for improvements.</w:t>
      </w:r>
    </w:p>
    <w:p w:rsidR="004060BB" w:rsidRPr="00DD3A77" w:rsidRDefault="00F43118" w:rsidP="00E2784F">
      <w:pPr>
        <w:spacing w:after="120"/>
        <w:rPr>
          <w:rFonts w:ascii="Times New Roman" w:eastAsia="Cambria" w:hAnsi="Times New Roman"/>
          <w:u w:color="000000"/>
          <w:bdr w:val="nil"/>
          <w:lang w:val="en-US"/>
        </w:rPr>
      </w:pPr>
      <w:r w:rsidRPr="00DD3A77">
        <w:rPr>
          <w:rFonts w:eastAsia="Cambria"/>
          <w:u w:color="000000"/>
          <w:bdr w:val="nil"/>
          <w:lang w:val="en-US"/>
        </w:rPr>
        <w:t xml:space="preserve">The preventative approach of </w:t>
      </w:r>
      <w:r w:rsidR="00E61588">
        <w:rPr>
          <w:rFonts w:eastAsia="Cambria"/>
          <w:u w:color="000000"/>
          <w:bdr w:val="nil"/>
          <w:lang w:val="en-US"/>
        </w:rPr>
        <w:t xml:space="preserve">improving </w:t>
      </w:r>
      <w:r w:rsidRPr="00DD3A77">
        <w:rPr>
          <w:rFonts w:eastAsia="Cambria"/>
          <w:u w:color="000000"/>
          <w:bdr w:val="nil"/>
          <w:lang w:val="en-US"/>
        </w:rPr>
        <w:t xml:space="preserve">PSC also addresses a common critique that work health services </w:t>
      </w:r>
      <w:r w:rsidR="004060BB" w:rsidRPr="00DD3A77">
        <w:rPr>
          <w:rFonts w:eastAsia="Cambria"/>
          <w:u w:color="000000"/>
          <w:bdr w:val="nil"/>
          <w:lang w:val="en-US"/>
        </w:rPr>
        <w:t>are reactive (e.g. E</w:t>
      </w:r>
      <w:r w:rsidR="000B18AB">
        <w:rPr>
          <w:rFonts w:eastAsia="Cambria"/>
          <w:u w:color="000000"/>
          <w:bdr w:val="nil"/>
          <w:lang w:val="en-US"/>
        </w:rPr>
        <w:t xml:space="preserve">mployee </w:t>
      </w:r>
      <w:r w:rsidR="004060BB" w:rsidRPr="00DD3A77">
        <w:rPr>
          <w:rFonts w:eastAsia="Cambria"/>
          <w:u w:color="000000"/>
          <w:bdr w:val="nil"/>
          <w:lang w:val="en-US"/>
        </w:rPr>
        <w:t>A</w:t>
      </w:r>
      <w:r w:rsidR="000B18AB">
        <w:rPr>
          <w:rFonts w:eastAsia="Cambria"/>
          <w:u w:color="000000"/>
          <w:bdr w:val="nil"/>
          <w:lang w:val="en-US"/>
        </w:rPr>
        <w:t xml:space="preserve">ssistance </w:t>
      </w:r>
      <w:r w:rsidR="004060BB" w:rsidRPr="00DD3A77">
        <w:rPr>
          <w:rFonts w:eastAsia="Cambria"/>
          <w:u w:color="000000"/>
          <w:bdr w:val="nil"/>
          <w:lang w:val="en-US"/>
        </w:rPr>
        <w:t>P</w:t>
      </w:r>
      <w:r w:rsidR="000B18AB">
        <w:rPr>
          <w:rFonts w:eastAsia="Cambria"/>
          <w:u w:color="000000"/>
          <w:bdr w:val="nil"/>
          <w:lang w:val="en-US"/>
        </w:rPr>
        <w:t>rogram</w:t>
      </w:r>
      <w:r w:rsidR="004060BB" w:rsidRPr="00DD3A77">
        <w:rPr>
          <w:rFonts w:eastAsia="Cambria"/>
          <w:u w:color="000000"/>
          <w:bdr w:val="nil"/>
          <w:lang w:val="en-US"/>
        </w:rPr>
        <w:t>s).</w:t>
      </w:r>
      <w:r w:rsidR="001C5EAD" w:rsidRPr="00DD3A77">
        <w:rPr>
          <w:rFonts w:eastAsia="Cambria"/>
          <w:u w:color="000000"/>
          <w:bdr w:val="nil"/>
          <w:lang w:val="en-US"/>
        </w:rPr>
        <w:t xml:space="preserve"> This is because </w:t>
      </w:r>
      <w:r w:rsidR="004060BB" w:rsidRPr="00DD3A77">
        <w:rPr>
          <w:rFonts w:eastAsia="Cambria"/>
          <w:u w:color="000000"/>
          <w:bdr w:val="nil"/>
          <w:lang w:val="en-US"/>
        </w:rPr>
        <w:t xml:space="preserve">they </w:t>
      </w:r>
      <w:r w:rsidR="001C5EAD" w:rsidRPr="00DD3A77">
        <w:rPr>
          <w:rFonts w:eastAsia="Cambria"/>
          <w:u w:color="000000"/>
          <w:bdr w:val="nil"/>
          <w:lang w:val="en-US"/>
        </w:rPr>
        <w:t>focus on supporting</w:t>
      </w:r>
      <w:r w:rsidRPr="00DD3A77">
        <w:rPr>
          <w:rFonts w:eastAsia="Cambria"/>
          <w:u w:color="000000"/>
          <w:bdr w:val="nil"/>
          <w:lang w:val="en-US"/>
        </w:rPr>
        <w:t xml:space="preserve"> individuals and </w:t>
      </w:r>
      <w:proofErr w:type="spellStart"/>
      <w:r w:rsidRPr="00DD3A77">
        <w:rPr>
          <w:rFonts w:eastAsia="Cambria"/>
          <w:u w:color="000000"/>
          <w:bdr w:val="nil"/>
          <w:lang w:val="en-US"/>
        </w:rPr>
        <w:t>organisations</w:t>
      </w:r>
      <w:proofErr w:type="spellEnd"/>
      <w:r w:rsidRPr="00DD3A77">
        <w:rPr>
          <w:rFonts w:eastAsia="Cambria"/>
          <w:u w:color="000000"/>
          <w:bdr w:val="nil"/>
          <w:lang w:val="en-US"/>
        </w:rPr>
        <w:t xml:space="preserve"> to deal with problems they experience rather than strategically preventing problems from occurring in the first place</w:t>
      </w:r>
      <w:r w:rsidR="00E2784F">
        <w:rPr>
          <w:rFonts w:ascii="Times New Roman" w:eastAsia="Cambria" w:hAnsi="Times New Roman"/>
          <w:u w:color="000000"/>
          <w:bdr w:val="nil"/>
          <w:lang w:val="en-US"/>
        </w:rPr>
        <w:t>.</w:t>
      </w:r>
    </w:p>
    <w:p w:rsidR="00C55CE8" w:rsidRPr="00E2784F" w:rsidRDefault="00F43118" w:rsidP="00E2784F">
      <w:pPr>
        <w:spacing w:after="120"/>
        <w:rPr>
          <w:rFonts w:eastAsia="Cambria"/>
          <w:u w:color="000000"/>
          <w:bdr w:val="nil"/>
          <w:lang w:val="en-US"/>
        </w:rPr>
      </w:pPr>
      <w:r w:rsidRPr="00DD3A77">
        <w:rPr>
          <w:rFonts w:eastAsia="Cambria"/>
          <w:u w:color="000000"/>
          <w:bdr w:val="nil"/>
          <w:lang w:val="en-US"/>
        </w:rPr>
        <w:t xml:space="preserve">Importantly, the management of psychosocial issues and risks such as bullying also </w:t>
      </w:r>
      <w:r w:rsidR="00A00D35">
        <w:rPr>
          <w:rFonts w:eastAsia="Cambria"/>
          <w:u w:color="000000"/>
          <w:bdr w:val="nil"/>
          <w:lang w:val="en-US"/>
        </w:rPr>
        <w:t>concerns</w:t>
      </w:r>
      <w:r w:rsidRPr="00DD3A77">
        <w:rPr>
          <w:rFonts w:eastAsia="Cambria"/>
          <w:u w:color="000000"/>
          <w:bdr w:val="nil"/>
          <w:lang w:val="en-US"/>
        </w:rPr>
        <w:t xml:space="preserve"> ethics and values, responsible </w:t>
      </w:r>
      <w:r w:rsidR="00E61588">
        <w:rPr>
          <w:rFonts w:eastAsia="Cambria"/>
          <w:u w:color="000000"/>
          <w:bdr w:val="nil"/>
          <w:lang w:val="en-US"/>
        </w:rPr>
        <w:t>behavior,</w:t>
      </w:r>
      <w:r w:rsidRPr="00DD3A77">
        <w:rPr>
          <w:rFonts w:eastAsia="Cambria"/>
          <w:u w:color="000000"/>
          <w:bdr w:val="nil"/>
          <w:lang w:val="en-US"/>
        </w:rPr>
        <w:t xml:space="preserve"> and accepting a moral obligation to care for employees’ </w:t>
      </w:r>
      <w:r w:rsidR="00E61588">
        <w:rPr>
          <w:rFonts w:eastAsia="Cambria"/>
          <w:u w:color="000000"/>
          <w:bdr w:val="nil"/>
          <w:lang w:val="en-US"/>
        </w:rPr>
        <w:t xml:space="preserve">psychological health and </w:t>
      </w:r>
      <w:r w:rsidRPr="00DD3A77">
        <w:rPr>
          <w:rFonts w:eastAsia="Cambria"/>
          <w:u w:color="000000"/>
          <w:bdr w:val="nil"/>
          <w:lang w:val="en-US"/>
        </w:rPr>
        <w:t xml:space="preserve">wellbeing. Through </w:t>
      </w:r>
      <w:r w:rsidR="008905AC">
        <w:rPr>
          <w:rFonts w:eastAsia="Cambria"/>
          <w:u w:color="000000"/>
          <w:bdr w:val="nil"/>
          <w:lang w:val="en-US"/>
        </w:rPr>
        <w:t>awareness</w:t>
      </w:r>
      <w:r w:rsidR="008905AC" w:rsidRPr="00DD3A77">
        <w:rPr>
          <w:rFonts w:eastAsia="Cambria"/>
          <w:u w:color="000000"/>
          <w:bdr w:val="nil"/>
          <w:lang w:val="en-US"/>
        </w:rPr>
        <w:t xml:space="preserve"> </w:t>
      </w:r>
      <w:r w:rsidR="0018069A" w:rsidRPr="00DD3A77">
        <w:rPr>
          <w:rFonts w:eastAsia="Cambria"/>
          <w:u w:color="000000"/>
          <w:bdr w:val="nil"/>
          <w:lang w:val="en-US"/>
        </w:rPr>
        <w:t xml:space="preserve">raising (particularly of supervisors since they are perceived as the main perpetrators) </w:t>
      </w:r>
      <w:r w:rsidR="00E61588">
        <w:rPr>
          <w:rFonts w:eastAsia="Cambria"/>
          <w:u w:color="000000"/>
          <w:bdr w:val="nil"/>
          <w:lang w:val="en-US"/>
        </w:rPr>
        <w:t>of</w:t>
      </w:r>
      <w:r w:rsidR="00E61588" w:rsidRPr="00DD3A77">
        <w:rPr>
          <w:rFonts w:eastAsia="Cambria"/>
          <w:u w:color="000000"/>
          <w:bdr w:val="nil"/>
          <w:lang w:val="en-US"/>
        </w:rPr>
        <w:t xml:space="preserve"> </w:t>
      </w:r>
      <w:r w:rsidR="001C5EAD" w:rsidRPr="00DD3A77">
        <w:rPr>
          <w:rFonts w:eastAsia="Cambria"/>
          <w:u w:color="000000"/>
          <w:bdr w:val="nil"/>
          <w:lang w:val="en-US"/>
        </w:rPr>
        <w:t xml:space="preserve">the personal and </w:t>
      </w:r>
      <w:proofErr w:type="spellStart"/>
      <w:r w:rsidR="001C5EAD" w:rsidRPr="00DD3A77">
        <w:rPr>
          <w:rFonts w:eastAsia="Cambria"/>
          <w:u w:color="000000"/>
          <w:bdr w:val="nil"/>
          <w:lang w:val="en-US"/>
        </w:rPr>
        <w:t>organis</w:t>
      </w:r>
      <w:r w:rsidR="0018069A" w:rsidRPr="00DD3A77">
        <w:rPr>
          <w:rFonts w:eastAsia="Cambria"/>
          <w:u w:color="000000"/>
          <w:bdr w:val="nil"/>
          <w:lang w:val="en-US"/>
        </w:rPr>
        <w:t>ational</w:t>
      </w:r>
      <w:proofErr w:type="spellEnd"/>
      <w:r w:rsidR="0018069A" w:rsidRPr="00DD3A77">
        <w:rPr>
          <w:rFonts w:eastAsia="Cambria"/>
          <w:u w:color="000000"/>
          <w:bdr w:val="nil"/>
          <w:lang w:val="en-US"/>
        </w:rPr>
        <w:t xml:space="preserve"> costs of bullying and harassment, </w:t>
      </w:r>
      <w:r w:rsidRPr="00DD3A77">
        <w:rPr>
          <w:rFonts w:eastAsia="Cambria"/>
          <w:u w:color="000000"/>
          <w:bdr w:val="nil"/>
          <w:lang w:val="en-US"/>
        </w:rPr>
        <w:t>and increased social dialogue</w:t>
      </w:r>
      <w:r w:rsidR="00E61588">
        <w:rPr>
          <w:rFonts w:eastAsia="Cambria"/>
          <w:u w:color="000000"/>
          <w:bdr w:val="nil"/>
          <w:lang w:val="en-US"/>
        </w:rPr>
        <w:t xml:space="preserve"> between interest groups (e.g., managers, health and safety, and worker representatives such as unions)</w:t>
      </w:r>
      <w:r w:rsidRPr="00DD3A77">
        <w:rPr>
          <w:rFonts w:eastAsia="Cambria"/>
          <w:u w:color="000000"/>
          <w:bdr w:val="nil"/>
          <w:lang w:val="en-US"/>
        </w:rPr>
        <w:t xml:space="preserve">, </w:t>
      </w:r>
      <w:proofErr w:type="spellStart"/>
      <w:r w:rsidRPr="00DD3A77">
        <w:rPr>
          <w:rFonts w:eastAsia="Cambria"/>
          <w:u w:color="000000"/>
          <w:bdr w:val="nil"/>
          <w:lang w:val="en-US"/>
        </w:rPr>
        <w:t>organisations</w:t>
      </w:r>
      <w:proofErr w:type="spellEnd"/>
      <w:r w:rsidRPr="00DD3A77">
        <w:rPr>
          <w:rFonts w:eastAsia="Cambria"/>
          <w:u w:color="000000"/>
          <w:bdr w:val="nil"/>
          <w:lang w:val="en-US"/>
        </w:rPr>
        <w:t xml:space="preserve"> should shift the focus from removing harmful risks to promoting a positive environment, one which </w:t>
      </w:r>
      <w:r w:rsidR="00780D74">
        <w:rPr>
          <w:rFonts w:eastAsia="Cambria"/>
          <w:u w:color="000000"/>
          <w:bdr w:val="nil"/>
          <w:lang w:val="en-US"/>
        </w:rPr>
        <w:t>imbeds</w:t>
      </w:r>
      <w:r w:rsidR="00780D74" w:rsidRPr="00DD3A77">
        <w:rPr>
          <w:rFonts w:eastAsia="Cambria"/>
          <w:u w:color="000000"/>
          <w:bdr w:val="nil"/>
          <w:lang w:val="en-US"/>
        </w:rPr>
        <w:t xml:space="preserve"> </w:t>
      </w:r>
      <w:r w:rsidRPr="00DD3A77">
        <w:rPr>
          <w:rFonts w:eastAsia="Cambria"/>
          <w:u w:color="000000"/>
          <w:bdr w:val="nil"/>
          <w:lang w:val="en-US"/>
        </w:rPr>
        <w:t xml:space="preserve">ethical values and </w:t>
      </w:r>
      <w:proofErr w:type="spellStart"/>
      <w:r w:rsidRPr="00DD3A77">
        <w:rPr>
          <w:rFonts w:eastAsia="Cambria"/>
          <w:u w:color="000000"/>
          <w:bdr w:val="nil"/>
          <w:lang w:val="en-US"/>
        </w:rPr>
        <w:t>behavioural</w:t>
      </w:r>
      <w:proofErr w:type="spellEnd"/>
      <w:r w:rsidRPr="00DD3A77">
        <w:rPr>
          <w:rFonts w:eastAsia="Cambria"/>
          <w:u w:color="000000"/>
          <w:bdr w:val="nil"/>
          <w:lang w:val="en-US"/>
        </w:rPr>
        <w:t xml:space="preserve"> practices into the </w:t>
      </w:r>
      <w:proofErr w:type="spellStart"/>
      <w:r w:rsidRPr="00DD3A77">
        <w:rPr>
          <w:rFonts w:eastAsia="Cambria"/>
          <w:u w:color="000000"/>
          <w:bdr w:val="nil"/>
          <w:lang w:val="en-US"/>
        </w:rPr>
        <w:t>organisational</w:t>
      </w:r>
      <w:proofErr w:type="spellEnd"/>
      <w:r w:rsidRPr="00DD3A77">
        <w:rPr>
          <w:rFonts w:eastAsia="Cambria"/>
          <w:u w:color="000000"/>
          <w:bdr w:val="nil"/>
          <w:lang w:val="en-US"/>
        </w:rPr>
        <w:t xml:space="preserve"> culture (World Health Organisation, 2010). </w:t>
      </w:r>
      <w:r w:rsidR="00E61588">
        <w:rPr>
          <w:rFonts w:eastAsia="Cambria"/>
          <w:u w:color="000000"/>
          <w:bdr w:val="nil"/>
          <w:lang w:val="en-US"/>
        </w:rPr>
        <w:t>W</w:t>
      </w:r>
      <w:r w:rsidR="004060BB" w:rsidRPr="00DD3A77">
        <w:rPr>
          <w:rFonts w:eastAsia="Cambria"/>
          <w:u w:color="000000"/>
          <w:bdr w:val="nil"/>
          <w:lang w:val="en-US"/>
        </w:rPr>
        <w:t xml:space="preserve">orker psychological health </w:t>
      </w:r>
      <w:r w:rsidR="00680897" w:rsidRPr="00DD3A77">
        <w:rPr>
          <w:rFonts w:eastAsia="Cambria"/>
          <w:u w:color="000000"/>
          <w:bdr w:val="nil"/>
          <w:lang w:val="en-US"/>
        </w:rPr>
        <w:t xml:space="preserve">should be </w:t>
      </w:r>
      <w:r w:rsidR="004060BB" w:rsidRPr="00DD3A77">
        <w:rPr>
          <w:rFonts w:eastAsia="Cambria"/>
          <w:u w:color="000000"/>
          <w:bdr w:val="nil"/>
          <w:lang w:val="en-US"/>
        </w:rPr>
        <w:t xml:space="preserve">a core business value. </w:t>
      </w:r>
      <w:r w:rsidRPr="00DD3A77">
        <w:rPr>
          <w:rFonts w:eastAsia="Cambria"/>
          <w:u w:color="000000"/>
          <w:bdr w:val="nil"/>
          <w:lang w:val="en-US"/>
        </w:rPr>
        <w:t xml:space="preserve">Work should </w:t>
      </w:r>
      <w:r w:rsidR="00680897" w:rsidRPr="00DD3A77">
        <w:rPr>
          <w:rFonts w:eastAsia="Cambria"/>
          <w:u w:color="000000"/>
          <w:bdr w:val="nil"/>
          <w:lang w:val="en-US"/>
        </w:rPr>
        <w:t xml:space="preserve">be </w:t>
      </w:r>
      <w:r w:rsidRPr="00DD3A77">
        <w:rPr>
          <w:rFonts w:eastAsia="Cambria"/>
          <w:u w:color="000000"/>
          <w:bdr w:val="nil"/>
          <w:lang w:val="en-US"/>
        </w:rPr>
        <w:t xml:space="preserve">a place that promotes good health, which may also reduce </w:t>
      </w:r>
      <w:proofErr w:type="spellStart"/>
      <w:r w:rsidRPr="00DD3A77">
        <w:rPr>
          <w:rFonts w:eastAsia="Cambria"/>
          <w:u w:color="000000"/>
          <w:bdr w:val="nil"/>
          <w:lang w:val="en-US"/>
        </w:rPr>
        <w:t>stigmatisation</w:t>
      </w:r>
      <w:proofErr w:type="spellEnd"/>
      <w:r w:rsidRPr="00DD3A77">
        <w:rPr>
          <w:rFonts w:eastAsia="Cambria"/>
          <w:u w:color="000000"/>
          <w:bdr w:val="nil"/>
          <w:lang w:val="en-US"/>
        </w:rPr>
        <w:t xml:space="preserve"> of mental health in the workplace. </w:t>
      </w:r>
    </w:p>
    <w:p w:rsidR="00C55CE8" w:rsidRDefault="00F43118" w:rsidP="00E2784F">
      <w:pPr>
        <w:spacing w:after="120"/>
      </w:pPr>
      <w:r w:rsidRPr="00DD3A77">
        <w:rPr>
          <w:u w:color="000000"/>
          <w:bdr w:val="nil"/>
          <w:lang w:val="en-US"/>
        </w:rPr>
        <w:t xml:space="preserve">The findings of this report provide a guide or basis for identifying which aspects of harassment in Australian </w:t>
      </w:r>
      <w:proofErr w:type="spellStart"/>
      <w:r w:rsidRPr="00DD3A77">
        <w:rPr>
          <w:u w:color="000000"/>
          <w:bdr w:val="nil"/>
          <w:lang w:val="en-US"/>
        </w:rPr>
        <w:t>organisations</w:t>
      </w:r>
      <w:proofErr w:type="spellEnd"/>
      <w:r w:rsidRPr="00DD3A77">
        <w:rPr>
          <w:u w:color="000000"/>
          <w:bdr w:val="nil"/>
          <w:lang w:val="en-US"/>
        </w:rPr>
        <w:t xml:space="preserve"> need to be tackled first. It is clear that yelling and swearing is the most common form of harassment, and it was also the most highly related to health and work consequences: as such this form of harassment should be given a particular focus in work health and safety and </w:t>
      </w:r>
      <w:proofErr w:type="spellStart"/>
      <w:r w:rsidRPr="00DD3A77">
        <w:rPr>
          <w:u w:color="000000"/>
          <w:bdr w:val="nil"/>
          <w:lang w:val="en-US"/>
        </w:rPr>
        <w:t>organisational</w:t>
      </w:r>
      <w:proofErr w:type="spellEnd"/>
      <w:r w:rsidRPr="00DD3A77">
        <w:rPr>
          <w:u w:color="000000"/>
          <w:bdr w:val="nil"/>
          <w:lang w:val="en-US"/>
        </w:rPr>
        <w:t xml:space="preserve"> policy. Further work could focus on developing practical steps in how to manage this form</w:t>
      </w:r>
      <w:r w:rsidR="00E2784F">
        <w:rPr>
          <w:u w:color="000000"/>
          <w:bdr w:val="nil"/>
          <w:lang w:val="en-US"/>
        </w:rPr>
        <w:t xml:space="preserve"> of harassment should it arise.</w:t>
      </w:r>
    </w:p>
    <w:p w:rsidR="00BA39F5" w:rsidRPr="00DD3A77" w:rsidRDefault="0018069A" w:rsidP="00E2784F">
      <w:pPr>
        <w:spacing w:after="120"/>
      </w:pPr>
      <w:r w:rsidRPr="00DD3A77">
        <w:t xml:space="preserve">Overall, strategies to address workplace bullying </w:t>
      </w:r>
      <w:r w:rsidR="003F7EE0" w:rsidRPr="00DD3A77">
        <w:t xml:space="preserve">and harassment </w:t>
      </w:r>
      <w:r w:rsidRPr="00DD3A77">
        <w:t>should emphasise organisational-level primary prevention through monitoring and modifying the risk factors for bullying in the organisational system. Strategies that focus on bullying behaviour (such reporting mechanisms) are important complementary actions, but not sufficient for prevention. Policy and regulation interventions should focus on motivating and rewarding organisations to tackle bullying as a work health and safety hazard via a risk management process. Practical tools to support the risk management of bullying as a psychosocial hazard should be developed and made widely available.</w:t>
      </w:r>
      <w:r w:rsidR="00C55811">
        <w:t> </w:t>
      </w:r>
    </w:p>
    <w:p w:rsidR="00DA6789" w:rsidRDefault="001C5EAD" w:rsidP="00E2784F">
      <w:pPr>
        <w:spacing w:after="120"/>
      </w:pPr>
      <w:r w:rsidRPr="00DD3A77">
        <w:t>Also, s</w:t>
      </w:r>
      <w:r w:rsidR="0018069A" w:rsidRPr="00DD3A77">
        <w:t>upervisor</w:t>
      </w:r>
      <w:r w:rsidRPr="00DD3A77">
        <w:t>s and managers</w:t>
      </w:r>
      <w:r w:rsidR="0018069A" w:rsidRPr="00DD3A77">
        <w:t xml:space="preserve"> should receive education and training regarding appropriate supervisory behaviours, particularly in relation to managing the performance of employees.</w:t>
      </w:r>
      <w:r w:rsidRPr="00DD3A77">
        <w:t xml:space="preserve"> </w:t>
      </w:r>
      <w:r w:rsidR="0018069A" w:rsidRPr="00DD3A77">
        <w:t xml:space="preserve"> As a tertiary measure workplaces should provide access to services such as employee assistance programs or counselling services. </w:t>
      </w:r>
      <w:r w:rsidR="00BA39F5" w:rsidRPr="00DD3A77">
        <w:t xml:space="preserve">Workplaces should establish policies or guidelines for respectful </w:t>
      </w:r>
      <w:r w:rsidR="006514E3" w:rsidRPr="00DD3A77">
        <w:t>behavio</w:t>
      </w:r>
      <w:r w:rsidR="006514E3">
        <w:t>u</w:t>
      </w:r>
      <w:r w:rsidR="006514E3" w:rsidRPr="00DD3A77">
        <w:t>r;</w:t>
      </w:r>
      <w:r w:rsidR="00BA39F5" w:rsidRPr="00DD3A77">
        <w:t xml:space="preserve"> particularly toward women and people from diverse ethnic backgrounds, and how to address bullying</w:t>
      </w:r>
      <w:r w:rsidR="00A00D35" w:rsidRPr="00DD3A77">
        <w:t xml:space="preserve"> and harassment should it occur. A</w:t>
      </w:r>
      <w:r w:rsidR="00BA39F5" w:rsidRPr="00DD3A77">
        <w:t xml:space="preserve">ttention should be drawn to the legal and </w:t>
      </w:r>
      <w:proofErr w:type="spellStart"/>
      <w:r w:rsidR="00BA39F5" w:rsidRPr="00DD3A77">
        <w:t>WHS</w:t>
      </w:r>
      <w:proofErr w:type="spellEnd"/>
      <w:r w:rsidR="00BA39F5" w:rsidRPr="00DD3A77">
        <w:t xml:space="preserve"> implications and organisational sanctions. </w:t>
      </w:r>
    </w:p>
    <w:p w:rsidR="00C55811" w:rsidRDefault="005C3A2D" w:rsidP="00E2784F">
      <w:pPr>
        <w:spacing w:after="120"/>
        <w:rPr>
          <w:u w:color="000000"/>
          <w:bdr w:val="nil"/>
          <w:lang w:val="en-US"/>
        </w:rPr>
      </w:pPr>
      <w:r w:rsidRPr="00DD3A77">
        <w:rPr>
          <w:u w:color="000000"/>
          <w:bdr w:val="nil"/>
          <w:lang w:val="en-US"/>
        </w:rPr>
        <w:t>In Australia, seven jurisdictions (A</w:t>
      </w:r>
      <w:r w:rsidR="000B18AB">
        <w:rPr>
          <w:u w:color="000000"/>
          <w:bdr w:val="nil"/>
          <w:lang w:val="en-US"/>
        </w:rPr>
        <w:t xml:space="preserve">ustralian </w:t>
      </w:r>
      <w:r w:rsidRPr="00DD3A77">
        <w:rPr>
          <w:u w:color="000000"/>
          <w:bdr w:val="nil"/>
          <w:lang w:val="en-US"/>
        </w:rPr>
        <w:t>C</w:t>
      </w:r>
      <w:r w:rsidR="000B18AB">
        <w:rPr>
          <w:u w:color="000000"/>
          <w:bdr w:val="nil"/>
          <w:lang w:val="en-US"/>
        </w:rPr>
        <w:t xml:space="preserve">apital </w:t>
      </w:r>
      <w:r w:rsidRPr="00DD3A77">
        <w:rPr>
          <w:u w:color="000000"/>
          <w:bdr w:val="nil"/>
          <w:lang w:val="en-US"/>
        </w:rPr>
        <w:t>T</w:t>
      </w:r>
      <w:r w:rsidR="000B18AB">
        <w:rPr>
          <w:u w:color="000000"/>
          <w:bdr w:val="nil"/>
          <w:lang w:val="en-US"/>
        </w:rPr>
        <w:t>erritory</w:t>
      </w:r>
      <w:r w:rsidRPr="00DD3A77">
        <w:rPr>
          <w:u w:color="000000"/>
          <w:bdr w:val="nil"/>
          <w:lang w:val="en-US"/>
        </w:rPr>
        <w:t xml:space="preserve">, </w:t>
      </w:r>
      <w:r w:rsidR="000B18AB">
        <w:rPr>
          <w:u w:color="000000"/>
          <w:bdr w:val="nil"/>
          <w:lang w:val="en-US"/>
        </w:rPr>
        <w:t>Commonwealth</w:t>
      </w:r>
      <w:r w:rsidRPr="00DD3A77">
        <w:rPr>
          <w:u w:color="000000"/>
          <w:bdr w:val="nil"/>
          <w:lang w:val="en-US"/>
        </w:rPr>
        <w:t>, N</w:t>
      </w:r>
      <w:r w:rsidR="000B18AB">
        <w:rPr>
          <w:u w:color="000000"/>
          <w:bdr w:val="nil"/>
          <w:lang w:val="en-US"/>
        </w:rPr>
        <w:t xml:space="preserve">ew </w:t>
      </w:r>
      <w:r w:rsidRPr="00DD3A77">
        <w:rPr>
          <w:u w:color="000000"/>
          <w:bdr w:val="nil"/>
          <w:lang w:val="en-US"/>
        </w:rPr>
        <w:t>S</w:t>
      </w:r>
      <w:r w:rsidR="000B18AB">
        <w:rPr>
          <w:u w:color="000000"/>
          <w:bdr w:val="nil"/>
          <w:lang w:val="en-US"/>
        </w:rPr>
        <w:t xml:space="preserve">outh </w:t>
      </w:r>
      <w:r w:rsidRPr="00DD3A77">
        <w:rPr>
          <w:u w:color="000000"/>
          <w:bdr w:val="nil"/>
          <w:lang w:val="en-US"/>
        </w:rPr>
        <w:t>W</w:t>
      </w:r>
      <w:r w:rsidR="000B18AB">
        <w:rPr>
          <w:u w:color="000000"/>
          <w:bdr w:val="nil"/>
          <w:lang w:val="en-US"/>
        </w:rPr>
        <w:t>ales</w:t>
      </w:r>
      <w:r w:rsidRPr="00DD3A77">
        <w:rPr>
          <w:u w:color="000000"/>
          <w:bdr w:val="nil"/>
          <w:lang w:val="en-US"/>
        </w:rPr>
        <w:t>, N</w:t>
      </w:r>
      <w:r w:rsidR="000B18AB">
        <w:rPr>
          <w:u w:color="000000"/>
          <w:bdr w:val="nil"/>
          <w:lang w:val="en-US"/>
        </w:rPr>
        <w:t xml:space="preserve">orthern </w:t>
      </w:r>
      <w:r w:rsidRPr="00DD3A77">
        <w:rPr>
          <w:u w:color="000000"/>
          <w:bdr w:val="nil"/>
          <w:lang w:val="en-US"/>
        </w:rPr>
        <w:t>T</w:t>
      </w:r>
      <w:r w:rsidR="000B18AB">
        <w:rPr>
          <w:u w:color="000000"/>
          <w:bdr w:val="nil"/>
          <w:lang w:val="en-US"/>
        </w:rPr>
        <w:t>erritory, Queensland</w:t>
      </w:r>
      <w:r w:rsidRPr="00DD3A77">
        <w:rPr>
          <w:u w:color="000000"/>
          <w:bdr w:val="nil"/>
          <w:lang w:val="en-US"/>
        </w:rPr>
        <w:t>, S</w:t>
      </w:r>
      <w:r w:rsidR="000B18AB">
        <w:rPr>
          <w:u w:color="000000"/>
          <w:bdr w:val="nil"/>
          <w:lang w:val="en-US"/>
        </w:rPr>
        <w:t xml:space="preserve">outh </w:t>
      </w:r>
      <w:r w:rsidRPr="00DD3A77">
        <w:rPr>
          <w:u w:color="000000"/>
          <w:bdr w:val="nil"/>
          <w:lang w:val="en-US"/>
        </w:rPr>
        <w:t>A</w:t>
      </w:r>
      <w:r w:rsidR="000B18AB">
        <w:rPr>
          <w:u w:color="000000"/>
          <w:bdr w:val="nil"/>
          <w:lang w:val="en-US"/>
        </w:rPr>
        <w:t>ustralia and</w:t>
      </w:r>
      <w:r w:rsidRPr="00DD3A77">
        <w:rPr>
          <w:u w:color="000000"/>
          <w:bdr w:val="nil"/>
          <w:lang w:val="en-US"/>
        </w:rPr>
        <w:t xml:space="preserve"> Tas</w:t>
      </w:r>
      <w:r w:rsidR="000B18AB">
        <w:rPr>
          <w:u w:color="000000"/>
          <w:bdr w:val="nil"/>
          <w:lang w:val="en-US"/>
        </w:rPr>
        <w:t>mania</w:t>
      </w:r>
      <w:r w:rsidRPr="00DD3A77">
        <w:rPr>
          <w:u w:color="000000"/>
          <w:bdr w:val="nil"/>
          <w:lang w:val="en-US"/>
        </w:rPr>
        <w:t>) have adopted the national model Work Health and Safety (</w:t>
      </w:r>
      <w:proofErr w:type="spellStart"/>
      <w:r w:rsidRPr="00DD3A77">
        <w:rPr>
          <w:u w:color="000000"/>
          <w:bdr w:val="nil"/>
          <w:lang w:val="en-US"/>
        </w:rPr>
        <w:t>WHS</w:t>
      </w:r>
      <w:proofErr w:type="spellEnd"/>
      <w:r w:rsidRPr="00DD3A77">
        <w:rPr>
          <w:u w:color="000000"/>
          <w:bdr w:val="nil"/>
          <w:lang w:val="en-US"/>
        </w:rPr>
        <w:t xml:space="preserve">) Act. The model </w:t>
      </w:r>
      <w:proofErr w:type="spellStart"/>
      <w:r w:rsidRPr="00DD3A77">
        <w:rPr>
          <w:u w:color="000000"/>
          <w:bdr w:val="nil"/>
          <w:lang w:val="en-US"/>
        </w:rPr>
        <w:t>WHS</w:t>
      </w:r>
      <w:proofErr w:type="spellEnd"/>
      <w:r w:rsidRPr="00DD3A77">
        <w:rPr>
          <w:u w:color="000000"/>
          <w:bdr w:val="nil"/>
          <w:lang w:val="en-US"/>
        </w:rPr>
        <w:t xml:space="preserve"> Act protects workers and other persons against harm to their health, safety and welfare by imposing a duty of care on a person conducting a business or undertaking that requires the person to eliminate or </w:t>
      </w:r>
      <w:proofErr w:type="spellStart"/>
      <w:r w:rsidRPr="00DD3A77">
        <w:rPr>
          <w:u w:color="000000"/>
          <w:bdr w:val="nil"/>
          <w:lang w:val="en-US"/>
        </w:rPr>
        <w:t>minimise</w:t>
      </w:r>
      <w:proofErr w:type="spellEnd"/>
      <w:r w:rsidRPr="00DD3A77">
        <w:rPr>
          <w:u w:color="000000"/>
          <w:bdr w:val="nil"/>
          <w:lang w:val="en-US"/>
        </w:rPr>
        <w:t xml:space="preserve"> risks to health and safety arising from work. ‘Health’ is defined to include psychological health as well as physical health, which means this duty of care requires the elimination or </w:t>
      </w:r>
      <w:proofErr w:type="spellStart"/>
      <w:r w:rsidRPr="00DD3A77">
        <w:rPr>
          <w:u w:color="000000"/>
          <w:bdr w:val="nil"/>
          <w:lang w:val="en-US"/>
        </w:rPr>
        <w:t>minimisation</w:t>
      </w:r>
      <w:proofErr w:type="spellEnd"/>
      <w:r w:rsidRPr="00DD3A77">
        <w:rPr>
          <w:u w:color="000000"/>
          <w:bdr w:val="nil"/>
          <w:lang w:val="en-US"/>
        </w:rPr>
        <w:t xml:space="preserve"> of psychosocial hazards and risks</w:t>
      </w:r>
      <w:r w:rsidR="00A00D35" w:rsidRPr="00DD3A77">
        <w:rPr>
          <w:u w:color="000000"/>
          <w:bdr w:val="nil"/>
          <w:lang w:val="en-US"/>
        </w:rPr>
        <w:t>.</w:t>
      </w:r>
    </w:p>
    <w:p w:rsidR="00400475" w:rsidRDefault="005C3A2D" w:rsidP="00E2784F">
      <w:pPr>
        <w:spacing w:after="120"/>
        <w:rPr>
          <w:u w:color="000000"/>
          <w:bdr w:val="nil"/>
          <w:lang w:val="en-US"/>
        </w:rPr>
      </w:pPr>
      <w:r w:rsidRPr="00DD3A77">
        <w:rPr>
          <w:u w:color="000000"/>
          <w:bdr w:val="nil"/>
          <w:lang w:val="en-US"/>
        </w:rPr>
        <w:t>Safe Work Australia and work health and safety jurisdictions have published a wide range of material relating to psychosocial hazards and their health effects including the Fact Sheet on Preventing Psychological Injury under Work Health and Safety Laws, the Guide for Preventing and Responding to Workplace Bullying</w:t>
      </w:r>
      <w:r w:rsidRPr="005C3A2D">
        <w:rPr>
          <w:u w:color="000000"/>
          <w:bdr w:val="nil"/>
          <w:lang w:val="en-US"/>
        </w:rPr>
        <w:t xml:space="preserve">, Dealing with Workplace Bullying – a </w:t>
      </w:r>
      <w:r w:rsidRPr="005C3A2D">
        <w:rPr>
          <w:u w:color="000000"/>
          <w:bdr w:val="nil"/>
          <w:lang w:val="en-US"/>
        </w:rPr>
        <w:lastRenderedPageBreak/>
        <w:t xml:space="preserve">Worker’s Guide, the Guide for Managing the Risk of Fatigue at Work, and Fatigue Management – a Worker’s Guide (Safe Work Australia 2014; </w:t>
      </w:r>
      <w:proofErr w:type="spellStart"/>
      <w:r w:rsidRPr="005C3A2D">
        <w:rPr>
          <w:u w:color="000000"/>
          <w:bdr w:val="nil"/>
          <w:lang w:val="en-US"/>
        </w:rPr>
        <w:t>2013,b</w:t>
      </w:r>
      <w:r w:rsidR="00033702">
        <w:rPr>
          <w:u w:color="000000"/>
          <w:bdr w:val="nil"/>
          <w:lang w:val="en-US"/>
        </w:rPr>
        <w:t>,c,d</w:t>
      </w:r>
      <w:r w:rsidR="001E2F01">
        <w:rPr>
          <w:u w:color="000000"/>
          <w:bdr w:val="nil"/>
          <w:lang w:val="en-US"/>
        </w:rPr>
        <w:t>,e</w:t>
      </w:r>
      <w:proofErr w:type="spellEnd"/>
      <w:r w:rsidRPr="005C3A2D">
        <w:rPr>
          <w:u w:color="000000"/>
          <w:bdr w:val="nil"/>
          <w:lang w:val="en-US"/>
        </w:rPr>
        <w:t>)</w:t>
      </w:r>
      <w:r w:rsidR="00E61588">
        <w:rPr>
          <w:u w:color="000000"/>
          <w:bdr w:val="nil"/>
          <w:lang w:val="en-US"/>
        </w:rPr>
        <w:t xml:space="preserve"> that may assist in the prevention and management or workplace bullying and harassment</w:t>
      </w:r>
      <w:r w:rsidRPr="005C3A2D">
        <w:rPr>
          <w:u w:color="000000"/>
          <w:bdr w:val="nil"/>
          <w:lang w:val="en-US"/>
        </w:rPr>
        <w:t>.</w:t>
      </w:r>
    </w:p>
    <w:p w:rsidR="000C55DA" w:rsidRPr="00E2784F" w:rsidRDefault="000C55DA" w:rsidP="00E2784F">
      <w:pPr>
        <w:pStyle w:val="Heading2"/>
        <w:spacing w:before="240" w:after="120"/>
        <w:rPr>
          <w:rFonts w:eastAsia="Cambria"/>
          <w:u w:color="000000"/>
          <w:bdr w:val="nil"/>
          <w:lang w:val="en-US"/>
        </w:rPr>
      </w:pPr>
      <w:r w:rsidRPr="00E2784F">
        <w:rPr>
          <w:rFonts w:eastAsia="Cambria"/>
          <w:u w:color="000000"/>
          <w:bdr w:val="nil"/>
          <w:lang w:val="en-US"/>
        </w:rPr>
        <w:t xml:space="preserve">Limitations </w:t>
      </w:r>
    </w:p>
    <w:p w:rsidR="00400475" w:rsidRDefault="00E61588" w:rsidP="00E2784F">
      <w:pPr>
        <w:spacing w:after="120"/>
        <w:rPr>
          <w:u w:color="000000"/>
          <w:bdr w:val="nil"/>
          <w:lang w:val="en-US"/>
        </w:rPr>
      </w:pPr>
      <w:r>
        <w:rPr>
          <w:u w:color="000000"/>
          <w:bdr w:val="nil"/>
          <w:lang w:val="en-US"/>
        </w:rPr>
        <w:t>In making international comparisons, i</w:t>
      </w:r>
      <w:r w:rsidR="00BD3D3C">
        <w:rPr>
          <w:u w:color="000000"/>
          <w:bdr w:val="nil"/>
          <w:lang w:val="en-US"/>
        </w:rPr>
        <w:t xml:space="preserve">t is important to acknowledge there were different approaches to data collection among European countries in comparison to Australia in regard to the definitions used </w:t>
      </w:r>
      <w:r>
        <w:rPr>
          <w:u w:color="000000"/>
          <w:bdr w:val="nil"/>
          <w:lang w:val="en-US"/>
        </w:rPr>
        <w:t xml:space="preserve">to estimate bullying rates. </w:t>
      </w:r>
      <w:r w:rsidR="00231650">
        <w:rPr>
          <w:u w:color="000000"/>
          <w:bdr w:val="nil"/>
          <w:lang w:val="en-US"/>
        </w:rPr>
        <w:t>In addition, a</w:t>
      </w:r>
      <w:r w:rsidR="005C0192" w:rsidRPr="005C0192">
        <w:rPr>
          <w:u w:color="000000"/>
          <w:bdr w:val="nil"/>
          <w:lang w:val="en-US"/>
        </w:rPr>
        <w:t xml:space="preserve">ll measures included in this report were based on self-reported data collected by the </w:t>
      </w:r>
      <w:proofErr w:type="spellStart"/>
      <w:r w:rsidR="005C0192" w:rsidRPr="005C0192">
        <w:rPr>
          <w:u w:color="000000"/>
          <w:bdr w:val="nil"/>
          <w:lang w:val="en-US"/>
        </w:rPr>
        <w:t>AWB</w:t>
      </w:r>
      <w:proofErr w:type="spellEnd"/>
      <w:r w:rsidR="005C0192" w:rsidRPr="005C0192">
        <w:rPr>
          <w:u w:color="000000"/>
          <w:bdr w:val="nil"/>
          <w:lang w:val="en-US"/>
        </w:rPr>
        <w:t>. As a result, these measures are susceptible to bias caused by individuals’ perceptions. Those with negative perceptions about their work environment and psychological health may also have negative perceptions about their own performance.</w:t>
      </w:r>
    </w:p>
    <w:p w:rsidR="00F43118" w:rsidRPr="00E2784F" w:rsidRDefault="00F43118" w:rsidP="00E2784F">
      <w:pPr>
        <w:pStyle w:val="Heading2"/>
        <w:spacing w:before="240" w:after="120"/>
        <w:rPr>
          <w:rFonts w:eastAsia="Cambria"/>
          <w:u w:color="000000"/>
          <w:bdr w:val="nil"/>
          <w:lang w:val="en-US"/>
        </w:rPr>
      </w:pPr>
      <w:r w:rsidRPr="00E2784F">
        <w:rPr>
          <w:rFonts w:eastAsia="Cambria"/>
          <w:u w:color="000000"/>
          <w:bdr w:val="nil"/>
          <w:lang w:val="en-US"/>
        </w:rPr>
        <w:t xml:space="preserve">Future </w:t>
      </w:r>
      <w:r w:rsidR="00400475" w:rsidRPr="00E2784F">
        <w:rPr>
          <w:rFonts w:eastAsia="Cambria"/>
          <w:u w:color="000000"/>
          <w:bdr w:val="nil"/>
          <w:lang w:val="en-US"/>
        </w:rPr>
        <w:t>R</w:t>
      </w:r>
      <w:r w:rsidRPr="00E2784F">
        <w:rPr>
          <w:rFonts w:eastAsia="Cambria"/>
          <w:u w:color="000000"/>
          <w:bdr w:val="nil"/>
          <w:lang w:val="en-US"/>
        </w:rPr>
        <w:t>esearch</w:t>
      </w:r>
    </w:p>
    <w:p w:rsidR="007E4383" w:rsidRDefault="00F43118" w:rsidP="00E2784F">
      <w:pPr>
        <w:spacing w:after="120"/>
        <w:rPr>
          <w:rFonts w:ascii="Times New Roman" w:hAnsi="Times New Roman"/>
          <w:b/>
          <w:bCs/>
          <w:color w:val="000000"/>
          <w:sz w:val="24"/>
          <w:u w:color="000000"/>
          <w:bdr w:val="nil"/>
          <w:lang w:val="en-US"/>
        </w:rPr>
      </w:pPr>
      <w:r w:rsidRPr="00F43118">
        <w:rPr>
          <w:u w:color="000000"/>
          <w:bdr w:val="nil"/>
          <w:lang w:val="en-US"/>
        </w:rPr>
        <w:t>PSC is an optimal target for primary prevention and intervention approaches to mitigate workplace bullying</w:t>
      </w:r>
      <w:r w:rsidR="00E61588">
        <w:rPr>
          <w:u w:color="000000"/>
          <w:bdr w:val="nil"/>
          <w:lang w:val="en-US"/>
        </w:rPr>
        <w:t xml:space="preserve">. </w:t>
      </w:r>
      <w:r w:rsidRPr="00F43118">
        <w:rPr>
          <w:u w:color="000000"/>
          <w:bdr w:val="nil"/>
          <w:lang w:val="en-US"/>
        </w:rPr>
        <w:t xml:space="preserve"> Further work is required to ascertain the specific actions required by managers</w:t>
      </w:r>
      <w:r w:rsidR="00AE19B2">
        <w:rPr>
          <w:u w:color="000000"/>
          <w:bdr w:val="nil"/>
          <w:lang w:val="en-US"/>
        </w:rPr>
        <w:t xml:space="preserve"> at various </w:t>
      </w:r>
      <w:proofErr w:type="spellStart"/>
      <w:r w:rsidR="000779AA">
        <w:rPr>
          <w:u w:color="000000"/>
          <w:bdr w:val="nil"/>
          <w:lang w:val="en-US"/>
        </w:rPr>
        <w:t>organis</w:t>
      </w:r>
      <w:r w:rsidR="00E61588">
        <w:rPr>
          <w:u w:color="000000"/>
          <w:bdr w:val="nil"/>
          <w:lang w:val="en-US"/>
        </w:rPr>
        <w:t>ational</w:t>
      </w:r>
      <w:proofErr w:type="spellEnd"/>
      <w:r w:rsidR="00E61588">
        <w:rPr>
          <w:u w:color="000000"/>
          <w:bdr w:val="nil"/>
          <w:lang w:val="en-US"/>
        </w:rPr>
        <w:t xml:space="preserve"> </w:t>
      </w:r>
      <w:r w:rsidR="00AE19B2">
        <w:rPr>
          <w:u w:color="000000"/>
          <w:bdr w:val="nil"/>
          <w:lang w:val="en-US"/>
        </w:rPr>
        <w:t>levels</w:t>
      </w:r>
      <w:r w:rsidRPr="00F43118">
        <w:rPr>
          <w:u w:color="000000"/>
          <w:bdr w:val="nil"/>
          <w:lang w:val="en-US"/>
        </w:rPr>
        <w:t xml:space="preserve">, policy makers, </w:t>
      </w:r>
      <w:r w:rsidR="000779AA">
        <w:rPr>
          <w:u w:color="000000"/>
          <w:bdr w:val="nil"/>
          <w:lang w:val="en-US"/>
        </w:rPr>
        <w:t xml:space="preserve">work health and safety personnel, and </w:t>
      </w:r>
      <w:r w:rsidRPr="00F43118">
        <w:rPr>
          <w:u w:color="000000"/>
          <w:bdr w:val="nil"/>
          <w:lang w:val="en-US"/>
        </w:rPr>
        <w:t xml:space="preserve">employees and their representatives to produce high PSC </w:t>
      </w:r>
      <w:proofErr w:type="spellStart"/>
      <w:r w:rsidRPr="00F43118">
        <w:rPr>
          <w:u w:color="000000"/>
          <w:bdr w:val="nil"/>
          <w:lang w:val="en-US"/>
        </w:rPr>
        <w:t>organisations</w:t>
      </w:r>
      <w:proofErr w:type="spellEnd"/>
      <w:r w:rsidR="000779AA">
        <w:rPr>
          <w:u w:color="000000"/>
          <w:bdr w:val="nil"/>
          <w:lang w:val="en-US"/>
        </w:rPr>
        <w:t xml:space="preserve">. This evidence could be </w:t>
      </w:r>
      <w:r w:rsidRPr="00F43118">
        <w:rPr>
          <w:u w:color="000000"/>
          <w:bdr w:val="nil"/>
          <w:lang w:val="en-US"/>
        </w:rPr>
        <w:t>supported by work health and safety bodies and included in a national framework with accompanying guidance material</w:t>
      </w:r>
      <w:r w:rsidR="000779AA">
        <w:rPr>
          <w:u w:color="000000"/>
          <w:bdr w:val="nil"/>
          <w:lang w:val="en-US"/>
        </w:rPr>
        <w:t xml:space="preserve"> to assist </w:t>
      </w:r>
      <w:proofErr w:type="spellStart"/>
      <w:r w:rsidR="000779AA">
        <w:rPr>
          <w:u w:color="000000"/>
          <w:bdr w:val="nil"/>
          <w:lang w:val="en-US"/>
        </w:rPr>
        <w:t>organisations</w:t>
      </w:r>
      <w:proofErr w:type="spellEnd"/>
      <w:r w:rsidR="000779AA">
        <w:rPr>
          <w:u w:color="000000"/>
          <w:bdr w:val="nil"/>
          <w:lang w:val="en-US"/>
        </w:rPr>
        <w:t xml:space="preserve"> in the prevention and management of workplace bullying and harassment</w:t>
      </w:r>
      <w:r w:rsidRPr="00F43118">
        <w:rPr>
          <w:u w:color="000000"/>
          <w:bdr w:val="nil"/>
          <w:lang w:val="en-US"/>
        </w:rPr>
        <w:t xml:space="preserve">. Future research on PSC </w:t>
      </w:r>
      <w:r w:rsidR="000779AA">
        <w:rPr>
          <w:u w:color="000000"/>
          <w:bdr w:val="nil"/>
          <w:lang w:val="en-US"/>
        </w:rPr>
        <w:t xml:space="preserve">risk </w:t>
      </w:r>
      <w:r w:rsidRPr="00F43118">
        <w:rPr>
          <w:u w:color="000000"/>
          <w:bdr w:val="nil"/>
          <w:lang w:val="en-US"/>
        </w:rPr>
        <w:t xml:space="preserve">levels for </w:t>
      </w:r>
      <w:r w:rsidR="000779AA">
        <w:rPr>
          <w:u w:color="000000"/>
          <w:bdr w:val="nil"/>
          <w:lang w:val="en-US"/>
        </w:rPr>
        <w:t xml:space="preserve">future </w:t>
      </w:r>
      <w:r w:rsidRPr="00F43118">
        <w:rPr>
          <w:u w:color="000000"/>
          <w:bdr w:val="nil"/>
          <w:lang w:val="en-US"/>
        </w:rPr>
        <w:t xml:space="preserve">bullying </w:t>
      </w:r>
      <w:r w:rsidR="000779AA">
        <w:rPr>
          <w:u w:color="000000"/>
          <w:bdr w:val="nil"/>
          <w:lang w:val="en-US"/>
        </w:rPr>
        <w:t xml:space="preserve">and harassment </w:t>
      </w:r>
      <w:r w:rsidRPr="00F43118">
        <w:rPr>
          <w:u w:color="000000"/>
          <w:bdr w:val="nil"/>
          <w:lang w:val="en-US"/>
        </w:rPr>
        <w:t xml:space="preserve">for use in </w:t>
      </w:r>
      <w:proofErr w:type="spellStart"/>
      <w:r w:rsidRPr="00F43118">
        <w:rPr>
          <w:u w:color="000000"/>
          <w:bdr w:val="nil"/>
          <w:lang w:val="en-US"/>
        </w:rPr>
        <w:t>organisations</w:t>
      </w:r>
      <w:proofErr w:type="spellEnd"/>
      <w:r w:rsidRPr="00F43118">
        <w:rPr>
          <w:u w:color="000000"/>
          <w:bdr w:val="nil"/>
          <w:lang w:val="en-US"/>
        </w:rPr>
        <w:t xml:space="preserve"> is required.</w:t>
      </w:r>
    </w:p>
    <w:p w:rsidR="004B457A" w:rsidRDefault="004B457A">
      <w:pPr>
        <w:rPr>
          <w:rFonts w:ascii="Arial Black" w:eastAsia="Cambria" w:hAnsi="Arial Black" w:cs="Calibri"/>
          <w:b/>
          <w:sz w:val="28"/>
          <w:szCs w:val="28"/>
          <w:u w:color="000000"/>
          <w:bdr w:val="nil"/>
          <w:lang w:val="en-US"/>
        </w:rPr>
      </w:pPr>
      <w:r>
        <w:rPr>
          <w:rFonts w:ascii="Arial Black" w:eastAsia="Cambria" w:hAnsi="Arial Black" w:cs="Calibri"/>
          <w:b/>
          <w:sz w:val="28"/>
          <w:szCs w:val="28"/>
          <w:u w:color="000000"/>
          <w:bdr w:val="nil"/>
          <w:lang w:val="en-US"/>
        </w:rPr>
        <w:br w:type="page"/>
      </w:r>
    </w:p>
    <w:p w:rsidR="00F43118" w:rsidRPr="00F43118" w:rsidRDefault="00F43118" w:rsidP="004B457A">
      <w:pPr>
        <w:pStyle w:val="Heading1"/>
        <w:rPr>
          <w:rFonts w:eastAsia="Cambria"/>
          <w:u w:color="000000"/>
          <w:bdr w:val="nil"/>
          <w:lang w:val="en-US"/>
        </w:rPr>
      </w:pPr>
      <w:r w:rsidRPr="00F43118">
        <w:rPr>
          <w:rFonts w:eastAsia="Cambria"/>
          <w:u w:color="000000"/>
          <w:bdr w:val="nil"/>
          <w:lang w:val="en-US"/>
        </w:rPr>
        <w:lastRenderedPageBreak/>
        <w:t>References</w:t>
      </w:r>
    </w:p>
    <w:p w:rsidR="00702476" w:rsidRDefault="00702476" w:rsidP="007C3642">
      <w:pPr>
        <w:ind w:left="709" w:hanging="720"/>
        <w:rPr>
          <w:rFonts w:eastAsia="Cambria"/>
          <w:u w:color="000000"/>
          <w:bdr w:val="nil"/>
          <w:lang w:val="en-US"/>
        </w:rPr>
      </w:pPr>
      <w:proofErr w:type="gramStart"/>
      <w:r>
        <w:rPr>
          <w:rFonts w:eastAsia="Cambria"/>
          <w:u w:color="000000"/>
          <w:bdr w:val="nil"/>
          <w:lang w:val="en-US"/>
        </w:rPr>
        <w:t>Australian Public Service Commission.</w:t>
      </w:r>
      <w:proofErr w:type="gramEnd"/>
      <w:r>
        <w:rPr>
          <w:rFonts w:eastAsia="Cambria"/>
          <w:u w:color="000000"/>
          <w:bdr w:val="nil"/>
          <w:lang w:val="en-US"/>
        </w:rPr>
        <w:t xml:space="preserve"> </w:t>
      </w:r>
      <w:proofErr w:type="gramStart"/>
      <w:r>
        <w:rPr>
          <w:rFonts w:eastAsia="Cambria"/>
          <w:u w:color="000000"/>
          <w:bdr w:val="nil"/>
          <w:lang w:val="en-US"/>
        </w:rPr>
        <w:t>(2015). State of the service report, psychosocial safety climate.</w:t>
      </w:r>
      <w:proofErr w:type="gramEnd"/>
      <w:r>
        <w:rPr>
          <w:rFonts w:eastAsia="Cambria"/>
          <w:u w:color="000000"/>
          <w:bdr w:val="nil"/>
          <w:lang w:val="en-US"/>
        </w:rPr>
        <w:t xml:space="preserve"> </w:t>
      </w:r>
      <w:r w:rsidRPr="004B457A">
        <w:rPr>
          <w:rFonts w:eastAsia="Cambria" w:cs="Arial"/>
          <w:u w:color="000000"/>
          <w:bdr w:val="nil"/>
          <w:lang w:val="en-US"/>
        </w:rPr>
        <w:t xml:space="preserve">Retrieved from: </w:t>
      </w:r>
      <w:r w:rsidRPr="004B457A">
        <w:rPr>
          <w:rFonts w:cs="Arial"/>
        </w:rPr>
        <w:t>http://stateoftheservice.apsc.gov.au/2015/11/psychosocial-safety-climate/</w:t>
      </w:r>
    </w:p>
    <w:p w:rsidR="00F43118" w:rsidRP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 xml:space="preserve">Bailey, </w:t>
      </w:r>
      <w:proofErr w:type="spellStart"/>
      <w:r w:rsidRPr="00F43118">
        <w:rPr>
          <w:rFonts w:eastAsia="Cambria"/>
          <w:u w:color="000000"/>
          <w:bdr w:val="nil"/>
          <w:lang w:val="en-US"/>
        </w:rPr>
        <w:t>T.S</w:t>
      </w:r>
      <w:proofErr w:type="spellEnd"/>
      <w:r w:rsidRPr="00F43118">
        <w:rPr>
          <w:rFonts w:eastAsia="Cambria"/>
          <w:u w:color="000000"/>
          <w:bdr w:val="nil"/>
          <w:lang w:val="en-US"/>
        </w:rPr>
        <w:t xml:space="preserve">., Dollard, </w:t>
      </w:r>
      <w:proofErr w:type="spellStart"/>
      <w:r w:rsidRPr="00F43118">
        <w:rPr>
          <w:rFonts w:eastAsia="Cambria"/>
          <w:u w:color="000000"/>
          <w:bdr w:val="nil"/>
          <w:lang w:val="en-US"/>
        </w:rPr>
        <w:t>M.F</w:t>
      </w:r>
      <w:proofErr w:type="spellEnd"/>
      <w:r w:rsidRPr="00F43118">
        <w:rPr>
          <w:rFonts w:eastAsia="Cambria"/>
          <w:u w:color="000000"/>
          <w:bdr w:val="nil"/>
          <w:lang w:val="en-US"/>
        </w:rPr>
        <w:t xml:space="preserve">., &amp; Tuckey, </w:t>
      </w:r>
      <w:proofErr w:type="spellStart"/>
      <w:r w:rsidRPr="00F43118">
        <w:rPr>
          <w:rFonts w:eastAsia="Cambria"/>
          <w:u w:color="000000"/>
          <w:bdr w:val="nil"/>
          <w:lang w:val="en-US"/>
        </w:rPr>
        <w:t>M.R</w:t>
      </w:r>
      <w:proofErr w:type="spellEnd"/>
      <w:r w:rsidRPr="00F43118">
        <w:rPr>
          <w:rFonts w:eastAsia="Cambria"/>
          <w:u w:color="000000"/>
          <w:bdr w:val="nil"/>
          <w:lang w:val="en-US"/>
        </w:rPr>
        <w:t>. (2014).</w:t>
      </w:r>
      <w:proofErr w:type="gramEnd"/>
      <w:r w:rsidRPr="00F43118">
        <w:rPr>
          <w:rFonts w:eastAsia="Cambria"/>
          <w:u w:color="000000"/>
          <w:bdr w:val="nil"/>
          <w:lang w:val="en-US"/>
        </w:rPr>
        <w:t xml:space="preserve"> </w:t>
      </w:r>
      <w:proofErr w:type="gramStart"/>
      <w:r w:rsidRPr="00F43118">
        <w:rPr>
          <w:rFonts w:eastAsia="Cambria"/>
          <w:u w:color="000000"/>
          <w:bdr w:val="nil"/>
          <w:lang w:val="en-US"/>
        </w:rPr>
        <w:t>Prevalence, antecedents and implications of workplace bullying and harassment in Australia.</w:t>
      </w:r>
      <w:proofErr w:type="gramEnd"/>
      <w:r w:rsidRPr="00F43118">
        <w:rPr>
          <w:rFonts w:eastAsia="Cambria"/>
          <w:u w:color="000000"/>
          <w:bdr w:val="nil"/>
          <w:lang w:val="en-US"/>
        </w:rPr>
        <w:t xml:space="preserve"> In Dollard, </w:t>
      </w:r>
      <w:proofErr w:type="spellStart"/>
      <w:r w:rsidRPr="00F43118">
        <w:rPr>
          <w:rFonts w:eastAsia="Cambria"/>
          <w:u w:color="000000"/>
          <w:bdr w:val="nil"/>
          <w:lang w:val="en-US"/>
        </w:rPr>
        <w:t>M.F</w:t>
      </w:r>
      <w:proofErr w:type="spellEnd"/>
      <w:r w:rsidRPr="00F43118">
        <w:rPr>
          <w:rFonts w:eastAsia="Cambria"/>
          <w:u w:color="000000"/>
          <w:bdr w:val="nil"/>
          <w:lang w:val="en-US"/>
        </w:rPr>
        <w:t>. &amp; Bailey, T. S. (</w:t>
      </w:r>
      <w:proofErr w:type="spellStart"/>
      <w:r w:rsidRPr="00F43118">
        <w:rPr>
          <w:rFonts w:eastAsia="Cambria"/>
          <w:u w:color="000000"/>
          <w:bdr w:val="nil"/>
          <w:lang w:val="en-US"/>
        </w:rPr>
        <w:t>Eds</w:t>
      </w:r>
      <w:proofErr w:type="spellEnd"/>
      <w:r w:rsidRPr="00F43118">
        <w:rPr>
          <w:rFonts w:eastAsia="Cambria"/>
          <w:u w:color="000000"/>
          <w:bdr w:val="nil"/>
          <w:lang w:val="en-US"/>
        </w:rPr>
        <w:t>)</w:t>
      </w:r>
      <w:proofErr w:type="gramStart"/>
      <w:r w:rsidRPr="00F43118">
        <w:rPr>
          <w:rFonts w:eastAsia="Cambria"/>
          <w:u w:color="000000"/>
          <w:bdr w:val="nil"/>
          <w:lang w:val="en-US"/>
        </w:rPr>
        <w:t>.,</w:t>
      </w:r>
      <w:proofErr w:type="gramEnd"/>
      <w:r w:rsidRPr="00F43118">
        <w:rPr>
          <w:rFonts w:eastAsia="Cambria"/>
          <w:u w:color="000000"/>
          <w:bdr w:val="nil"/>
          <w:lang w:val="en-US"/>
        </w:rPr>
        <w:t xml:space="preserve"> (2014). </w:t>
      </w:r>
      <w:r w:rsidRPr="00F43118">
        <w:rPr>
          <w:rFonts w:eastAsia="Cambria"/>
          <w:i/>
          <w:iCs/>
          <w:u w:color="000000"/>
          <w:bdr w:val="nil"/>
          <w:lang w:val="en-US"/>
        </w:rPr>
        <w:t>Australian Workplace Barometer: Psychosocial Safety Climate and working conditions in Australia</w:t>
      </w:r>
      <w:r w:rsidRPr="00F43118">
        <w:rPr>
          <w:rFonts w:eastAsia="Cambria"/>
          <w:u w:color="000000"/>
          <w:bdr w:val="nil"/>
          <w:lang w:val="en-US"/>
        </w:rPr>
        <w:t xml:space="preserve">, 14-181. </w:t>
      </w:r>
      <w:proofErr w:type="gramStart"/>
      <w:r w:rsidRPr="00F43118">
        <w:rPr>
          <w:rFonts w:eastAsia="Cambria"/>
          <w:u w:color="000000"/>
          <w:bdr w:val="nil"/>
          <w:lang w:val="en-US"/>
        </w:rPr>
        <w:t xml:space="preserve">Samford Valley </w:t>
      </w:r>
      <w:proofErr w:type="spellStart"/>
      <w:r w:rsidRPr="00F43118">
        <w:rPr>
          <w:rFonts w:eastAsia="Cambria"/>
          <w:u w:color="000000"/>
          <w:bdr w:val="nil"/>
          <w:lang w:val="en-US"/>
        </w:rPr>
        <w:t>QLD</w:t>
      </w:r>
      <w:proofErr w:type="spellEnd"/>
      <w:r w:rsidRPr="00F43118">
        <w:rPr>
          <w:rFonts w:eastAsia="Cambria"/>
          <w:u w:color="000000"/>
          <w:bdr w:val="nil"/>
          <w:lang w:val="en-US"/>
        </w:rPr>
        <w:t>; Australian Academic Press).</w:t>
      </w:r>
      <w:proofErr w:type="gramEnd"/>
    </w:p>
    <w:p w:rsidR="00F43118" w:rsidRPr="00680897" w:rsidRDefault="00F43118" w:rsidP="007C3642">
      <w:pPr>
        <w:ind w:left="709" w:hanging="720"/>
        <w:rPr>
          <w:rFonts w:asciiTheme="minorHAnsi" w:eastAsia="Cambria" w:hAnsiTheme="minorHAnsi" w:cstheme="minorHAnsi"/>
          <w:u w:color="000000"/>
          <w:bdr w:val="nil"/>
          <w:lang w:val="en-US"/>
        </w:rPr>
      </w:pPr>
      <w:proofErr w:type="gramStart"/>
      <w:r w:rsidRPr="00F43118">
        <w:rPr>
          <w:rFonts w:eastAsia="Cambria"/>
          <w:u w:color="000000"/>
          <w:bdr w:val="nil"/>
          <w:lang w:val="en-US"/>
        </w:rPr>
        <w:t>Bailey, T. S., Dollard, M. F., &amp; Richards, P.A. M. (2015).</w:t>
      </w:r>
      <w:proofErr w:type="gramEnd"/>
      <w:r w:rsidRPr="00F43118">
        <w:rPr>
          <w:rFonts w:eastAsia="Cambria"/>
          <w:u w:color="000000"/>
          <w:bdr w:val="nil"/>
          <w:lang w:val="en-US"/>
        </w:rPr>
        <w:t xml:space="preserve"> </w:t>
      </w:r>
      <w:r w:rsidRPr="004B457A">
        <w:rPr>
          <w:rFonts w:eastAsia="Cambria"/>
        </w:rPr>
        <w:t>A national standard for psychosocial safety climate (PSC): PSC 41 as the benchmark for low risk of job strain and depressive symptoms. Journal of Occupational Health Psychology, 20(1), 15-26.</w:t>
      </w:r>
    </w:p>
    <w:p w:rsidR="00F43118" w:rsidRPr="00C11A05" w:rsidRDefault="00F43118" w:rsidP="007C3642">
      <w:pPr>
        <w:ind w:left="709" w:hanging="720"/>
        <w:rPr>
          <w:rFonts w:eastAsia="Cambria"/>
          <w:u w:color="000000"/>
          <w:bdr w:val="nil"/>
          <w:lang w:val="en-US"/>
        </w:rPr>
      </w:pPr>
      <w:proofErr w:type="gramStart"/>
      <w:r w:rsidRPr="00C11A05">
        <w:rPr>
          <w:rFonts w:eastAsia="Cambria"/>
          <w:u w:color="000000"/>
          <w:bdr w:val="nil"/>
          <w:lang w:val="en-US"/>
        </w:rPr>
        <w:t xml:space="preserve">Becher, H., &amp; Dollard, </w:t>
      </w:r>
      <w:proofErr w:type="spellStart"/>
      <w:r w:rsidRPr="00C11A05">
        <w:rPr>
          <w:rFonts w:eastAsia="Cambria"/>
          <w:u w:color="000000"/>
          <w:bdr w:val="nil"/>
          <w:lang w:val="en-US"/>
        </w:rPr>
        <w:t>M.F</w:t>
      </w:r>
      <w:proofErr w:type="spellEnd"/>
      <w:r w:rsidRPr="00C11A05">
        <w:rPr>
          <w:rFonts w:eastAsia="Cambria"/>
          <w:u w:color="000000"/>
          <w:bdr w:val="nil"/>
          <w:lang w:val="en-US"/>
        </w:rPr>
        <w:t>. (201</w:t>
      </w:r>
      <w:r w:rsidR="00115BA3">
        <w:rPr>
          <w:rFonts w:eastAsia="Cambria"/>
          <w:u w:color="000000"/>
          <w:bdr w:val="nil"/>
          <w:lang w:val="en-US"/>
        </w:rPr>
        <w:t>6)</w:t>
      </w:r>
      <w:r w:rsidRPr="00C11A05">
        <w:rPr>
          <w:rFonts w:eastAsia="Cambria"/>
          <w:u w:color="000000"/>
          <w:bdr w:val="nil"/>
          <w:lang w:val="en-US"/>
        </w:rPr>
        <w:t>.</w:t>
      </w:r>
      <w:proofErr w:type="gramEnd"/>
      <w:r w:rsidRPr="00C11A05">
        <w:rPr>
          <w:rFonts w:eastAsia="Cambria"/>
          <w:u w:color="000000"/>
          <w:bdr w:val="nil"/>
          <w:lang w:val="en-US"/>
        </w:rPr>
        <w:t xml:space="preserve"> </w:t>
      </w:r>
      <w:proofErr w:type="gramStart"/>
      <w:r w:rsidR="00C11A05" w:rsidRPr="00C11A05">
        <w:t>Psychosocial safety climate and better productivity in Australian workplaces</w:t>
      </w:r>
      <w:r w:rsidR="004C53EB" w:rsidRPr="00C11A05">
        <w:rPr>
          <w:rFonts w:eastAsia="Cambria"/>
          <w:u w:color="000000"/>
          <w:bdr w:val="nil"/>
          <w:lang w:val="en-US"/>
        </w:rPr>
        <w:t>.</w:t>
      </w:r>
      <w:proofErr w:type="gramEnd"/>
      <w:r w:rsidR="004C53EB" w:rsidRPr="00C11A05">
        <w:rPr>
          <w:rFonts w:eastAsia="Cambria"/>
          <w:u w:color="000000"/>
          <w:bdr w:val="nil"/>
          <w:lang w:val="en-US"/>
        </w:rPr>
        <w:t xml:space="preserve"> </w:t>
      </w:r>
      <w:proofErr w:type="gramStart"/>
      <w:r w:rsidRPr="00C11A05">
        <w:rPr>
          <w:rFonts w:eastAsia="Cambria"/>
          <w:u w:color="000000"/>
          <w:bdr w:val="nil"/>
          <w:lang w:val="en-US"/>
        </w:rPr>
        <w:t>Safe Work Australia; Canberra.</w:t>
      </w:r>
      <w:proofErr w:type="gramEnd"/>
    </w:p>
    <w:p w:rsidR="00F43118" w:rsidRPr="00680897" w:rsidRDefault="00F43118" w:rsidP="007C3642">
      <w:pPr>
        <w:ind w:left="709" w:hanging="720"/>
        <w:rPr>
          <w:rFonts w:eastAsia="Cambria"/>
          <w:u w:color="000000"/>
          <w:bdr w:val="nil"/>
          <w:lang w:val="en-US"/>
        </w:rPr>
      </w:pPr>
      <w:proofErr w:type="gramStart"/>
      <w:r w:rsidRPr="00727D20">
        <w:rPr>
          <w:rFonts w:eastAsia="Cambria"/>
          <w:i/>
          <w:u w:color="000000"/>
          <w:bdr w:val="nil"/>
          <w:lang w:val="en-US"/>
        </w:rPr>
        <w:t>Beyondblue</w:t>
      </w:r>
      <w:r w:rsidRPr="00C11A05">
        <w:rPr>
          <w:rFonts w:eastAsia="Cambria"/>
          <w:u w:color="000000"/>
          <w:bdr w:val="nil"/>
          <w:lang w:val="en-US"/>
        </w:rPr>
        <w:t xml:space="preserve"> (2014).</w:t>
      </w:r>
      <w:proofErr w:type="gramEnd"/>
      <w:r w:rsidRPr="00C11A05">
        <w:rPr>
          <w:rFonts w:eastAsia="Cambria"/>
          <w:u w:color="000000"/>
          <w:bdr w:val="nil"/>
          <w:lang w:val="en-US"/>
        </w:rPr>
        <w:t xml:space="preserve"> https://www</w:t>
      </w:r>
      <w:r w:rsidRPr="00680897">
        <w:rPr>
          <w:rFonts w:eastAsia="Cambria"/>
          <w:u w:color="000000"/>
          <w:bdr w:val="nil"/>
          <w:lang w:val="en-US"/>
        </w:rPr>
        <w:t>.headsup.org.au/docs/default-source/resources/bl1270-report---tns-the-state-of-mental-health-in-australian-workplaces-hr.pdf?sfvrsn=8</w:t>
      </w:r>
    </w:p>
    <w:p w:rsidR="00F43118" w:rsidRPr="00F43118" w:rsidRDefault="00F43118" w:rsidP="007C3642">
      <w:pPr>
        <w:ind w:left="709" w:hanging="720"/>
        <w:rPr>
          <w:rFonts w:eastAsia="Cambria"/>
          <w:u w:color="000000"/>
          <w:bdr w:val="nil"/>
          <w:lang w:val="en-US"/>
        </w:rPr>
      </w:pPr>
      <w:r w:rsidRPr="00680897">
        <w:rPr>
          <w:rFonts w:eastAsia="Cambria"/>
          <w:u w:color="000000"/>
          <w:bdr w:val="nil"/>
          <w:lang w:val="en-US"/>
        </w:rPr>
        <w:t xml:space="preserve">Bond, </w:t>
      </w:r>
      <w:proofErr w:type="spellStart"/>
      <w:r w:rsidRPr="00680897">
        <w:rPr>
          <w:rFonts w:eastAsia="Cambria"/>
          <w:u w:color="000000"/>
          <w:bdr w:val="nil"/>
          <w:lang w:val="en-US"/>
        </w:rPr>
        <w:t>S.A.</w:t>
      </w:r>
      <w:proofErr w:type="gramStart"/>
      <w:r w:rsidRPr="00680897">
        <w:rPr>
          <w:rFonts w:eastAsia="Cambria"/>
          <w:u w:color="000000"/>
          <w:bdr w:val="nil"/>
          <w:lang w:val="en-US"/>
        </w:rPr>
        <w:t>,Tuckey</w:t>
      </w:r>
      <w:proofErr w:type="spellEnd"/>
      <w:proofErr w:type="gramEnd"/>
      <w:r w:rsidRPr="00680897">
        <w:rPr>
          <w:rFonts w:eastAsia="Cambria"/>
          <w:u w:color="000000"/>
          <w:bdr w:val="nil"/>
          <w:lang w:val="en-US"/>
        </w:rPr>
        <w:t xml:space="preserve">, </w:t>
      </w:r>
      <w:proofErr w:type="spellStart"/>
      <w:r w:rsidRPr="00680897">
        <w:rPr>
          <w:rFonts w:eastAsia="Cambria"/>
          <w:u w:color="000000"/>
          <w:bdr w:val="nil"/>
          <w:lang w:val="en-US"/>
        </w:rPr>
        <w:t>M.R</w:t>
      </w:r>
      <w:proofErr w:type="spellEnd"/>
      <w:r w:rsidRPr="00680897">
        <w:rPr>
          <w:rFonts w:eastAsia="Cambria"/>
          <w:u w:color="000000"/>
          <w:bdr w:val="nil"/>
          <w:lang w:val="en-US"/>
        </w:rPr>
        <w:t xml:space="preserve">., &amp; Dollard, </w:t>
      </w:r>
      <w:proofErr w:type="spellStart"/>
      <w:r w:rsidRPr="00680897">
        <w:rPr>
          <w:rFonts w:eastAsia="Cambria"/>
          <w:u w:color="000000"/>
          <w:bdr w:val="nil"/>
          <w:lang w:val="en-US"/>
        </w:rPr>
        <w:t>M.F</w:t>
      </w:r>
      <w:proofErr w:type="spellEnd"/>
      <w:r w:rsidRPr="00680897">
        <w:rPr>
          <w:rFonts w:eastAsia="Cambria"/>
          <w:u w:color="000000"/>
          <w:bdr w:val="nil"/>
          <w:lang w:val="en-US"/>
        </w:rPr>
        <w:t xml:space="preserve">. (2010). </w:t>
      </w:r>
      <w:proofErr w:type="gramStart"/>
      <w:r w:rsidRPr="00680897">
        <w:rPr>
          <w:rFonts w:eastAsia="Cambria"/>
          <w:u w:color="000000"/>
          <w:bdr w:val="nil"/>
          <w:lang w:val="en-US"/>
        </w:rPr>
        <w:t>Psychosocial safety climate, workplace bullying, and symptoms of</w:t>
      </w:r>
      <w:r w:rsidRPr="00F43118">
        <w:rPr>
          <w:rFonts w:eastAsia="Cambria"/>
          <w:u w:color="000000"/>
          <w:bdr w:val="nil"/>
          <w:lang w:val="en-US"/>
        </w:rPr>
        <w:t xml:space="preserve"> posttraumatic stress.</w:t>
      </w:r>
      <w:proofErr w:type="gramEnd"/>
      <w:r w:rsidRPr="00F43118">
        <w:rPr>
          <w:rFonts w:eastAsia="Cambria"/>
          <w:u w:color="000000"/>
          <w:bdr w:val="nil"/>
          <w:lang w:val="en-US"/>
        </w:rPr>
        <w:t xml:space="preserve"> </w:t>
      </w:r>
      <w:r w:rsidRPr="00F43118">
        <w:rPr>
          <w:rFonts w:eastAsia="Cambria"/>
          <w:i/>
          <w:iCs/>
          <w:u w:color="000000"/>
          <w:bdr w:val="nil"/>
          <w:lang w:val="en-US"/>
        </w:rPr>
        <w:t xml:space="preserve">Organization Development Journal, 28(1), </w:t>
      </w:r>
      <w:r w:rsidRPr="00F43118">
        <w:rPr>
          <w:rFonts w:eastAsia="Cambria"/>
          <w:u w:color="000000"/>
          <w:bdr w:val="nil"/>
          <w:lang w:val="en-US"/>
        </w:rPr>
        <w:t>37–56.</w:t>
      </w:r>
    </w:p>
    <w:p w:rsidR="00F43118" w:rsidRP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 xml:space="preserve">Bowling, </w:t>
      </w:r>
      <w:proofErr w:type="spellStart"/>
      <w:r w:rsidRPr="00F43118">
        <w:rPr>
          <w:rFonts w:eastAsia="Cambria"/>
          <w:u w:color="000000"/>
          <w:bdr w:val="nil"/>
          <w:lang w:val="en-US"/>
        </w:rPr>
        <w:t>N.A</w:t>
      </w:r>
      <w:proofErr w:type="spellEnd"/>
      <w:r w:rsidRPr="00F43118">
        <w:rPr>
          <w:rFonts w:eastAsia="Cambria"/>
          <w:u w:color="000000"/>
          <w:bdr w:val="nil"/>
          <w:lang w:val="en-US"/>
        </w:rPr>
        <w:t xml:space="preserve">. &amp; </w:t>
      </w:r>
      <w:proofErr w:type="spellStart"/>
      <w:r w:rsidRPr="00F43118">
        <w:rPr>
          <w:rFonts w:eastAsia="Cambria"/>
          <w:u w:color="000000"/>
          <w:bdr w:val="nil"/>
          <w:lang w:val="en-US"/>
        </w:rPr>
        <w:t>Beehr</w:t>
      </w:r>
      <w:proofErr w:type="spellEnd"/>
      <w:r w:rsidRPr="00F43118">
        <w:rPr>
          <w:rFonts w:eastAsia="Cambria"/>
          <w:u w:color="000000"/>
          <w:bdr w:val="nil"/>
          <w:lang w:val="en-US"/>
        </w:rPr>
        <w:t xml:space="preserve">, </w:t>
      </w:r>
      <w:proofErr w:type="spellStart"/>
      <w:r w:rsidRPr="00F43118">
        <w:rPr>
          <w:rFonts w:eastAsia="Cambria"/>
          <w:u w:color="000000"/>
          <w:bdr w:val="nil"/>
          <w:lang w:val="en-US"/>
        </w:rPr>
        <w:t>T.A</w:t>
      </w:r>
      <w:proofErr w:type="spellEnd"/>
      <w:r w:rsidRPr="00F43118">
        <w:rPr>
          <w:rFonts w:eastAsia="Cambria"/>
          <w:u w:color="000000"/>
          <w:bdr w:val="nil"/>
          <w:lang w:val="en-US"/>
        </w:rPr>
        <w:t>. (2006).</w:t>
      </w:r>
      <w:proofErr w:type="gramEnd"/>
      <w:r w:rsidRPr="00F43118">
        <w:rPr>
          <w:rFonts w:eastAsia="Cambria"/>
          <w:u w:color="000000"/>
          <w:bdr w:val="nil"/>
          <w:lang w:val="en-US"/>
        </w:rPr>
        <w:t xml:space="preserve"> Workplace harassment from the victim’s perspective: a theoretical model and meta-analysis. </w:t>
      </w:r>
      <w:proofErr w:type="gramStart"/>
      <w:r w:rsidRPr="00F43118">
        <w:rPr>
          <w:rFonts w:eastAsia="Cambria"/>
          <w:i/>
          <w:iCs/>
          <w:u w:color="000000"/>
          <w:bdr w:val="nil"/>
          <w:lang w:val="en-US"/>
        </w:rPr>
        <w:t>Journal of Applied Psycholo</w:t>
      </w:r>
      <w:r w:rsidRPr="00F43118">
        <w:rPr>
          <w:rFonts w:eastAsia="Cambria"/>
          <w:i/>
          <w:u w:color="000000"/>
          <w:bdr w:val="nil"/>
          <w:lang w:val="en-US"/>
        </w:rPr>
        <w:t>gy, 91(5</w:t>
      </w:r>
      <w:r w:rsidRPr="00F43118">
        <w:rPr>
          <w:rFonts w:eastAsia="Cambria"/>
          <w:u w:color="000000"/>
          <w:bdr w:val="nil"/>
          <w:lang w:val="en-US"/>
        </w:rPr>
        <w:t>), 998–1012.</w:t>
      </w:r>
      <w:proofErr w:type="gramEnd"/>
    </w:p>
    <w:p w:rsidR="00F43118" w:rsidRPr="00F43118" w:rsidRDefault="00F43118" w:rsidP="007C3642">
      <w:pPr>
        <w:ind w:left="709" w:hanging="720"/>
        <w:rPr>
          <w:rFonts w:eastAsia="Cambria"/>
          <w:iCs/>
          <w:u w:color="000000"/>
          <w:bdr w:val="nil"/>
        </w:rPr>
      </w:pPr>
      <w:r w:rsidRPr="00F43118">
        <w:rPr>
          <w:rFonts w:eastAsia="Cambria"/>
          <w:iCs/>
          <w:u w:color="000000"/>
          <w:bdr w:val="nil"/>
        </w:rPr>
        <w:t xml:space="preserve">Cohen, J. (1992). </w:t>
      </w:r>
      <w:proofErr w:type="gramStart"/>
      <w:r w:rsidRPr="00F43118">
        <w:rPr>
          <w:rFonts w:eastAsia="Cambria"/>
          <w:iCs/>
          <w:u w:color="000000"/>
          <w:bdr w:val="nil"/>
        </w:rPr>
        <w:t>A power primer.</w:t>
      </w:r>
      <w:proofErr w:type="gramEnd"/>
      <w:r w:rsidRPr="00F43118">
        <w:rPr>
          <w:rFonts w:eastAsia="Cambria"/>
          <w:iCs/>
          <w:u w:color="000000"/>
          <w:bdr w:val="nil"/>
        </w:rPr>
        <w:t xml:space="preserve"> </w:t>
      </w:r>
      <w:r w:rsidRPr="00F43118">
        <w:rPr>
          <w:rFonts w:eastAsia="Cambria"/>
          <w:i/>
          <w:iCs/>
          <w:u w:color="000000"/>
          <w:bdr w:val="nil"/>
        </w:rPr>
        <w:t>Psychological Bulletin,</w:t>
      </w:r>
      <w:r w:rsidRPr="00F43118">
        <w:rPr>
          <w:rFonts w:eastAsia="Cambria"/>
          <w:iCs/>
          <w:u w:color="000000"/>
          <w:bdr w:val="nil"/>
        </w:rPr>
        <w:t xml:space="preserve"> </w:t>
      </w:r>
      <w:r w:rsidRPr="00F43118">
        <w:rPr>
          <w:rFonts w:eastAsia="Cambria"/>
          <w:bCs/>
          <w:i/>
          <w:iCs/>
          <w:u w:color="000000"/>
          <w:bdr w:val="nil"/>
        </w:rPr>
        <w:t>112</w:t>
      </w:r>
      <w:r w:rsidRPr="00F43118">
        <w:rPr>
          <w:rFonts w:eastAsia="Cambria"/>
          <w:i/>
          <w:iCs/>
          <w:u w:color="000000"/>
          <w:bdr w:val="nil"/>
        </w:rPr>
        <w:t>,</w:t>
      </w:r>
      <w:r w:rsidRPr="00F43118">
        <w:rPr>
          <w:rFonts w:eastAsia="Cambria"/>
          <w:iCs/>
          <w:u w:color="000000"/>
          <w:bdr w:val="nil"/>
        </w:rPr>
        <w:t xml:space="preserve"> 155–159.</w:t>
      </w:r>
    </w:p>
    <w:p w:rsidR="00F43118" w:rsidRP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 xml:space="preserve">Cooper, </w:t>
      </w:r>
      <w:proofErr w:type="spellStart"/>
      <w:r w:rsidRPr="00F43118">
        <w:rPr>
          <w:rFonts w:eastAsia="Cambria"/>
          <w:u w:color="000000"/>
          <w:bdr w:val="nil"/>
          <w:lang w:val="en-US"/>
        </w:rPr>
        <w:t>C.L</w:t>
      </w:r>
      <w:proofErr w:type="spellEnd"/>
      <w:r w:rsidRPr="00F43118">
        <w:rPr>
          <w:rFonts w:eastAsia="Cambria"/>
          <w:u w:color="000000"/>
          <w:bdr w:val="nil"/>
          <w:lang w:val="en-US"/>
        </w:rPr>
        <w:t xml:space="preserve">., </w:t>
      </w:r>
      <w:proofErr w:type="spellStart"/>
      <w:r w:rsidRPr="00F43118">
        <w:rPr>
          <w:rFonts w:eastAsia="Cambria"/>
          <w:u w:color="000000"/>
          <w:bdr w:val="nil"/>
          <w:lang w:val="en-US"/>
        </w:rPr>
        <w:t>Dewe</w:t>
      </w:r>
      <w:proofErr w:type="spellEnd"/>
      <w:r w:rsidRPr="00F43118">
        <w:rPr>
          <w:rFonts w:eastAsia="Cambria"/>
          <w:u w:color="000000"/>
          <w:bdr w:val="nil"/>
          <w:lang w:val="en-US"/>
        </w:rPr>
        <w:t xml:space="preserve">, </w:t>
      </w:r>
      <w:proofErr w:type="spellStart"/>
      <w:r w:rsidRPr="00F43118">
        <w:rPr>
          <w:rFonts w:eastAsia="Cambria"/>
          <w:u w:color="000000"/>
          <w:bdr w:val="nil"/>
          <w:lang w:val="en-US"/>
        </w:rPr>
        <w:t>P.J</w:t>
      </w:r>
      <w:proofErr w:type="spellEnd"/>
      <w:r w:rsidRPr="00F43118">
        <w:rPr>
          <w:rFonts w:eastAsia="Cambria"/>
          <w:u w:color="000000"/>
          <w:bdr w:val="nil"/>
          <w:lang w:val="en-US"/>
        </w:rPr>
        <w:t>., &amp; O’Driscoll.</w:t>
      </w:r>
      <w:proofErr w:type="gramEnd"/>
      <w:r w:rsidRPr="00F43118">
        <w:rPr>
          <w:rFonts w:eastAsia="Cambria"/>
          <w:u w:color="000000"/>
          <w:bdr w:val="nil"/>
          <w:lang w:val="en-US"/>
        </w:rPr>
        <w:t xml:space="preserve"> </w:t>
      </w:r>
      <w:proofErr w:type="gramStart"/>
      <w:r w:rsidRPr="00F43118">
        <w:rPr>
          <w:rFonts w:eastAsia="Cambria"/>
          <w:u w:color="000000"/>
          <w:bdr w:val="nil"/>
          <w:lang w:val="en-US"/>
        </w:rPr>
        <w:t xml:space="preserve">(20001). </w:t>
      </w:r>
      <w:proofErr w:type="spellStart"/>
      <w:r w:rsidRPr="00F43118">
        <w:rPr>
          <w:rFonts w:eastAsia="Cambria"/>
          <w:u w:color="000000"/>
          <w:bdr w:val="nil"/>
          <w:lang w:val="en-US"/>
        </w:rPr>
        <w:t>Organisational</w:t>
      </w:r>
      <w:proofErr w:type="spellEnd"/>
      <w:r w:rsidRPr="00F43118">
        <w:rPr>
          <w:rFonts w:eastAsia="Cambria"/>
          <w:u w:color="000000"/>
          <w:bdr w:val="nil"/>
          <w:lang w:val="en-US"/>
        </w:rPr>
        <w:t xml:space="preserve"> stress.</w:t>
      </w:r>
      <w:proofErr w:type="gramEnd"/>
      <w:r w:rsidRPr="00F43118">
        <w:rPr>
          <w:rFonts w:eastAsia="Cambria"/>
          <w:u w:color="000000"/>
          <w:bdr w:val="nil"/>
          <w:lang w:val="en-US"/>
        </w:rPr>
        <w:t xml:space="preserve"> </w:t>
      </w:r>
      <w:proofErr w:type="gramStart"/>
      <w:r w:rsidRPr="00F43118">
        <w:rPr>
          <w:rFonts w:eastAsia="Cambria"/>
          <w:u w:color="000000"/>
          <w:bdr w:val="nil"/>
          <w:lang w:val="en-US"/>
        </w:rPr>
        <w:t>A review and critique of theory, research, and applications.</w:t>
      </w:r>
      <w:proofErr w:type="gramEnd"/>
      <w:r w:rsidRPr="00F43118">
        <w:rPr>
          <w:rFonts w:eastAsia="Cambria"/>
          <w:u w:color="000000"/>
          <w:bdr w:val="nil"/>
          <w:lang w:val="en-US"/>
        </w:rPr>
        <w:t xml:space="preserve"> California: Sage.</w:t>
      </w:r>
    </w:p>
    <w:p w:rsidR="00F43118" w:rsidRPr="00F43118" w:rsidRDefault="00F43118" w:rsidP="007C3642">
      <w:pPr>
        <w:ind w:left="709" w:hanging="720"/>
        <w:rPr>
          <w:rFonts w:eastAsia="Cambria"/>
          <w:i/>
          <w:u w:color="000000"/>
          <w:bdr w:val="nil"/>
          <w:lang w:val="en-US"/>
        </w:rPr>
      </w:pPr>
      <w:r w:rsidRPr="00F43118">
        <w:rPr>
          <w:rFonts w:eastAsia="Cambria"/>
          <w:u w:color="000000"/>
          <w:bdr w:val="nil"/>
          <w:lang w:val="en-US"/>
        </w:rPr>
        <w:t xml:space="preserve">Cortina, L. M., </w:t>
      </w:r>
      <w:proofErr w:type="spellStart"/>
      <w:r w:rsidRPr="00F43118">
        <w:rPr>
          <w:rFonts w:eastAsia="Cambria"/>
          <w:u w:color="000000"/>
          <w:bdr w:val="nil"/>
          <w:lang w:val="en-US"/>
        </w:rPr>
        <w:t>Magley</w:t>
      </w:r>
      <w:proofErr w:type="spellEnd"/>
      <w:r w:rsidRPr="00F43118">
        <w:rPr>
          <w:rFonts w:eastAsia="Cambria"/>
          <w:u w:color="000000"/>
          <w:bdr w:val="nil"/>
          <w:lang w:val="en-US"/>
        </w:rPr>
        <w:t xml:space="preserve">, V. J., Williams, J. H., &amp; </w:t>
      </w:r>
      <w:proofErr w:type="spellStart"/>
      <w:r w:rsidRPr="00F43118">
        <w:rPr>
          <w:rFonts w:eastAsia="Cambria"/>
          <w:u w:color="000000"/>
          <w:bdr w:val="nil"/>
          <w:lang w:val="en-US"/>
        </w:rPr>
        <w:t>Langhout</w:t>
      </w:r>
      <w:proofErr w:type="spellEnd"/>
      <w:r w:rsidRPr="00F43118">
        <w:rPr>
          <w:rFonts w:eastAsia="Cambria"/>
          <w:u w:color="000000"/>
          <w:bdr w:val="nil"/>
          <w:lang w:val="en-US"/>
        </w:rPr>
        <w:t xml:space="preserve">, R. D. (2001). Incivility in the workplace: Incidence and impact. </w:t>
      </w:r>
      <w:r w:rsidRPr="00F43118">
        <w:rPr>
          <w:rFonts w:eastAsia="Cambria"/>
          <w:i/>
          <w:u w:color="000000"/>
          <w:bdr w:val="nil"/>
          <w:lang w:val="en-US"/>
        </w:rPr>
        <w:t>Journal of Occupational Health Psychology, 6</w:t>
      </w:r>
      <w:r w:rsidRPr="00F43118">
        <w:rPr>
          <w:rFonts w:eastAsia="Cambria"/>
          <w:u w:color="000000"/>
          <w:bdr w:val="nil"/>
          <w:lang w:val="en-US"/>
        </w:rPr>
        <w:t>, 64–80.</w:t>
      </w:r>
    </w:p>
    <w:p w:rsidR="00F43118" w:rsidRDefault="00F43118" w:rsidP="007C3642">
      <w:pPr>
        <w:ind w:left="709" w:hanging="720"/>
        <w:rPr>
          <w:bCs/>
          <w:u w:color="000000"/>
          <w:bdr w:val="nil"/>
          <w:lang w:val="en-US"/>
        </w:rPr>
      </w:pPr>
      <w:proofErr w:type="gramStart"/>
      <w:r w:rsidRPr="00F43118">
        <w:rPr>
          <w:bCs/>
          <w:u w:color="000000"/>
          <w:bdr w:val="nil"/>
          <w:lang w:val="en-US"/>
        </w:rPr>
        <w:t xml:space="preserve">Coyne, I., Smith-Lee Chong, P., </w:t>
      </w:r>
      <w:proofErr w:type="spellStart"/>
      <w:r w:rsidRPr="00F43118">
        <w:rPr>
          <w:bCs/>
          <w:u w:color="000000"/>
          <w:bdr w:val="nil"/>
          <w:lang w:val="en-US"/>
        </w:rPr>
        <w:t>Seigne</w:t>
      </w:r>
      <w:proofErr w:type="spellEnd"/>
      <w:r w:rsidRPr="00F43118">
        <w:rPr>
          <w:bCs/>
          <w:u w:color="000000"/>
          <w:bdr w:val="nil"/>
          <w:lang w:val="en-US"/>
        </w:rPr>
        <w:t>, E., &amp; Randall, P. (2003).</w:t>
      </w:r>
      <w:proofErr w:type="gramEnd"/>
      <w:r w:rsidRPr="00F43118">
        <w:rPr>
          <w:bCs/>
          <w:u w:color="000000"/>
          <w:bdr w:val="nil"/>
          <w:lang w:val="en-US"/>
        </w:rPr>
        <w:t xml:space="preserve"> Self and peer nominations of bullying: An analysis of incidents rates, individual differences, and perceptions of the work environment. </w:t>
      </w:r>
      <w:r w:rsidRPr="00F43118">
        <w:rPr>
          <w:bCs/>
          <w:i/>
          <w:u w:color="000000"/>
          <w:bdr w:val="nil"/>
          <w:lang w:val="en-US"/>
        </w:rPr>
        <w:t xml:space="preserve">European Journal of Work and Organizational Psychology, 12, </w:t>
      </w:r>
      <w:r w:rsidRPr="00F43118">
        <w:rPr>
          <w:bCs/>
          <w:u w:color="000000"/>
          <w:bdr w:val="nil"/>
          <w:lang w:val="en-US"/>
        </w:rPr>
        <w:t>209–228.</w:t>
      </w:r>
    </w:p>
    <w:p w:rsidR="00EF69E0" w:rsidRPr="00EF69E0" w:rsidRDefault="00CB1D64" w:rsidP="007C3642">
      <w:pPr>
        <w:ind w:left="709" w:hanging="720"/>
      </w:pPr>
      <w:proofErr w:type="gramStart"/>
      <w:r w:rsidRPr="00CB1D64">
        <w:t xml:space="preserve">Dal Grande, E., </w:t>
      </w:r>
      <w:proofErr w:type="spellStart"/>
      <w:r w:rsidRPr="00CB1D64">
        <w:t>Chittleborough</w:t>
      </w:r>
      <w:proofErr w:type="spellEnd"/>
      <w:r w:rsidRPr="00CB1D64">
        <w:t xml:space="preserve">, C. R., </w:t>
      </w:r>
      <w:proofErr w:type="spellStart"/>
      <w:r w:rsidRPr="00CB1D64">
        <w:t>Campostrini</w:t>
      </w:r>
      <w:proofErr w:type="spellEnd"/>
      <w:r w:rsidRPr="00CB1D64">
        <w:t>, S., Dollard, M., &amp; Taylor, A. W. (2016).</w:t>
      </w:r>
      <w:proofErr w:type="gramEnd"/>
      <w:r w:rsidRPr="00CB1D64">
        <w:t xml:space="preserve"> Pre-Survey Text Messages (SMS) Improve Participation Rate in an Australian Mobile Telephone Survey: An Experimental Study. </w:t>
      </w:r>
      <w:proofErr w:type="spellStart"/>
      <w:r w:rsidRPr="00CB1D64">
        <w:rPr>
          <w:i/>
          <w:iCs/>
        </w:rPr>
        <w:t>PloS</w:t>
      </w:r>
      <w:proofErr w:type="spellEnd"/>
      <w:r w:rsidRPr="00CB1D64">
        <w:rPr>
          <w:i/>
          <w:iCs/>
        </w:rPr>
        <w:t xml:space="preserve"> one</w:t>
      </w:r>
      <w:r w:rsidRPr="00CB1D64">
        <w:t xml:space="preserve">, </w:t>
      </w:r>
      <w:r w:rsidRPr="00CB1D64">
        <w:rPr>
          <w:i/>
          <w:iCs/>
        </w:rPr>
        <w:t>11</w:t>
      </w:r>
      <w:r w:rsidRPr="00CB1D64">
        <w:t xml:space="preserve">(2), </w:t>
      </w:r>
      <w:proofErr w:type="spellStart"/>
      <w:r w:rsidRPr="00CB1D64">
        <w:t>e0150231.</w:t>
      </w:r>
      <w:r w:rsidR="00EF69E0">
        <w:t>cooper</w:t>
      </w:r>
      <w:proofErr w:type="spellEnd"/>
    </w:p>
    <w:p w:rsidR="00F43118" w:rsidRPr="00F43118" w:rsidRDefault="00F43118" w:rsidP="007C3642">
      <w:pPr>
        <w:ind w:left="709" w:hanging="720"/>
        <w:rPr>
          <w:rFonts w:eastAsia="Cambria"/>
          <w:u w:color="000000"/>
          <w:bdr w:val="nil"/>
          <w:shd w:val="clear" w:color="auto" w:fill="C0C0C0"/>
          <w:lang w:val="en-US"/>
        </w:rPr>
      </w:pPr>
      <w:r w:rsidRPr="00CB1D64">
        <w:rPr>
          <w:rFonts w:eastAsia="Cambria"/>
          <w:u w:color="000000"/>
          <w:bdr w:val="nil"/>
          <w:lang w:val="de-DE"/>
        </w:rPr>
        <w:t xml:space="preserve">Demerouti, E., Bakker, A.B., Nachreiner, F., &amp; Schaufeli, W. (2001). The job demands-resources model of </w:t>
      </w:r>
      <w:r w:rsidRPr="00F43118">
        <w:rPr>
          <w:rFonts w:eastAsia="Cambria"/>
          <w:u w:color="000000"/>
          <w:bdr w:val="nil"/>
          <w:lang w:val="de-DE"/>
        </w:rPr>
        <w:t xml:space="preserve">burnout. </w:t>
      </w:r>
      <w:r w:rsidRPr="00F43118">
        <w:rPr>
          <w:rFonts w:eastAsia="Cambria"/>
          <w:i/>
          <w:iCs/>
          <w:u w:color="000000"/>
          <w:bdr w:val="nil"/>
          <w:lang w:val="en-US"/>
        </w:rPr>
        <w:t xml:space="preserve">Journal of Applied Psychology, 86(3), </w:t>
      </w:r>
      <w:r w:rsidRPr="00F43118">
        <w:rPr>
          <w:rFonts w:eastAsia="Cambria"/>
          <w:u w:color="000000"/>
          <w:bdr w:val="nil"/>
          <w:lang w:val="en-US"/>
        </w:rPr>
        <w:t xml:space="preserve">499–512. </w:t>
      </w:r>
    </w:p>
    <w:p w:rsidR="00C55811" w:rsidRDefault="00F43118" w:rsidP="007C3642">
      <w:pPr>
        <w:ind w:left="709" w:hanging="720"/>
        <w:rPr>
          <w:rFonts w:eastAsia="Cambria"/>
          <w:u w:color="000000"/>
          <w:bdr w:val="nil"/>
          <w:lang w:val="en-GB"/>
        </w:rPr>
      </w:pPr>
      <w:proofErr w:type="gramStart"/>
      <w:r w:rsidRPr="00F43118">
        <w:rPr>
          <w:rFonts w:eastAsia="Cambria"/>
          <w:u w:color="000000"/>
          <w:bdr w:val="nil"/>
          <w:lang w:val="en-GB"/>
        </w:rPr>
        <w:t>Dollard, M. F., Skinner, N., Tuckey, M. R., &amp; Bailey, T. (2007).</w:t>
      </w:r>
      <w:proofErr w:type="gramEnd"/>
      <w:r w:rsidRPr="00F43118">
        <w:rPr>
          <w:rFonts w:eastAsia="Cambria"/>
          <w:u w:color="000000"/>
          <w:bdr w:val="nil"/>
          <w:lang w:val="en-GB"/>
        </w:rPr>
        <w:t xml:space="preserve"> National Surveillance of Psychosocial Risk Factors in the Workplace: An International Overview. </w:t>
      </w:r>
      <w:r w:rsidRPr="00F43118">
        <w:rPr>
          <w:rFonts w:eastAsia="Cambria"/>
          <w:i/>
          <w:u w:color="000000"/>
          <w:bdr w:val="nil"/>
          <w:lang w:val="en-GB"/>
        </w:rPr>
        <w:t xml:space="preserve">Work and Stress, 21, </w:t>
      </w:r>
      <w:r w:rsidRPr="00F43118">
        <w:rPr>
          <w:rFonts w:eastAsia="Cambria"/>
          <w:u w:color="000000"/>
          <w:bdr w:val="nil"/>
          <w:lang w:val="en-GB"/>
        </w:rPr>
        <w:t>1–29</w:t>
      </w:r>
      <w:r w:rsidRPr="00F43118">
        <w:rPr>
          <w:rFonts w:eastAsia="Cambria"/>
          <w:i/>
          <w:u w:color="000000"/>
          <w:bdr w:val="nil"/>
          <w:lang w:val="en-GB"/>
        </w:rPr>
        <w:t>.</w:t>
      </w:r>
    </w:p>
    <w:p w:rsidR="00F43118" w:rsidRPr="00F43118" w:rsidRDefault="00F43118" w:rsidP="007C3642">
      <w:pPr>
        <w:ind w:left="709" w:hanging="720"/>
        <w:rPr>
          <w:rFonts w:eastAsia="Cambria"/>
          <w:bCs/>
          <w:u w:color="000000"/>
          <w:bdr w:val="nil"/>
          <w:lang w:val="en-US"/>
        </w:rPr>
      </w:pPr>
      <w:proofErr w:type="gramStart"/>
      <w:r w:rsidRPr="00F43118">
        <w:rPr>
          <w:rFonts w:eastAsia="Cambria"/>
          <w:bCs/>
          <w:u w:color="000000"/>
          <w:bdr w:val="nil"/>
          <w:lang w:val="en-US"/>
        </w:rPr>
        <w:t xml:space="preserve">Dollard, M. F., Tuckey, M., Bailey, T., &amp; </w:t>
      </w:r>
      <w:proofErr w:type="spellStart"/>
      <w:r w:rsidRPr="00F43118">
        <w:rPr>
          <w:rFonts w:eastAsia="Cambria"/>
          <w:bCs/>
          <w:u w:color="000000"/>
          <w:bdr w:val="nil"/>
          <w:lang w:val="en-US"/>
        </w:rPr>
        <w:t>McLinton</w:t>
      </w:r>
      <w:proofErr w:type="spellEnd"/>
      <w:r w:rsidRPr="00F43118">
        <w:rPr>
          <w:rFonts w:eastAsia="Cambria"/>
          <w:bCs/>
          <w:u w:color="000000"/>
          <w:bdr w:val="nil"/>
          <w:lang w:val="en-US"/>
        </w:rPr>
        <w:t>, S. (2012).</w:t>
      </w:r>
      <w:proofErr w:type="gramEnd"/>
      <w:r w:rsidRPr="00F43118">
        <w:rPr>
          <w:rFonts w:eastAsia="Cambria"/>
          <w:bCs/>
          <w:u w:color="000000"/>
          <w:bdr w:val="nil"/>
          <w:lang w:val="en-US"/>
        </w:rPr>
        <w:t xml:space="preserve"> Parliamentary inquiry submission on workplace bullying and harassment: Results from the Australian Workplace Barometer </w:t>
      </w:r>
    </w:p>
    <w:p w:rsidR="00F43118" w:rsidRPr="00F43118" w:rsidRDefault="00F43118" w:rsidP="007C3642">
      <w:pPr>
        <w:ind w:left="709" w:hanging="720"/>
        <w:rPr>
          <w:rFonts w:eastAsia="Cambria"/>
          <w:color w:val="222222"/>
          <w:u w:color="000000"/>
          <w:bdr w:val="nil"/>
          <w:shd w:val="clear" w:color="auto" w:fill="FFFFFF"/>
          <w:lang w:val="en-US"/>
        </w:rPr>
      </w:pPr>
      <w:proofErr w:type="gramStart"/>
      <w:r w:rsidRPr="00F43118">
        <w:rPr>
          <w:rFonts w:eastAsia="Cambria"/>
          <w:color w:val="222222"/>
          <w:u w:color="000000"/>
          <w:bdr w:val="nil"/>
          <w:shd w:val="clear" w:color="auto" w:fill="FFFFFF"/>
          <w:lang w:val="en-US"/>
        </w:rPr>
        <w:t xml:space="preserve">Dollard, M. F., </w:t>
      </w:r>
      <w:proofErr w:type="spellStart"/>
      <w:r w:rsidRPr="00F43118">
        <w:rPr>
          <w:rFonts w:eastAsia="Cambria"/>
          <w:color w:val="222222"/>
          <w:u w:color="000000"/>
          <w:bdr w:val="nil"/>
          <w:shd w:val="clear" w:color="auto" w:fill="FFFFFF"/>
          <w:lang w:val="en-US"/>
        </w:rPr>
        <w:t>Winefield</w:t>
      </w:r>
      <w:proofErr w:type="spellEnd"/>
      <w:r w:rsidRPr="00F43118">
        <w:rPr>
          <w:rFonts w:eastAsia="Cambria"/>
          <w:color w:val="222222"/>
          <w:u w:color="000000"/>
          <w:bdr w:val="nil"/>
          <w:shd w:val="clear" w:color="auto" w:fill="FFFFFF"/>
          <w:lang w:val="en-US"/>
        </w:rPr>
        <w:t xml:space="preserve">, H.R., &amp; </w:t>
      </w:r>
      <w:proofErr w:type="spellStart"/>
      <w:r w:rsidRPr="00F43118">
        <w:rPr>
          <w:rFonts w:eastAsia="Cambria"/>
          <w:color w:val="222222"/>
          <w:u w:color="000000"/>
          <w:bdr w:val="nil"/>
          <w:shd w:val="clear" w:color="auto" w:fill="FFFFFF"/>
          <w:lang w:val="en-US"/>
        </w:rPr>
        <w:t>Winefield</w:t>
      </w:r>
      <w:proofErr w:type="spellEnd"/>
      <w:r w:rsidRPr="00F43118">
        <w:rPr>
          <w:rFonts w:eastAsia="Cambria"/>
          <w:color w:val="222222"/>
          <w:u w:color="000000"/>
          <w:bdr w:val="nil"/>
          <w:shd w:val="clear" w:color="auto" w:fill="FFFFFF"/>
          <w:lang w:val="en-US"/>
        </w:rPr>
        <w:t>, A.H. (2000).</w:t>
      </w:r>
      <w:proofErr w:type="gramEnd"/>
      <w:r w:rsidRPr="00F43118">
        <w:rPr>
          <w:rFonts w:eastAsia="Cambria"/>
          <w:color w:val="222222"/>
          <w:u w:color="000000"/>
          <w:bdr w:val="nil"/>
          <w:shd w:val="clear" w:color="auto" w:fill="FFFFFF"/>
          <w:lang w:val="en-US"/>
        </w:rPr>
        <w:t xml:space="preserve"> "Psychosocial job strain and productivity in human service workers: a test of the demand</w:t>
      </w:r>
      <w:r w:rsidRPr="00F43118">
        <w:rPr>
          <w:rFonts w:ascii="Cambria Math" w:eastAsia="Cambria" w:hAnsi="Cambria Math" w:cs="Cambria Math"/>
          <w:color w:val="222222"/>
          <w:u w:color="000000"/>
          <w:bdr w:val="nil"/>
          <w:shd w:val="clear" w:color="auto" w:fill="FFFFFF"/>
          <w:lang w:val="en-US"/>
        </w:rPr>
        <w:t>‐</w:t>
      </w:r>
      <w:r w:rsidRPr="00F43118">
        <w:rPr>
          <w:rFonts w:eastAsia="Cambria"/>
          <w:color w:val="222222"/>
          <w:u w:color="000000"/>
          <w:bdr w:val="nil"/>
          <w:shd w:val="clear" w:color="auto" w:fill="FFFFFF"/>
          <w:lang w:val="en-US"/>
        </w:rPr>
        <w:t>control</w:t>
      </w:r>
      <w:r w:rsidRPr="00F43118">
        <w:rPr>
          <w:rFonts w:ascii="Cambria Math" w:eastAsia="Cambria" w:hAnsi="Cambria Math" w:cs="Cambria Math"/>
          <w:color w:val="222222"/>
          <w:u w:color="000000"/>
          <w:bdr w:val="nil"/>
          <w:shd w:val="clear" w:color="auto" w:fill="FFFFFF"/>
          <w:lang w:val="en-US"/>
        </w:rPr>
        <w:t>‐</w:t>
      </w:r>
      <w:r w:rsidRPr="00F43118">
        <w:rPr>
          <w:rFonts w:eastAsia="Cambria"/>
          <w:color w:val="222222"/>
          <w:u w:color="000000"/>
          <w:bdr w:val="nil"/>
          <w:shd w:val="clear" w:color="auto" w:fill="FFFFFF"/>
          <w:lang w:val="en-US"/>
        </w:rPr>
        <w:t>support model."</w:t>
      </w:r>
      <w:r w:rsidRPr="00F43118">
        <w:rPr>
          <w:rFonts w:eastAsia="Cambria" w:cs="Arial"/>
          <w:color w:val="222222"/>
          <w:u w:color="000000"/>
          <w:bdr w:val="nil"/>
          <w:shd w:val="clear" w:color="auto" w:fill="FFFFFF"/>
          <w:lang w:val="en-US"/>
        </w:rPr>
        <w:t> </w:t>
      </w:r>
      <w:r w:rsidRPr="00F43118">
        <w:rPr>
          <w:rFonts w:eastAsia="Cambria"/>
          <w:i/>
          <w:iCs/>
          <w:color w:val="222222"/>
          <w:u w:color="000000"/>
          <w:bdr w:val="nil"/>
          <w:shd w:val="clear" w:color="auto" w:fill="FFFFFF"/>
          <w:lang w:val="en-US"/>
        </w:rPr>
        <w:t>Journal of Occupational and Organizational Psychology,</w:t>
      </w:r>
      <w:r w:rsidRPr="00F43118">
        <w:rPr>
          <w:rFonts w:eastAsia="Cambria"/>
          <w:color w:val="222222"/>
          <w:u w:color="000000"/>
          <w:bdr w:val="nil"/>
          <w:shd w:val="clear" w:color="auto" w:fill="FFFFFF"/>
          <w:lang w:val="en-US"/>
        </w:rPr>
        <w:t> </w:t>
      </w:r>
      <w:r w:rsidRPr="00F43118">
        <w:rPr>
          <w:rFonts w:eastAsia="Cambria"/>
          <w:i/>
          <w:color w:val="222222"/>
          <w:u w:color="000000"/>
          <w:bdr w:val="nil"/>
          <w:shd w:val="clear" w:color="auto" w:fill="FFFFFF"/>
          <w:lang w:val="en-US"/>
        </w:rPr>
        <w:t>73</w:t>
      </w:r>
      <w:r w:rsidRPr="00F43118">
        <w:rPr>
          <w:rFonts w:eastAsia="Cambria"/>
          <w:color w:val="222222"/>
          <w:u w:color="000000"/>
          <w:bdr w:val="nil"/>
          <w:shd w:val="clear" w:color="auto" w:fill="FFFFFF"/>
          <w:lang w:val="en-US"/>
        </w:rPr>
        <w:t>(4), 501–510.</w:t>
      </w:r>
    </w:p>
    <w:p w:rsidR="00F43118" w:rsidRPr="00F43118" w:rsidRDefault="00F43118" w:rsidP="007C3642">
      <w:pPr>
        <w:ind w:left="709" w:hanging="720"/>
        <w:rPr>
          <w:rFonts w:eastAsia="Cambria"/>
          <w:u w:color="000000"/>
          <w:bdr w:val="nil"/>
          <w:lang w:val="en-US"/>
        </w:rPr>
      </w:pPr>
      <w:r w:rsidRPr="00F43118">
        <w:rPr>
          <w:rFonts w:eastAsia="Cambria"/>
          <w:u w:color="000000"/>
          <w:bdr w:val="nil"/>
          <w:lang w:val="en-US"/>
        </w:rPr>
        <w:t xml:space="preserve">Dollard, </w:t>
      </w:r>
      <w:proofErr w:type="spellStart"/>
      <w:r w:rsidRPr="00F43118">
        <w:rPr>
          <w:rFonts w:eastAsia="Cambria"/>
          <w:u w:color="000000"/>
          <w:bdr w:val="nil"/>
          <w:lang w:val="en-US"/>
        </w:rPr>
        <w:t>M.F</w:t>
      </w:r>
      <w:proofErr w:type="spellEnd"/>
      <w:r w:rsidRPr="00F43118">
        <w:rPr>
          <w:rFonts w:eastAsia="Cambria"/>
          <w:u w:color="000000"/>
          <w:bdr w:val="nil"/>
          <w:lang w:val="en-US"/>
        </w:rPr>
        <w:t xml:space="preserve">. &amp; Bailey, </w:t>
      </w:r>
      <w:proofErr w:type="spellStart"/>
      <w:r w:rsidRPr="00F43118">
        <w:rPr>
          <w:rFonts w:eastAsia="Cambria"/>
          <w:u w:color="000000"/>
          <w:bdr w:val="nil"/>
          <w:lang w:val="en-US"/>
        </w:rPr>
        <w:t>T.S</w:t>
      </w:r>
      <w:proofErr w:type="spellEnd"/>
      <w:r w:rsidRPr="00F43118">
        <w:rPr>
          <w:rFonts w:eastAsia="Cambria"/>
          <w:u w:color="000000"/>
          <w:bdr w:val="nil"/>
          <w:lang w:val="en-US"/>
        </w:rPr>
        <w:t>. (</w:t>
      </w:r>
      <w:proofErr w:type="spellStart"/>
      <w:r w:rsidRPr="00F43118">
        <w:rPr>
          <w:rFonts w:eastAsia="Cambria"/>
          <w:u w:color="000000"/>
          <w:bdr w:val="nil"/>
          <w:lang w:val="en-US"/>
        </w:rPr>
        <w:t>Eds</w:t>
      </w:r>
      <w:proofErr w:type="spellEnd"/>
      <w:r w:rsidRPr="00F43118">
        <w:rPr>
          <w:rFonts w:eastAsia="Cambria"/>
          <w:u w:color="000000"/>
          <w:bdr w:val="nil"/>
          <w:lang w:val="en-US"/>
        </w:rPr>
        <w:t>)</w:t>
      </w:r>
      <w:proofErr w:type="gramStart"/>
      <w:r w:rsidRPr="00F43118">
        <w:rPr>
          <w:rFonts w:eastAsia="Cambria"/>
          <w:u w:color="000000"/>
          <w:bdr w:val="nil"/>
          <w:lang w:val="en-US"/>
        </w:rPr>
        <w:t>.,</w:t>
      </w:r>
      <w:proofErr w:type="gramEnd"/>
      <w:r w:rsidRPr="00F43118">
        <w:rPr>
          <w:rFonts w:eastAsia="Cambria"/>
          <w:u w:color="000000"/>
          <w:bdr w:val="nil"/>
          <w:lang w:val="en-US"/>
        </w:rPr>
        <w:t xml:space="preserve"> (2014). </w:t>
      </w:r>
      <w:r w:rsidRPr="00F43118">
        <w:rPr>
          <w:rFonts w:eastAsia="Cambria"/>
          <w:i/>
          <w:iCs/>
          <w:u w:color="000000"/>
          <w:bdr w:val="nil"/>
          <w:lang w:val="en-US"/>
        </w:rPr>
        <w:t>Australian Workplace Barometer: Psychosocial Safety Climate and working conditions in Australia</w:t>
      </w:r>
      <w:r w:rsidRPr="00F43118">
        <w:rPr>
          <w:rFonts w:eastAsia="Cambria"/>
          <w:u w:color="000000"/>
          <w:bdr w:val="nil"/>
          <w:lang w:val="en-US"/>
        </w:rPr>
        <w:t xml:space="preserve">, Samford Valley </w:t>
      </w:r>
      <w:proofErr w:type="spellStart"/>
      <w:r w:rsidRPr="00F43118">
        <w:rPr>
          <w:rFonts w:eastAsia="Cambria"/>
          <w:u w:color="000000"/>
          <w:bdr w:val="nil"/>
          <w:lang w:val="en-US"/>
        </w:rPr>
        <w:t>QLD</w:t>
      </w:r>
      <w:proofErr w:type="spellEnd"/>
      <w:r w:rsidRPr="00F43118">
        <w:rPr>
          <w:rFonts w:eastAsia="Cambria"/>
          <w:u w:color="000000"/>
          <w:bdr w:val="nil"/>
          <w:lang w:val="en-US"/>
        </w:rPr>
        <w:t>; Australian Academic Press).</w:t>
      </w:r>
    </w:p>
    <w:p w:rsidR="00D15B33" w:rsidRDefault="00D15B33" w:rsidP="007C3642">
      <w:pPr>
        <w:ind w:left="709" w:hanging="720"/>
        <w:rPr>
          <w:rFonts w:eastAsia="Cambria"/>
          <w:u w:color="000000"/>
          <w:bdr w:val="nil"/>
          <w:lang w:val="en-US"/>
        </w:rPr>
      </w:pPr>
    </w:p>
    <w:p w:rsidR="00D15B33" w:rsidRDefault="00D15B33" w:rsidP="007C3642">
      <w:pPr>
        <w:ind w:left="709" w:hanging="720"/>
        <w:rPr>
          <w:rFonts w:eastAsia="Cambria"/>
          <w:u w:color="000000"/>
          <w:bdr w:val="nil"/>
          <w:lang w:val="en-US"/>
        </w:rPr>
      </w:pPr>
    </w:p>
    <w:p w:rsidR="00F43118" w:rsidRPr="00F43118" w:rsidRDefault="00F43118" w:rsidP="007C3642">
      <w:pPr>
        <w:ind w:left="709" w:hanging="720"/>
        <w:rPr>
          <w:rFonts w:eastAsia="Cambria"/>
          <w:u w:color="000000"/>
          <w:bdr w:val="nil"/>
          <w:lang w:val="en-US"/>
        </w:rPr>
      </w:pPr>
      <w:proofErr w:type="spellStart"/>
      <w:proofErr w:type="gramStart"/>
      <w:r w:rsidRPr="00F43118">
        <w:rPr>
          <w:rFonts w:eastAsia="Cambria"/>
          <w:u w:color="000000"/>
          <w:bdr w:val="nil"/>
          <w:lang w:val="en-US"/>
        </w:rPr>
        <w:lastRenderedPageBreak/>
        <w:t>Einarsen</w:t>
      </w:r>
      <w:proofErr w:type="spellEnd"/>
      <w:r w:rsidRPr="00F43118">
        <w:rPr>
          <w:rFonts w:eastAsia="Cambria"/>
          <w:u w:color="000000"/>
          <w:bdr w:val="nil"/>
          <w:lang w:val="en-US"/>
        </w:rPr>
        <w:t xml:space="preserve">, S., </w:t>
      </w:r>
      <w:proofErr w:type="spellStart"/>
      <w:r w:rsidRPr="00F43118">
        <w:rPr>
          <w:rFonts w:eastAsia="Cambria"/>
          <w:u w:color="000000"/>
          <w:bdr w:val="nil"/>
          <w:lang w:val="en-US"/>
        </w:rPr>
        <w:t>Hoel</w:t>
      </w:r>
      <w:proofErr w:type="spellEnd"/>
      <w:r w:rsidRPr="00F43118">
        <w:rPr>
          <w:rFonts w:eastAsia="Cambria"/>
          <w:u w:color="000000"/>
          <w:bdr w:val="nil"/>
          <w:lang w:val="en-US"/>
        </w:rPr>
        <w:t xml:space="preserve">, H., Zapf, D., &amp; Cooper, </w:t>
      </w:r>
      <w:proofErr w:type="spellStart"/>
      <w:r w:rsidRPr="00F43118">
        <w:rPr>
          <w:rFonts w:eastAsia="Cambria"/>
          <w:u w:color="000000"/>
          <w:bdr w:val="nil"/>
          <w:lang w:val="en-US"/>
        </w:rPr>
        <w:t>C.L</w:t>
      </w:r>
      <w:proofErr w:type="spellEnd"/>
      <w:r w:rsidRPr="00F43118">
        <w:rPr>
          <w:rFonts w:eastAsia="Cambria"/>
          <w:u w:color="000000"/>
          <w:bdr w:val="nil"/>
          <w:lang w:val="en-US"/>
        </w:rPr>
        <w:t>. (2003).</w:t>
      </w:r>
      <w:proofErr w:type="gramEnd"/>
      <w:r w:rsidRPr="00F43118">
        <w:rPr>
          <w:rFonts w:eastAsia="Cambria"/>
          <w:u w:color="000000"/>
          <w:bdr w:val="nil"/>
          <w:lang w:val="en-US"/>
        </w:rPr>
        <w:t xml:space="preserve"> The concept of bullying at work: the European tradition. In </w:t>
      </w:r>
      <w:proofErr w:type="spellStart"/>
      <w:r w:rsidRPr="00F43118">
        <w:rPr>
          <w:rFonts w:eastAsia="Cambria"/>
          <w:u w:color="000000"/>
          <w:bdr w:val="nil"/>
          <w:lang w:val="en-US"/>
        </w:rPr>
        <w:t>Einarsen</w:t>
      </w:r>
      <w:proofErr w:type="spellEnd"/>
      <w:r w:rsidRPr="00F43118">
        <w:rPr>
          <w:rFonts w:eastAsia="Cambria"/>
          <w:u w:color="000000"/>
          <w:bdr w:val="nil"/>
          <w:lang w:val="en-US"/>
        </w:rPr>
        <w:t xml:space="preserve">, H. </w:t>
      </w:r>
      <w:proofErr w:type="spellStart"/>
      <w:r w:rsidRPr="00F43118">
        <w:rPr>
          <w:rFonts w:eastAsia="Cambria"/>
          <w:u w:color="000000"/>
          <w:bdr w:val="nil"/>
          <w:lang w:val="en-US"/>
        </w:rPr>
        <w:t>Hoel</w:t>
      </w:r>
      <w:proofErr w:type="spellEnd"/>
      <w:r w:rsidRPr="00F43118">
        <w:rPr>
          <w:rFonts w:eastAsia="Cambria"/>
          <w:u w:color="000000"/>
          <w:bdr w:val="nil"/>
          <w:lang w:val="en-US"/>
        </w:rPr>
        <w:t xml:space="preserve">, D. Zapf, &amp; </w:t>
      </w:r>
      <w:proofErr w:type="spellStart"/>
      <w:r w:rsidRPr="00F43118">
        <w:rPr>
          <w:rFonts w:eastAsia="Cambria"/>
          <w:u w:color="000000"/>
          <w:bdr w:val="nil"/>
          <w:lang w:val="en-US"/>
        </w:rPr>
        <w:t>C.L</w:t>
      </w:r>
      <w:proofErr w:type="spellEnd"/>
      <w:r w:rsidRPr="00F43118">
        <w:rPr>
          <w:rFonts w:eastAsia="Cambria"/>
          <w:u w:color="000000"/>
          <w:bdr w:val="nil"/>
          <w:lang w:val="en-US"/>
        </w:rPr>
        <w:t>. Cooper (</w:t>
      </w:r>
      <w:proofErr w:type="spellStart"/>
      <w:r w:rsidRPr="00F43118">
        <w:rPr>
          <w:rFonts w:eastAsia="Cambria"/>
          <w:u w:color="000000"/>
          <w:bdr w:val="nil"/>
          <w:lang w:val="en-US"/>
        </w:rPr>
        <w:t>Eds</w:t>
      </w:r>
      <w:proofErr w:type="spellEnd"/>
      <w:r w:rsidRPr="00F43118">
        <w:rPr>
          <w:rFonts w:eastAsia="Cambria"/>
          <w:u w:color="000000"/>
          <w:bdr w:val="nil"/>
          <w:lang w:val="en-US"/>
        </w:rPr>
        <w:t xml:space="preserve">), </w:t>
      </w:r>
      <w:r w:rsidRPr="00F43118">
        <w:rPr>
          <w:rFonts w:eastAsia="Cambria"/>
          <w:i/>
          <w:iCs/>
          <w:u w:color="000000"/>
          <w:bdr w:val="nil"/>
          <w:lang w:val="en-US"/>
        </w:rPr>
        <w:t xml:space="preserve">Bullying and emotional abuse in the workplace: International Perspectives in research and practice </w:t>
      </w:r>
      <w:r w:rsidRPr="00F43118">
        <w:rPr>
          <w:rFonts w:eastAsia="Cambria"/>
          <w:u w:color="000000"/>
          <w:bdr w:val="nil"/>
          <w:lang w:val="en-US"/>
        </w:rPr>
        <w:t xml:space="preserve">(pp. 3– 30). London: Taylor &amp; Francis. </w:t>
      </w:r>
    </w:p>
    <w:p w:rsidR="00F43118" w:rsidRPr="00917CB2" w:rsidRDefault="00F43118" w:rsidP="007C3642">
      <w:pPr>
        <w:ind w:left="709" w:hanging="720"/>
        <w:rPr>
          <w:rFonts w:eastAsia="Cambria"/>
          <w:u w:color="000000"/>
          <w:bdr w:val="nil"/>
          <w:lang w:val="en-US"/>
        </w:rPr>
      </w:pPr>
      <w:proofErr w:type="gramStart"/>
      <w:r w:rsidRPr="00F43118">
        <w:rPr>
          <w:rFonts w:eastAsia="Cambria"/>
          <w:u w:color="000000"/>
          <w:bdr w:val="nil"/>
          <w:lang w:val="en-US"/>
        </w:rPr>
        <w:t>Fair Work Australia (2016), Anti-bullying.</w:t>
      </w:r>
      <w:proofErr w:type="gramEnd"/>
      <w:r w:rsidRPr="00F43118">
        <w:rPr>
          <w:rFonts w:eastAsia="Cambria"/>
          <w:u w:color="000000"/>
          <w:bdr w:val="nil"/>
          <w:lang w:val="en-US"/>
        </w:rPr>
        <w:t xml:space="preserve"> https://www.fwc.gov.au/resolving-issues-disputes-and-dismissals/workplace-issues-disputes/anti-bullying</w:t>
      </w:r>
      <w:r w:rsidRPr="00F43118">
        <w:rPr>
          <w:rFonts w:eastAsia="Cambria"/>
          <w:szCs w:val="22"/>
          <w:u w:color="000000"/>
          <w:bdr w:val="nil"/>
          <w:lang w:val="en-US"/>
        </w:rPr>
        <w:t xml:space="preserve"> </w:t>
      </w:r>
      <w:r w:rsidRPr="00F43118">
        <w:rPr>
          <w:rFonts w:eastAsia="Cambria"/>
          <w:u w:color="000000"/>
          <w:bdr w:val="nil"/>
          <w:lang w:val="en-US"/>
        </w:rPr>
        <w:t>https://www.fwc.gov.au/resolving-issues-disputes-</w:t>
      </w:r>
      <w:r w:rsidRPr="00917CB2">
        <w:rPr>
          <w:rFonts w:eastAsia="Cambria"/>
          <w:u w:color="000000"/>
          <w:bdr w:val="nil"/>
          <w:lang w:val="en-US"/>
        </w:rPr>
        <w:t>and-dismissals/workplace-issues-disputes/anti-bullying.</w:t>
      </w:r>
    </w:p>
    <w:p w:rsidR="00F43118" w:rsidRPr="00917CB2" w:rsidRDefault="00F43118" w:rsidP="007C3642">
      <w:pPr>
        <w:ind w:left="709" w:hanging="720"/>
        <w:rPr>
          <w:rFonts w:eastAsia="Cambria"/>
          <w:u w:color="000000"/>
          <w:bdr w:val="nil"/>
          <w:lang w:val="en-US"/>
        </w:rPr>
      </w:pPr>
      <w:r w:rsidRPr="00727D20">
        <w:rPr>
          <w:rFonts w:eastAsia="Cambria"/>
          <w:u w:color="000000"/>
          <w:bdr w:val="nil"/>
          <w:lang w:val="sv-SE"/>
        </w:rPr>
        <w:t xml:space="preserve">Giga, S., Hoel, H., &amp; Lewis, D. (2008). </w:t>
      </w:r>
      <w:r w:rsidRPr="00917CB2">
        <w:rPr>
          <w:rFonts w:eastAsia="Cambria"/>
          <w:i/>
          <w:iCs/>
          <w:u w:color="000000"/>
          <w:bdr w:val="nil"/>
          <w:lang w:val="en-US"/>
        </w:rPr>
        <w:t>The costs of workplace bullying: A report and review for the dignity at work partnership</w:t>
      </w:r>
      <w:r w:rsidRPr="00917CB2">
        <w:rPr>
          <w:rFonts w:eastAsia="Cambria"/>
          <w:u w:color="000000"/>
          <w:bdr w:val="nil"/>
          <w:lang w:val="en-US"/>
        </w:rPr>
        <w:t xml:space="preserve">. </w:t>
      </w:r>
      <w:proofErr w:type="gramStart"/>
      <w:r w:rsidRPr="00917CB2">
        <w:rPr>
          <w:rFonts w:eastAsia="Cambria"/>
          <w:u w:color="000000"/>
          <w:bdr w:val="nil"/>
          <w:lang w:val="en-US"/>
        </w:rPr>
        <w:t xml:space="preserve">Retrieved 30 March 2015 from </w:t>
      </w:r>
      <w:hyperlink r:id="rId21" w:history="1">
        <w:r w:rsidRPr="00917CB2">
          <w:rPr>
            <w:rFonts w:eastAsia="Cambria"/>
            <w:u w:color="000000"/>
            <w:bdr w:val="nil"/>
            <w:lang w:val="en-US"/>
          </w:rPr>
          <w:t>http://www.unitetheunion.org/resources/equalities_2011/equalities_-_legacy_content/equalities_campaigns/dignity_at_work/downloads.aspx</w:t>
        </w:r>
      </w:hyperlink>
      <w:r w:rsidRPr="00917CB2">
        <w:rPr>
          <w:rFonts w:eastAsia="Cambria"/>
          <w:u w:color="000000"/>
          <w:bdr w:val="nil"/>
          <w:lang w:val="en-US"/>
        </w:rPr>
        <w:t>.</w:t>
      </w:r>
      <w:proofErr w:type="gramEnd"/>
      <w:r w:rsidRPr="00917CB2">
        <w:rPr>
          <w:rFonts w:eastAsia="Cambria"/>
          <w:u w:color="000000"/>
          <w:bdr w:val="nil"/>
          <w:lang w:val="en-US"/>
        </w:rPr>
        <w:t xml:space="preserve"> </w:t>
      </w:r>
    </w:p>
    <w:p w:rsidR="00F43118" w:rsidRP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Green, F., &amp; McIntosh, S. (2001).</w:t>
      </w:r>
      <w:proofErr w:type="gramEnd"/>
      <w:r w:rsidRPr="00F43118">
        <w:rPr>
          <w:rFonts w:eastAsia="Cambria"/>
          <w:u w:color="000000"/>
          <w:bdr w:val="nil"/>
          <w:lang w:val="en-US"/>
        </w:rPr>
        <w:t xml:space="preserve"> </w:t>
      </w:r>
      <w:proofErr w:type="gramStart"/>
      <w:r w:rsidRPr="00F43118">
        <w:rPr>
          <w:rFonts w:eastAsia="Cambria"/>
          <w:u w:color="000000"/>
          <w:bdr w:val="nil"/>
          <w:lang w:val="en-US"/>
        </w:rPr>
        <w:t>The intensification of work in Europe.</w:t>
      </w:r>
      <w:proofErr w:type="gramEnd"/>
      <w:r w:rsidRPr="00F43118">
        <w:rPr>
          <w:rFonts w:eastAsia="Cambria"/>
          <w:u w:color="000000"/>
          <w:bdr w:val="nil"/>
          <w:lang w:val="en-US"/>
        </w:rPr>
        <w:t xml:space="preserve"> </w:t>
      </w:r>
      <w:r w:rsidRPr="00F43118">
        <w:rPr>
          <w:rFonts w:eastAsia="Cambria"/>
          <w:i/>
          <w:iCs/>
          <w:u w:color="000000"/>
          <w:bdr w:val="nil"/>
          <w:lang w:val="en-US"/>
        </w:rPr>
        <w:t>Labor Economics, 8</w:t>
      </w:r>
      <w:r w:rsidRPr="00F43118">
        <w:rPr>
          <w:rFonts w:eastAsia="Cambria"/>
          <w:b/>
          <w:u w:color="000000"/>
          <w:bdr w:val="nil"/>
          <w:lang w:val="en-US"/>
        </w:rPr>
        <w:t>,</w:t>
      </w:r>
      <w:r w:rsidRPr="00F43118">
        <w:rPr>
          <w:rFonts w:eastAsia="Cambria"/>
          <w:u w:color="000000"/>
          <w:bdr w:val="nil"/>
          <w:lang w:val="en-US"/>
        </w:rPr>
        <w:t xml:space="preserve"> 291–308. </w:t>
      </w:r>
    </w:p>
    <w:p w:rsidR="007D1669" w:rsidRDefault="00F43118" w:rsidP="007C3642">
      <w:pPr>
        <w:ind w:left="709" w:hanging="720"/>
        <w:rPr>
          <w:rFonts w:asciiTheme="minorHAnsi" w:eastAsia="Cambria" w:hAnsiTheme="minorHAnsi" w:cstheme="minorHAnsi"/>
          <w:u w:color="000000"/>
          <w:bdr w:val="nil"/>
          <w:lang w:val="en-US"/>
        </w:rPr>
      </w:pPr>
      <w:proofErr w:type="gramStart"/>
      <w:r w:rsidRPr="00F43118">
        <w:rPr>
          <w:rFonts w:eastAsia="Cambria"/>
          <w:u w:color="000000"/>
          <w:bdr w:val="nil"/>
          <w:lang w:val="en-US"/>
        </w:rPr>
        <w:t xml:space="preserve">Hall, G B., Dollard, M F., Tuckey, M R., </w:t>
      </w:r>
      <w:proofErr w:type="spellStart"/>
      <w:r w:rsidRPr="00F43118">
        <w:rPr>
          <w:rFonts w:eastAsia="Cambria"/>
          <w:u w:color="000000"/>
          <w:bdr w:val="nil"/>
          <w:lang w:val="en-US"/>
        </w:rPr>
        <w:t>Winefield</w:t>
      </w:r>
      <w:proofErr w:type="spellEnd"/>
      <w:r w:rsidRPr="00F43118">
        <w:rPr>
          <w:rFonts w:eastAsia="Cambria"/>
          <w:u w:color="000000"/>
          <w:bdr w:val="nil"/>
          <w:lang w:val="en-US"/>
        </w:rPr>
        <w:t>, A H., &amp; Thompson, B M. (2010).</w:t>
      </w:r>
      <w:proofErr w:type="gramEnd"/>
      <w:r w:rsidRPr="00F43118">
        <w:rPr>
          <w:rFonts w:eastAsia="Cambria"/>
          <w:u w:color="000000"/>
          <w:bdr w:val="nil"/>
          <w:lang w:val="en-US"/>
        </w:rPr>
        <w:t xml:space="preserve"> Job demands, work-family conflict, and emotional exhaustion in police officers: A longitudinal test of competing theories. </w:t>
      </w:r>
      <w:r w:rsidRPr="00F43118">
        <w:rPr>
          <w:rFonts w:eastAsia="Cambria"/>
          <w:i/>
          <w:u w:color="000000"/>
          <w:bdr w:val="nil"/>
          <w:lang w:val="en-US"/>
        </w:rPr>
        <w:t xml:space="preserve">Journal of </w:t>
      </w:r>
      <w:r w:rsidRPr="007E4383">
        <w:rPr>
          <w:rFonts w:asciiTheme="minorHAnsi" w:eastAsia="Cambria" w:hAnsiTheme="minorHAnsi" w:cstheme="minorHAnsi"/>
          <w:i/>
          <w:u w:color="000000"/>
          <w:bdr w:val="nil"/>
          <w:lang w:val="en-US"/>
        </w:rPr>
        <w:t>Occupational &amp; Organizational Psychology, 83</w:t>
      </w:r>
      <w:r w:rsidRPr="007E4383">
        <w:rPr>
          <w:rFonts w:asciiTheme="minorHAnsi" w:eastAsia="Cambria" w:hAnsiTheme="minorHAnsi" w:cstheme="minorHAnsi"/>
          <w:u w:color="000000"/>
          <w:bdr w:val="nil"/>
          <w:lang w:val="en-US"/>
        </w:rPr>
        <w:t>(1), 237–250.</w:t>
      </w:r>
      <w:r w:rsidR="00AF7835">
        <w:rPr>
          <w:rFonts w:asciiTheme="minorHAnsi" w:eastAsia="Cambria" w:hAnsiTheme="minorHAnsi" w:cstheme="minorHAnsi"/>
          <w:u w:color="000000"/>
          <w:bdr w:val="nil"/>
          <w:lang w:val="en-US"/>
        </w:rPr>
        <w:t xml:space="preserve"> </w:t>
      </w:r>
    </w:p>
    <w:p w:rsidR="007D1669" w:rsidRPr="007E4383" w:rsidRDefault="007D1669" w:rsidP="007C3642">
      <w:pPr>
        <w:ind w:left="709" w:hanging="720"/>
        <w:rPr>
          <w:rFonts w:eastAsia="Cambria"/>
          <w:u w:color="000000"/>
          <w:bdr w:val="nil"/>
          <w:lang w:val="en-US"/>
        </w:rPr>
      </w:pPr>
      <w:proofErr w:type="spellStart"/>
      <w:r w:rsidRPr="007E4383">
        <w:rPr>
          <w:shd w:val="clear" w:color="auto" w:fill="FFFFFF"/>
        </w:rPr>
        <w:t>Hershcovis</w:t>
      </w:r>
      <w:proofErr w:type="spellEnd"/>
      <w:r w:rsidRPr="007E4383">
        <w:rPr>
          <w:shd w:val="clear" w:color="auto" w:fill="FFFFFF"/>
        </w:rPr>
        <w:t>, M. S. (2011). “Incivility, social undermining, bullying… oh my!</w:t>
      </w:r>
      <w:proofErr w:type="gramStart"/>
      <w:r w:rsidRPr="007E4383">
        <w:rPr>
          <w:shd w:val="clear" w:color="auto" w:fill="FFFFFF"/>
        </w:rPr>
        <w:t>”:</w:t>
      </w:r>
      <w:proofErr w:type="gramEnd"/>
      <w:r w:rsidRPr="007E4383">
        <w:rPr>
          <w:shd w:val="clear" w:color="auto" w:fill="FFFFFF"/>
        </w:rPr>
        <w:t xml:space="preserve"> A call to reconcile constructs within workplace aggression research.</w:t>
      </w:r>
      <w:r w:rsidRPr="007E4383">
        <w:rPr>
          <w:rStyle w:val="apple-converted-space"/>
          <w:rFonts w:asciiTheme="minorHAnsi" w:hAnsiTheme="minorHAnsi" w:cstheme="minorHAnsi"/>
          <w:color w:val="222222"/>
          <w:sz w:val="20"/>
          <w:szCs w:val="20"/>
          <w:shd w:val="clear" w:color="auto" w:fill="FFFFFF"/>
        </w:rPr>
        <w:t> </w:t>
      </w:r>
      <w:r w:rsidRPr="007E4383">
        <w:rPr>
          <w:i/>
          <w:iCs/>
          <w:shd w:val="clear" w:color="auto" w:fill="FFFFFF"/>
        </w:rPr>
        <w:t xml:space="preserve">Journal of Organizational </w:t>
      </w:r>
      <w:proofErr w:type="spellStart"/>
      <w:r w:rsidRPr="007E4383">
        <w:rPr>
          <w:i/>
          <w:iCs/>
          <w:shd w:val="clear" w:color="auto" w:fill="FFFFFF"/>
        </w:rPr>
        <w:t>Behavior</w:t>
      </w:r>
      <w:proofErr w:type="spellEnd"/>
      <w:r w:rsidRPr="007E4383">
        <w:rPr>
          <w:shd w:val="clear" w:color="auto" w:fill="FFFFFF"/>
        </w:rPr>
        <w:t>,</w:t>
      </w:r>
      <w:r w:rsidRPr="007E4383">
        <w:rPr>
          <w:rStyle w:val="apple-converted-space"/>
          <w:rFonts w:asciiTheme="minorHAnsi" w:hAnsiTheme="minorHAnsi" w:cstheme="minorHAnsi"/>
          <w:color w:val="222222"/>
          <w:sz w:val="20"/>
          <w:szCs w:val="20"/>
          <w:shd w:val="clear" w:color="auto" w:fill="FFFFFF"/>
        </w:rPr>
        <w:t> </w:t>
      </w:r>
      <w:r w:rsidRPr="007E4383">
        <w:rPr>
          <w:i/>
          <w:iCs/>
          <w:shd w:val="clear" w:color="auto" w:fill="FFFFFF"/>
        </w:rPr>
        <w:t>32</w:t>
      </w:r>
      <w:r w:rsidRPr="007E4383">
        <w:rPr>
          <w:shd w:val="clear" w:color="auto" w:fill="FFFFFF"/>
        </w:rPr>
        <w:t>(3), 499</w:t>
      </w:r>
      <w:r w:rsidRPr="00CB20E9">
        <w:rPr>
          <w:rFonts w:eastAsia="Cambria"/>
          <w:u w:color="000000"/>
          <w:bdr w:val="nil"/>
          <w:lang w:val="en-US"/>
        </w:rPr>
        <w:t>–</w:t>
      </w:r>
      <w:r w:rsidRPr="007E4383">
        <w:rPr>
          <w:shd w:val="clear" w:color="auto" w:fill="FFFFFF"/>
        </w:rPr>
        <w:t>519.</w:t>
      </w:r>
    </w:p>
    <w:p w:rsidR="00F43118" w:rsidRPr="007E4383" w:rsidRDefault="00F43118" w:rsidP="007C3642">
      <w:pPr>
        <w:ind w:left="709" w:hanging="720"/>
        <w:rPr>
          <w:rFonts w:eastAsia="Cambria"/>
          <w:u w:color="000000"/>
          <w:bdr w:val="nil"/>
        </w:rPr>
      </w:pPr>
      <w:proofErr w:type="spellStart"/>
      <w:proofErr w:type="gramStart"/>
      <w:r w:rsidRPr="007E4383">
        <w:rPr>
          <w:rFonts w:eastAsia="Cambria"/>
          <w:u w:color="000000"/>
          <w:bdr w:val="nil"/>
          <w:lang w:val="en-US"/>
        </w:rPr>
        <w:t>Hoel</w:t>
      </w:r>
      <w:proofErr w:type="spellEnd"/>
      <w:r w:rsidRPr="007E4383">
        <w:rPr>
          <w:rFonts w:eastAsia="Cambria"/>
          <w:u w:color="000000"/>
          <w:bdr w:val="nil"/>
          <w:lang w:val="en-US"/>
        </w:rPr>
        <w:t>, H., &amp; Cooper, C. (2000).</w:t>
      </w:r>
      <w:proofErr w:type="gramEnd"/>
      <w:r w:rsidRPr="007E4383">
        <w:rPr>
          <w:rFonts w:eastAsia="Cambria"/>
          <w:u w:color="000000"/>
          <w:bdr w:val="nil"/>
          <w:lang w:val="en-US"/>
        </w:rPr>
        <w:t xml:space="preserve"> </w:t>
      </w:r>
      <w:proofErr w:type="gramStart"/>
      <w:r w:rsidRPr="007E4383">
        <w:rPr>
          <w:rFonts w:eastAsia="Cambria"/>
          <w:i/>
          <w:iCs/>
          <w:u w:color="000000"/>
          <w:bdr w:val="nil"/>
          <w:lang w:val="en-US"/>
        </w:rPr>
        <w:t>Destructive conflict and bullying at work</w:t>
      </w:r>
      <w:r w:rsidRPr="007E4383">
        <w:rPr>
          <w:rFonts w:eastAsia="Cambria"/>
          <w:u w:color="000000"/>
          <w:bdr w:val="nil"/>
          <w:lang w:val="en-US"/>
        </w:rPr>
        <w:t>.</w:t>
      </w:r>
      <w:proofErr w:type="gramEnd"/>
      <w:r w:rsidRPr="007E4383">
        <w:rPr>
          <w:rFonts w:eastAsia="Cambria"/>
          <w:u w:color="000000"/>
          <w:bdr w:val="nil"/>
          <w:lang w:val="en-US"/>
        </w:rPr>
        <w:t xml:space="preserve"> Manchester, UK: Manchester School of Management.</w:t>
      </w:r>
    </w:p>
    <w:p w:rsidR="00F43118" w:rsidRPr="00F43118" w:rsidRDefault="00F43118" w:rsidP="007C3642">
      <w:pPr>
        <w:ind w:left="709" w:hanging="720"/>
        <w:rPr>
          <w:rFonts w:eastAsia="Cambria"/>
          <w:u w:color="000000"/>
          <w:bdr w:val="nil"/>
          <w:lang w:val="en-US"/>
        </w:rPr>
      </w:pPr>
      <w:proofErr w:type="spellStart"/>
      <w:proofErr w:type="gramStart"/>
      <w:r w:rsidRPr="00F43118">
        <w:rPr>
          <w:rFonts w:eastAsia="Cambria"/>
          <w:u w:color="000000"/>
          <w:bdr w:val="nil"/>
          <w:lang w:val="en-US"/>
        </w:rPr>
        <w:t>Hoel</w:t>
      </w:r>
      <w:proofErr w:type="spellEnd"/>
      <w:r w:rsidRPr="00F43118">
        <w:rPr>
          <w:rFonts w:eastAsia="Cambria"/>
          <w:u w:color="000000"/>
          <w:bdr w:val="nil"/>
          <w:lang w:val="en-US"/>
        </w:rPr>
        <w:t>, H., &amp; Cooper, C. L. (2001).</w:t>
      </w:r>
      <w:proofErr w:type="gramEnd"/>
      <w:r w:rsidRPr="00F43118">
        <w:rPr>
          <w:rFonts w:eastAsia="Cambria"/>
          <w:u w:color="000000"/>
          <w:bdr w:val="nil"/>
          <w:lang w:val="en-US"/>
        </w:rPr>
        <w:t xml:space="preserve"> Origins of bullying: Theoretical frameworks for explaining workplace bullying. </w:t>
      </w:r>
      <w:proofErr w:type="gramStart"/>
      <w:r w:rsidRPr="00F43118">
        <w:rPr>
          <w:rFonts w:eastAsia="Cambria"/>
          <w:u w:color="000000"/>
          <w:bdr w:val="nil"/>
          <w:lang w:val="en-US"/>
        </w:rPr>
        <w:t xml:space="preserve">In N. Tehrani (Ed.), </w:t>
      </w:r>
      <w:r w:rsidRPr="00F43118">
        <w:rPr>
          <w:rFonts w:eastAsia="Cambria"/>
          <w:i/>
          <w:u w:color="000000"/>
          <w:bdr w:val="nil"/>
          <w:lang w:val="en-US"/>
        </w:rPr>
        <w:t xml:space="preserve">Building a culture of respect: Managing bullying at work </w:t>
      </w:r>
      <w:r w:rsidRPr="00F43118">
        <w:rPr>
          <w:rFonts w:eastAsia="Cambria"/>
          <w:u w:color="000000"/>
          <w:bdr w:val="nil"/>
          <w:lang w:val="en-US"/>
        </w:rPr>
        <w:t>(</w:t>
      </w:r>
      <w:proofErr w:type="spellStart"/>
      <w:r w:rsidRPr="00F43118">
        <w:rPr>
          <w:rFonts w:eastAsia="Cambria"/>
          <w:u w:color="000000"/>
          <w:bdr w:val="nil"/>
          <w:lang w:val="en-US"/>
        </w:rPr>
        <w:t>pp.3</w:t>
      </w:r>
      <w:proofErr w:type="spellEnd"/>
      <w:r w:rsidRPr="00F43118">
        <w:rPr>
          <w:rFonts w:eastAsia="Cambria"/>
          <w:u w:color="000000"/>
          <w:bdr w:val="nil"/>
          <w:lang w:val="en-US"/>
        </w:rPr>
        <w:t>–19).</w:t>
      </w:r>
      <w:proofErr w:type="gramEnd"/>
      <w:r w:rsidRPr="00F43118">
        <w:rPr>
          <w:rFonts w:eastAsia="Cambria"/>
          <w:u w:color="000000"/>
          <w:bdr w:val="nil"/>
          <w:lang w:val="en-US"/>
        </w:rPr>
        <w:t xml:space="preserve"> London: Taylor &amp; Francis.</w:t>
      </w:r>
    </w:p>
    <w:p w:rsidR="00F43118" w:rsidRPr="00F43118" w:rsidRDefault="00F43118" w:rsidP="007C3642">
      <w:pPr>
        <w:ind w:left="709" w:hanging="720"/>
        <w:rPr>
          <w:rFonts w:eastAsia="Cambria"/>
          <w:u w:color="000000"/>
          <w:bdr w:val="nil"/>
          <w:lang w:val="nl-NL"/>
        </w:rPr>
      </w:pPr>
      <w:r w:rsidRPr="00F43118">
        <w:rPr>
          <w:rFonts w:eastAsia="Cambria"/>
          <w:u w:color="000000"/>
          <w:bdr w:val="nil"/>
          <w:lang w:val="nl-NL"/>
        </w:rPr>
        <w:t xml:space="preserve">Houtman, I., Goudswaard, A., Evers, M., &amp; van de Bovenkamp, M. (2005). </w:t>
      </w:r>
      <w:r w:rsidRPr="00F43118">
        <w:rPr>
          <w:rFonts w:eastAsia="Cambria"/>
          <w:i/>
          <w:iCs/>
          <w:u w:color="000000"/>
          <w:bdr w:val="nil"/>
          <w:lang w:val="nl-NL"/>
        </w:rPr>
        <w:t>Emerging organisational, social and human risks: Expert forecasts and literature review.</w:t>
      </w:r>
      <w:r w:rsidRPr="00F43118">
        <w:rPr>
          <w:rFonts w:eastAsia="Cambria"/>
          <w:u w:color="000000"/>
          <w:bdr w:val="nil"/>
          <w:lang w:val="nl-NL"/>
        </w:rPr>
        <w:t xml:space="preserve"> Bilbao: European Agency for Safety and Health at Work.</w:t>
      </w:r>
    </w:p>
    <w:p w:rsidR="00F43118" w:rsidRP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House of Representatives, Standing Committee on Education and Employment (2012).</w:t>
      </w:r>
      <w:proofErr w:type="gramEnd"/>
      <w:r w:rsidRPr="00F43118">
        <w:rPr>
          <w:rFonts w:eastAsia="Cambria"/>
          <w:u w:color="000000"/>
          <w:bdr w:val="nil"/>
          <w:lang w:val="en-US"/>
        </w:rPr>
        <w:t xml:space="preserve"> Workplace bullying, we just want to stop it. Canberra: The Parliament of the Commonwealth of Australia.</w:t>
      </w:r>
    </w:p>
    <w:p w:rsidR="00F43118" w:rsidRPr="00F43118" w:rsidRDefault="00F43118" w:rsidP="007C3642">
      <w:pPr>
        <w:ind w:left="709" w:hanging="720"/>
        <w:rPr>
          <w:rFonts w:eastAsia="Cambria"/>
          <w:u w:color="000000"/>
          <w:bdr w:val="nil"/>
          <w:lang w:val="en-US"/>
        </w:rPr>
      </w:pPr>
      <w:r w:rsidRPr="00727D20">
        <w:rPr>
          <w:rFonts w:eastAsia="Cambria"/>
          <w:u w:color="000000"/>
          <w:bdr w:val="nil"/>
          <w:lang w:val="sv-SE"/>
        </w:rPr>
        <w:t xml:space="preserve">Jain, A., Leka, S., &amp; Zwetsloot, G. (2011). </w:t>
      </w:r>
      <w:proofErr w:type="gramStart"/>
      <w:r w:rsidRPr="00F43118">
        <w:rPr>
          <w:rFonts w:eastAsia="Cambria"/>
          <w:u w:color="000000"/>
          <w:bdr w:val="nil"/>
          <w:lang w:val="en-US"/>
        </w:rPr>
        <w:t>Corporate social responsibility and psychosocial risk management in Europe.</w:t>
      </w:r>
      <w:proofErr w:type="gramEnd"/>
      <w:r w:rsidRPr="00F43118">
        <w:rPr>
          <w:rFonts w:eastAsia="Cambria"/>
          <w:u w:color="000000"/>
          <w:bdr w:val="nil"/>
          <w:lang w:val="en-US"/>
        </w:rPr>
        <w:t xml:space="preserve"> </w:t>
      </w:r>
      <w:r w:rsidRPr="00F43118">
        <w:rPr>
          <w:rFonts w:eastAsia="Cambria"/>
          <w:i/>
          <w:u w:color="000000"/>
          <w:bdr w:val="nil"/>
          <w:lang w:val="en-US"/>
        </w:rPr>
        <w:t>Journal of Business Ethics, 101</w:t>
      </w:r>
      <w:r w:rsidRPr="00F43118">
        <w:rPr>
          <w:rFonts w:eastAsia="Cambria"/>
          <w:u w:color="000000"/>
          <w:bdr w:val="nil"/>
          <w:lang w:val="en-US"/>
        </w:rPr>
        <w:t>(4), 619–633.</w:t>
      </w:r>
    </w:p>
    <w:p w:rsidR="00F43118" w:rsidRPr="00F43118" w:rsidRDefault="00F43118" w:rsidP="007C3642">
      <w:pPr>
        <w:ind w:left="709" w:hanging="720"/>
        <w:rPr>
          <w:rFonts w:eastAsia="Cambria"/>
          <w:u w:color="000000"/>
          <w:bdr w:val="nil"/>
          <w:lang w:val="en-US"/>
        </w:rPr>
      </w:pPr>
      <w:r w:rsidRPr="00727D20">
        <w:rPr>
          <w:rFonts w:eastAsia="Cambria"/>
          <w:u w:color="000000"/>
          <w:bdr w:val="nil"/>
          <w:lang w:val="sv-SE"/>
        </w:rPr>
        <w:t xml:space="preserve">Jain, A., Ripa, D. &amp; Herrero (2014). </w:t>
      </w:r>
      <w:proofErr w:type="gramStart"/>
      <w:r w:rsidRPr="00F43118">
        <w:rPr>
          <w:rFonts w:eastAsia="Cambria"/>
          <w:u w:color="000000"/>
          <w:bdr w:val="nil"/>
          <w:lang w:val="en-US"/>
        </w:rPr>
        <w:t>An analysis of the coverage of psychosocial hazards at work in corporate social responsibility instruments and standards.</w:t>
      </w:r>
      <w:proofErr w:type="gramEnd"/>
      <w:r w:rsidRPr="00F43118">
        <w:rPr>
          <w:rFonts w:eastAsia="Cambria"/>
          <w:u w:color="000000"/>
          <w:bdr w:val="nil"/>
          <w:lang w:val="en-US"/>
        </w:rPr>
        <w:t xml:space="preserve"> In S. </w:t>
      </w:r>
      <w:proofErr w:type="spellStart"/>
      <w:r w:rsidRPr="00F43118">
        <w:rPr>
          <w:rFonts w:eastAsia="Cambria"/>
          <w:u w:color="000000"/>
          <w:bdr w:val="nil"/>
          <w:lang w:val="en-US"/>
        </w:rPr>
        <w:t>Leka</w:t>
      </w:r>
      <w:proofErr w:type="spellEnd"/>
      <w:r w:rsidRPr="00F43118">
        <w:rPr>
          <w:rFonts w:eastAsia="Cambria"/>
          <w:u w:color="000000"/>
          <w:bdr w:val="nil"/>
          <w:lang w:val="en-US"/>
        </w:rPr>
        <w:t xml:space="preserve"> &amp; R. Sinclair (Eds.) Contemporary Occupational Health Psychology: Global perspectives on research and practice (Vol. 3, 218–240). </w:t>
      </w:r>
      <w:proofErr w:type="spellStart"/>
      <w:r w:rsidRPr="00F43118">
        <w:rPr>
          <w:rFonts w:eastAsia="Cambria"/>
          <w:u w:color="000000"/>
          <w:bdr w:val="nil"/>
          <w:lang w:val="en-US"/>
        </w:rPr>
        <w:t>Chichester</w:t>
      </w:r>
      <w:proofErr w:type="spellEnd"/>
      <w:r w:rsidRPr="00F43118">
        <w:rPr>
          <w:rFonts w:eastAsia="Cambria"/>
          <w:u w:color="000000"/>
          <w:bdr w:val="nil"/>
          <w:lang w:val="en-US"/>
        </w:rPr>
        <w:t>, England: Wiley-Blackwell.</w:t>
      </w:r>
    </w:p>
    <w:p w:rsidR="00F43118" w:rsidRPr="00F43118" w:rsidRDefault="00F43118" w:rsidP="007C3642">
      <w:pPr>
        <w:ind w:left="709" w:hanging="720"/>
        <w:rPr>
          <w:rFonts w:eastAsia="Cambria"/>
          <w:u w:color="000000"/>
          <w:bdr w:val="nil"/>
          <w:lang w:val="en-US"/>
        </w:rPr>
      </w:pPr>
      <w:proofErr w:type="gramStart"/>
      <w:r w:rsidRPr="00F43118">
        <w:rPr>
          <w:rFonts w:eastAsia="Cambria"/>
          <w:color w:val="1A1A1A"/>
          <w:u w:color="1A1A1A"/>
          <w:bdr w:val="nil"/>
          <w:lang w:val="en-US"/>
        </w:rPr>
        <w:t xml:space="preserve">Jenkins, </w:t>
      </w:r>
      <w:proofErr w:type="spellStart"/>
      <w:r w:rsidRPr="00F43118">
        <w:rPr>
          <w:rFonts w:eastAsia="Cambria"/>
          <w:color w:val="1A1A1A"/>
          <w:u w:color="1A1A1A"/>
          <w:bdr w:val="nil"/>
          <w:lang w:val="en-US"/>
        </w:rPr>
        <w:t>M.F</w:t>
      </w:r>
      <w:proofErr w:type="spellEnd"/>
      <w:r w:rsidRPr="00F43118">
        <w:rPr>
          <w:rFonts w:eastAsia="Cambria"/>
          <w:color w:val="1A1A1A"/>
          <w:u w:color="1A1A1A"/>
          <w:bdr w:val="nil"/>
          <w:lang w:val="en-US"/>
        </w:rPr>
        <w:t xml:space="preserve">., Zapf, D., </w:t>
      </w:r>
      <w:proofErr w:type="spellStart"/>
      <w:r w:rsidRPr="00F43118">
        <w:rPr>
          <w:rFonts w:eastAsia="Cambria"/>
          <w:color w:val="1A1A1A"/>
          <w:u w:color="1A1A1A"/>
          <w:bdr w:val="nil"/>
          <w:lang w:val="en-US"/>
        </w:rPr>
        <w:t>Winefield</w:t>
      </w:r>
      <w:proofErr w:type="spellEnd"/>
      <w:r w:rsidRPr="00F43118">
        <w:rPr>
          <w:rFonts w:eastAsia="Cambria"/>
          <w:color w:val="1A1A1A"/>
          <w:u w:color="1A1A1A"/>
          <w:bdr w:val="nil"/>
          <w:lang w:val="en-US"/>
        </w:rPr>
        <w:t>, H., &amp; Sarris, A. (2012).</w:t>
      </w:r>
      <w:proofErr w:type="gramEnd"/>
      <w:r w:rsidRPr="00F43118">
        <w:rPr>
          <w:rFonts w:eastAsia="Cambria"/>
          <w:color w:val="1A1A1A"/>
          <w:u w:color="1A1A1A"/>
          <w:bdr w:val="nil"/>
          <w:lang w:val="en-US"/>
        </w:rPr>
        <w:t xml:space="preserve"> </w:t>
      </w:r>
      <w:proofErr w:type="gramStart"/>
      <w:r w:rsidRPr="00F43118">
        <w:rPr>
          <w:rFonts w:eastAsia="Cambria"/>
          <w:color w:val="1A1A1A"/>
          <w:u w:color="1A1A1A"/>
          <w:bdr w:val="nil"/>
          <w:lang w:val="en-US"/>
        </w:rPr>
        <w:t>Bullying allegations from the accused bully's perspective.</w:t>
      </w:r>
      <w:proofErr w:type="gramEnd"/>
      <w:r w:rsidRPr="00F43118">
        <w:rPr>
          <w:rFonts w:eastAsia="Cambria"/>
          <w:color w:val="1A1A1A"/>
          <w:u w:color="1A1A1A"/>
          <w:bdr w:val="nil"/>
          <w:lang w:val="en-US"/>
        </w:rPr>
        <w:t xml:space="preserve"> </w:t>
      </w:r>
      <w:r w:rsidRPr="00F43118">
        <w:rPr>
          <w:rFonts w:eastAsia="Cambria"/>
          <w:i/>
          <w:iCs/>
          <w:color w:val="1A1A1A"/>
          <w:u w:color="1A1A1A"/>
          <w:bdr w:val="nil"/>
          <w:lang w:val="en-US"/>
        </w:rPr>
        <w:t>British Journal of Management</w:t>
      </w:r>
      <w:r w:rsidRPr="00F43118">
        <w:rPr>
          <w:rFonts w:eastAsia="Cambria"/>
          <w:color w:val="1A1A1A"/>
          <w:u w:color="1A1A1A"/>
          <w:bdr w:val="nil"/>
          <w:lang w:val="en-US"/>
        </w:rPr>
        <w:t xml:space="preserve">, </w:t>
      </w:r>
      <w:r w:rsidRPr="00F43118">
        <w:rPr>
          <w:rFonts w:eastAsia="Cambria"/>
          <w:i/>
          <w:iCs/>
          <w:color w:val="1A1A1A"/>
          <w:u w:color="1A1A1A"/>
          <w:bdr w:val="nil"/>
          <w:lang w:val="en-US"/>
        </w:rPr>
        <w:t>23(4</w:t>
      </w:r>
      <w:r w:rsidRPr="00F43118">
        <w:rPr>
          <w:rFonts w:eastAsia="Cambria"/>
          <w:color w:val="1A1A1A"/>
          <w:u w:color="1A1A1A"/>
          <w:bdr w:val="nil"/>
          <w:lang w:val="en-US"/>
        </w:rPr>
        <w:t>), 489–501.</w:t>
      </w:r>
      <w:r w:rsidRPr="00F43118">
        <w:rPr>
          <w:rFonts w:eastAsia="Cambria"/>
          <w:u w:color="000000"/>
          <w:bdr w:val="nil"/>
          <w:lang w:val="en-US"/>
        </w:rPr>
        <w:t xml:space="preserve"> </w:t>
      </w:r>
    </w:p>
    <w:p w:rsidR="00F43118" w:rsidRP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Johnstone, R., Quinlan, M., &amp; McNamara, M. (2011).</w:t>
      </w:r>
      <w:proofErr w:type="gramEnd"/>
      <w:r w:rsidRPr="00F43118">
        <w:rPr>
          <w:rFonts w:eastAsia="Cambria"/>
          <w:u w:color="000000"/>
          <w:bdr w:val="nil"/>
          <w:lang w:val="en-US"/>
        </w:rPr>
        <w:t xml:space="preserve"> OHS inspectors and psychosocial risk factors: Evidence from Australia. </w:t>
      </w:r>
      <w:r w:rsidRPr="00F43118">
        <w:rPr>
          <w:rFonts w:eastAsia="Cambria"/>
          <w:i/>
          <w:iCs/>
          <w:u w:color="000000"/>
          <w:bdr w:val="nil"/>
          <w:lang w:val="en-US"/>
        </w:rPr>
        <w:t>Safety Science, 49(4),</w:t>
      </w:r>
      <w:r w:rsidRPr="00F43118">
        <w:rPr>
          <w:rFonts w:eastAsia="Cambria"/>
          <w:u w:color="000000"/>
          <w:bdr w:val="nil"/>
          <w:lang w:val="en-US"/>
        </w:rPr>
        <w:t xml:space="preserve"> 547–557.</w:t>
      </w:r>
    </w:p>
    <w:p w:rsidR="00F43118" w:rsidRPr="00F43118" w:rsidRDefault="00F43118" w:rsidP="007C3642">
      <w:pPr>
        <w:ind w:left="709" w:hanging="720"/>
        <w:rPr>
          <w:rFonts w:eastAsia="Cambria"/>
          <w:color w:val="222222"/>
          <w:u w:color="000000"/>
          <w:bdr w:val="nil"/>
          <w:shd w:val="clear" w:color="auto" w:fill="FFFFFF"/>
          <w:lang w:val="en-US"/>
        </w:rPr>
      </w:pPr>
      <w:proofErr w:type="spellStart"/>
      <w:r w:rsidRPr="00F43118">
        <w:rPr>
          <w:rFonts w:eastAsia="Cambria"/>
          <w:color w:val="222222"/>
          <w:u w:color="000000"/>
          <w:bdr w:val="nil"/>
          <w:shd w:val="clear" w:color="auto" w:fill="FFFFFF"/>
          <w:lang w:val="en-US"/>
        </w:rPr>
        <w:t>Karasek</w:t>
      </w:r>
      <w:proofErr w:type="spellEnd"/>
      <w:r w:rsidRPr="00F43118">
        <w:rPr>
          <w:rFonts w:eastAsia="Cambria"/>
          <w:color w:val="222222"/>
          <w:u w:color="000000"/>
          <w:bdr w:val="nil"/>
          <w:shd w:val="clear" w:color="auto" w:fill="FFFFFF"/>
          <w:lang w:val="en-US"/>
        </w:rPr>
        <w:t xml:space="preserve">, R. A. (1985). </w:t>
      </w:r>
      <w:proofErr w:type="gramStart"/>
      <w:r w:rsidRPr="00F43118">
        <w:rPr>
          <w:rFonts w:eastAsia="Cambria"/>
          <w:color w:val="222222"/>
          <w:u w:color="000000"/>
          <w:bdr w:val="nil"/>
          <w:shd w:val="clear" w:color="auto" w:fill="FFFFFF"/>
          <w:lang w:val="en-US"/>
        </w:rPr>
        <w:t>Job content questionnaire and user’s guide.</w:t>
      </w:r>
      <w:proofErr w:type="gramEnd"/>
      <w:r w:rsidRPr="00F43118">
        <w:rPr>
          <w:rFonts w:eastAsia="Cambria"/>
          <w:color w:val="222222"/>
          <w:u w:color="000000"/>
          <w:bdr w:val="nil"/>
          <w:shd w:val="clear" w:color="auto" w:fill="FFFFFF"/>
          <w:lang w:val="en-US"/>
        </w:rPr>
        <w:t xml:space="preserve"> </w:t>
      </w:r>
      <w:r w:rsidRPr="00F43118">
        <w:rPr>
          <w:rFonts w:eastAsia="Cambria"/>
          <w:i/>
          <w:iCs/>
          <w:color w:val="222222"/>
          <w:u w:color="000000"/>
          <w:bdr w:val="nil"/>
          <w:shd w:val="clear" w:color="auto" w:fill="FFFFFF"/>
          <w:lang w:val="en-US"/>
        </w:rPr>
        <w:t>Lowell: University of Massachusetts</w:t>
      </w:r>
      <w:r w:rsidRPr="00F43118">
        <w:rPr>
          <w:rFonts w:eastAsia="Cambria"/>
          <w:color w:val="222222"/>
          <w:u w:color="000000"/>
          <w:bdr w:val="nil"/>
          <w:shd w:val="clear" w:color="auto" w:fill="FFFFFF"/>
          <w:lang w:val="en-US"/>
        </w:rPr>
        <w:t>.</w:t>
      </w:r>
    </w:p>
    <w:p w:rsidR="00F43118" w:rsidRPr="00F43118" w:rsidRDefault="00F43118" w:rsidP="007C3642">
      <w:pPr>
        <w:ind w:left="709" w:hanging="720"/>
        <w:rPr>
          <w:rFonts w:eastAsia="Cambria"/>
          <w:i/>
          <w:u w:color="000000"/>
          <w:bdr w:val="nil"/>
          <w:lang w:val="en-US"/>
        </w:rPr>
      </w:pPr>
      <w:r w:rsidRPr="00727D20">
        <w:rPr>
          <w:rFonts w:eastAsia="Cambria"/>
          <w:u w:color="000000"/>
          <w:bdr w:val="nil"/>
          <w:lang w:val="sv-SE"/>
        </w:rPr>
        <w:t>Katz, D., &amp; Kahn, R.L. (1987).</w:t>
      </w:r>
      <w:r w:rsidRPr="00727D20">
        <w:rPr>
          <w:rFonts w:eastAsia="Cambria"/>
          <w:i/>
          <w:u w:color="000000"/>
          <w:bdr w:val="nil"/>
          <w:lang w:val="sv-SE"/>
        </w:rPr>
        <w:t xml:space="preserve"> </w:t>
      </w:r>
      <w:proofErr w:type="gramStart"/>
      <w:r w:rsidRPr="00F43118">
        <w:rPr>
          <w:rFonts w:eastAsia="Cambria"/>
          <w:i/>
          <w:u w:color="000000"/>
          <w:bdr w:val="nil"/>
          <w:lang w:val="en-US"/>
        </w:rPr>
        <w:t xml:space="preserve">The social psychology of </w:t>
      </w:r>
      <w:proofErr w:type="spellStart"/>
      <w:r w:rsidRPr="00F43118">
        <w:rPr>
          <w:rFonts w:eastAsia="Cambria"/>
          <w:i/>
          <w:u w:color="000000"/>
          <w:bdr w:val="nil"/>
          <w:lang w:val="en-US"/>
        </w:rPr>
        <w:t>organisations</w:t>
      </w:r>
      <w:proofErr w:type="spellEnd"/>
      <w:r w:rsidRPr="00F43118">
        <w:rPr>
          <w:rFonts w:eastAsia="Cambria"/>
          <w:i/>
          <w:u w:color="000000"/>
          <w:bdr w:val="nil"/>
          <w:lang w:val="en-US"/>
        </w:rPr>
        <w:t>.</w:t>
      </w:r>
      <w:proofErr w:type="gramEnd"/>
      <w:r w:rsidRPr="00F43118">
        <w:rPr>
          <w:rFonts w:eastAsia="Cambria"/>
          <w:u w:color="000000"/>
          <w:bdr w:val="nil"/>
          <w:lang w:val="en-US"/>
        </w:rPr>
        <w:t xml:space="preserve"> New York: Wiley.</w:t>
      </w:r>
    </w:p>
    <w:p w:rsidR="00F43118" w:rsidRPr="00F43118" w:rsidRDefault="00F43118" w:rsidP="007C3642">
      <w:pPr>
        <w:ind w:left="709" w:hanging="720"/>
        <w:rPr>
          <w:rFonts w:eastAsia="Cambria"/>
          <w:i/>
          <w:u w:color="000000"/>
          <w:bdr w:val="nil"/>
          <w:lang w:val="en-US"/>
        </w:rPr>
      </w:pPr>
      <w:proofErr w:type="gramStart"/>
      <w:r w:rsidRPr="00F43118">
        <w:rPr>
          <w:rFonts w:eastAsia="Cambria"/>
          <w:color w:val="222222"/>
          <w:u w:color="000000"/>
          <w:bdr w:val="nil"/>
          <w:shd w:val="clear" w:color="auto" w:fill="FFFFFF"/>
          <w:lang w:val="en-US"/>
        </w:rPr>
        <w:t xml:space="preserve">Kessler, R., &amp; D. </w:t>
      </w:r>
      <w:proofErr w:type="spellStart"/>
      <w:r w:rsidRPr="00F43118">
        <w:rPr>
          <w:rFonts w:eastAsia="Cambria"/>
          <w:color w:val="222222"/>
          <w:u w:color="000000"/>
          <w:bdr w:val="nil"/>
          <w:shd w:val="clear" w:color="auto" w:fill="FFFFFF"/>
          <w:lang w:val="en-US"/>
        </w:rPr>
        <w:t>Mroczek</w:t>
      </w:r>
      <w:proofErr w:type="spellEnd"/>
      <w:r w:rsidRPr="00F43118">
        <w:rPr>
          <w:rFonts w:eastAsia="Cambria"/>
          <w:color w:val="222222"/>
          <w:u w:color="000000"/>
          <w:bdr w:val="nil"/>
          <w:shd w:val="clear" w:color="auto" w:fill="FFFFFF"/>
          <w:lang w:val="en-US"/>
        </w:rPr>
        <w:t>.</w:t>
      </w:r>
      <w:proofErr w:type="gramEnd"/>
      <w:r w:rsidRPr="00F43118">
        <w:rPr>
          <w:rFonts w:eastAsia="Cambria"/>
          <w:color w:val="222222"/>
          <w:u w:color="000000"/>
          <w:bdr w:val="nil"/>
          <w:shd w:val="clear" w:color="auto" w:fill="FFFFFF"/>
          <w:lang w:val="en-US"/>
        </w:rPr>
        <w:t xml:space="preserve"> </w:t>
      </w:r>
      <w:proofErr w:type="gramStart"/>
      <w:r w:rsidRPr="00F43118">
        <w:rPr>
          <w:rFonts w:eastAsia="Cambria"/>
          <w:color w:val="222222"/>
          <w:u w:color="000000"/>
          <w:bdr w:val="nil"/>
          <w:shd w:val="clear" w:color="auto" w:fill="FFFFFF"/>
          <w:lang w:val="en-US"/>
        </w:rPr>
        <w:t>(1994). Final versions of our non-specific psychological distress scale.</w:t>
      </w:r>
      <w:proofErr w:type="gramEnd"/>
      <w:r w:rsidRPr="00F43118">
        <w:rPr>
          <w:rFonts w:eastAsia="Cambria"/>
          <w:color w:val="222222"/>
          <w:u w:color="000000"/>
          <w:bdr w:val="nil"/>
          <w:lang w:val="en-US"/>
        </w:rPr>
        <w:t xml:space="preserve"> </w:t>
      </w:r>
      <w:r w:rsidRPr="00F43118">
        <w:rPr>
          <w:rFonts w:eastAsia="Cambria"/>
          <w:i/>
          <w:iCs/>
          <w:color w:val="222222"/>
          <w:u w:color="000000"/>
          <w:bdr w:val="nil"/>
          <w:lang w:val="en-US"/>
        </w:rPr>
        <w:t>Memo dated March</w:t>
      </w:r>
      <w:r w:rsidRPr="00F43118">
        <w:rPr>
          <w:rFonts w:eastAsia="Cambria"/>
          <w:color w:val="222222"/>
          <w:u w:color="000000"/>
          <w:bdr w:val="nil"/>
          <w:lang w:val="en-US"/>
        </w:rPr>
        <w:t xml:space="preserve">, </w:t>
      </w:r>
      <w:r w:rsidRPr="00F43118">
        <w:rPr>
          <w:rFonts w:eastAsia="Cambria"/>
          <w:i/>
          <w:iCs/>
          <w:color w:val="222222"/>
          <w:u w:color="000000"/>
          <w:bdr w:val="nil"/>
          <w:lang w:val="en-US"/>
        </w:rPr>
        <w:t>10</w:t>
      </w:r>
      <w:r w:rsidRPr="00F43118">
        <w:rPr>
          <w:rFonts w:eastAsia="Cambria"/>
          <w:color w:val="222222"/>
          <w:u w:color="000000"/>
          <w:bdr w:val="nil"/>
          <w:lang w:val="en-US"/>
        </w:rPr>
        <w:t>, 1994.</w:t>
      </w:r>
    </w:p>
    <w:p w:rsidR="00F43118" w:rsidRPr="00F43118" w:rsidRDefault="00F43118" w:rsidP="007C3642">
      <w:pPr>
        <w:ind w:left="709" w:hanging="720"/>
        <w:rPr>
          <w:bCs/>
          <w:u w:color="000000"/>
          <w:bdr w:val="nil"/>
          <w:lang w:val="en-US"/>
        </w:rPr>
      </w:pPr>
      <w:proofErr w:type="spellStart"/>
      <w:proofErr w:type="gramStart"/>
      <w:r w:rsidRPr="00F43118">
        <w:rPr>
          <w:bCs/>
          <w:u w:color="000000"/>
          <w:bdr w:val="nil"/>
          <w:lang w:val="en-US"/>
        </w:rPr>
        <w:t>Kieseker</w:t>
      </w:r>
      <w:proofErr w:type="spellEnd"/>
      <w:r w:rsidRPr="00F43118">
        <w:rPr>
          <w:bCs/>
          <w:u w:color="000000"/>
          <w:bdr w:val="nil"/>
          <w:lang w:val="en-US"/>
        </w:rPr>
        <w:t>, R. &amp; Marchant, T. (1999).</w:t>
      </w:r>
      <w:proofErr w:type="gramEnd"/>
      <w:r w:rsidRPr="00F43118">
        <w:rPr>
          <w:bCs/>
          <w:u w:color="000000"/>
          <w:bdr w:val="nil"/>
          <w:lang w:val="en-US"/>
        </w:rPr>
        <w:t xml:space="preserve"> Workplace bullying in Australia: A review of current </w:t>
      </w:r>
      <w:proofErr w:type="spellStart"/>
      <w:r w:rsidRPr="00F43118">
        <w:rPr>
          <w:bCs/>
          <w:u w:color="000000"/>
          <w:bdr w:val="nil"/>
          <w:lang w:val="en-US"/>
        </w:rPr>
        <w:t>conceptualisations</w:t>
      </w:r>
      <w:proofErr w:type="spellEnd"/>
      <w:r w:rsidRPr="00F43118">
        <w:rPr>
          <w:bCs/>
          <w:u w:color="000000"/>
          <w:bdr w:val="nil"/>
          <w:lang w:val="en-US"/>
        </w:rPr>
        <w:t xml:space="preserve"> and existing research.</w:t>
      </w:r>
      <w:r w:rsidRPr="00F43118">
        <w:rPr>
          <w:rFonts w:eastAsia="Cambria"/>
          <w:u w:color="000000"/>
          <w:bdr w:val="nil"/>
          <w:lang w:val="en-US"/>
        </w:rPr>
        <w:t xml:space="preserve"> </w:t>
      </w:r>
      <w:r w:rsidRPr="00F43118">
        <w:rPr>
          <w:rFonts w:eastAsia="Cambria"/>
          <w:i/>
          <w:u w:color="000000"/>
          <w:bdr w:val="nil"/>
          <w:lang w:val="en-US"/>
        </w:rPr>
        <w:t xml:space="preserve">Australian Journal of Management &amp; </w:t>
      </w:r>
      <w:proofErr w:type="spellStart"/>
      <w:r w:rsidRPr="00F43118">
        <w:rPr>
          <w:rFonts w:eastAsia="Cambria"/>
          <w:i/>
          <w:u w:color="000000"/>
          <w:bdr w:val="nil"/>
          <w:lang w:val="en-US"/>
        </w:rPr>
        <w:t>Organisational</w:t>
      </w:r>
      <w:proofErr w:type="spellEnd"/>
      <w:r w:rsidRPr="00F43118">
        <w:rPr>
          <w:rFonts w:eastAsia="Cambria"/>
          <w:i/>
          <w:u w:color="000000"/>
          <w:bdr w:val="nil"/>
          <w:lang w:val="en-US"/>
        </w:rPr>
        <w:t xml:space="preserve"> </w:t>
      </w:r>
      <w:proofErr w:type="spellStart"/>
      <w:r w:rsidRPr="00F43118">
        <w:rPr>
          <w:rFonts w:eastAsia="Cambria"/>
          <w:i/>
          <w:u w:color="000000"/>
          <w:bdr w:val="nil"/>
          <w:lang w:val="en-US"/>
        </w:rPr>
        <w:t>Behaviour</w:t>
      </w:r>
      <w:proofErr w:type="spellEnd"/>
      <w:r w:rsidRPr="00F43118">
        <w:rPr>
          <w:rFonts w:eastAsia="Cambria"/>
          <w:i/>
          <w:u w:color="000000"/>
          <w:bdr w:val="nil"/>
          <w:lang w:val="en-US"/>
        </w:rPr>
        <w:t xml:space="preserve">, 2(5), </w:t>
      </w:r>
      <w:r w:rsidRPr="00F43118">
        <w:rPr>
          <w:rFonts w:eastAsia="Cambria"/>
          <w:u w:color="000000"/>
          <w:bdr w:val="nil"/>
          <w:lang w:val="en-US"/>
        </w:rPr>
        <w:t>61–75.</w:t>
      </w:r>
    </w:p>
    <w:p w:rsidR="00F43118" w:rsidRPr="00F43118" w:rsidRDefault="00F43118" w:rsidP="007C3642">
      <w:pPr>
        <w:ind w:left="709" w:hanging="720"/>
        <w:rPr>
          <w:rFonts w:eastAsia="Cambria"/>
          <w:i/>
          <w:iCs/>
          <w:u w:color="000000"/>
          <w:bdr w:val="nil"/>
          <w:lang w:val="en-US"/>
        </w:rPr>
      </w:pPr>
      <w:proofErr w:type="gramStart"/>
      <w:r w:rsidRPr="00F43118">
        <w:rPr>
          <w:rFonts w:eastAsia="Cambria"/>
          <w:u w:color="000000"/>
          <w:bdr w:val="nil"/>
          <w:lang w:val="en-US"/>
        </w:rPr>
        <w:t xml:space="preserve">Kwan, </w:t>
      </w:r>
      <w:proofErr w:type="spellStart"/>
      <w:r w:rsidRPr="00F43118">
        <w:rPr>
          <w:rFonts w:eastAsia="Cambria"/>
          <w:u w:color="000000"/>
          <w:bdr w:val="nil"/>
          <w:lang w:val="en-US"/>
        </w:rPr>
        <w:t>S.S.N</w:t>
      </w:r>
      <w:proofErr w:type="spellEnd"/>
      <w:r w:rsidRPr="00F43118">
        <w:rPr>
          <w:rFonts w:eastAsia="Cambria"/>
          <w:u w:color="000000"/>
          <w:bdr w:val="nil"/>
          <w:lang w:val="en-US"/>
        </w:rPr>
        <w:t xml:space="preserve">., Tuckey, </w:t>
      </w:r>
      <w:proofErr w:type="spellStart"/>
      <w:r w:rsidRPr="00F43118">
        <w:rPr>
          <w:rFonts w:eastAsia="Cambria"/>
          <w:u w:color="000000"/>
          <w:bdr w:val="nil"/>
          <w:lang w:val="en-US"/>
        </w:rPr>
        <w:t>M.R</w:t>
      </w:r>
      <w:proofErr w:type="spellEnd"/>
      <w:r w:rsidRPr="00F43118">
        <w:rPr>
          <w:rFonts w:eastAsia="Cambria"/>
          <w:u w:color="000000"/>
          <w:bdr w:val="nil"/>
          <w:lang w:val="en-US"/>
        </w:rPr>
        <w:t>., &amp; Doll</w:t>
      </w:r>
      <w:r w:rsidR="00C6681F">
        <w:rPr>
          <w:rFonts w:eastAsia="Cambria"/>
          <w:u w:color="000000"/>
          <w:bdr w:val="nil"/>
          <w:lang w:val="en-US"/>
        </w:rPr>
        <w:t xml:space="preserve">ard, </w:t>
      </w:r>
      <w:proofErr w:type="spellStart"/>
      <w:r w:rsidR="00C6681F">
        <w:rPr>
          <w:rFonts w:eastAsia="Cambria"/>
          <w:u w:color="000000"/>
          <w:bdr w:val="nil"/>
          <w:lang w:val="en-US"/>
        </w:rPr>
        <w:t>M.F</w:t>
      </w:r>
      <w:proofErr w:type="spellEnd"/>
      <w:r w:rsidR="00C6681F">
        <w:rPr>
          <w:rFonts w:eastAsia="Cambria"/>
          <w:u w:color="000000"/>
          <w:bdr w:val="nil"/>
          <w:lang w:val="en-US"/>
        </w:rPr>
        <w:t>. (2015</w:t>
      </w:r>
      <w:r w:rsidRPr="00F43118">
        <w:rPr>
          <w:rFonts w:eastAsia="Cambria"/>
          <w:u w:color="000000"/>
          <w:bdr w:val="nil"/>
          <w:lang w:val="en-US"/>
        </w:rPr>
        <w:t>).</w:t>
      </w:r>
      <w:proofErr w:type="gramEnd"/>
      <w:r w:rsidRPr="00F43118">
        <w:rPr>
          <w:rFonts w:eastAsia="Cambria"/>
          <w:u w:color="000000"/>
          <w:bdr w:val="nil"/>
          <w:lang w:val="en-US"/>
        </w:rPr>
        <w:t xml:space="preserve"> The role of psychosocial safety climate in coping with workplace bullying: A grounded theory and sequential tree analysis. </w:t>
      </w:r>
      <w:proofErr w:type="gramStart"/>
      <w:r w:rsidRPr="00F43118">
        <w:rPr>
          <w:rFonts w:eastAsia="Cambria"/>
          <w:i/>
          <w:iCs/>
          <w:u w:color="000000"/>
          <w:bdr w:val="nil"/>
          <w:lang w:val="en-US"/>
        </w:rPr>
        <w:t>European Journal of Work and Organizational Psychology.</w:t>
      </w:r>
      <w:proofErr w:type="gramEnd"/>
      <w:r w:rsidRPr="00F43118">
        <w:rPr>
          <w:rFonts w:eastAsia="Cambria"/>
          <w:color w:val="222222"/>
          <w:u w:color="000000"/>
          <w:bdr w:val="nil"/>
          <w:shd w:val="clear" w:color="auto" w:fill="FFFFFF"/>
          <w:lang w:val="en-US"/>
        </w:rPr>
        <w:t xml:space="preserve"> 25(1), 133-148.</w:t>
      </w:r>
    </w:p>
    <w:p w:rsidR="00D15B33" w:rsidRDefault="00D15B33" w:rsidP="007C3642">
      <w:pPr>
        <w:ind w:left="709" w:hanging="720"/>
        <w:rPr>
          <w:rFonts w:eastAsia="Cambria"/>
          <w:u w:color="000000"/>
          <w:bdr w:val="nil"/>
          <w:lang w:val="en-US"/>
        </w:rPr>
      </w:pPr>
    </w:p>
    <w:p w:rsidR="00D15B33" w:rsidRDefault="00D15B33" w:rsidP="007C3642">
      <w:pPr>
        <w:ind w:left="709" w:hanging="720"/>
        <w:rPr>
          <w:rFonts w:eastAsia="Cambria"/>
          <w:u w:color="000000"/>
          <w:bdr w:val="nil"/>
          <w:lang w:val="en-US"/>
        </w:rPr>
      </w:pPr>
    </w:p>
    <w:p w:rsidR="00F43118" w:rsidRP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 xml:space="preserve">Law, R., Dollard, </w:t>
      </w:r>
      <w:proofErr w:type="spellStart"/>
      <w:r w:rsidRPr="00F43118">
        <w:rPr>
          <w:rFonts w:eastAsia="Cambria"/>
          <w:u w:color="000000"/>
          <w:bdr w:val="nil"/>
          <w:lang w:val="en-US"/>
        </w:rPr>
        <w:t>M.F</w:t>
      </w:r>
      <w:proofErr w:type="spellEnd"/>
      <w:r w:rsidRPr="00F43118">
        <w:rPr>
          <w:rFonts w:eastAsia="Cambria"/>
          <w:u w:color="000000"/>
          <w:bdr w:val="nil"/>
          <w:lang w:val="en-US"/>
        </w:rPr>
        <w:t xml:space="preserve">., Tuckey, </w:t>
      </w:r>
      <w:proofErr w:type="spellStart"/>
      <w:r w:rsidRPr="00F43118">
        <w:rPr>
          <w:rFonts w:eastAsia="Cambria"/>
          <w:u w:color="000000"/>
          <w:bdr w:val="nil"/>
          <w:lang w:val="en-US"/>
        </w:rPr>
        <w:t>M.R</w:t>
      </w:r>
      <w:proofErr w:type="spellEnd"/>
      <w:r w:rsidRPr="00F43118">
        <w:rPr>
          <w:rFonts w:eastAsia="Cambria"/>
          <w:u w:color="000000"/>
          <w:bdr w:val="nil"/>
          <w:lang w:val="en-US"/>
        </w:rPr>
        <w:t xml:space="preserve">., &amp; </w:t>
      </w:r>
      <w:proofErr w:type="spellStart"/>
      <w:r w:rsidRPr="00F43118">
        <w:rPr>
          <w:rFonts w:eastAsia="Cambria"/>
          <w:u w:color="000000"/>
          <w:bdr w:val="nil"/>
          <w:lang w:val="en-US"/>
        </w:rPr>
        <w:t>Dormann</w:t>
      </w:r>
      <w:proofErr w:type="spellEnd"/>
      <w:r w:rsidRPr="00F43118">
        <w:rPr>
          <w:rFonts w:eastAsia="Cambria"/>
          <w:u w:color="000000"/>
          <w:bdr w:val="nil"/>
          <w:lang w:val="en-US"/>
        </w:rPr>
        <w:t>, C. (2011).</w:t>
      </w:r>
      <w:proofErr w:type="gramEnd"/>
      <w:r w:rsidRPr="00F43118">
        <w:rPr>
          <w:rFonts w:eastAsia="Cambria"/>
          <w:u w:color="000000"/>
          <w:bdr w:val="nil"/>
          <w:lang w:val="en-US"/>
        </w:rPr>
        <w:t xml:space="preserve"> </w:t>
      </w:r>
      <w:proofErr w:type="gramStart"/>
      <w:r w:rsidRPr="00F43118">
        <w:rPr>
          <w:rFonts w:eastAsia="Cambria"/>
          <w:u w:color="000000"/>
          <w:bdr w:val="nil"/>
          <w:lang w:val="en-US"/>
        </w:rPr>
        <w:t>Psychosocial safety climate as a lead indicator of workplace bullying and harassment, job resources, psychological health and employee engagement.</w:t>
      </w:r>
      <w:proofErr w:type="gramEnd"/>
      <w:r w:rsidRPr="00F43118">
        <w:rPr>
          <w:rFonts w:eastAsia="Cambria"/>
          <w:u w:color="000000"/>
          <w:bdr w:val="nil"/>
          <w:lang w:val="en-US"/>
        </w:rPr>
        <w:t xml:space="preserve"> </w:t>
      </w:r>
      <w:r w:rsidRPr="00F43118">
        <w:rPr>
          <w:rFonts w:eastAsia="Cambria"/>
          <w:i/>
          <w:iCs/>
          <w:u w:color="000000"/>
          <w:bdr w:val="nil"/>
          <w:lang w:val="fr-FR"/>
        </w:rPr>
        <w:t xml:space="preserve">Accident </w:t>
      </w:r>
      <w:proofErr w:type="spellStart"/>
      <w:r w:rsidRPr="00F43118">
        <w:rPr>
          <w:rFonts w:eastAsia="Cambria"/>
          <w:i/>
          <w:iCs/>
          <w:u w:color="000000"/>
          <w:bdr w:val="nil"/>
          <w:lang w:val="fr-FR"/>
        </w:rPr>
        <w:t>Analysis</w:t>
      </w:r>
      <w:proofErr w:type="spellEnd"/>
      <w:r w:rsidRPr="00F43118">
        <w:rPr>
          <w:rFonts w:eastAsia="Cambria"/>
          <w:i/>
          <w:iCs/>
          <w:u w:color="000000"/>
          <w:bdr w:val="nil"/>
          <w:lang w:val="fr-FR"/>
        </w:rPr>
        <w:t xml:space="preserve"> &amp; </w:t>
      </w:r>
      <w:proofErr w:type="spellStart"/>
      <w:r w:rsidRPr="00F43118">
        <w:rPr>
          <w:rFonts w:eastAsia="Cambria"/>
          <w:i/>
          <w:iCs/>
          <w:u w:color="000000"/>
          <w:bdr w:val="nil"/>
          <w:lang w:val="fr-FR"/>
        </w:rPr>
        <w:t>Prevention</w:t>
      </w:r>
      <w:proofErr w:type="spellEnd"/>
      <w:r w:rsidRPr="00F43118">
        <w:rPr>
          <w:rFonts w:eastAsia="Cambria"/>
          <w:i/>
          <w:iCs/>
          <w:u w:color="000000"/>
          <w:bdr w:val="nil"/>
          <w:lang w:val="fr-FR"/>
        </w:rPr>
        <w:t xml:space="preserve">, 43(5), </w:t>
      </w:r>
      <w:r w:rsidRPr="00F43118">
        <w:rPr>
          <w:rFonts w:eastAsia="Cambria"/>
          <w:u w:color="000000"/>
          <w:bdr w:val="nil"/>
          <w:lang w:val="en-US"/>
        </w:rPr>
        <w:t xml:space="preserve">1782–1793. </w:t>
      </w:r>
    </w:p>
    <w:p w:rsidR="00F43118" w:rsidRPr="00F43118" w:rsidRDefault="00F43118" w:rsidP="007C3642">
      <w:pPr>
        <w:ind w:left="709" w:hanging="720"/>
        <w:rPr>
          <w:rFonts w:eastAsia="Cambria"/>
          <w:u w:color="000000"/>
          <w:bdr w:val="nil"/>
          <w:lang w:val="nl-NL"/>
        </w:rPr>
      </w:pPr>
      <w:r w:rsidRPr="00F43118">
        <w:rPr>
          <w:rFonts w:eastAsia="Cambria"/>
          <w:u w:color="000000"/>
          <w:bdr w:val="nil"/>
          <w:lang w:val="nl-NL"/>
        </w:rPr>
        <w:t xml:space="preserve">Lindström, K., Hottinen, V. &amp; Bredenberg, K. (2000). </w:t>
      </w:r>
      <w:r w:rsidRPr="00F43118">
        <w:rPr>
          <w:rFonts w:eastAsia="Cambria"/>
          <w:i/>
          <w:u w:color="000000"/>
          <w:bdr w:val="nil"/>
          <w:lang w:val="nl-NL"/>
        </w:rPr>
        <w:t xml:space="preserve">The healthy organization barometer. </w:t>
      </w:r>
      <w:r w:rsidRPr="00F43118">
        <w:rPr>
          <w:rFonts w:eastAsia="Cambria"/>
          <w:u w:color="000000"/>
          <w:bdr w:val="nil"/>
          <w:lang w:val="nl-NL"/>
        </w:rPr>
        <w:t>[Työilmapiiri- ja hyvinvointibarometri.] Helsinki: Työterveyslaitos.</w:t>
      </w:r>
    </w:p>
    <w:p w:rsidR="00F43118" w:rsidRPr="00F43118" w:rsidRDefault="00F43118" w:rsidP="007C3642">
      <w:pPr>
        <w:ind w:left="709" w:hanging="720"/>
        <w:rPr>
          <w:rFonts w:eastAsia="Cambria"/>
          <w:color w:val="222222"/>
          <w:u w:color="000000"/>
          <w:bdr w:val="nil"/>
          <w:shd w:val="clear" w:color="auto" w:fill="FFFFFF"/>
          <w:lang w:val="nl-NL"/>
        </w:rPr>
      </w:pPr>
      <w:r w:rsidRPr="00F43118">
        <w:rPr>
          <w:rFonts w:eastAsia="Cambria"/>
          <w:color w:val="222222"/>
          <w:u w:color="000000"/>
          <w:bdr w:val="nil"/>
          <w:shd w:val="clear" w:color="auto" w:fill="FFFFFF"/>
          <w:lang w:val="nl-NL"/>
        </w:rPr>
        <w:t>Maslach, Christina, Susan E. Jackson, and Michael P. Leiter. "Maslach burnout inventory." </w:t>
      </w:r>
      <w:r w:rsidRPr="00F43118">
        <w:rPr>
          <w:rFonts w:eastAsia="Cambria"/>
          <w:i/>
          <w:iCs/>
          <w:color w:val="222222"/>
          <w:u w:color="000000"/>
          <w:bdr w:val="nil"/>
          <w:shd w:val="clear" w:color="auto" w:fill="FFFFFF"/>
          <w:lang w:val="nl-NL"/>
        </w:rPr>
        <w:t>Evaluating stress: A book of resources</w:t>
      </w:r>
      <w:r w:rsidRPr="00F43118">
        <w:rPr>
          <w:rFonts w:eastAsia="Cambria"/>
          <w:color w:val="222222"/>
          <w:u w:color="000000"/>
          <w:bdr w:val="nil"/>
          <w:shd w:val="clear" w:color="auto" w:fill="FFFFFF"/>
          <w:lang w:val="nl-NL"/>
        </w:rPr>
        <w:t> 3 (1997): 191-218.</w:t>
      </w:r>
    </w:p>
    <w:p w:rsidR="00F43118" w:rsidRPr="00F43118" w:rsidRDefault="00F43118" w:rsidP="007C3642">
      <w:pPr>
        <w:ind w:left="709" w:hanging="720"/>
        <w:rPr>
          <w:rFonts w:eastAsia="Cambria"/>
          <w:iCs/>
          <w:u w:color="000000"/>
          <w:bdr w:val="nil"/>
          <w:lang w:val="en-US"/>
        </w:rPr>
      </w:pPr>
      <w:r w:rsidRPr="00727D20">
        <w:rPr>
          <w:rFonts w:eastAsia="Cambria"/>
          <w:iCs/>
          <w:u w:color="000000"/>
          <w:bdr w:val="nil"/>
          <w:lang w:val="sv-SE"/>
        </w:rPr>
        <w:t xml:space="preserve">Matthiesen, S.B. &amp; Einarsen, S. (2010). </w:t>
      </w:r>
      <w:proofErr w:type="gramStart"/>
      <w:r w:rsidRPr="00F43118">
        <w:rPr>
          <w:rFonts w:eastAsia="Cambria"/>
          <w:iCs/>
          <w:u w:color="000000"/>
          <w:bdr w:val="nil"/>
          <w:lang w:val="en-US"/>
        </w:rPr>
        <w:t>Bullying in the workplace: Definition, prevalence, antecedents and consequences.</w:t>
      </w:r>
      <w:proofErr w:type="gramEnd"/>
      <w:r w:rsidRPr="00F43118">
        <w:rPr>
          <w:rFonts w:eastAsia="Cambria"/>
          <w:iCs/>
          <w:u w:color="000000"/>
          <w:bdr w:val="nil"/>
          <w:lang w:val="en-US"/>
        </w:rPr>
        <w:t xml:space="preserve"> </w:t>
      </w:r>
      <w:r w:rsidRPr="00F43118">
        <w:rPr>
          <w:rFonts w:eastAsia="Cambria"/>
          <w:i/>
          <w:iCs/>
          <w:u w:color="000000"/>
          <w:bdr w:val="nil"/>
          <w:lang w:val="en-US"/>
        </w:rPr>
        <w:t xml:space="preserve">International Journal of Organization Theory and Behavior, 13(2), </w:t>
      </w:r>
      <w:r w:rsidRPr="00F43118">
        <w:rPr>
          <w:rFonts w:eastAsia="Cambria"/>
          <w:iCs/>
          <w:u w:color="000000"/>
          <w:bdr w:val="nil"/>
          <w:lang w:val="en-US"/>
        </w:rPr>
        <w:t>202–248.</w:t>
      </w:r>
    </w:p>
    <w:p w:rsidR="00F43118" w:rsidRPr="00F43118" w:rsidRDefault="00F43118" w:rsidP="007C3642">
      <w:pPr>
        <w:ind w:left="709" w:hanging="720"/>
        <w:rPr>
          <w:rFonts w:eastAsia="Cambria"/>
          <w:iCs/>
          <w:u w:color="000000"/>
          <w:bdr w:val="nil"/>
          <w:lang w:val="en-US"/>
        </w:rPr>
      </w:pPr>
      <w:proofErr w:type="gramStart"/>
      <w:r w:rsidRPr="00F43118">
        <w:rPr>
          <w:rFonts w:eastAsia="Cambria"/>
          <w:iCs/>
          <w:u w:color="000000"/>
          <w:bdr w:val="nil"/>
          <w:lang w:val="en-US"/>
        </w:rPr>
        <w:t xml:space="preserve">Neall, A. M. &amp; Tuckey, </w:t>
      </w:r>
      <w:proofErr w:type="spellStart"/>
      <w:r w:rsidRPr="00F43118">
        <w:rPr>
          <w:rFonts w:eastAsia="Cambria"/>
          <w:iCs/>
          <w:u w:color="000000"/>
          <w:bdr w:val="nil"/>
          <w:lang w:val="en-US"/>
        </w:rPr>
        <w:t>M.R</w:t>
      </w:r>
      <w:proofErr w:type="spellEnd"/>
      <w:r w:rsidRPr="00F43118">
        <w:rPr>
          <w:rFonts w:eastAsia="Cambria"/>
          <w:iCs/>
          <w:u w:color="000000"/>
          <w:bdr w:val="nil"/>
          <w:lang w:val="en-US"/>
        </w:rPr>
        <w:t>. (2014).</w:t>
      </w:r>
      <w:proofErr w:type="gramEnd"/>
      <w:r w:rsidRPr="00F43118">
        <w:rPr>
          <w:rFonts w:eastAsia="Cambria"/>
          <w:iCs/>
          <w:u w:color="000000"/>
          <w:bdr w:val="nil"/>
          <w:lang w:val="en-US"/>
        </w:rPr>
        <w:t xml:space="preserve"> </w:t>
      </w:r>
      <w:proofErr w:type="gramStart"/>
      <w:r w:rsidRPr="00F43118">
        <w:rPr>
          <w:rFonts w:eastAsia="Cambria"/>
          <w:iCs/>
          <w:u w:color="000000"/>
          <w:bdr w:val="nil"/>
          <w:lang w:val="en-US"/>
        </w:rPr>
        <w:t>A methodological review of research on the antecedents and consequences of workplace harassment.</w:t>
      </w:r>
      <w:proofErr w:type="gramEnd"/>
      <w:r w:rsidRPr="00F43118">
        <w:rPr>
          <w:rFonts w:eastAsia="Cambria"/>
          <w:iCs/>
          <w:u w:color="000000"/>
          <w:bdr w:val="nil"/>
          <w:lang w:val="en-US"/>
        </w:rPr>
        <w:t xml:space="preserve"> </w:t>
      </w:r>
      <w:r w:rsidRPr="00F43118">
        <w:rPr>
          <w:rFonts w:eastAsia="Cambria"/>
          <w:i/>
          <w:iCs/>
          <w:u w:color="000000"/>
          <w:bdr w:val="nil"/>
          <w:lang w:val="en-US"/>
        </w:rPr>
        <w:t xml:space="preserve">Journal of Occupational and Organizational Psychology, 87, </w:t>
      </w:r>
      <w:r w:rsidRPr="00F43118">
        <w:rPr>
          <w:rFonts w:eastAsia="Cambria"/>
          <w:iCs/>
          <w:u w:color="000000"/>
          <w:bdr w:val="nil"/>
          <w:lang w:val="en-US"/>
        </w:rPr>
        <w:t>225–257.</w:t>
      </w:r>
    </w:p>
    <w:p w:rsidR="00F43118" w:rsidRDefault="00F43118" w:rsidP="007C3642">
      <w:pPr>
        <w:ind w:left="709" w:hanging="720"/>
        <w:rPr>
          <w:rFonts w:eastAsia="Cambria"/>
          <w:u w:color="000000"/>
          <w:bdr w:val="nil"/>
          <w:lang w:val="en-US"/>
        </w:rPr>
      </w:pPr>
      <w:r w:rsidRPr="00F43118">
        <w:rPr>
          <w:rFonts w:eastAsia="Cambria"/>
          <w:u w:color="000000"/>
          <w:bdr w:val="nil"/>
          <w:lang w:val="en-US"/>
        </w:rPr>
        <w:t xml:space="preserve">Nielsen, </w:t>
      </w:r>
      <w:proofErr w:type="spellStart"/>
      <w:r w:rsidRPr="00F43118">
        <w:rPr>
          <w:rFonts w:eastAsia="Cambria"/>
          <w:u w:color="000000"/>
          <w:bdr w:val="nil"/>
          <w:lang w:val="en-US"/>
        </w:rPr>
        <w:t>M.B</w:t>
      </w:r>
      <w:proofErr w:type="spellEnd"/>
      <w:r w:rsidRPr="00F43118">
        <w:rPr>
          <w:rFonts w:eastAsia="Cambria"/>
          <w:u w:color="000000"/>
          <w:bdr w:val="nil"/>
          <w:lang w:val="en-US"/>
        </w:rPr>
        <w:t xml:space="preserve">. &amp; </w:t>
      </w:r>
      <w:proofErr w:type="spellStart"/>
      <w:r w:rsidRPr="00F43118">
        <w:rPr>
          <w:rFonts w:eastAsia="Cambria"/>
          <w:u w:color="000000"/>
          <w:bdr w:val="nil"/>
          <w:lang w:val="en-US"/>
        </w:rPr>
        <w:t>Einarsen</w:t>
      </w:r>
      <w:proofErr w:type="spellEnd"/>
      <w:r w:rsidRPr="00F43118">
        <w:rPr>
          <w:rFonts w:eastAsia="Cambria"/>
          <w:u w:color="000000"/>
          <w:bdr w:val="nil"/>
          <w:lang w:val="en-US"/>
        </w:rPr>
        <w:t xml:space="preserve">, S. (2012) Outcomes of exposure to workplace bullying: A meta-analytic review, </w:t>
      </w:r>
      <w:r w:rsidRPr="00F43118">
        <w:rPr>
          <w:rFonts w:eastAsia="Cambria"/>
          <w:i/>
          <w:u w:color="000000"/>
          <w:bdr w:val="nil"/>
          <w:lang w:val="en-US"/>
        </w:rPr>
        <w:t>Work &amp; Stress, 26(</w:t>
      </w:r>
      <w:r w:rsidRPr="00F43118">
        <w:rPr>
          <w:rFonts w:eastAsia="Cambria"/>
          <w:u w:color="000000"/>
          <w:bdr w:val="nil"/>
          <w:lang w:val="en-US"/>
        </w:rPr>
        <w:t>4), 309–332</w:t>
      </w:r>
    </w:p>
    <w:p w:rsidR="008B7555" w:rsidRDefault="00CE2035" w:rsidP="007C3642">
      <w:pPr>
        <w:ind w:left="709" w:hanging="720"/>
        <w:rPr>
          <w:rFonts w:eastAsia="Cambria"/>
          <w:u w:color="000000"/>
          <w:bdr w:val="nil"/>
          <w:lang w:val="en-US"/>
        </w:rPr>
      </w:pPr>
      <w:r w:rsidRPr="00727D20">
        <w:rPr>
          <w:rFonts w:eastAsia="Cambria"/>
          <w:u w:color="000000"/>
          <w:bdr w:val="nil"/>
          <w:lang w:val="sv-SE"/>
        </w:rPr>
        <w:t xml:space="preserve">Notelaers, G., Baillien, E., De Witte, H., Einarsen, S., &amp; Vermunt, J.K. (2012). </w:t>
      </w:r>
      <w:proofErr w:type="gramStart"/>
      <w:r>
        <w:rPr>
          <w:rFonts w:eastAsia="Cambria"/>
          <w:u w:color="000000"/>
          <w:bdr w:val="nil"/>
          <w:lang w:val="en-US"/>
        </w:rPr>
        <w:t>Testing the strain hypothesis of the demand control model to explain severe bullying at work.</w:t>
      </w:r>
      <w:proofErr w:type="gramEnd"/>
      <w:r>
        <w:rPr>
          <w:rFonts w:eastAsia="Cambria"/>
          <w:u w:color="000000"/>
          <w:bdr w:val="nil"/>
          <w:lang w:val="en-US"/>
        </w:rPr>
        <w:t xml:space="preserve"> </w:t>
      </w:r>
      <w:r w:rsidRPr="00702476">
        <w:rPr>
          <w:rFonts w:eastAsia="Cambria"/>
          <w:i/>
          <w:u w:color="000000"/>
          <w:bdr w:val="nil"/>
          <w:lang w:val="en-US"/>
        </w:rPr>
        <w:t>Economic and Industrial Democracy, 34,</w:t>
      </w:r>
      <w:r>
        <w:rPr>
          <w:rFonts w:eastAsia="Cambria"/>
          <w:u w:color="000000"/>
          <w:bdr w:val="nil"/>
          <w:lang w:val="en-US"/>
        </w:rPr>
        <w:t xml:space="preserve"> 69-87. </w:t>
      </w:r>
      <w:proofErr w:type="spellStart"/>
      <w:r>
        <w:rPr>
          <w:rFonts w:eastAsia="Cambria"/>
          <w:u w:color="000000"/>
          <w:bdr w:val="nil"/>
          <w:lang w:val="en-US"/>
        </w:rPr>
        <w:t>Doi</w:t>
      </w:r>
      <w:proofErr w:type="spellEnd"/>
      <w:r>
        <w:rPr>
          <w:rFonts w:eastAsia="Cambria"/>
          <w:u w:color="000000"/>
          <w:bdr w:val="nil"/>
          <w:lang w:val="en-US"/>
        </w:rPr>
        <w:t>: 10.1177/</w:t>
      </w:r>
      <w:proofErr w:type="spellStart"/>
      <w:r>
        <w:rPr>
          <w:rFonts w:eastAsia="Cambria"/>
          <w:u w:color="000000"/>
          <w:bdr w:val="nil"/>
          <w:lang w:val="en-US"/>
        </w:rPr>
        <w:t>0143831X12438742</w:t>
      </w:r>
      <w:proofErr w:type="spellEnd"/>
      <w:r>
        <w:rPr>
          <w:rFonts w:eastAsia="Cambria"/>
          <w:u w:color="000000"/>
          <w:bdr w:val="nil"/>
          <w:lang w:val="en-US"/>
        </w:rPr>
        <w:t>.</w:t>
      </w:r>
    </w:p>
    <w:p w:rsidR="006F1D5B" w:rsidRPr="00017840" w:rsidRDefault="006F1D5B" w:rsidP="007C3642">
      <w:pPr>
        <w:ind w:left="709" w:hanging="720"/>
      </w:pPr>
      <w:proofErr w:type="gramStart"/>
      <w:r w:rsidRPr="00017840">
        <w:t>Parker, S. (2015).</w:t>
      </w:r>
      <w:proofErr w:type="gramEnd"/>
      <w:r w:rsidRPr="00017840">
        <w:t xml:space="preserve"> Does the evidence and theory support </w:t>
      </w:r>
      <w:r>
        <w:t xml:space="preserve">the good work design </w:t>
      </w:r>
      <w:proofErr w:type="gramStart"/>
      <w:r>
        <w:t>principles.</w:t>
      </w:r>
      <w:proofErr w:type="gramEnd"/>
      <w:r w:rsidRPr="00017840">
        <w:t xml:space="preserve"> Safe Work Australia</w:t>
      </w:r>
      <w:r>
        <w:t>, Canberra</w:t>
      </w:r>
      <w:r w:rsidRPr="00017840">
        <w:t>.</w:t>
      </w:r>
    </w:p>
    <w:p w:rsidR="00F43118" w:rsidRDefault="00F43118" w:rsidP="007C3642">
      <w:pPr>
        <w:ind w:left="709" w:hanging="720"/>
        <w:rPr>
          <w:rFonts w:eastAsia="Cambria"/>
          <w:u w:color="000000"/>
          <w:bdr w:val="nil"/>
          <w:lang w:val="en-US"/>
        </w:rPr>
      </w:pPr>
      <w:proofErr w:type="gramStart"/>
      <w:r w:rsidRPr="00F43118">
        <w:rPr>
          <w:rFonts w:eastAsia="Cambria"/>
          <w:u w:color="000000"/>
          <w:bdr w:val="nil"/>
          <w:lang w:val="en-US"/>
        </w:rPr>
        <w:t>Productivity Commission.</w:t>
      </w:r>
      <w:proofErr w:type="gramEnd"/>
      <w:r w:rsidRPr="00F43118">
        <w:rPr>
          <w:rFonts w:eastAsia="Cambria"/>
          <w:u w:color="000000"/>
          <w:bdr w:val="nil"/>
          <w:lang w:val="en-US"/>
        </w:rPr>
        <w:t xml:space="preserve"> (2010). </w:t>
      </w:r>
      <w:r w:rsidRPr="00F43118">
        <w:rPr>
          <w:rFonts w:eastAsia="Cambria"/>
          <w:i/>
          <w:iCs/>
          <w:u w:color="000000"/>
          <w:bdr w:val="nil"/>
          <w:lang w:val="en-US"/>
        </w:rPr>
        <w:t>Performance Benchmarking of Australian Business Regulation: Occupational Health &amp; Safety</w:t>
      </w:r>
      <w:r w:rsidRPr="00F43118">
        <w:rPr>
          <w:rFonts w:eastAsia="Cambria"/>
          <w:u w:color="000000"/>
          <w:bdr w:val="nil"/>
          <w:lang w:val="en-US"/>
        </w:rPr>
        <w:t xml:space="preserve">. </w:t>
      </w:r>
      <w:proofErr w:type="gramStart"/>
      <w:r w:rsidRPr="00F43118">
        <w:rPr>
          <w:rFonts w:eastAsia="Cambria"/>
          <w:u w:color="000000"/>
          <w:bdr w:val="nil"/>
          <w:lang w:val="en-US"/>
        </w:rPr>
        <w:t>Research Report.</w:t>
      </w:r>
      <w:proofErr w:type="gramEnd"/>
      <w:r w:rsidRPr="00F43118">
        <w:rPr>
          <w:rFonts w:eastAsia="Cambria"/>
          <w:u w:color="000000"/>
          <w:bdr w:val="nil"/>
          <w:lang w:val="en-US"/>
        </w:rPr>
        <w:t xml:space="preserve"> Canberra, Australia.</w:t>
      </w:r>
    </w:p>
    <w:p w:rsidR="00556914" w:rsidRDefault="00556914" w:rsidP="007C3642">
      <w:pPr>
        <w:ind w:left="709" w:hanging="720"/>
        <w:rPr>
          <w:shd w:val="clear" w:color="auto" w:fill="FFFFFF"/>
        </w:rPr>
      </w:pPr>
      <w:proofErr w:type="gramStart"/>
      <w:r w:rsidRPr="00556914">
        <w:rPr>
          <w:shd w:val="clear" w:color="auto" w:fill="FFFFFF"/>
        </w:rPr>
        <w:t>Rayner, C., &amp; Lewis, D. (2011).</w:t>
      </w:r>
      <w:proofErr w:type="gramEnd"/>
      <w:r w:rsidRPr="00556914">
        <w:rPr>
          <w:shd w:val="clear" w:color="auto" w:fill="FFFFFF"/>
        </w:rPr>
        <w:t xml:space="preserve"> Managing workplace bullying: The role of policies.</w:t>
      </w:r>
      <w:r w:rsidRPr="00556914">
        <w:rPr>
          <w:rStyle w:val="apple-converted-space"/>
          <w:rFonts w:asciiTheme="minorHAnsi" w:hAnsiTheme="minorHAnsi" w:cstheme="minorHAnsi"/>
          <w:color w:val="222222"/>
          <w:sz w:val="20"/>
          <w:szCs w:val="20"/>
          <w:shd w:val="clear" w:color="auto" w:fill="FFFFFF"/>
        </w:rPr>
        <w:t> </w:t>
      </w:r>
      <w:r w:rsidRPr="00556914">
        <w:rPr>
          <w:i/>
          <w:iCs/>
          <w:shd w:val="clear" w:color="auto" w:fill="FFFFFF"/>
        </w:rPr>
        <w:t>Bullying and harassment in the workplace: Developments in theory, research, and practice</w:t>
      </w:r>
      <w:r w:rsidRPr="00556914">
        <w:rPr>
          <w:shd w:val="clear" w:color="auto" w:fill="FFFFFF"/>
        </w:rPr>
        <w:t>, 327-340.</w:t>
      </w:r>
    </w:p>
    <w:p w:rsidR="00F43118" w:rsidRPr="00463E51" w:rsidRDefault="00F43118" w:rsidP="007C3642">
      <w:pPr>
        <w:ind w:left="709" w:hanging="720"/>
        <w:rPr>
          <w:rFonts w:eastAsia="Cambria"/>
          <w:u w:color="000000"/>
          <w:bdr w:val="nil"/>
          <w:lang w:val="en-US"/>
        </w:rPr>
      </w:pPr>
      <w:r w:rsidRPr="00463E51">
        <w:rPr>
          <w:rFonts w:eastAsia="Cambria"/>
          <w:bCs/>
          <w:u w:color="000000"/>
          <w:bdr w:val="nil"/>
          <w:lang w:val="en-US"/>
        </w:rPr>
        <w:t xml:space="preserve">Richman, J.A., Flaherty, J.A., </w:t>
      </w:r>
      <w:proofErr w:type="spellStart"/>
      <w:r w:rsidRPr="00463E51">
        <w:rPr>
          <w:rFonts w:eastAsia="Cambria"/>
          <w:bCs/>
          <w:u w:color="000000"/>
          <w:bdr w:val="nil"/>
          <w:lang w:val="en-US"/>
        </w:rPr>
        <w:t>Rospenda</w:t>
      </w:r>
      <w:proofErr w:type="spellEnd"/>
      <w:r w:rsidRPr="00463E51">
        <w:rPr>
          <w:rFonts w:eastAsia="Cambria"/>
          <w:bCs/>
          <w:u w:color="000000"/>
          <w:bdr w:val="nil"/>
          <w:lang w:val="en-US"/>
        </w:rPr>
        <w:t xml:space="preserve">, </w:t>
      </w:r>
      <w:proofErr w:type="spellStart"/>
      <w:r w:rsidRPr="00463E51">
        <w:rPr>
          <w:rFonts w:eastAsia="Cambria"/>
          <w:bCs/>
          <w:u w:color="000000"/>
          <w:bdr w:val="nil"/>
          <w:lang w:val="en-US"/>
        </w:rPr>
        <w:t>K.M</w:t>
      </w:r>
      <w:proofErr w:type="spellEnd"/>
      <w:r w:rsidRPr="00463E51">
        <w:rPr>
          <w:rFonts w:eastAsia="Cambria"/>
          <w:bCs/>
          <w:u w:color="000000"/>
          <w:bdr w:val="nil"/>
          <w:lang w:val="en-US"/>
        </w:rPr>
        <w:t xml:space="preserve">. (1996). </w:t>
      </w:r>
      <w:r w:rsidRPr="00463E51">
        <w:rPr>
          <w:rFonts w:eastAsia="Cambria"/>
          <w:u w:color="000000"/>
          <w:bdr w:val="nil"/>
          <w:lang w:val="en-US"/>
        </w:rPr>
        <w:t>Perceived workplace harassment experiences and</w:t>
      </w:r>
      <w:r w:rsidRPr="00556914">
        <w:rPr>
          <w:rFonts w:eastAsia="Cambria"/>
          <w:u w:color="000000"/>
          <w:bdr w:val="nil"/>
          <w:lang w:val="en-US"/>
        </w:rPr>
        <w:t xml:space="preserve"> </w:t>
      </w:r>
      <w:r w:rsidRPr="00463E51">
        <w:rPr>
          <w:rFonts w:eastAsia="Cambria"/>
          <w:u w:color="000000"/>
          <w:bdr w:val="nil"/>
          <w:lang w:val="en-US"/>
        </w:rPr>
        <w:t>problem drinking among physicians: Broadening the stress/alienation paradigm. </w:t>
      </w:r>
      <w:r w:rsidRPr="00463E51">
        <w:rPr>
          <w:rFonts w:eastAsia="Cambria"/>
          <w:i/>
          <w:u w:color="000000"/>
          <w:bdr w:val="nil"/>
          <w:lang w:val="en-US"/>
        </w:rPr>
        <w:t>Addiction, 91</w:t>
      </w:r>
      <w:r w:rsidRPr="00463E51">
        <w:rPr>
          <w:rFonts w:eastAsia="Cambria"/>
          <w:u w:color="000000"/>
          <w:bdr w:val="nil"/>
          <w:lang w:val="en-US"/>
        </w:rPr>
        <w:t xml:space="preserve">, 391–403. </w:t>
      </w:r>
    </w:p>
    <w:p w:rsidR="00033702" w:rsidRDefault="004031DE" w:rsidP="007C3642">
      <w:pPr>
        <w:ind w:left="709" w:hanging="720"/>
      </w:pPr>
      <w:proofErr w:type="gramStart"/>
      <w:r w:rsidRPr="00727D20">
        <w:t>Safe</w:t>
      </w:r>
      <w:r w:rsidR="00033702">
        <w:t xml:space="preserve"> Work Australia (2014)</w:t>
      </w:r>
      <w:r w:rsidR="00716C68">
        <w:t>.</w:t>
      </w:r>
      <w:proofErr w:type="gramEnd"/>
      <w:r w:rsidR="00716C68">
        <w:t xml:space="preserve"> Preventing Psychological Injury </w:t>
      </w:r>
      <w:proofErr w:type="gramStart"/>
      <w:r w:rsidR="00716C68">
        <w:t>Under</w:t>
      </w:r>
      <w:proofErr w:type="gramEnd"/>
      <w:r w:rsidR="00716C68">
        <w:t xml:space="preserve"> Work Health and Safety Laws. Canberra: Safe Work Australia.</w:t>
      </w:r>
    </w:p>
    <w:p w:rsidR="00716C68" w:rsidRDefault="00716C68" w:rsidP="007C3642">
      <w:pPr>
        <w:ind w:left="709" w:hanging="720"/>
      </w:pPr>
      <w:r>
        <w:tab/>
      </w:r>
      <w:proofErr w:type="gramStart"/>
      <w:r>
        <w:t>Retrieved August 3</w:t>
      </w:r>
      <w:r w:rsidR="00847AD5">
        <w:t>1</w:t>
      </w:r>
      <w:r>
        <w:t>, 2016.</w:t>
      </w:r>
      <w:proofErr w:type="gramEnd"/>
      <w:r>
        <w:t xml:space="preserve"> Retrieved from: </w:t>
      </w:r>
    </w:p>
    <w:p w:rsidR="00716C68" w:rsidRPr="00727D20" w:rsidRDefault="00716C68" w:rsidP="007C3642">
      <w:pPr>
        <w:ind w:left="709" w:hanging="720"/>
      </w:pPr>
      <w:r w:rsidRPr="00716C68">
        <w:t>http://www.safeworkaustralia.gov.au/sites/SWA/about/Publications/Documents/855/Preventing-Psychological-Injury-Under-WHS-Laws.pdf</w:t>
      </w:r>
      <w:r>
        <w:t xml:space="preserve"> </w:t>
      </w:r>
    </w:p>
    <w:p w:rsidR="00F43118" w:rsidRPr="00463E51" w:rsidRDefault="00EA1BE3" w:rsidP="007C3642">
      <w:pPr>
        <w:ind w:left="709" w:hanging="720"/>
        <w:rPr>
          <w:rFonts w:eastAsia="Cambria"/>
          <w:u w:color="000000"/>
          <w:bdr w:val="nil"/>
          <w:lang w:val="en-US"/>
        </w:rPr>
      </w:pPr>
      <w:hyperlink r:id="rId22" w:history="1">
        <w:r w:rsidR="00F43118" w:rsidRPr="00463E51">
          <w:rPr>
            <w:rFonts w:eastAsia="Cambria"/>
            <w:color w:val="0000FF"/>
            <w:u w:val="single" w:color="0000FF"/>
            <w:bdr w:val="nil"/>
            <w:lang w:val="en-US"/>
          </w:rPr>
          <w:t>Safe Work Australia. (2013</w:t>
        </w:r>
        <w:r w:rsidR="00463E51" w:rsidRPr="00463E51">
          <w:rPr>
            <w:rFonts w:eastAsia="Cambria"/>
            <w:color w:val="0000FF"/>
            <w:u w:val="single" w:color="0000FF"/>
            <w:bdr w:val="nil"/>
            <w:lang w:val="en-US"/>
          </w:rPr>
          <w:t>a</w:t>
        </w:r>
        <w:r w:rsidR="00F43118" w:rsidRPr="00463E51">
          <w:rPr>
            <w:rFonts w:eastAsia="Cambria"/>
            <w:color w:val="0000FF"/>
            <w:u w:val="single" w:color="0000FF"/>
            <w:bdr w:val="nil"/>
            <w:lang w:val="en-US"/>
          </w:rPr>
          <w:t xml:space="preserve">). Compendium of Workers’ Compensation Statistics 2009-10, February 2011. </w:t>
        </w:r>
        <w:proofErr w:type="gramStart"/>
        <w:r w:rsidR="00F43118" w:rsidRPr="00463E51">
          <w:rPr>
            <w:rFonts w:eastAsia="Cambria"/>
            <w:color w:val="0000FF"/>
            <w:u w:val="single" w:color="0000FF"/>
            <w:bdr w:val="nil"/>
            <w:lang w:val="en-US"/>
          </w:rPr>
          <w:t>Retrieved April 1, 2012</w:t>
        </w:r>
      </w:hyperlink>
      <w:r w:rsidR="00F43118" w:rsidRPr="00463E51">
        <w:rPr>
          <w:rFonts w:eastAsia="Cambria"/>
          <w:u w:color="000000"/>
          <w:bdr w:val="nil"/>
          <w:lang w:val="en-US"/>
        </w:rPr>
        <w:t>.</w:t>
      </w:r>
      <w:proofErr w:type="gramEnd"/>
      <w:r w:rsidR="00F43118" w:rsidRPr="00463E51">
        <w:rPr>
          <w:rFonts w:eastAsia="Cambria"/>
          <w:u w:color="000000"/>
          <w:bdr w:val="nil"/>
          <w:lang w:val="en-US"/>
        </w:rPr>
        <w:t xml:space="preserve"> Retrieved from: </w:t>
      </w:r>
      <w:hyperlink r:id="rId23" w:history="1">
        <w:r w:rsidR="00F43118" w:rsidRPr="00463E51">
          <w:rPr>
            <w:rFonts w:eastAsia="Cambria"/>
            <w:u w:color="000000"/>
            <w:bdr w:val="nil"/>
            <w:lang w:val="en-US"/>
          </w:rPr>
          <w:t>http://www.safeworkaustralia.gov.au/sites/SWA/about/Publications/Documents/766/Compendium%202010–11.pdf</w:t>
        </w:r>
      </w:hyperlink>
    </w:p>
    <w:p w:rsidR="003D3CB9" w:rsidRDefault="003D3CB9" w:rsidP="007C3642">
      <w:pPr>
        <w:ind w:left="709" w:hanging="720"/>
        <w:rPr>
          <w:rFonts w:eastAsia="Cambria"/>
          <w:u w:color="000000"/>
          <w:bdr w:val="nil"/>
          <w:lang w:val="en-US"/>
        </w:rPr>
      </w:pPr>
      <w:proofErr w:type="gramStart"/>
      <w:r w:rsidRPr="00463E51">
        <w:rPr>
          <w:rFonts w:eastAsia="Cambria"/>
          <w:u w:color="000000"/>
          <w:bdr w:val="nil"/>
          <w:lang w:val="en-US"/>
        </w:rPr>
        <w:t>Saf</w:t>
      </w:r>
      <w:r w:rsidR="00F251C9" w:rsidRPr="00463E51">
        <w:rPr>
          <w:rFonts w:eastAsia="Cambria"/>
          <w:u w:color="000000"/>
          <w:bdr w:val="nil"/>
          <w:lang w:val="en-US"/>
        </w:rPr>
        <w:t>e Work Australia (</w:t>
      </w:r>
      <w:proofErr w:type="spellStart"/>
      <w:r w:rsidR="00F251C9" w:rsidRPr="00463E51">
        <w:rPr>
          <w:rFonts w:eastAsia="Cambria"/>
          <w:u w:color="000000"/>
          <w:bdr w:val="nil"/>
          <w:lang w:val="en-US"/>
        </w:rPr>
        <w:t>2013</w:t>
      </w:r>
      <w:r w:rsidR="001E2F01">
        <w:rPr>
          <w:rFonts w:eastAsia="Cambria"/>
          <w:u w:color="000000"/>
          <w:bdr w:val="nil"/>
          <w:lang w:val="en-US"/>
        </w:rPr>
        <w:t>b</w:t>
      </w:r>
      <w:proofErr w:type="spellEnd"/>
      <w:r w:rsidR="00F251C9" w:rsidRPr="00463E51">
        <w:rPr>
          <w:rFonts w:eastAsia="Cambria"/>
          <w:u w:color="000000"/>
          <w:bdr w:val="nil"/>
          <w:lang w:val="en-US"/>
        </w:rPr>
        <w:t>).</w:t>
      </w:r>
      <w:proofErr w:type="gramEnd"/>
      <w:r w:rsidR="00F251C9" w:rsidRPr="00463E51">
        <w:rPr>
          <w:rFonts w:eastAsia="Cambria"/>
          <w:u w:color="000000"/>
          <w:bdr w:val="nil"/>
          <w:lang w:val="en-US"/>
        </w:rPr>
        <w:t xml:space="preserve"> Guide For Preventing and Responding to Workplace B</w:t>
      </w:r>
      <w:r w:rsidRPr="00463E51">
        <w:rPr>
          <w:rFonts w:eastAsia="Cambria"/>
          <w:u w:color="000000"/>
          <w:bdr w:val="nil"/>
          <w:lang w:val="en-US"/>
        </w:rPr>
        <w:t xml:space="preserve">ullying, November 2013. </w:t>
      </w:r>
      <w:proofErr w:type="gramStart"/>
      <w:r w:rsidRPr="00463E51">
        <w:rPr>
          <w:rFonts w:eastAsia="Cambria"/>
          <w:u w:color="000000"/>
          <w:bdr w:val="nil"/>
          <w:lang w:val="en-US"/>
        </w:rPr>
        <w:t>Retrieved April 5 2016.</w:t>
      </w:r>
      <w:proofErr w:type="gramEnd"/>
      <w:r w:rsidRPr="00463E51">
        <w:rPr>
          <w:rFonts w:eastAsia="Cambria"/>
          <w:u w:color="000000"/>
          <w:bdr w:val="nil"/>
          <w:lang w:val="en-US"/>
        </w:rPr>
        <w:t xml:space="preserve"> Retrieved from: http://www.safeworkaustralia.gov.au/sites/SWA/about/Publications/Documents/827/Guide-preventing-responding-workplace-bullying.pdf</w:t>
      </w:r>
    </w:p>
    <w:p w:rsidR="00716C68" w:rsidRDefault="00716C68" w:rsidP="007C3642">
      <w:pPr>
        <w:ind w:left="709" w:hanging="720"/>
        <w:rPr>
          <w:rFonts w:eastAsia="Cambria"/>
          <w:u w:color="000000"/>
          <w:bdr w:val="nil"/>
          <w:lang w:val="en-US"/>
        </w:rPr>
      </w:pPr>
      <w:proofErr w:type="gramStart"/>
      <w:r>
        <w:rPr>
          <w:rFonts w:eastAsia="Cambria"/>
          <w:u w:color="000000"/>
          <w:bdr w:val="nil"/>
          <w:lang w:val="en-US"/>
        </w:rPr>
        <w:t>Safe Work Australia (</w:t>
      </w:r>
      <w:proofErr w:type="spellStart"/>
      <w:r>
        <w:rPr>
          <w:rFonts w:eastAsia="Cambria"/>
          <w:u w:color="000000"/>
          <w:bdr w:val="nil"/>
          <w:lang w:val="en-US"/>
        </w:rPr>
        <w:t>2013</w:t>
      </w:r>
      <w:r w:rsidR="001E2F01">
        <w:rPr>
          <w:rFonts w:eastAsia="Cambria"/>
          <w:u w:color="000000"/>
          <w:bdr w:val="nil"/>
          <w:lang w:val="en-US"/>
        </w:rPr>
        <w:t>c</w:t>
      </w:r>
      <w:proofErr w:type="spellEnd"/>
      <w:r>
        <w:rPr>
          <w:rFonts w:eastAsia="Cambria"/>
          <w:u w:color="000000"/>
          <w:bdr w:val="nil"/>
          <w:lang w:val="en-US"/>
        </w:rPr>
        <w:t>).</w:t>
      </w:r>
      <w:proofErr w:type="gramEnd"/>
      <w:r>
        <w:rPr>
          <w:rFonts w:eastAsia="Cambria"/>
          <w:u w:color="000000"/>
          <w:bdr w:val="nil"/>
          <w:lang w:val="en-US"/>
        </w:rPr>
        <w:t xml:space="preserve"> </w:t>
      </w:r>
      <w:proofErr w:type="gramStart"/>
      <w:r>
        <w:rPr>
          <w:rFonts w:eastAsia="Cambria"/>
          <w:u w:color="000000"/>
          <w:bdr w:val="nil"/>
          <w:lang w:val="en-US"/>
        </w:rPr>
        <w:t>Dealing with Workplace Bullying – A Worker’s Guide.</w:t>
      </w:r>
      <w:proofErr w:type="gramEnd"/>
      <w:r>
        <w:rPr>
          <w:rFonts w:eastAsia="Cambria"/>
          <w:u w:color="000000"/>
          <w:bdr w:val="nil"/>
          <w:lang w:val="en-US"/>
        </w:rPr>
        <w:t xml:space="preserve"> Canberra: Safe Work Australia.</w:t>
      </w:r>
    </w:p>
    <w:p w:rsidR="00716C68" w:rsidRDefault="00716C68" w:rsidP="007C3642">
      <w:pPr>
        <w:ind w:left="709" w:hanging="720"/>
        <w:rPr>
          <w:rFonts w:eastAsia="Cambria"/>
          <w:u w:color="000000"/>
          <w:bdr w:val="nil"/>
          <w:lang w:val="en-US"/>
        </w:rPr>
      </w:pPr>
      <w:r>
        <w:rPr>
          <w:rFonts w:eastAsia="Cambria"/>
          <w:u w:color="000000"/>
          <w:bdr w:val="nil"/>
          <w:lang w:val="en-US"/>
        </w:rPr>
        <w:tab/>
      </w:r>
      <w:proofErr w:type="gramStart"/>
      <w:r>
        <w:rPr>
          <w:rFonts w:eastAsia="Cambria"/>
          <w:u w:color="000000"/>
          <w:bdr w:val="nil"/>
          <w:lang w:val="en-US"/>
        </w:rPr>
        <w:t>Retrieved on 3</w:t>
      </w:r>
      <w:r w:rsidR="00847AD5">
        <w:rPr>
          <w:rFonts w:eastAsia="Cambria"/>
          <w:u w:color="000000"/>
          <w:bdr w:val="nil"/>
          <w:lang w:val="en-US"/>
        </w:rPr>
        <w:t>1</w:t>
      </w:r>
      <w:r>
        <w:rPr>
          <w:rFonts w:eastAsia="Cambria"/>
          <w:u w:color="000000"/>
          <w:bdr w:val="nil"/>
          <w:lang w:val="en-US"/>
        </w:rPr>
        <w:t xml:space="preserve"> August, 2016.</w:t>
      </w:r>
      <w:proofErr w:type="gramEnd"/>
    </w:p>
    <w:p w:rsidR="00716C68" w:rsidRDefault="00716C68" w:rsidP="007C3642">
      <w:pPr>
        <w:ind w:left="709" w:hanging="720"/>
        <w:rPr>
          <w:rFonts w:eastAsia="Cambria"/>
          <w:u w:color="000000"/>
          <w:bdr w:val="nil"/>
          <w:lang w:val="en-US"/>
        </w:rPr>
      </w:pPr>
      <w:r>
        <w:rPr>
          <w:rFonts w:eastAsia="Cambria"/>
          <w:u w:color="000000"/>
          <w:bdr w:val="nil"/>
          <w:lang w:val="en-US"/>
        </w:rPr>
        <w:tab/>
        <w:t xml:space="preserve">Retrieved from: </w:t>
      </w:r>
      <w:r w:rsidRPr="00716C68">
        <w:rPr>
          <w:rFonts w:eastAsia="Cambria"/>
          <w:u w:color="000000"/>
          <w:bdr w:val="nil"/>
          <w:lang w:val="en-US"/>
        </w:rPr>
        <w:t>http://www.safeworkaustralia.gov.au/sites/SWA/about/Publications/Documents/828/Workers-Guide-workplace-bullying.pdf</w:t>
      </w:r>
      <w:r>
        <w:rPr>
          <w:rFonts w:eastAsia="Cambria"/>
          <w:u w:color="000000"/>
          <w:bdr w:val="nil"/>
          <w:lang w:val="en-US"/>
        </w:rPr>
        <w:t xml:space="preserve"> </w:t>
      </w:r>
    </w:p>
    <w:p w:rsidR="00847AD5" w:rsidRDefault="00847AD5" w:rsidP="007C3642">
      <w:pPr>
        <w:ind w:left="709" w:hanging="720"/>
        <w:rPr>
          <w:rFonts w:eastAsia="Cambria"/>
          <w:u w:color="000000"/>
          <w:bdr w:val="nil"/>
          <w:lang w:val="en-US"/>
        </w:rPr>
      </w:pPr>
      <w:proofErr w:type="gramStart"/>
      <w:r>
        <w:rPr>
          <w:rFonts w:eastAsia="Cambria"/>
          <w:u w:color="000000"/>
          <w:bdr w:val="nil"/>
          <w:lang w:val="en-US"/>
        </w:rPr>
        <w:t>Safe Work Australia (</w:t>
      </w:r>
      <w:proofErr w:type="spellStart"/>
      <w:r>
        <w:rPr>
          <w:rFonts w:eastAsia="Cambria"/>
          <w:u w:color="000000"/>
          <w:bdr w:val="nil"/>
          <w:lang w:val="en-US"/>
        </w:rPr>
        <w:t>2013</w:t>
      </w:r>
      <w:r w:rsidR="001E2F01">
        <w:rPr>
          <w:rFonts w:eastAsia="Cambria"/>
          <w:u w:color="000000"/>
          <w:bdr w:val="nil"/>
          <w:lang w:val="en-US"/>
        </w:rPr>
        <w:t>d</w:t>
      </w:r>
      <w:proofErr w:type="spellEnd"/>
      <w:r>
        <w:rPr>
          <w:rFonts w:eastAsia="Cambria"/>
          <w:u w:color="000000"/>
          <w:bdr w:val="nil"/>
          <w:lang w:val="en-US"/>
        </w:rPr>
        <w:t>).</w:t>
      </w:r>
      <w:proofErr w:type="gramEnd"/>
      <w:r>
        <w:rPr>
          <w:rFonts w:eastAsia="Cambria"/>
          <w:u w:color="000000"/>
          <w:bdr w:val="nil"/>
          <w:lang w:val="en-US"/>
        </w:rPr>
        <w:t xml:space="preserve"> Guide for Managing the Risk of Fatigue at Work. Canberra: Safe Work Australia.</w:t>
      </w:r>
    </w:p>
    <w:p w:rsidR="00847AD5" w:rsidRDefault="00847AD5" w:rsidP="007C3642">
      <w:pPr>
        <w:ind w:left="709" w:hanging="720"/>
        <w:rPr>
          <w:rFonts w:eastAsia="Cambria"/>
          <w:u w:color="000000"/>
          <w:bdr w:val="nil"/>
          <w:lang w:val="en-US"/>
        </w:rPr>
      </w:pPr>
      <w:r>
        <w:rPr>
          <w:rFonts w:eastAsia="Cambria"/>
          <w:u w:color="000000"/>
          <w:bdr w:val="nil"/>
          <w:lang w:val="en-US"/>
        </w:rPr>
        <w:tab/>
      </w:r>
      <w:proofErr w:type="gramStart"/>
      <w:r>
        <w:rPr>
          <w:rFonts w:eastAsia="Cambria"/>
          <w:u w:color="000000"/>
          <w:bdr w:val="nil"/>
          <w:lang w:val="en-US"/>
        </w:rPr>
        <w:t>Retrieved August 31, 2016.</w:t>
      </w:r>
      <w:proofErr w:type="gramEnd"/>
    </w:p>
    <w:p w:rsidR="00847AD5" w:rsidRDefault="00847AD5" w:rsidP="007C3642">
      <w:pPr>
        <w:ind w:left="709" w:hanging="720"/>
        <w:rPr>
          <w:rFonts w:eastAsia="Cambria"/>
          <w:u w:color="000000"/>
          <w:bdr w:val="nil"/>
          <w:lang w:val="en-US"/>
        </w:rPr>
      </w:pPr>
      <w:r>
        <w:rPr>
          <w:rFonts w:eastAsia="Cambria"/>
          <w:u w:color="000000"/>
          <w:bdr w:val="nil"/>
          <w:lang w:val="en-US"/>
        </w:rPr>
        <w:tab/>
        <w:t xml:space="preserve">Retrieved from: </w:t>
      </w:r>
      <w:r w:rsidRPr="00847AD5">
        <w:rPr>
          <w:rFonts w:eastAsia="Cambria"/>
          <w:u w:color="000000"/>
          <w:bdr w:val="nil"/>
          <w:lang w:val="en-US"/>
        </w:rPr>
        <w:t>http://www.safeworkaustralia.gov.au/sites/SWA/about/Publications/Documents/825/Managing-the-risk-of-fatigue.pdf</w:t>
      </w:r>
      <w:r w:rsidR="004B457A">
        <w:rPr>
          <w:rFonts w:eastAsia="Cambria"/>
          <w:u w:color="000000"/>
          <w:bdr w:val="nil"/>
          <w:lang w:val="en-US"/>
        </w:rPr>
        <w:t xml:space="preserve"> </w:t>
      </w:r>
    </w:p>
    <w:p w:rsidR="00D15B33" w:rsidRDefault="00D15B33" w:rsidP="007C3642">
      <w:pPr>
        <w:ind w:left="709" w:hanging="720"/>
        <w:rPr>
          <w:rFonts w:eastAsia="Cambria"/>
          <w:u w:color="000000"/>
          <w:bdr w:val="nil"/>
          <w:lang w:val="en-US"/>
        </w:rPr>
      </w:pPr>
    </w:p>
    <w:p w:rsidR="00847AD5" w:rsidRDefault="00847AD5" w:rsidP="007C3642">
      <w:pPr>
        <w:ind w:left="709" w:hanging="720"/>
        <w:rPr>
          <w:rFonts w:eastAsia="Cambria"/>
          <w:u w:color="000000"/>
          <w:bdr w:val="nil"/>
          <w:lang w:val="en-US"/>
        </w:rPr>
      </w:pPr>
      <w:proofErr w:type="gramStart"/>
      <w:r>
        <w:rPr>
          <w:rFonts w:eastAsia="Cambria"/>
          <w:u w:color="000000"/>
          <w:bdr w:val="nil"/>
          <w:lang w:val="en-US"/>
        </w:rPr>
        <w:lastRenderedPageBreak/>
        <w:t>Safe Work Australia (</w:t>
      </w:r>
      <w:proofErr w:type="spellStart"/>
      <w:r>
        <w:rPr>
          <w:rFonts w:eastAsia="Cambria"/>
          <w:u w:color="000000"/>
          <w:bdr w:val="nil"/>
          <w:lang w:val="en-US"/>
        </w:rPr>
        <w:t>2013</w:t>
      </w:r>
      <w:r w:rsidR="001E2F01">
        <w:rPr>
          <w:rFonts w:eastAsia="Cambria"/>
          <w:u w:color="000000"/>
          <w:bdr w:val="nil"/>
          <w:lang w:val="en-US"/>
        </w:rPr>
        <w:t>e</w:t>
      </w:r>
      <w:proofErr w:type="spellEnd"/>
      <w:r>
        <w:rPr>
          <w:rFonts w:eastAsia="Cambria"/>
          <w:u w:color="000000"/>
          <w:bdr w:val="nil"/>
          <w:lang w:val="en-US"/>
        </w:rPr>
        <w:t>).</w:t>
      </w:r>
      <w:proofErr w:type="gramEnd"/>
      <w:r>
        <w:rPr>
          <w:rFonts w:eastAsia="Cambria"/>
          <w:u w:color="000000"/>
          <w:bdr w:val="nil"/>
          <w:lang w:val="en-US"/>
        </w:rPr>
        <w:t xml:space="preserve"> </w:t>
      </w:r>
      <w:proofErr w:type="gramStart"/>
      <w:r>
        <w:rPr>
          <w:rFonts w:eastAsia="Cambria"/>
          <w:u w:color="000000"/>
          <w:bdr w:val="nil"/>
          <w:lang w:val="en-US"/>
        </w:rPr>
        <w:t>Fatigue Management: A Worker’s Guide.</w:t>
      </w:r>
      <w:proofErr w:type="gramEnd"/>
      <w:r>
        <w:rPr>
          <w:rFonts w:eastAsia="Cambria"/>
          <w:u w:color="000000"/>
          <w:bdr w:val="nil"/>
          <w:lang w:val="en-US"/>
        </w:rPr>
        <w:t xml:space="preserve"> Canberra: Safe Work Australia.</w:t>
      </w:r>
    </w:p>
    <w:p w:rsidR="00847AD5" w:rsidRDefault="00847AD5" w:rsidP="007C3642">
      <w:pPr>
        <w:ind w:left="709" w:hanging="720"/>
        <w:rPr>
          <w:rFonts w:eastAsia="Cambria"/>
          <w:u w:color="000000"/>
          <w:bdr w:val="nil"/>
          <w:lang w:val="en-US"/>
        </w:rPr>
      </w:pPr>
      <w:r>
        <w:rPr>
          <w:rFonts w:eastAsia="Cambria"/>
          <w:u w:color="000000"/>
          <w:bdr w:val="nil"/>
          <w:lang w:val="en-US"/>
        </w:rPr>
        <w:tab/>
      </w:r>
      <w:proofErr w:type="gramStart"/>
      <w:r>
        <w:rPr>
          <w:rFonts w:eastAsia="Cambria"/>
          <w:u w:color="000000"/>
          <w:bdr w:val="nil"/>
          <w:lang w:val="en-US"/>
        </w:rPr>
        <w:t>Retrieved on 31 August 2016.</w:t>
      </w:r>
      <w:proofErr w:type="gramEnd"/>
    </w:p>
    <w:p w:rsidR="00507F16" w:rsidRDefault="00847AD5" w:rsidP="00D15B33">
      <w:pPr>
        <w:ind w:left="709" w:hanging="720"/>
        <w:rPr>
          <w:rFonts w:eastAsia="Cambria"/>
          <w:u w:color="000000"/>
          <w:bdr w:val="nil"/>
          <w:lang w:val="en-US"/>
        </w:rPr>
      </w:pPr>
      <w:r>
        <w:rPr>
          <w:rFonts w:eastAsia="Cambria"/>
          <w:u w:color="000000"/>
          <w:bdr w:val="nil"/>
          <w:lang w:val="en-US"/>
        </w:rPr>
        <w:tab/>
        <w:t xml:space="preserve">Retrieved from: </w:t>
      </w:r>
      <w:r w:rsidRPr="00847AD5">
        <w:rPr>
          <w:rFonts w:eastAsia="Cambria"/>
          <w:u w:color="000000"/>
          <w:bdr w:val="nil"/>
          <w:lang w:val="en-US"/>
        </w:rPr>
        <w:t>http://www.safeworkaustralia.gov.au/sites/SWA/about/Publications/Documents/826/Fatigue-Management-A-Workers-Guide.pdf</w:t>
      </w:r>
    </w:p>
    <w:p w:rsidR="00F43118" w:rsidRPr="00F43118" w:rsidRDefault="00F43118" w:rsidP="007C3642">
      <w:pPr>
        <w:ind w:left="709" w:hanging="720"/>
        <w:rPr>
          <w:rFonts w:eastAsia="Cambria"/>
          <w:b/>
          <w:u w:color="000000"/>
          <w:bdr w:val="nil"/>
          <w:lang w:val="en-US"/>
        </w:rPr>
      </w:pPr>
      <w:proofErr w:type="spellStart"/>
      <w:r w:rsidRPr="00F43118">
        <w:rPr>
          <w:rFonts w:eastAsia="Cambria"/>
          <w:u w:color="000000"/>
          <w:bdr w:val="nil"/>
          <w:lang w:val="en-US"/>
        </w:rPr>
        <w:t>Salin</w:t>
      </w:r>
      <w:proofErr w:type="spellEnd"/>
      <w:r w:rsidRPr="00F43118">
        <w:rPr>
          <w:rFonts w:eastAsia="Cambria"/>
          <w:u w:color="000000"/>
          <w:bdr w:val="nil"/>
          <w:lang w:val="en-US"/>
        </w:rPr>
        <w:t xml:space="preserve">, D. (2003). Ways of explaining workplace bullying: A review of enabling, motivating and precipitating structures and processes in the work environment. </w:t>
      </w:r>
      <w:r w:rsidRPr="00F43118">
        <w:rPr>
          <w:rFonts w:eastAsia="Cambria"/>
          <w:i/>
          <w:u w:color="000000"/>
          <w:bdr w:val="nil"/>
          <w:lang w:val="en-US"/>
        </w:rPr>
        <w:t xml:space="preserve">Human Relations, 56(10), </w:t>
      </w:r>
      <w:r w:rsidRPr="00F43118">
        <w:rPr>
          <w:rFonts w:eastAsia="Cambria"/>
          <w:u w:color="000000"/>
          <w:bdr w:val="nil"/>
          <w:lang w:val="en-US"/>
        </w:rPr>
        <w:t>1213–1231.</w:t>
      </w:r>
    </w:p>
    <w:p w:rsidR="00F43118" w:rsidRPr="00F43118" w:rsidRDefault="00F43118" w:rsidP="007C3642">
      <w:pPr>
        <w:ind w:left="709" w:hanging="720"/>
        <w:rPr>
          <w:rFonts w:eastAsia="Cambria"/>
          <w:u w:color="000000"/>
          <w:bdr w:val="nil"/>
          <w:lang w:val="en-US"/>
        </w:rPr>
      </w:pPr>
      <w:proofErr w:type="spellStart"/>
      <w:proofErr w:type="gramStart"/>
      <w:r w:rsidRPr="00F43118">
        <w:rPr>
          <w:rFonts w:eastAsia="Cambria"/>
          <w:u w:color="000000"/>
          <w:bdr w:val="nil"/>
          <w:lang w:val="en-US"/>
        </w:rPr>
        <w:t>Samnani</w:t>
      </w:r>
      <w:proofErr w:type="spellEnd"/>
      <w:r w:rsidRPr="00F43118">
        <w:rPr>
          <w:rFonts w:eastAsia="Cambria"/>
          <w:u w:color="000000"/>
          <w:bdr w:val="nil"/>
          <w:lang w:val="en-US"/>
        </w:rPr>
        <w:t>, A. &amp; Singh, P. (2012).</w:t>
      </w:r>
      <w:proofErr w:type="gramEnd"/>
      <w:r w:rsidRPr="00F43118">
        <w:rPr>
          <w:rFonts w:eastAsia="Cambria"/>
          <w:u w:color="000000"/>
          <w:bdr w:val="nil"/>
          <w:lang w:val="en-US"/>
        </w:rPr>
        <w:t xml:space="preserve"> 20 years of workplace bullying research: A review of antecedents and consequences of bullying in the workplace. </w:t>
      </w:r>
      <w:r w:rsidRPr="00F43118">
        <w:rPr>
          <w:rFonts w:eastAsia="Cambria"/>
          <w:i/>
          <w:iCs/>
          <w:u w:color="000000"/>
          <w:bdr w:val="nil"/>
          <w:lang w:val="en-US"/>
        </w:rPr>
        <w:t>Aggression and Violent</w:t>
      </w:r>
      <w:r w:rsidRPr="00F43118">
        <w:rPr>
          <w:rFonts w:eastAsia="Cambria"/>
          <w:u w:color="000000"/>
          <w:bdr w:val="nil"/>
          <w:lang w:val="en-US"/>
        </w:rPr>
        <w:t xml:space="preserve"> </w:t>
      </w:r>
      <w:r w:rsidRPr="00F43118">
        <w:rPr>
          <w:rFonts w:eastAsia="Cambria"/>
          <w:i/>
          <w:iCs/>
          <w:u w:color="000000"/>
          <w:bdr w:val="nil"/>
          <w:lang w:val="en-US"/>
        </w:rPr>
        <w:t xml:space="preserve">Behavior, 17(6), </w:t>
      </w:r>
      <w:r w:rsidRPr="00F43118">
        <w:rPr>
          <w:rFonts w:eastAsia="Cambria"/>
          <w:u w:color="000000"/>
          <w:bdr w:val="nil"/>
          <w:lang w:val="en-US"/>
        </w:rPr>
        <w:t>581–589.</w:t>
      </w:r>
    </w:p>
    <w:p w:rsidR="00F43118" w:rsidRPr="00F43118" w:rsidRDefault="00F43118" w:rsidP="007C3642">
      <w:pPr>
        <w:ind w:left="709" w:hanging="720"/>
        <w:rPr>
          <w:rFonts w:eastAsia="Cambria"/>
          <w:color w:val="222222"/>
          <w:u w:color="000000"/>
          <w:bdr w:val="nil"/>
          <w:shd w:val="clear" w:color="auto" w:fill="FFFFFF"/>
          <w:lang w:val="en-US"/>
        </w:rPr>
      </w:pPr>
      <w:r w:rsidRPr="00727D20">
        <w:rPr>
          <w:rFonts w:eastAsia="Cambria"/>
          <w:color w:val="222222"/>
          <w:u w:color="000000"/>
          <w:bdr w:val="nil"/>
          <w:shd w:val="clear" w:color="auto" w:fill="FFFFFF"/>
          <w:lang w:val="sv-SE"/>
        </w:rPr>
        <w:t xml:space="preserve">Schaufeli, W. B., Bakker, A.B., &amp; Salanova, M (2006). </w:t>
      </w:r>
      <w:proofErr w:type="gramStart"/>
      <w:r w:rsidRPr="00F43118">
        <w:rPr>
          <w:rFonts w:eastAsia="Cambria"/>
          <w:color w:val="222222"/>
          <w:u w:color="000000"/>
          <w:bdr w:val="nil"/>
          <w:shd w:val="clear" w:color="auto" w:fill="FFFFFF"/>
          <w:lang w:val="en-US"/>
        </w:rPr>
        <w:t>The measurement of work engagement with a short questionnaire a cross-national study.</w:t>
      </w:r>
      <w:proofErr w:type="gramEnd"/>
      <w:r w:rsidRPr="00F43118">
        <w:rPr>
          <w:rFonts w:eastAsia="Cambria"/>
          <w:color w:val="222222"/>
          <w:u w:color="000000"/>
          <w:bdr w:val="nil"/>
          <w:shd w:val="clear" w:color="auto" w:fill="FFFFFF"/>
          <w:lang w:val="en-US"/>
        </w:rPr>
        <w:t> </w:t>
      </w:r>
      <w:r w:rsidRPr="00F43118">
        <w:rPr>
          <w:rFonts w:eastAsia="Cambria"/>
          <w:i/>
          <w:iCs/>
          <w:color w:val="222222"/>
          <w:u w:color="000000"/>
          <w:bdr w:val="nil"/>
          <w:shd w:val="clear" w:color="auto" w:fill="FFFFFF"/>
          <w:lang w:val="en-US"/>
        </w:rPr>
        <w:t>Educational and Psychological Measurement,</w:t>
      </w:r>
      <w:r w:rsidRPr="00F43118">
        <w:rPr>
          <w:rFonts w:eastAsia="Cambria"/>
          <w:i/>
          <w:color w:val="222222"/>
          <w:u w:color="000000"/>
          <w:bdr w:val="nil"/>
          <w:shd w:val="clear" w:color="auto" w:fill="FFFFFF"/>
          <w:lang w:val="en-US"/>
        </w:rPr>
        <w:t xml:space="preserve"> 66(4), </w:t>
      </w:r>
      <w:r w:rsidRPr="00F43118">
        <w:rPr>
          <w:rFonts w:eastAsia="Cambria"/>
          <w:color w:val="222222"/>
          <w:u w:color="000000"/>
          <w:bdr w:val="nil"/>
          <w:shd w:val="clear" w:color="auto" w:fill="FFFFFF"/>
          <w:lang w:val="en-US"/>
        </w:rPr>
        <w:t>701–716.</w:t>
      </w:r>
    </w:p>
    <w:p w:rsidR="00F43118" w:rsidRPr="00F43118" w:rsidRDefault="00F43118" w:rsidP="007C3642">
      <w:pPr>
        <w:ind w:left="709" w:hanging="720"/>
        <w:rPr>
          <w:rFonts w:eastAsia="Cambria"/>
          <w:u w:color="000000"/>
          <w:bdr w:val="nil"/>
          <w:lang w:val="fr-FR"/>
        </w:rPr>
      </w:pPr>
      <w:proofErr w:type="gramStart"/>
      <w:r w:rsidRPr="00F43118">
        <w:rPr>
          <w:rFonts w:eastAsia="Cambria"/>
          <w:u w:color="000000"/>
          <w:bdr w:val="nil"/>
          <w:lang w:val="en-US"/>
        </w:rPr>
        <w:t xml:space="preserve">Scott-Lennon, F., &amp; </w:t>
      </w:r>
      <w:proofErr w:type="spellStart"/>
      <w:r w:rsidRPr="00F43118">
        <w:rPr>
          <w:rFonts w:eastAsia="Cambria"/>
          <w:u w:color="000000"/>
          <w:bdr w:val="nil"/>
          <w:lang w:val="en-US"/>
        </w:rPr>
        <w:t>Considine</w:t>
      </w:r>
      <w:proofErr w:type="spellEnd"/>
      <w:r w:rsidRPr="00F43118">
        <w:rPr>
          <w:rFonts w:eastAsia="Cambria"/>
          <w:u w:color="000000"/>
          <w:bdr w:val="nil"/>
          <w:lang w:val="en-US"/>
        </w:rPr>
        <w:t>, M. (2008).</w:t>
      </w:r>
      <w:proofErr w:type="gramEnd"/>
      <w:r w:rsidRPr="00F43118">
        <w:rPr>
          <w:rFonts w:eastAsia="Cambria"/>
          <w:u w:color="000000"/>
          <w:bdr w:val="nil"/>
          <w:lang w:val="en-US"/>
        </w:rPr>
        <w:t xml:space="preserve"> </w:t>
      </w:r>
      <w:r w:rsidRPr="00F43118">
        <w:rPr>
          <w:rFonts w:eastAsia="Cambria"/>
          <w:i/>
          <w:iCs/>
          <w:u w:color="000000"/>
          <w:bdr w:val="nil"/>
          <w:lang w:val="en-US"/>
        </w:rPr>
        <w:t xml:space="preserve">Bullying and harassment: Values and best practice responses. </w:t>
      </w:r>
      <w:r w:rsidRPr="00F43118">
        <w:rPr>
          <w:rFonts w:eastAsia="Cambria"/>
          <w:u w:color="000000"/>
          <w:bdr w:val="nil"/>
          <w:lang w:val="fr-FR"/>
        </w:rPr>
        <w:t xml:space="preserve">Dublin: Management </w:t>
      </w:r>
      <w:proofErr w:type="spellStart"/>
      <w:r w:rsidRPr="00F43118">
        <w:rPr>
          <w:rFonts w:eastAsia="Cambria"/>
          <w:u w:color="000000"/>
          <w:bdr w:val="nil"/>
          <w:lang w:val="fr-FR"/>
        </w:rPr>
        <w:t>Briefs</w:t>
      </w:r>
      <w:proofErr w:type="spellEnd"/>
      <w:r w:rsidRPr="00F43118">
        <w:rPr>
          <w:rFonts w:eastAsia="Cambria"/>
          <w:u w:color="000000"/>
          <w:bdr w:val="nil"/>
          <w:lang w:val="fr-FR"/>
        </w:rPr>
        <w:t xml:space="preserve">. </w:t>
      </w:r>
    </w:p>
    <w:p w:rsidR="00F43118" w:rsidRPr="005F00EF" w:rsidRDefault="00F43118" w:rsidP="007C3642">
      <w:pPr>
        <w:ind w:left="709" w:hanging="720"/>
        <w:rPr>
          <w:rFonts w:eastAsia="Cambria"/>
          <w:color w:val="222222"/>
          <w:u w:color="000000"/>
          <w:bdr w:val="nil"/>
          <w:shd w:val="clear" w:color="auto" w:fill="FFFFFF"/>
          <w:lang w:val="en-US"/>
        </w:rPr>
      </w:pPr>
      <w:proofErr w:type="spellStart"/>
      <w:r w:rsidRPr="005F00EF">
        <w:rPr>
          <w:rFonts w:eastAsia="Cambria"/>
          <w:color w:val="222222"/>
          <w:u w:color="000000"/>
          <w:bdr w:val="nil"/>
          <w:shd w:val="clear" w:color="auto" w:fill="FFFFFF"/>
          <w:lang w:val="en-US"/>
        </w:rPr>
        <w:t>Siegrist</w:t>
      </w:r>
      <w:proofErr w:type="spellEnd"/>
      <w:r w:rsidRPr="005F00EF">
        <w:rPr>
          <w:rFonts w:eastAsia="Cambria"/>
          <w:color w:val="222222"/>
          <w:u w:color="000000"/>
          <w:bdr w:val="nil"/>
          <w:shd w:val="clear" w:color="auto" w:fill="FFFFFF"/>
          <w:lang w:val="en-US"/>
        </w:rPr>
        <w:t>, J. (1996). Adverse health effects of high-effort/low-reward conditions. </w:t>
      </w:r>
      <w:r w:rsidRPr="005F00EF">
        <w:rPr>
          <w:rFonts w:eastAsia="Cambria"/>
          <w:i/>
          <w:iCs/>
          <w:color w:val="222222"/>
          <w:u w:color="000000"/>
          <w:bdr w:val="nil"/>
          <w:shd w:val="clear" w:color="auto" w:fill="FFFFFF"/>
          <w:lang w:val="en-US"/>
        </w:rPr>
        <w:t>Journal of Occupational Health Psychology,</w:t>
      </w:r>
      <w:r w:rsidRPr="005F00EF">
        <w:rPr>
          <w:rFonts w:eastAsia="Cambria"/>
          <w:i/>
          <w:color w:val="222222"/>
          <w:u w:color="000000"/>
          <w:bdr w:val="nil"/>
          <w:shd w:val="clear" w:color="auto" w:fill="FFFFFF"/>
          <w:lang w:val="en-US"/>
        </w:rPr>
        <w:t> 1(1),</w:t>
      </w:r>
      <w:r w:rsidRPr="005F00EF">
        <w:rPr>
          <w:rFonts w:eastAsia="Cambria"/>
          <w:color w:val="222222"/>
          <w:u w:color="000000"/>
          <w:bdr w:val="nil"/>
          <w:shd w:val="clear" w:color="auto" w:fill="FFFFFF"/>
          <w:lang w:val="en-US"/>
        </w:rPr>
        <w:t xml:space="preserve"> 27-41.</w:t>
      </w:r>
    </w:p>
    <w:p w:rsidR="001F19D0" w:rsidRPr="005F00EF" w:rsidRDefault="001F19D0" w:rsidP="007C3642">
      <w:pPr>
        <w:ind w:left="709" w:hanging="720"/>
        <w:rPr>
          <w:rFonts w:eastAsia="Cambria"/>
          <w:u w:color="000000"/>
          <w:bdr w:val="nil"/>
          <w:lang w:val="en-US"/>
        </w:rPr>
      </w:pPr>
      <w:r w:rsidRPr="00727D20">
        <w:rPr>
          <w:rFonts w:eastAsia="Cambria"/>
          <w:u w:color="000000"/>
          <w:bdr w:val="nil"/>
          <w:lang w:val="sv-SE"/>
        </w:rPr>
        <w:t xml:space="preserve">Skogstad, A., Torsheim, T., Einarsen, S., &amp; Hauge, L.J. (2011). </w:t>
      </w:r>
      <w:proofErr w:type="gramStart"/>
      <w:r w:rsidRPr="005F00EF">
        <w:rPr>
          <w:rFonts w:eastAsia="Cambria"/>
          <w:u w:color="000000"/>
          <w:bdr w:val="nil"/>
          <w:lang w:val="en-US"/>
        </w:rPr>
        <w:t>Testing the work environment hypothesis of bullying on a group level of analysis.</w:t>
      </w:r>
      <w:proofErr w:type="gramEnd"/>
      <w:r w:rsidRPr="005F00EF">
        <w:rPr>
          <w:rFonts w:eastAsia="Cambria"/>
          <w:u w:color="000000"/>
          <w:bdr w:val="nil"/>
          <w:lang w:val="en-US"/>
        </w:rPr>
        <w:t xml:space="preserve"> Psychosocial factors as precursors of observed workplace bullying </w:t>
      </w:r>
      <w:r w:rsidRPr="005F00EF">
        <w:rPr>
          <w:rFonts w:eastAsia="Cambria"/>
          <w:i/>
          <w:u w:color="000000"/>
          <w:bdr w:val="nil"/>
          <w:lang w:val="en-US"/>
        </w:rPr>
        <w:t xml:space="preserve">Applied Psychology: An International Review, 60, </w:t>
      </w:r>
      <w:r w:rsidRPr="005F00EF">
        <w:rPr>
          <w:rFonts w:eastAsia="Cambria"/>
          <w:u w:color="000000"/>
          <w:bdr w:val="nil"/>
          <w:lang w:val="en-US"/>
        </w:rPr>
        <w:t xml:space="preserve">475-496. </w:t>
      </w:r>
      <w:proofErr w:type="spellStart"/>
      <w:r w:rsidRPr="005F00EF">
        <w:rPr>
          <w:rFonts w:eastAsia="Cambria"/>
          <w:u w:color="000000"/>
          <w:bdr w:val="nil"/>
          <w:lang w:val="en-US"/>
        </w:rPr>
        <w:t>Doi</w:t>
      </w:r>
      <w:proofErr w:type="spellEnd"/>
      <w:r w:rsidRPr="005F00EF">
        <w:rPr>
          <w:rFonts w:eastAsia="Cambria"/>
          <w:u w:color="000000"/>
          <w:bdr w:val="nil"/>
          <w:lang w:val="en-US"/>
        </w:rPr>
        <w:t>: 10.111/</w:t>
      </w:r>
      <w:proofErr w:type="spellStart"/>
      <w:r w:rsidRPr="005F00EF">
        <w:rPr>
          <w:rFonts w:eastAsia="Cambria"/>
          <w:u w:color="000000"/>
          <w:bdr w:val="nil"/>
          <w:lang w:val="en-US"/>
        </w:rPr>
        <w:t>j.1464</w:t>
      </w:r>
      <w:proofErr w:type="spellEnd"/>
      <w:r w:rsidRPr="005F00EF">
        <w:rPr>
          <w:rFonts w:eastAsia="Cambria"/>
          <w:u w:color="000000"/>
          <w:bdr w:val="nil"/>
          <w:lang w:val="en-US"/>
        </w:rPr>
        <w:t xml:space="preserve">-0597.2011.00444 </w:t>
      </w:r>
    </w:p>
    <w:p w:rsidR="00F43118" w:rsidRPr="00F43118" w:rsidRDefault="00F43118" w:rsidP="007C3642">
      <w:pPr>
        <w:ind w:left="709" w:hanging="720"/>
        <w:rPr>
          <w:rFonts w:eastAsia="Cambria"/>
          <w:u w:color="000000"/>
          <w:bdr w:val="nil"/>
          <w:lang w:val="en-US"/>
        </w:rPr>
      </w:pPr>
      <w:proofErr w:type="gramStart"/>
      <w:r w:rsidRPr="00917CB2">
        <w:rPr>
          <w:rFonts w:eastAsia="Cambria"/>
          <w:color w:val="222222"/>
          <w:u w:color="000000"/>
          <w:bdr w:val="nil"/>
          <w:shd w:val="clear" w:color="auto" w:fill="FFFFFF"/>
          <w:lang w:val="en-US"/>
        </w:rPr>
        <w:t>Spitzer, R. L., Kroenke, K., &amp; Williams.</w:t>
      </w:r>
      <w:proofErr w:type="gramEnd"/>
      <w:r w:rsidRPr="00917CB2">
        <w:rPr>
          <w:rFonts w:eastAsia="Cambria"/>
          <w:color w:val="222222"/>
          <w:u w:color="000000"/>
          <w:bdr w:val="nil"/>
          <w:shd w:val="clear" w:color="auto" w:fill="FFFFFF"/>
          <w:lang w:val="en-US"/>
        </w:rPr>
        <w:t xml:space="preserve"> </w:t>
      </w:r>
      <w:proofErr w:type="spellStart"/>
      <w:proofErr w:type="gramStart"/>
      <w:r w:rsidRPr="00917CB2">
        <w:rPr>
          <w:rFonts w:eastAsia="Cambria"/>
          <w:color w:val="222222"/>
          <w:u w:color="000000"/>
          <w:bdr w:val="nil"/>
          <w:shd w:val="clear" w:color="auto" w:fill="FFFFFF"/>
          <w:lang w:val="en-US"/>
        </w:rPr>
        <w:t>J.B.W</w:t>
      </w:r>
      <w:proofErr w:type="spellEnd"/>
      <w:r w:rsidRPr="00917CB2">
        <w:rPr>
          <w:rFonts w:eastAsia="Cambria"/>
          <w:color w:val="222222"/>
          <w:u w:color="000000"/>
          <w:bdr w:val="nil"/>
          <w:shd w:val="clear" w:color="auto" w:fill="FFFFFF"/>
          <w:lang w:val="en-US"/>
        </w:rPr>
        <w:t>. (1999).</w:t>
      </w:r>
      <w:proofErr w:type="gramEnd"/>
      <w:r w:rsidRPr="00917CB2">
        <w:rPr>
          <w:rFonts w:eastAsia="Cambria"/>
          <w:color w:val="222222"/>
          <w:u w:color="000000"/>
          <w:bdr w:val="nil"/>
          <w:shd w:val="clear" w:color="auto" w:fill="FFFFFF"/>
          <w:lang w:val="en-US"/>
        </w:rPr>
        <w:t xml:space="preserve"> Validation and utility of a self-report version of PRIME</w:t>
      </w:r>
      <w:r w:rsidRPr="00F43118">
        <w:rPr>
          <w:rFonts w:eastAsia="Cambria"/>
          <w:color w:val="222222"/>
          <w:u w:color="000000"/>
          <w:bdr w:val="nil"/>
          <w:shd w:val="clear" w:color="auto" w:fill="FFFFFF"/>
          <w:lang w:val="en-US"/>
        </w:rPr>
        <w:t xml:space="preserve">-MD: the </w:t>
      </w:r>
      <w:proofErr w:type="spellStart"/>
      <w:r w:rsidRPr="00F43118">
        <w:rPr>
          <w:rFonts w:eastAsia="Cambria"/>
          <w:color w:val="222222"/>
          <w:u w:color="000000"/>
          <w:bdr w:val="nil"/>
          <w:shd w:val="clear" w:color="auto" w:fill="FFFFFF"/>
          <w:lang w:val="en-US"/>
        </w:rPr>
        <w:t>PHQ</w:t>
      </w:r>
      <w:proofErr w:type="spellEnd"/>
      <w:r w:rsidRPr="00F43118">
        <w:rPr>
          <w:rFonts w:eastAsia="Cambria"/>
          <w:color w:val="222222"/>
          <w:u w:color="000000"/>
          <w:bdr w:val="nil"/>
          <w:shd w:val="clear" w:color="auto" w:fill="FFFFFF"/>
          <w:lang w:val="en-US"/>
        </w:rPr>
        <w:t xml:space="preserve"> primary care study.</w:t>
      </w:r>
      <w:r w:rsidRPr="00F43118">
        <w:rPr>
          <w:rFonts w:eastAsia="Cambria"/>
          <w:i/>
          <w:color w:val="222222"/>
          <w:u w:color="000000"/>
          <w:bdr w:val="nil"/>
          <w:shd w:val="clear" w:color="auto" w:fill="FFFFFF"/>
          <w:lang w:val="en-US"/>
        </w:rPr>
        <w:t xml:space="preserve"> </w:t>
      </w:r>
      <w:r w:rsidRPr="00F43118">
        <w:rPr>
          <w:rFonts w:eastAsia="Cambria"/>
          <w:i/>
          <w:color w:val="111111"/>
          <w:sz w:val="18"/>
          <w:szCs w:val="18"/>
          <w:u w:color="000000"/>
          <w:bdr w:val="nil"/>
          <w:lang w:val="en-US"/>
        </w:rPr>
        <w:t>Journal of the American Medical Association</w:t>
      </w:r>
      <w:r w:rsidRPr="00F43118">
        <w:rPr>
          <w:rFonts w:eastAsia="Cambria"/>
          <w:i/>
          <w:iCs/>
          <w:color w:val="222222"/>
          <w:u w:color="000000"/>
          <w:bdr w:val="nil"/>
          <w:shd w:val="clear" w:color="auto" w:fill="FFFFFF"/>
          <w:lang w:val="en-US"/>
        </w:rPr>
        <w:t>,</w:t>
      </w:r>
      <w:r w:rsidRPr="00F43118">
        <w:rPr>
          <w:rFonts w:eastAsia="Cambria"/>
          <w:color w:val="222222"/>
          <w:u w:color="000000"/>
          <w:bdr w:val="nil"/>
          <w:shd w:val="clear" w:color="auto" w:fill="FFFFFF"/>
          <w:lang w:val="en-US"/>
        </w:rPr>
        <w:t> </w:t>
      </w:r>
      <w:r w:rsidRPr="00F43118">
        <w:rPr>
          <w:rFonts w:eastAsia="Cambria"/>
          <w:i/>
          <w:color w:val="222222"/>
          <w:u w:color="000000"/>
          <w:bdr w:val="nil"/>
          <w:shd w:val="clear" w:color="auto" w:fill="FFFFFF"/>
          <w:lang w:val="en-US"/>
        </w:rPr>
        <w:t xml:space="preserve">282(18), </w:t>
      </w:r>
      <w:r w:rsidRPr="00F43118">
        <w:rPr>
          <w:rFonts w:eastAsia="Cambria"/>
          <w:color w:val="222222"/>
          <w:u w:color="000000"/>
          <w:bdr w:val="nil"/>
          <w:shd w:val="clear" w:color="auto" w:fill="FFFFFF"/>
          <w:lang w:val="en-US"/>
        </w:rPr>
        <w:t>1737–1744.</w:t>
      </w:r>
    </w:p>
    <w:p w:rsidR="00F43118" w:rsidRPr="005F00EF" w:rsidRDefault="00F43118" w:rsidP="007C3642">
      <w:pPr>
        <w:ind w:left="709" w:hanging="720"/>
        <w:rPr>
          <w:rFonts w:eastAsia="Cambria"/>
          <w:u w:color="000000"/>
          <w:bdr w:val="nil"/>
          <w:lang w:val="en-US"/>
        </w:rPr>
      </w:pPr>
      <w:r w:rsidRPr="005F00EF">
        <w:rPr>
          <w:rFonts w:eastAsia="Cambria"/>
          <w:u w:color="000000"/>
          <w:bdr w:val="nil"/>
          <w:lang w:val="en-US"/>
        </w:rPr>
        <w:t xml:space="preserve">Tuckey, M. R., </w:t>
      </w:r>
      <w:proofErr w:type="spellStart"/>
      <w:r w:rsidRPr="005F00EF">
        <w:rPr>
          <w:rFonts w:eastAsia="Cambria"/>
          <w:u w:color="000000"/>
          <w:bdr w:val="nil"/>
          <w:lang w:val="en-US"/>
        </w:rPr>
        <w:t>Chrisopoulos</w:t>
      </w:r>
      <w:proofErr w:type="spellEnd"/>
      <w:r w:rsidRPr="005F00EF">
        <w:rPr>
          <w:rFonts w:eastAsia="Cambria"/>
          <w:u w:color="000000"/>
          <w:bdr w:val="nil"/>
          <w:lang w:val="en-US"/>
        </w:rPr>
        <w:t xml:space="preserve">, S., &amp; Dollard, </w:t>
      </w:r>
      <w:proofErr w:type="spellStart"/>
      <w:r w:rsidRPr="005F00EF">
        <w:rPr>
          <w:rFonts w:eastAsia="Cambria"/>
          <w:u w:color="000000"/>
          <w:bdr w:val="nil"/>
          <w:lang w:val="en-US"/>
        </w:rPr>
        <w:t>M.F</w:t>
      </w:r>
      <w:proofErr w:type="spellEnd"/>
      <w:r w:rsidRPr="005F00EF">
        <w:rPr>
          <w:rFonts w:eastAsia="Cambria"/>
          <w:u w:color="000000"/>
          <w:bdr w:val="nil"/>
          <w:lang w:val="en-US"/>
        </w:rPr>
        <w:t xml:space="preserve">. (2012). Job demands, resource deficiencies, and workplace harassment: evidence for micro-level effects. </w:t>
      </w:r>
      <w:r w:rsidRPr="005F00EF">
        <w:rPr>
          <w:rFonts w:eastAsia="Cambria"/>
          <w:i/>
          <w:iCs/>
          <w:u w:color="000000"/>
          <w:bdr w:val="nil"/>
          <w:lang w:val="en-US"/>
        </w:rPr>
        <w:t>International Journal of Stress Management, 19(4),</w:t>
      </w:r>
      <w:r w:rsidRPr="005F00EF">
        <w:rPr>
          <w:rFonts w:eastAsia="Cambria"/>
          <w:u w:color="000000"/>
          <w:bdr w:val="nil"/>
          <w:lang w:val="en-US"/>
        </w:rPr>
        <w:t xml:space="preserve"> 292–310.</w:t>
      </w:r>
    </w:p>
    <w:p w:rsidR="00F43118" w:rsidRPr="005F00EF" w:rsidRDefault="00F43118" w:rsidP="007C3642">
      <w:pPr>
        <w:ind w:left="709" w:hanging="720"/>
        <w:rPr>
          <w:rFonts w:eastAsia="Cambria"/>
          <w:u w:color="000000"/>
          <w:bdr w:val="nil"/>
          <w:lang w:val="en-US"/>
        </w:rPr>
      </w:pPr>
      <w:proofErr w:type="gramStart"/>
      <w:r w:rsidRPr="005F00EF">
        <w:rPr>
          <w:rFonts w:eastAsia="Cambria"/>
          <w:u w:color="000000"/>
          <w:bdr w:val="nil"/>
          <w:lang w:val="en-US"/>
        </w:rPr>
        <w:t xml:space="preserve">Tuckey, </w:t>
      </w:r>
      <w:proofErr w:type="spellStart"/>
      <w:r w:rsidRPr="005F00EF">
        <w:rPr>
          <w:rFonts w:eastAsia="Cambria"/>
          <w:u w:color="000000"/>
          <w:bdr w:val="nil"/>
          <w:lang w:val="en-US"/>
        </w:rPr>
        <w:t>M.R</w:t>
      </w:r>
      <w:proofErr w:type="spellEnd"/>
      <w:r w:rsidRPr="005F00EF">
        <w:rPr>
          <w:rFonts w:eastAsia="Cambria"/>
          <w:u w:color="000000"/>
          <w:bdr w:val="nil"/>
          <w:lang w:val="en-US"/>
        </w:rPr>
        <w:t>. &amp; Neall, A.M. (2014).</w:t>
      </w:r>
      <w:proofErr w:type="gramEnd"/>
      <w:r w:rsidRPr="005F00EF">
        <w:rPr>
          <w:rFonts w:eastAsia="Cambria"/>
          <w:u w:color="000000"/>
          <w:bdr w:val="nil"/>
          <w:lang w:val="en-US"/>
        </w:rPr>
        <w:t xml:space="preserve"> Workplace bullying erodes job and personal resources: between- and within-person perspectives. </w:t>
      </w:r>
      <w:bookmarkStart w:id="1" w:name="0"/>
      <w:bookmarkEnd w:id="1"/>
      <w:r w:rsidRPr="005F00EF">
        <w:rPr>
          <w:rFonts w:eastAsia="Cambria"/>
          <w:i/>
          <w:u w:color="000000"/>
          <w:bdr w:val="nil"/>
          <w:lang w:val="en-US"/>
        </w:rPr>
        <w:t>Journal of Occupational Health Psychology, 19</w:t>
      </w:r>
      <w:r w:rsidRPr="005F00EF">
        <w:rPr>
          <w:rFonts w:eastAsia="Cambria"/>
          <w:u w:color="000000"/>
          <w:bdr w:val="nil"/>
          <w:lang w:val="en-US"/>
        </w:rPr>
        <w:t xml:space="preserve">(4), 413–424. </w:t>
      </w:r>
    </w:p>
    <w:p w:rsidR="00F43118" w:rsidRPr="005F00EF" w:rsidRDefault="00F43118" w:rsidP="007C3642">
      <w:pPr>
        <w:ind w:left="709" w:hanging="720"/>
        <w:rPr>
          <w:rFonts w:eastAsia="Cambria"/>
          <w:u w:color="000000"/>
          <w:bdr w:val="nil"/>
          <w:lang w:val="en-US"/>
        </w:rPr>
      </w:pPr>
      <w:proofErr w:type="gramStart"/>
      <w:r w:rsidRPr="005F00EF">
        <w:rPr>
          <w:rFonts w:eastAsia="Cambria"/>
          <w:u w:color="000000"/>
          <w:bdr w:val="nil"/>
          <w:lang w:val="en-US"/>
        </w:rPr>
        <w:t xml:space="preserve">Tuckey, </w:t>
      </w:r>
      <w:proofErr w:type="spellStart"/>
      <w:r w:rsidRPr="005F00EF">
        <w:rPr>
          <w:rFonts w:eastAsia="Cambria"/>
          <w:u w:color="000000"/>
          <w:bdr w:val="nil"/>
          <w:lang w:val="en-US"/>
        </w:rPr>
        <w:t>M.R</w:t>
      </w:r>
      <w:proofErr w:type="spellEnd"/>
      <w:r w:rsidRPr="005F00EF">
        <w:rPr>
          <w:rFonts w:eastAsia="Cambria"/>
          <w:u w:color="000000"/>
          <w:bdr w:val="nil"/>
          <w:lang w:val="en-US"/>
        </w:rPr>
        <w:t xml:space="preserve">., Dollard, </w:t>
      </w:r>
      <w:proofErr w:type="spellStart"/>
      <w:r w:rsidRPr="005F00EF">
        <w:rPr>
          <w:rFonts w:eastAsia="Cambria"/>
          <w:u w:color="000000"/>
          <w:bdr w:val="nil"/>
          <w:lang w:val="en-US"/>
        </w:rPr>
        <w:t>M.F</w:t>
      </w:r>
      <w:proofErr w:type="spellEnd"/>
      <w:r w:rsidRPr="005F00EF">
        <w:rPr>
          <w:rFonts w:eastAsia="Cambria"/>
          <w:u w:color="000000"/>
          <w:bdr w:val="nil"/>
          <w:lang w:val="en-US"/>
        </w:rPr>
        <w:t xml:space="preserve">., Hosking, </w:t>
      </w:r>
      <w:proofErr w:type="spellStart"/>
      <w:r w:rsidRPr="005F00EF">
        <w:rPr>
          <w:rFonts w:eastAsia="Cambria"/>
          <w:u w:color="000000"/>
          <w:bdr w:val="nil"/>
          <w:lang w:val="en-US"/>
        </w:rPr>
        <w:t>P.J</w:t>
      </w:r>
      <w:proofErr w:type="spellEnd"/>
      <w:r w:rsidRPr="005F00EF">
        <w:rPr>
          <w:rFonts w:eastAsia="Cambria"/>
          <w:u w:color="000000"/>
          <w:bdr w:val="nil"/>
          <w:lang w:val="en-US"/>
        </w:rPr>
        <w:t xml:space="preserve">., &amp; </w:t>
      </w:r>
      <w:proofErr w:type="spellStart"/>
      <w:r w:rsidRPr="005F00EF">
        <w:rPr>
          <w:rFonts w:eastAsia="Cambria"/>
          <w:u w:color="000000"/>
          <w:bdr w:val="nil"/>
          <w:lang w:val="en-US"/>
        </w:rPr>
        <w:t>Winefield</w:t>
      </w:r>
      <w:proofErr w:type="spellEnd"/>
      <w:r w:rsidRPr="005F00EF">
        <w:rPr>
          <w:rFonts w:eastAsia="Cambria"/>
          <w:u w:color="000000"/>
          <w:bdr w:val="nil"/>
          <w:lang w:val="en-US"/>
        </w:rPr>
        <w:t>, A.H. (2009).</w:t>
      </w:r>
      <w:proofErr w:type="gramEnd"/>
      <w:r w:rsidRPr="005F00EF">
        <w:rPr>
          <w:rFonts w:eastAsia="Cambria"/>
          <w:u w:color="000000"/>
          <w:bdr w:val="nil"/>
          <w:lang w:val="en-US"/>
        </w:rPr>
        <w:t xml:space="preserve"> Workplace Bullying: The Role of Psychosocial Work Environment Factors. </w:t>
      </w:r>
      <w:proofErr w:type="gramStart"/>
      <w:r w:rsidRPr="005F00EF">
        <w:rPr>
          <w:rFonts w:eastAsia="Cambria"/>
          <w:u w:color="000000"/>
          <w:bdr w:val="nil"/>
          <w:lang w:val="en-US"/>
        </w:rPr>
        <w:t>International Journal of Stress Management, 16(3).</w:t>
      </w:r>
      <w:proofErr w:type="gramEnd"/>
      <w:r w:rsidRPr="005F00EF">
        <w:rPr>
          <w:rFonts w:eastAsia="Cambria"/>
          <w:u w:color="000000"/>
          <w:bdr w:val="nil"/>
          <w:lang w:val="en-US"/>
        </w:rPr>
        <w:t xml:space="preserve"> </w:t>
      </w:r>
      <w:proofErr w:type="gramStart"/>
      <w:r w:rsidRPr="005F00EF">
        <w:rPr>
          <w:rFonts w:eastAsia="Cambria"/>
          <w:u w:color="000000"/>
          <w:bdr w:val="nil"/>
          <w:lang w:val="en-US"/>
        </w:rPr>
        <w:t>215–232.</w:t>
      </w:r>
      <w:proofErr w:type="gramEnd"/>
      <w:r w:rsidRPr="005F00EF">
        <w:rPr>
          <w:rFonts w:eastAsia="Cambria"/>
          <w:u w:color="000000"/>
          <w:bdr w:val="nil"/>
          <w:lang w:val="en-US"/>
        </w:rPr>
        <w:t xml:space="preserve"> </w:t>
      </w:r>
      <w:proofErr w:type="spellStart"/>
      <w:r w:rsidRPr="005F00EF">
        <w:rPr>
          <w:rFonts w:eastAsia="Cambria"/>
          <w:u w:color="000000"/>
          <w:bdr w:val="nil"/>
          <w:lang w:val="en-US"/>
        </w:rPr>
        <w:t>DOI</w:t>
      </w:r>
      <w:proofErr w:type="spellEnd"/>
      <w:r w:rsidRPr="005F00EF">
        <w:rPr>
          <w:rFonts w:eastAsia="Cambria"/>
          <w:u w:color="000000"/>
          <w:bdr w:val="nil"/>
          <w:lang w:val="en-US"/>
        </w:rPr>
        <w:t>: 10.1037/</w:t>
      </w:r>
      <w:proofErr w:type="spellStart"/>
      <w:r w:rsidRPr="005F00EF">
        <w:rPr>
          <w:rFonts w:eastAsia="Cambria"/>
          <w:u w:color="000000"/>
          <w:bdr w:val="nil"/>
          <w:lang w:val="en-US"/>
        </w:rPr>
        <w:t>a0016841</w:t>
      </w:r>
      <w:proofErr w:type="spellEnd"/>
    </w:p>
    <w:p w:rsidR="00F43118" w:rsidRPr="00F43118" w:rsidRDefault="00F43118" w:rsidP="007C3642">
      <w:pPr>
        <w:ind w:left="709" w:hanging="720"/>
        <w:rPr>
          <w:rFonts w:eastAsia="Cambria"/>
          <w:u w:color="000000"/>
          <w:bdr w:val="nil"/>
          <w:lang w:val="en-US"/>
        </w:rPr>
      </w:pPr>
      <w:proofErr w:type="spellStart"/>
      <w:proofErr w:type="gramStart"/>
      <w:r w:rsidRPr="00917CB2">
        <w:rPr>
          <w:rFonts w:eastAsia="Cambria"/>
          <w:u w:color="000000"/>
          <w:bdr w:val="nil"/>
          <w:lang w:val="en-US"/>
        </w:rPr>
        <w:t>Vartia</w:t>
      </w:r>
      <w:proofErr w:type="spellEnd"/>
      <w:r w:rsidRPr="00917CB2">
        <w:rPr>
          <w:rFonts w:eastAsia="Cambria"/>
          <w:u w:color="000000"/>
          <w:bdr w:val="nil"/>
          <w:lang w:val="en-US"/>
        </w:rPr>
        <w:t>, M. (2001).</w:t>
      </w:r>
      <w:proofErr w:type="gramEnd"/>
      <w:r w:rsidRPr="00917CB2">
        <w:rPr>
          <w:rFonts w:eastAsia="Cambria"/>
          <w:u w:color="000000"/>
          <w:bdr w:val="nil"/>
          <w:lang w:val="en-US"/>
        </w:rPr>
        <w:t xml:space="preserve"> </w:t>
      </w:r>
      <w:proofErr w:type="gramStart"/>
      <w:r w:rsidRPr="00917CB2">
        <w:rPr>
          <w:rFonts w:eastAsia="Cambria"/>
          <w:u w:color="000000"/>
          <w:bdr w:val="nil"/>
          <w:lang w:val="en-US"/>
        </w:rPr>
        <w:t>Consequences of</w:t>
      </w:r>
      <w:r w:rsidRPr="00F43118">
        <w:rPr>
          <w:rFonts w:eastAsia="Cambria"/>
          <w:u w:color="000000"/>
          <w:bdr w:val="nil"/>
          <w:lang w:val="en-US"/>
        </w:rPr>
        <w:t xml:space="preserve"> workplace bullying with respect to the well-being of its targets and the observers of bullying.</w:t>
      </w:r>
      <w:proofErr w:type="gramEnd"/>
      <w:r w:rsidRPr="00F43118">
        <w:rPr>
          <w:rFonts w:eastAsia="Cambria"/>
          <w:u w:color="000000"/>
          <w:bdr w:val="nil"/>
          <w:lang w:val="en-US"/>
        </w:rPr>
        <w:t xml:space="preserve"> </w:t>
      </w:r>
      <w:r w:rsidRPr="00F43118">
        <w:rPr>
          <w:rFonts w:eastAsia="Cambria"/>
          <w:i/>
          <w:iCs/>
          <w:u w:color="000000"/>
          <w:bdr w:val="nil"/>
          <w:lang w:val="en-US"/>
        </w:rPr>
        <w:t xml:space="preserve">Scandinavian Journal of Work, Environment and health, 27, </w:t>
      </w:r>
      <w:r w:rsidRPr="00F43118">
        <w:rPr>
          <w:rFonts w:eastAsia="Cambria"/>
          <w:u w:color="000000"/>
          <w:bdr w:val="nil"/>
          <w:lang w:val="en-US"/>
        </w:rPr>
        <w:t>63–69.</w:t>
      </w:r>
    </w:p>
    <w:p w:rsidR="00F43118" w:rsidRPr="00F43118" w:rsidRDefault="00F43118" w:rsidP="007C3642">
      <w:pPr>
        <w:ind w:left="709" w:hanging="720"/>
        <w:rPr>
          <w:rFonts w:eastAsia="Cambria"/>
          <w:bCs/>
          <w:u w:color="000000"/>
          <w:bdr w:val="nil"/>
          <w:lang w:val="en-US"/>
        </w:rPr>
      </w:pPr>
      <w:proofErr w:type="spellStart"/>
      <w:proofErr w:type="gramStart"/>
      <w:r w:rsidRPr="00F43118">
        <w:rPr>
          <w:rFonts w:eastAsia="Cambria"/>
          <w:bCs/>
          <w:u w:color="000000"/>
          <w:bdr w:val="nil"/>
          <w:lang w:val="en-US"/>
        </w:rPr>
        <w:t>Warr</w:t>
      </w:r>
      <w:proofErr w:type="spellEnd"/>
      <w:r w:rsidRPr="00F43118">
        <w:rPr>
          <w:rFonts w:eastAsia="Cambria"/>
          <w:bCs/>
          <w:u w:color="000000"/>
          <w:bdr w:val="nil"/>
          <w:lang w:val="en-US"/>
        </w:rPr>
        <w:t>, P., Cook, J., &amp; Wall, T. (1979).</w:t>
      </w:r>
      <w:proofErr w:type="gramEnd"/>
      <w:r w:rsidRPr="00F43118">
        <w:rPr>
          <w:rFonts w:eastAsia="Cambria"/>
          <w:bCs/>
          <w:u w:color="000000"/>
          <w:bdr w:val="nil"/>
          <w:lang w:val="en-US"/>
        </w:rPr>
        <w:t xml:space="preserve"> Scales for the measurement of some work attitudes and aspects of psychological wellbeing. </w:t>
      </w:r>
      <w:r w:rsidRPr="00F43118">
        <w:rPr>
          <w:rFonts w:eastAsia="Cambria"/>
          <w:bCs/>
          <w:i/>
          <w:u w:color="000000"/>
          <w:bdr w:val="nil"/>
          <w:lang w:val="en-US"/>
        </w:rPr>
        <w:t xml:space="preserve">Journal of Occupational Psychology, 52, </w:t>
      </w:r>
      <w:r w:rsidRPr="00F43118">
        <w:rPr>
          <w:rFonts w:eastAsia="Cambria"/>
          <w:bCs/>
          <w:u w:color="000000"/>
          <w:bdr w:val="nil"/>
          <w:lang w:val="en-US"/>
        </w:rPr>
        <w:t>129–148.</w:t>
      </w:r>
    </w:p>
    <w:p w:rsidR="00F43118" w:rsidRPr="00F43118" w:rsidRDefault="00F43118" w:rsidP="007C3642">
      <w:pPr>
        <w:ind w:left="709" w:hanging="720"/>
        <w:rPr>
          <w:rFonts w:eastAsia="Cambria"/>
          <w:u w:color="000000"/>
          <w:bdr w:val="nil"/>
          <w:shd w:val="clear" w:color="auto" w:fill="FFFFFF"/>
          <w:lang w:val="en-US"/>
        </w:rPr>
      </w:pPr>
      <w:proofErr w:type="gramStart"/>
      <w:r w:rsidRPr="00F43118">
        <w:rPr>
          <w:rFonts w:eastAsia="Cambria"/>
          <w:u w:color="000000"/>
          <w:bdr w:val="nil"/>
          <w:shd w:val="clear" w:color="auto" w:fill="FFFFFF"/>
          <w:lang w:val="en-US"/>
        </w:rPr>
        <w:t>World Health Organisation (2010).</w:t>
      </w:r>
      <w:proofErr w:type="gramEnd"/>
      <w:r w:rsidRPr="00F43118">
        <w:rPr>
          <w:rFonts w:eastAsia="Cambria"/>
          <w:u w:color="000000"/>
          <w:bdr w:val="nil"/>
          <w:shd w:val="clear" w:color="auto" w:fill="FFFFFF"/>
          <w:lang w:val="en-US"/>
        </w:rPr>
        <w:t xml:space="preserve"> WHO Health Workplace Framework and Model: Background and Supporting Literature and Practices. Retrieved from: http://www.who.int/occupational_health/healthy_workplace_framework.pdf </w:t>
      </w:r>
    </w:p>
    <w:p w:rsidR="00F43118" w:rsidRPr="00463E51" w:rsidRDefault="00F43118" w:rsidP="007C3642">
      <w:pPr>
        <w:ind w:left="709" w:hanging="720"/>
        <w:rPr>
          <w:rFonts w:eastAsia="Cambria"/>
          <w:u w:color="000000"/>
          <w:bdr w:val="nil"/>
          <w:lang w:val="en-US"/>
        </w:rPr>
      </w:pPr>
      <w:r w:rsidRPr="00727D20">
        <w:rPr>
          <w:rFonts w:eastAsia="Cambria"/>
          <w:u w:color="000000"/>
          <w:bdr w:val="nil"/>
          <w:lang w:val="sv-SE"/>
        </w:rPr>
        <w:t>Zapf, D., Einarsen, S., Hoel, H., &amp; Vartia, M. (20</w:t>
      </w:r>
      <w:r w:rsidR="00463E51" w:rsidRPr="00727D20">
        <w:rPr>
          <w:rFonts w:eastAsia="Cambria"/>
          <w:u w:color="000000"/>
          <w:bdr w:val="nil"/>
          <w:lang w:val="sv-SE"/>
        </w:rPr>
        <w:t>11</w:t>
      </w:r>
      <w:r w:rsidRPr="00727D20">
        <w:rPr>
          <w:rFonts w:eastAsia="Cambria"/>
          <w:u w:color="000000"/>
          <w:bdr w:val="nil"/>
          <w:lang w:val="sv-SE"/>
        </w:rPr>
        <w:t xml:space="preserve">). </w:t>
      </w:r>
      <w:proofErr w:type="gramStart"/>
      <w:r w:rsidRPr="00463E51">
        <w:rPr>
          <w:rFonts w:eastAsia="Cambria"/>
          <w:u w:color="000000"/>
          <w:bdr w:val="nil"/>
          <w:lang w:val="en-US"/>
        </w:rPr>
        <w:t>Empirical findings on bullying in the workplace.</w:t>
      </w:r>
      <w:proofErr w:type="gramEnd"/>
      <w:r w:rsidRPr="00463E51">
        <w:rPr>
          <w:rFonts w:eastAsia="Cambria"/>
          <w:u w:color="000000"/>
          <w:bdr w:val="nil"/>
          <w:lang w:val="en-US"/>
        </w:rPr>
        <w:t xml:space="preserve"> In S. </w:t>
      </w:r>
      <w:proofErr w:type="spellStart"/>
      <w:r w:rsidRPr="00463E51">
        <w:rPr>
          <w:rFonts w:eastAsia="Cambria"/>
          <w:u w:color="000000"/>
          <w:bdr w:val="nil"/>
          <w:lang w:val="en-US"/>
        </w:rPr>
        <w:t>Einarsen</w:t>
      </w:r>
      <w:proofErr w:type="spellEnd"/>
      <w:r w:rsidRPr="00463E51">
        <w:rPr>
          <w:rFonts w:eastAsia="Cambria"/>
          <w:u w:color="000000"/>
          <w:bdr w:val="nil"/>
          <w:lang w:val="en-US"/>
        </w:rPr>
        <w:t xml:space="preserve">, H., </w:t>
      </w:r>
      <w:proofErr w:type="spellStart"/>
      <w:r w:rsidRPr="00463E51">
        <w:rPr>
          <w:rFonts w:eastAsia="Cambria"/>
          <w:u w:color="000000"/>
          <w:bdr w:val="nil"/>
          <w:lang w:val="en-US"/>
        </w:rPr>
        <w:t>Hoel</w:t>
      </w:r>
      <w:proofErr w:type="spellEnd"/>
      <w:r w:rsidRPr="00463E51">
        <w:rPr>
          <w:rFonts w:eastAsia="Cambria"/>
          <w:u w:color="000000"/>
          <w:bdr w:val="nil"/>
          <w:lang w:val="en-US"/>
        </w:rPr>
        <w:t xml:space="preserve">, D. Zapf &amp; </w:t>
      </w:r>
      <w:proofErr w:type="spellStart"/>
      <w:r w:rsidRPr="00463E51">
        <w:rPr>
          <w:rFonts w:eastAsia="Cambria"/>
          <w:u w:color="000000"/>
          <w:bdr w:val="nil"/>
          <w:lang w:val="en-US"/>
        </w:rPr>
        <w:t>C.L</w:t>
      </w:r>
      <w:proofErr w:type="spellEnd"/>
      <w:r w:rsidRPr="00463E51">
        <w:rPr>
          <w:rFonts w:eastAsia="Cambria"/>
          <w:u w:color="000000"/>
          <w:bdr w:val="nil"/>
          <w:lang w:val="en-US"/>
        </w:rPr>
        <w:t xml:space="preserve">. Cooper (Eds.), </w:t>
      </w:r>
      <w:r w:rsidRPr="00463E51">
        <w:rPr>
          <w:rFonts w:eastAsia="Cambria"/>
          <w:i/>
          <w:iCs/>
          <w:u w:color="000000"/>
          <w:bdr w:val="nil"/>
          <w:lang w:val="en-US"/>
        </w:rPr>
        <w:t xml:space="preserve">Bullying and emotional abuse in the workplace: International perspectives in research and practice, </w:t>
      </w:r>
      <w:r w:rsidRPr="00463E51">
        <w:rPr>
          <w:rFonts w:eastAsia="Cambria"/>
          <w:u w:color="000000"/>
          <w:bdr w:val="nil"/>
          <w:lang w:val="en-US"/>
        </w:rPr>
        <w:t>2</w:t>
      </w:r>
      <w:r w:rsidRPr="00463E51">
        <w:rPr>
          <w:rFonts w:eastAsia="Cambria"/>
          <w:u w:color="000000"/>
          <w:bdr w:val="nil"/>
          <w:vertAlign w:val="superscript"/>
          <w:lang w:val="en-US"/>
        </w:rPr>
        <w:t>nd</w:t>
      </w:r>
      <w:r w:rsidRPr="00463E51">
        <w:rPr>
          <w:rFonts w:eastAsia="Cambria"/>
          <w:u w:color="000000"/>
          <w:bdr w:val="nil"/>
          <w:lang w:val="en-US"/>
        </w:rPr>
        <w:t xml:space="preserve"> Edition (pp. 73–107). London: Taylor &amp; Francis.</w:t>
      </w:r>
    </w:p>
    <w:p w:rsidR="00F43118" w:rsidRPr="00F43118" w:rsidRDefault="00F43118" w:rsidP="007C3642">
      <w:pPr>
        <w:ind w:left="709" w:hanging="720"/>
        <w:rPr>
          <w:rFonts w:eastAsia="Cambria"/>
          <w:bCs/>
          <w:u w:color="000000"/>
          <w:bdr w:val="nil"/>
          <w:lang w:val="en-US"/>
        </w:rPr>
      </w:pPr>
      <w:r w:rsidRPr="00727D20">
        <w:rPr>
          <w:rFonts w:eastAsia="Cambria"/>
          <w:bCs/>
          <w:u w:color="000000"/>
          <w:bdr w:val="nil"/>
          <w:lang w:val="sv-SE"/>
        </w:rPr>
        <w:t xml:space="preserve">Zapf, D., Knorz, C., &amp; Kullam M. (1996). </w:t>
      </w:r>
      <w:proofErr w:type="gramStart"/>
      <w:r w:rsidRPr="00463E51">
        <w:rPr>
          <w:rFonts w:eastAsia="Cambria"/>
          <w:bCs/>
          <w:u w:color="000000"/>
          <w:bdr w:val="nil"/>
          <w:lang w:val="en-US"/>
        </w:rPr>
        <w:t>On the relationships between mobbing factors, and job content, social work environment and health outcomes.</w:t>
      </w:r>
      <w:proofErr w:type="gramEnd"/>
      <w:r w:rsidRPr="00463E51">
        <w:rPr>
          <w:rFonts w:eastAsia="Cambria"/>
          <w:bCs/>
          <w:u w:color="000000"/>
          <w:bdr w:val="nil"/>
          <w:lang w:val="en-US"/>
        </w:rPr>
        <w:t xml:space="preserve"> </w:t>
      </w:r>
      <w:r w:rsidRPr="00463E51">
        <w:rPr>
          <w:rFonts w:eastAsia="Cambria"/>
          <w:bCs/>
          <w:i/>
          <w:u w:color="000000"/>
          <w:bdr w:val="nil"/>
          <w:lang w:val="en-US"/>
        </w:rPr>
        <w:t>European Journal of Work and Organizational Psychology, 5,</w:t>
      </w:r>
      <w:r w:rsidRPr="00463E51">
        <w:rPr>
          <w:rFonts w:eastAsia="Cambria"/>
          <w:bCs/>
          <w:u w:color="000000"/>
          <w:bdr w:val="nil"/>
          <w:lang w:val="en-US"/>
        </w:rPr>
        <w:t xml:space="preserve"> 215–237.</w:t>
      </w:r>
    </w:p>
    <w:p w:rsidR="00595354" w:rsidRPr="00595354" w:rsidRDefault="00595354" w:rsidP="007C3642">
      <w:pPr>
        <w:ind w:left="709" w:hanging="720"/>
        <w:rPr>
          <w:rFonts w:ascii="Times New Roman" w:hAnsi="Times New Roman"/>
          <w:b/>
          <w:bCs/>
          <w:color w:val="000000"/>
          <w:sz w:val="24"/>
          <w:u w:color="000000"/>
          <w:bdr w:val="nil"/>
          <w:lang w:val="en-US"/>
        </w:rPr>
      </w:pPr>
    </w:p>
    <w:p w:rsidR="0061505F" w:rsidRPr="00600C56" w:rsidRDefault="0061505F" w:rsidP="004B457A">
      <w:pPr>
        <w:ind w:left="709"/>
        <w:rPr>
          <w:szCs w:val="22"/>
          <w:u w:val="single"/>
        </w:rPr>
      </w:pPr>
    </w:p>
    <w:sectPr w:rsidR="0061505F" w:rsidRPr="00600C56" w:rsidSect="007E4383">
      <w:headerReference w:type="default" r:id="rId24"/>
      <w:footerReference w:type="default" r:id="rId25"/>
      <w:pgSz w:w="11906" w:h="16838"/>
      <w:pgMar w:top="993" w:right="1800" w:bottom="1440" w:left="1276"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5D" w:rsidRDefault="003E665D" w:rsidP="0054159E">
      <w:r>
        <w:separator/>
      </w:r>
    </w:p>
  </w:endnote>
  <w:endnote w:type="continuationSeparator" w:id="0">
    <w:p w:rsidR="003E665D" w:rsidRDefault="003E665D" w:rsidP="0054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5D" w:rsidRPr="003964BC" w:rsidRDefault="003E665D" w:rsidP="00396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5D" w:rsidRDefault="003E665D" w:rsidP="0054159E">
      <w:r>
        <w:separator/>
      </w:r>
    </w:p>
  </w:footnote>
  <w:footnote w:type="continuationSeparator" w:id="0">
    <w:p w:rsidR="003E665D" w:rsidRDefault="003E665D" w:rsidP="0054159E">
      <w:r>
        <w:continuationSeparator/>
      </w:r>
    </w:p>
  </w:footnote>
  <w:footnote w:id="1">
    <w:p w:rsidR="003E665D" w:rsidRDefault="003E665D" w:rsidP="00F549C4">
      <w:pPr>
        <w:pStyle w:val="references"/>
        <w:ind w:left="284"/>
      </w:pPr>
      <w:r>
        <w:rPr>
          <w:rStyle w:val="FootnoteReference"/>
        </w:rPr>
        <w:footnoteRef/>
      </w:r>
      <w:r>
        <w:t xml:space="preserve"> </w:t>
      </w:r>
      <w:r w:rsidRPr="002A4700">
        <w:t>The report Psychosocial safety climate and better productivity in Australian workplaces</w:t>
      </w:r>
      <w:r w:rsidRPr="002A4700" w:rsidDel="00C11A05">
        <w:t xml:space="preserve"> </w:t>
      </w:r>
      <w:r>
        <w:t xml:space="preserve">by Becher and Dollard, </w:t>
      </w:r>
      <w:r w:rsidRPr="002A4700">
        <w:t>is published alongside this report, examining the impact of PSC, depression and psychological distress on productivity.</w:t>
      </w:r>
    </w:p>
  </w:footnote>
  <w:footnote w:id="2">
    <w:p w:rsidR="003E665D" w:rsidRPr="00180CE4" w:rsidRDefault="003E665D" w:rsidP="000B18AB">
      <w:pPr>
        <w:pStyle w:val="references"/>
        <w:ind w:left="284"/>
      </w:pPr>
      <w:r w:rsidRPr="00180CE4">
        <w:rPr>
          <w:rStyle w:val="FootnoteReference"/>
          <w:rFonts w:asciiTheme="minorHAnsi" w:hAnsiTheme="minorHAnsi" w:cstheme="minorHAnsi"/>
        </w:rPr>
        <w:footnoteRef/>
      </w:r>
      <w:r w:rsidRPr="00180CE4">
        <w:t xml:space="preserve"> Refer to the report </w:t>
      </w:r>
      <w:r w:rsidRPr="00C11A05">
        <w:t>Psychosocial safety climate and better productivity in Australian workplaces</w:t>
      </w:r>
      <w:r>
        <w:t xml:space="preserve"> by Becher and Dollard</w:t>
      </w:r>
      <w:r w:rsidRPr="00180CE4" w:rsidDel="00400475">
        <w:rPr>
          <w:i/>
        </w:rPr>
        <w:t xml:space="preserve"> </w:t>
      </w:r>
      <w:r w:rsidRPr="00180CE4">
        <w:t>for details regarding the calculation of lost productivity.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94986"/>
      <w:docPartObj>
        <w:docPartGallery w:val="Page Numbers (Top of Page)"/>
        <w:docPartUnique/>
      </w:docPartObj>
    </w:sdtPr>
    <w:sdtEndPr>
      <w:rPr>
        <w:noProof/>
      </w:rPr>
    </w:sdtEndPr>
    <w:sdtContent>
      <w:p w:rsidR="003E665D" w:rsidRDefault="003E665D">
        <w:pPr>
          <w:pStyle w:val="Header"/>
          <w:jc w:val="right"/>
        </w:pPr>
        <w:r>
          <w:fldChar w:fldCharType="begin"/>
        </w:r>
        <w:r>
          <w:instrText xml:space="preserve"> PAGE   \* MERGEFORMAT </w:instrText>
        </w:r>
        <w:r>
          <w:fldChar w:fldCharType="separate"/>
        </w:r>
        <w:r w:rsidR="00EA1BE3">
          <w:rPr>
            <w:noProof/>
          </w:rPr>
          <w:t>0</w:t>
        </w:r>
        <w:r>
          <w:rPr>
            <w:noProof/>
          </w:rPr>
          <w:fldChar w:fldCharType="end"/>
        </w:r>
      </w:p>
    </w:sdtContent>
  </w:sdt>
  <w:p w:rsidR="003E665D" w:rsidRDefault="003E6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91330"/>
      <w:docPartObj>
        <w:docPartGallery w:val="Page Numbers (Top of Page)"/>
        <w:docPartUnique/>
      </w:docPartObj>
    </w:sdtPr>
    <w:sdtEndPr>
      <w:rPr>
        <w:noProof/>
      </w:rPr>
    </w:sdtEndPr>
    <w:sdtContent>
      <w:p w:rsidR="003E665D" w:rsidRDefault="003E665D">
        <w:pPr>
          <w:pStyle w:val="Header"/>
          <w:jc w:val="right"/>
        </w:pPr>
        <w:r>
          <w:fldChar w:fldCharType="begin"/>
        </w:r>
        <w:r>
          <w:instrText xml:space="preserve"> PAGE   \* MERGEFORMAT </w:instrText>
        </w:r>
        <w:r>
          <w:fldChar w:fldCharType="separate"/>
        </w:r>
        <w:r w:rsidR="00EA1BE3">
          <w:rPr>
            <w:noProof/>
          </w:rPr>
          <w:t>43</w:t>
        </w:r>
        <w:r>
          <w:rPr>
            <w:noProof/>
          </w:rPr>
          <w:fldChar w:fldCharType="end"/>
        </w:r>
      </w:p>
    </w:sdtContent>
  </w:sdt>
  <w:p w:rsidR="003E665D" w:rsidRPr="00F67DEC" w:rsidRDefault="003E665D" w:rsidP="00F67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8A9A78"/>
    <w:lvl w:ilvl="0">
      <w:start w:val="1"/>
      <w:numFmt w:val="decimal"/>
      <w:lvlText w:val="%1."/>
      <w:lvlJc w:val="left"/>
      <w:pPr>
        <w:tabs>
          <w:tab w:val="num" w:pos="1492"/>
        </w:tabs>
        <w:ind w:left="1492" w:hanging="360"/>
      </w:pPr>
    </w:lvl>
  </w:abstractNum>
  <w:abstractNum w:abstractNumId="1">
    <w:nsid w:val="FFFFFF7D"/>
    <w:multiLevelType w:val="singleLevel"/>
    <w:tmpl w:val="0A5002D2"/>
    <w:lvl w:ilvl="0">
      <w:start w:val="1"/>
      <w:numFmt w:val="decimal"/>
      <w:lvlText w:val="%1."/>
      <w:lvlJc w:val="left"/>
      <w:pPr>
        <w:tabs>
          <w:tab w:val="num" w:pos="1209"/>
        </w:tabs>
        <w:ind w:left="1209" w:hanging="360"/>
      </w:pPr>
    </w:lvl>
  </w:abstractNum>
  <w:abstractNum w:abstractNumId="2">
    <w:nsid w:val="FFFFFF7E"/>
    <w:multiLevelType w:val="singleLevel"/>
    <w:tmpl w:val="2528B5E8"/>
    <w:lvl w:ilvl="0">
      <w:start w:val="1"/>
      <w:numFmt w:val="decimal"/>
      <w:lvlText w:val="%1."/>
      <w:lvlJc w:val="left"/>
      <w:pPr>
        <w:tabs>
          <w:tab w:val="num" w:pos="926"/>
        </w:tabs>
        <w:ind w:left="926" w:hanging="360"/>
      </w:pPr>
    </w:lvl>
  </w:abstractNum>
  <w:abstractNum w:abstractNumId="3">
    <w:nsid w:val="FFFFFF7F"/>
    <w:multiLevelType w:val="singleLevel"/>
    <w:tmpl w:val="1024A840"/>
    <w:lvl w:ilvl="0">
      <w:start w:val="1"/>
      <w:numFmt w:val="decimal"/>
      <w:lvlText w:val="%1."/>
      <w:lvlJc w:val="left"/>
      <w:pPr>
        <w:tabs>
          <w:tab w:val="num" w:pos="643"/>
        </w:tabs>
        <w:ind w:left="643" w:hanging="360"/>
      </w:pPr>
    </w:lvl>
  </w:abstractNum>
  <w:abstractNum w:abstractNumId="4">
    <w:nsid w:val="FFFFFF80"/>
    <w:multiLevelType w:val="singleLevel"/>
    <w:tmpl w:val="445AAC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82B2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749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CCC1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2FB40"/>
    <w:lvl w:ilvl="0">
      <w:start w:val="1"/>
      <w:numFmt w:val="decimal"/>
      <w:lvlText w:val="%1."/>
      <w:lvlJc w:val="left"/>
      <w:pPr>
        <w:tabs>
          <w:tab w:val="num" w:pos="360"/>
        </w:tabs>
        <w:ind w:left="360" w:hanging="360"/>
      </w:pPr>
    </w:lvl>
  </w:abstractNum>
  <w:abstractNum w:abstractNumId="9">
    <w:nsid w:val="FFFFFF89"/>
    <w:multiLevelType w:val="singleLevel"/>
    <w:tmpl w:val="4FACD5D8"/>
    <w:lvl w:ilvl="0">
      <w:start w:val="1"/>
      <w:numFmt w:val="bullet"/>
      <w:lvlText w:val=""/>
      <w:lvlJc w:val="left"/>
      <w:pPr>
        <w:tabs>
          <w:tab w:val="num" w:pos="360"/>
        </w:tabs>
        <w:ind w:left="360" w:hanging="360"/>
      </w:pPr>
      <w:rPr>
        <w:rFonts w:ascii="Symbol" w:hAnsi="Symbol" w:hint="default"/>
      </w:rPr>
    </w:lvl>
  </w:abstractNum>
  <w:abstractNum w:abstractNumId="10">
    <w:nsid w:val="010C5406"/>
    <w:multiLevelType w:val="hybridMultilevel"/>
    <w:tmpl w:val="532AD14E"/>
    <w:lvl w:ilvl="0" w:tplc="5BFAE9F0">
      <w:start w:val="1"/>
      <w:numFmt w:val="bullet"/>
      <w:pStyle w:val="Style1"/>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nsid w:val="014C7875"/>
    <w:multiLevelType w:val="multilevel"/>
    <w:tmpl w:val="501CCA3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3."/>
      <w:lvlJc w:val="left"/>
      <w:pPr>
        <w:ind w:left="2138" w:hanging="720"/>
      </w:pPr>
      <w:rPr>
        <w:rFonts w:ascii="Times New Roman" w:eastAsia="Times New Roman" w:hAnsi="Times New Roman" w:cs="Times New Roman"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08624641"/>
    <w:multiLevelType w:val="hybridMultilevel"/>
    <w:tmpl w:val="E236AD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8A261E2"/>
    <w:multiLevelType w:val="hybridMultilevel"/>
    <w:tmpl w:val="B6F2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6D01E6"/>
    <w:multiLevelType w:val="hybridMultilevel"/>
    <w:tmpl w:val="289686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5743416"/>
    <w:multiLevelType w:val="hybridMultilevel"/>
    <w:tmpl w:val="BCF8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5785D22"/>
    <w:multiLevelType w:val="hybridMultilevel"/>
    <w:tmpl w:val="3912F7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62B30B6"/>
    <w:multiLevelType w:val="hybridMultilevel"/>
    <w:tmpl w:val="2F10E2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3C76DAD4">
      <w:numFmt w:val="bullet"/>
      <w:lvlText w:val="·"/>
      <w:lvlJc w:val="left"/>
      <w:pPr>
        <w:ind w:left="2340" w:hanging="54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647514F"/>
    <w:multiLevelType w:val="hybridMultilevel"/>
    <w:tmpl w:val="F8B84400"/>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9">
    <w:nsid w:val="1E3A5A7B"/>
    <w:multiLevelType w:val="hybridMultilevel"/>
    <w:tmpl w:val="E0CED87A"/>
    <w:lvl w:ilvl="0" w:tplc="E4B80688">
      <w:numFmt w:val="bullet"/>
      <w:lvlText w:val=""/>
      <w:lvlJc w:val="left"/>
      <w:pPr>
        <w:ind w:left="720" w:hanging="360"/>
      </w:pPr>
      <w:rPr>
        <w:rFonts w:ascii="Wingdings" w:eastAsia="Cambria"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5C46DB"/>
    <w:multiLevelType w:val="hybridMultilevel"/>
    <w:tmpl w:val="215AFF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0505B1E"/>
    <w:multiLevelType w:val="hybridMultilevel"/>
    <w:tmpl w:val="9446B8C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2">
    <w:nsid w:val="229F6238"/>
    <w:multiLevelType w:val="hybridMultilevel"/>
    <w:tmpl w:val="A6E07394"/>
    <w:lvl w:ilvl="0" w:tplc="574A3E48">
      <w:start w:val="1"/>
      <w:numFmt w:val="lowerLetter"/>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27F927B7"/>
    <w:multiLevelType w:val="hybridMultilevel"/>
    <w:tmpl w:val="7EBA2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2360087"/>
    <w:multiLevelType w:val="hybridMultilevel"/>
    <w:tmpl w:val="B9301D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33533902"/>
    <w:multiLevelType w:val="hybridMultilevel"/>
    <w:tmpl w:val="83CA3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3917C0F"/>
    <w:multiLevelType w:val="hybridMultilevel"/>
    <w:tmpl w:val="2AC89590"/>
    <w:lvl w:ilvl="0" w:tplc="2A405EC6">
      <w:start w:val="1"/>
      <w:numFmt w:val="decimal"/>
      <w:lvlText w:val="%1."/>
      <w:lvlJc w:val="left"/>
      <w:pPr>
        <w:ind w:left="360" w:hanging="360"/>
      </w:pPr>
      <w:rPr>
        <w:rFonts w:cs="Arial" w:hint="default"/>
      </w:rPr>
    </w:lvl>
    <w:lvl w:ilvl="1" w:tplc="0C090019" w:tentative="1">
      <w:start w:val="1"/>
      <w:numFmt w:val="lowerLetter"/>
      <w:lvlText w:val="%2."/>
      <w:lvlJc w:val="left"/>
      <w:pPr>
        <w:ind w:left="-55" w:hanging="360"/>
      </w:pPr>
    </w:lvl>
    <w:lvl w:ilvl="2" w:tplc="0C09001B" w:tentative="1">
      <w:start w:val="1"/>
      <w:numFmt w:val="lowerRoman"/>
      <w:lvlText w:val="%3."/>
      <w:lvlJc w:val="right"/>
      <w:pPr>
        <w:ind w:left="665" w:hanging="180"/>
      </w:pPr>
    </w:lvl>
    <w:lvl w:ilvl="3" w:tplc="0C09000F" w:tentative="1">
      <w:start w:val="1"/>
      <w:numFmt w:val="decimal"/>
      <w:lvlText w:val="%4."/>
      <w:lvlJc w:val="left"/>
      <w:pPr>
        <w:ind w:left="1385" w:hanging="360"/>
      </w:pPr>
    </w:lvl>
    <w:lvl w:ilvl="4" w:tplc="0C090019" w:tentative="1">
      <w:start w:val="1"/>
      <w:numFmt w:val="lowerLetter"/>
      <w:lvlText w:val="%5."/>
      <w:lvlJc w:val="left"/>
      <w:pPr>
        <w:ind w:left="2105" w:hanging="360"/>
      </w:pPr>
    </w:lvl>
    <w:lvl w:ilvl="5" w:tplc="0C09001B" w:tentative="1">
      <w:start w:val="1"/>
      <w:numFmt w:val="lowerRoman"/>
      <w:lvlText w:val="%6."/>
      <w:lvlJc w:val="right"/>
      <w:pPr>
        <w:ind w:left="2825" w:hanging="180"/>
      </w:pPr>
    </w:lvl>
    <w:lvl w:ilvl="6" w:tplc="0C09000F" w:tentative="1">
      <w:start w:val="1"/>
      <w:numFmt w:val="decimal"/>
      <w:lvlText w:val="%7."/>
      <w:lvlJc w:val="left"/>
      <w:pPr>
        <w:ind w:left="3545" w:hanging="360"/>
      </w:pPr>
    </w:lvl>
    <w:lvl w:ilvl="7" w:tplc="0C090019" w:tentative="1">
      <w:start w:val="1"/>
      <w:numFmt w:val="lowerLetter"/>
      <w:lvlText w:val="%8."/>
      <w:lvlJc w:val="left"/>
      <w:pPr>
        <w:ind w:left="4265" w:hanging="360"/>
      </w:pPr>
    </w:lvl>
    <w:lvl w:ilvl="8" w:tplc="0C09001B" w:tentative="1">
      <w:start w:val="1"/>
      <w:numFmt w:val="lowerRoman"/>
      <w:lvlText w:val="%9."/>
      <w:lvlJc w:val="right"/>
      <w:pPr>
        <w:ind w:left="4985" w:hanging="180"/>
      </w:pPr>
    </w:lvl>
  </w:abstractNum>
  <w:abstractNum w:abstractNumId="28">
    <w:nsid w:val="396D3802"/>
    <w:multiLevelType w:val="multilevel"/>
    <w:tmpl w:val="BE34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4D65C5"/>
    <w:multiLevelType w:val="hybridMultilevel"/>
    <w:tmpl w:val="06847A3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0">
    <w:nsid w:val="3AF20F59"/>
    <w:multiLevelType w:val="multilevel"/>
    <w:tmpl w:val="E11A43DA"/>
    <w:styleLink w:val="List51"/>
    <w:lvl w:ilvl="0">
      <w:start w:val="1"/>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440"/>
        </w:tabs>
        <w:ind w:left="1440" w:hanging="360"/>
      </w:pPr>
      <w:rPr>
        <w:position w:val="0"/>
        <w:sz w:val="24"/>
        <w:szCs w:val="24"/>
        <w:rtl w:val="0"/>
        <w:lang w:val="en-US"/>
      </w:rPr>
    </w:lvl>
    <w:lvl w:ilvl="2">
      <w:start w:val="1"/>
      <w:numFmt w:val="lowerRoman"/>
      <w:lvlText w:val="%3."/>
      <w:lvlJc w:val="left"/>
      <w:pPr>
        <w:tabs>
          <w:tab w:val="num" w:pos="2160"/>
        </w:tabs>
        <w:ind w:left="2160" w:hanging="296"/>
      </w:pPr>
      <w:rPr>
        <w:position w:val="0"/>
        <w:sz w:val="24"/>
        <w:szCs w:val="24"/>
        <w:rtl w:val="0"/>
        <w:lang w:val="en-US"/>
      </w:rPr>
    </w:lvl>
    <w:lvl w:ilvl="3">
      <w:start w:val="1"/>
      <w:numFmt w:val="decimal"/>
      <w:lvlText w:val="%4."/>
      <w:lvlJc w:val="left"/>
      <w:pPr>
        <w:tabs>
          <w:tab w:val="num" w:pos="2880"/>
        </w:tabs>
        <w:ind w:left="2880" w:hanging="360"/>
      </w:pPr>
      <w:rPr>
        <w:position w:val="0"/>
        <w:sz w:val="24"/>
        <w:szCs w:val="24"/>
        <w:rtl w:val="0"/>
        <w:lang w:val="en-US"/>
      </w:rPr>
    </w:lvl>
    <w:lvl w:ilvl="4">
      <w:start w:val="1"/>
      <w:numFmt w:val="lowerLetter"/>
      <w:lvlText w:val="%5."/>
      <w:lvlJc w:val="left"/>
      <w:pPr>
        <w:tabs>
          <w:tab w:val="num" w:pos="3600"/>
        </w:tabs>
        <w:ind w:left="3600" w:hanging="360"/>
      </w:pPr>
      <w:rPr>
        <w:position w:val="0"/>
        <w:sz w:val="24"/>
        <w:szCs w:val="24"/>
        <w:rtl w:val="0"/>
        <w:lang w:val="en-US"/>
      </w:rPr>
    </w:lvl>
    <w:lvl w:ilvl="5">
      <w:start w:val="1"/>
      <w:numFmt w:val="lowerRoman"/>
      <w:lvlText w:val="%6."/>
      <w:lvlJc w:val="left"/>
      <w:pPr>
        <w:tabs>
          <w:tab w:val="num" w:pos="4320"/>
        </w:tabs>
        <w:ind w:left="4320" w:hanging="296"/>
      </w:pPr>
      <w:rPr>
        <w:position w:val="0"/>
        <w:sz w:val="24"/>
        <w:szCs w:val="24"/>
        <w:rtl w:val="0"/>
        <w:lang w:val="en-US"/>
      </w:rPr>
    </w:lvl>
    <w:lvl w:ilvl="6">
      <w:start w:val="1"/>
      <w:numFmt w:val="decimal"/>
      <w:lvlText w:val="%7."/>
      <w:lvlJc w:val="left"/>
      <w:pPr>
        <w:tabs>
          <w:tab w:val="num" w:pos="5040"/>
        </w:tabs>
        <w:ind w:left="5040" w:hanging="360"/>
      </w:pPr>
      <w:rPr>
        <w:position w:val="0"/>
        <w:sz w:val="24"/>
        <w:szCs w:val="24"/>
        <w:rtl w:val="0"/>
        <w:lang w:val="en-US"/>
      </w:rPr>
    </w:lvl>
    <w:lvl w:ilvl="7">
      <w:start w:val="1"/>
      <w:numFmt w:val="lowerLetter"/>
      <w:lvlText w:val="%8."/>
      <w:lvlJc w:val="left"/>
      <w:pPr>
        <w:tabs>
          <w:tab w:val="num" w:pos="5760"/>
        </w:tabs>
        <w:ind w:left="5760" w:hanging="360"/>
      </w:pPr>
      <w:rPr>
        <w:position w:val="0"/>
        <w:sz w:val="24"/>
        <w:szCs w:val="24"/>
        <w:rtl w:val="0"/>
        <w:lang w:val="en-US"/>
      </w:rPr>
    </w:lvl>
    <w:lvl w:ilvl="8">
      <w:start w:val="1"/>
      <w:numFmt w:val="lowerRoman"/>
      <w:lvlText w:val="%9."/>
      <w:lvlJc w:val="left"/>
      <w:pPr>
        <w:tabs>
          <w:tab w:val="num" w:pos="6480"/>
        </w:tabs>
        <w:ind w:left="6480" w:hanging="296"/>
      </w:pPr>
      <w:rPr>
        <w:position w:val="0"/>
        <w:sz w:val="24"/>
        <w:szCs w:val="24"/>
        <w:rtl w:val="0"/>
        <w:lang w:val="en-US"/>
      </w:rPr>
    </w:lvl>
  </w:abstractNum>
  <w:abstractNum w:abstractNumId="31">
    <w:nsid w:val="3E2559C6"/>
    <w:multiLevelType w:val="hybridMultilevel"/>
    <w:tmpl w:val="FC0E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E6621C0"/>
    <w:multiLevelType w:val="hybridMultilevel"/>
    <w:tmpl w:val="75409BC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3">
    <w:nsid w:val="40A0013D"/>
    <w:multiLevelType w:val="hybridMultilevel"/>
    <w:tmpl w:val="F8E87CDA"/>
    <w:lvl w:ilvl="0" w:tplc="224C01A0">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40658AB"/>
    <w:multiLevelType w:val="hybridMultilevel"/>
    <w:tmpl w:val="9AEE3A36"/>
    <w:lvl w:ilvl="0" w:tplc="A8507A72">
      <w:start w:val="1"/>
      <w:numFmt w:val="decimal"/>
      <w:pStyle w:val="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BD85C0B"/>
    <w:multiLevelType w:val="hybridMultilevel"/>
    <w:tmpl w:val="AD005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1783F7C"/>
    <w:multiLevelType w:val="multilevel"/>
    <w:tmpl w:val="7A22D654"/>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7">
    <w:nsid w:val="5F21364D"/>
    <w:multiLevelType w:val="hybridMultilevel"/>
    <w:tmpl w:val="B56EB9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06A1BBD"/>
    <w:multiLevelType w:val="hybridMultilevel"/>
    <w:tmpl w:val="D624E016"/>
    <w:lvl w:ilvl="0" w:tplc="8062AFC6">
      <w:start w:val="1"/>
      <w:numFmt w:val="bullet"/>
      <w:pStyle w:val="ListParagraph"/>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9">
    <w:nsid w:val="6576303F"/>
    <w:multiLevelType w:val="hybridMultilevel"/>
    <w:tmpl w:val="25F8FA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5E96FCB"/>
    <w:multiLevelType w:val="hybridMultilevel"/>
    <w:tmpl w:val="3D26278E"/>
    <w:lvl w:ilvl="0" w:tplc="E86AD51E">
      <w:start w:val="1"/>
      <w:numFmt w:val="bullet"/>
      <w:pStyle w:val="Style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C64750A"/>
    <w:multiLevelType w:val="hybridMultilevel"/>
    <w:tmpl w:val="7F2AF87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2">
    <w:nsid w:val="6FD502A0"/>
    <w:multiLevelType w:val="hybridMultilevel"/>
    <w:tmpl w:val="B7A8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F018EA"/>
    <w:multiLevelType w:val="hybridMultilevel"/>
    <w:tmpl w:val="D8EC5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3AB25DE"/>
    <w:multiLevelType w:val="hybridMultilevel"/>
    <w:tmpl w:val="E9669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6033157"/>
    <w:multiLevelType w:val="multilevel"/>
    <w:tmpl w:val="33800F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upperLetter"/>
      <w:lvlRestart w:val="0"/>
      <w:suff w:val="space"/>
      <w:lvlText w:val="%8."/>
      <w:lvlJc w:val="left"/>
      <w:pPr>
        <w:ind w:left="710" w:firstLine="0"/>
      </w:pPr>
      <w:rPr>
        <w:rFonts w:ascii="Tahoma" w:hAnsi="Tahoma" w:cs="Tahoma" w:hint="default"/>
        <w:b/>
        <w:sz w:val="28"/>
        <w:szCs w:val="28"/>
      </w:rPr>
    </w:lvl>
    <w:lvl w:ilvl="8">
      <w:start w:val="1"/>
      <w:numFmt w:val="decimal"/>
      <w:lvlText w:val="%8.%9"/>
      <w:lvlJc w:val="left"/>
      <w:pPr>
        <w:tabs>
          <w:tab w:val="num" w:pos="862"/>
        </w:tabs>
        <w:ind w:left="142" w:firstLine="0"/>
      </w:pPr>
      <w:rPr>
        <w:rFonts w:ascii="Tahoma" w:hAnsi="Tahoma" w:cs="Tahoma" w:hint="default"/>
        <w:b/>
        <w:i w:val="0"/>
      </w:rPr>
    </w:lvl>
  </w:abstractNum>
  <w:abstractNum w:abstractNumId="46">
    <w:nsid w:val="77F66B0D"/>
    <w:multiLevelType w:val="hybridMultilevel"/>
    <w:tmpl w:val="275074EC"/>
    <w:lvl w:ilvl="0" w:tplc="DF8CA892">
      <w:start w:val="1"/>
      <w:numFmt w:val="bullet"/>
      <w:pStyle w:val="bullet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13"/>
  </w:num>
  <w:num w:numId="4">
    <w:abstractNumId w:val="25"/>
  </w:num>
  <w:num w:numId="5">
    <w:abstractNumId w:val="15"/>
  </w:num>
  <w:num w:numId="6">
    <w:abstractNumId w:val="17"/>
  </w:num>
  <w:num w:numId="7">
    <w:abstractNumId w:val="22"/>
  </w:num>
  <w:num w:numId="8">
    <w:abstractNumId w:val="14"/>
  </w:num>
  <w:num w:numId="9">
    <w:abstractNumId w:val="33"/>
  </w:num>
  <w:num w:numId="10">
    <w:abstractNumId w:val="4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9"/>
  </w:num>
  <w:num w:numId="14">
    <w:abstractNumId w:val="33"/>
    <w:lvlOverride w:ilvl="0">
      <w:startOverride w:val="1"/>
    </w:lvlOverride>
  </w:num>
  <w:num w:numId="15">
    <w:abstractNumId w:val="30"/>
  </w:num>
  <w:num w:numId="16">
    <w:abstractNumId w:val="36"/>
  </w:num>
  <w:num w:numId="17">
    <w:abstractNumId w:val="12"/>
  </w:num>
  <w:num w:numId="18">
    <w:abstractNumId w:val="28"/>
  </w:num>
  <w:num w:numId="19">
    <w:abstractNumId w:val="3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6"/>
  </w:num>
  <w:num w:numId="31">
    <w:abstractNumId w:val="19"/>
  </w:num>
  <w:num w:numId="32">
    <w:abstractNumId w:val="24"/>
  </w:num>
  <w:num w:numId="33">
    <w:abstractNumId w:val="35"/>
  </w:num>
  <w:num w:numId="34">
    <w:abstractNumId w:val="11"/>
  </w:num>
  <w:num w:numId="35">
    <w:abstractNumId w:val="10"/>
  </w:num>
  <w:num w:numId="36">
    <w:abstractNumId w:val="32"/>
  </w:num>
  <w:num w:numId="37">
    <w:abstractNumId w:val="41"/>
  </w:num>
  <w:num w:numId="38">
    <w:abstractNumId w:val="18"/>
  </w:num>
  <w:num w:numId="39">
    <w:abstractNumId w:val="21"/>
  </w:num>
  <w:num w:numId="40">
    <w:abstractNumId w:val="37"/>
  </w:num>
  <w:num w:numId="41">
    <w:abstractNumId w:val="16"/>
  </w:num>
  <w:num w:numId="42">
    <w:abstractNumId w:val="20"/>
  </w:num>
  <w:num w:numId="43">
    <w:abstractNumId w:val="10"/>
  </w:num>
  <w:num w:numId="44">
    <w:abstractNumId w:val="10"/>
  </w:num>
  <w:num w:numId="45">
    <w:abstractNumId w:val="42"/>
  </w:num>
  <w:num w:numId="46">
    <w:abstractNumId w:val="44"/>
  </w:num>
  <w:num w:numId="47">
    <w:abstractNumId w:val="40"/>
  </w:num>
  <w:num w:numId="48">
    <w:abstractNumId w:val="23"/>
  </w:num>
  <w:num w:numId="49">
    <w:abstractNumId w:val="31"/>
  </w:num>
  <w:num w:numId="50">
    <w:abstractNumId w:val="31"/>
  </w:num>
  <w:num w:numId="51">
    <w:abstractNumId w:val="45"/>
  </w:num>
  <w:num w:numId="52">
    <w:abstractNumId w:val="26"/>
  </w:num>
  <w:num w:numId="53">
    <w:abstractNumId w:val="2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9E"/>
    <w:rsid w:val="00000DFE"/>
    <w:rsid w:val="00001650"/>
    <w:rsid w:val="00004989"/>
    <w:rsid w:val="00004E7F"/>
    <w:rsid w:val="00005283"/>
    <w:rsid w:val="00005D31"/>
    <w:rsid w:val="00010F6D"/>
    <w:rsid w:val="0001222C"/>
    <w:rsid w:val="00013E5F"/>
    <w:rsid w:val="00014CB0"/>
    <w:rsid w:val="00014F05"/>
    <w:rsid w:val="000209BA"/>
    <w:rsid w:val="000241CA"/>
    <w:rsid w:val="00025A25"/>
    <w:rsid w:val="00025D21"/>
    <w:rsid w:val="00027ADB"/>
    <w:rsid w:val="00027BE5"/>
    <w:rsid w:val="000314A6"/>
    <w:rsid w:val="0003322D"/>
    <w:rsid w:val="00033702"/>
    <w:rsid w:val="000373B2"/>
    <w:rsid w:val="00037CAB"/>
    <w:rsid w:val="00041BDD"/>
    <w:rsid w:val="00043AAC"/>
    <w:rsid w:val="000508AF"/>
    <w:rsid w:val="000527BB"/>
    <w:rsid w:val="000563A6"/>
    <w:rsid w:val="00065192"/>
    <w:rsid w:val="00070C58"/>
    <w:rsid w:val="000730A9"/>
    <w:rsid w:val="00075EC2"/>
    <w:rsid w:val="000779AA"/>
    <w:rsid w:val="00080110"/>
    <w:rsid w:val="000804C6"/>
    <w:rsid w:val="00082CEA"/>
    <w:rsid w:val="000847D1"/>
    <w:rsid w:val="00087E75"/>
    <w:rsid w:val="0009128D"/>
    <w:rsid w:val="000932E9"/>
    <w:rsid w:val="00093546"/>
    <w:rsid w:val="00093745"/>
    <w:rsid w:val="0009693A"/>
    <w:rsid w:val="000A48B7"/>
    <w:rsid w:val="000A54DB"/>
    <w:rsid w:val="000A6306"/>
    <w:rsid w:val="000B0E38"/>
    <w:rsid w:val="000B0E58"/>
    <w:rsid w:val="000B14E9"/>
    <w:rsid w:val="000B18AB"/>
    <w:rsid w:val="000B255F"/>
    <w:rsid w:val="000B4C4B"/>
    <w:rsid w:val="000B602C"/>
    <w:rsid w:val="000B7E14"/>
    <w:rsid w:val="000C0950"/>
    <w:rsid w:val="000C3F65"/>
    <w:rsid w:val="000C55DA"/>
    <w:rsid w:val="000C75E8"/>
    <w:rsid w:val="000D0168"/>
    <w:rsid w:val="000D17CF"/>
    <w:rsid w:val="000D3954"/>
    <w:rsid w:val="000E3B6B"/>
    <w:rsid w:val="000E3EEE"/>
    <w:rsid w:val="000E60A9"/>
    <w:rsid w:val="000F1917"/>
    <w:rsid w:val="000F219B"/>
    <w:rsid w:val="000F26CA"/>
    <w:rsid w:val="000F428D"/>
    <w:rsid w:val="000F5157"/>
    <w:rsid w:val="000F53A0"/>
    <w:rsid w:val="000F67DF"/>
    <w:rsid w:val="00100150"/>
    <w:rsid w:val="00102920"/>
    <w:rsid w:val="00103C47"/>
    <w:rsid w:val="001052A8"/>
    <w:rsid w:val="0010675D"/>
    <w:rsid w:val="00107067"/>
    <w:rsid w:val="00113B97"/>
    <w:rsid w:val="001146D2"/>
    <w:rsid w:val="00114DA5"/>
    <w:rsid w:val="001153D8"/>
    <w:rsid w:val="00115BA3"/>
    <w:rsid w:val="00120A9F"/>
    <w:rsid w:val="00126A76"/>
    <w:rsid w:val="0012791B"/>
    <w:rsid w:val="00130E43"/>
    <w:rsid w:val="001310E9"/>
    <w:rsid w:val="001341E7"/>
    <w:rsid w:val="00134EA5"/>
    <w:rsid w:val="00136F9D"/>
    <w:rsid w:val="0014145F"/>
    <w:rsid w:val="00141A29"/>
    <w:rsid w:val="001457B2"/>
    <w:rsid w:val="00145F24"/>
    <w:rsid w:val="001462F5"/>
    <w:rsid w:val="00150208"/>
    <w:rsid w:val="00154D25"/>
    <w:rsid w:val="001572E5"/>
    <w:rsid w:val="00163707"/>
    <w:rsid w:val="00170366"/>
    <w:rsid w:val="00172323"/>
    <w:rsid w:val="00172CFD"/>
    <w:rsid w:val="001736A4"/>
    <w:rsid w:val="0018069A"/>
    <w:rsid w:val="00180CE4"/>
    <w:rsid w:val="00190B63"/>
    <w:rsid w:val="001939AA"/>
    <w:rsid w:val="00194480"/>
    <w:rsid w:val="001A28FB"/>
    <w:rsid w:val="001A2C29"/>
    <w:rsid w:val="001A3904"/>
    <w:rsid w:val="001A73DB"/>
    <w:rsid w:val="001C5EAD"/>
    <w:rsid w:val="001C5FCC"/>
    <w:rsid w:val="001C7C73"/>
    <w:rsid w:val="001D00BB"/>
    <w:rsid w:val="001D2890"/>
    <w:rsid w:val="001D2BBC"/>
    <w:rsid w:val="001E2F01"/>
    <w:rsid w:val="001E33E0"/>
    <w:rsid w:val="001E3B18"/>
    <w:rsid w:val="001E4C38"/>
    <w:rsid w:val="001E7227"/>
    <w:rsid w:val="001F19D0"/>
    <w:rsid w:val="001F1A2F"/>
    <w:rsid w:val="001F5A09"/>
    <w:rsid w:val="001F5AE9"/>
    <w:rsid w:val="001F64ED"/>
    <w:rsid w:val="001F7C25"/>
    <w:rsid w:val="002017E9"/>
    <w:rsid w:val="00201FAE"/>
    <w:rsid w:val="002149A9"/>
    <w:rsid w:val="00220439"/>
    <w:rsid w:val="0022357A"/>
    <w:rsid w:val="00224DF0"/>
    <w:rsid w:val="00231650"/>
    <w:rsid w:val="00231B43"/>
    <w:rsid w:val="002339D9"/>
    <w:rsid w:val="002344CD"/>
    <w:rsid w:val="00234E6A"/>
    <w:rsid w:val="00235D55"/>
    <w:rsid w:val="00235F71"/>
    <w:rsid w:val="00243AB3"/>
    <w:rsid w:val="00251F23"/>
    <w:rsid w:val="0025277E"/>
    <w:rsid w:val="00254723"/>
    <w:rsid w:val="00257F84"/>
    <w:rsid w:val="00260052"/>
    <w:rsid w:val="0026096D"/>
    <w:rsid w:val="002629AC"/>
    <w:rsid w:val="00264216"/>
    <w:rsid w:val="00265E45"/>
    <w:rsid w:val="00266C1A"/>
    <w:rsid w:val="00267183"/>
    <w:rsid w:val="0027127A"/>
    <w:rsid w:val="002824BE"/>
    <w:rsid w:val="002831B6"/>
    <w:rsid w:val="00284671"/>
    <w:rsid w:val="002878FF"/>
    <w:rsid w:val="002907A1"/>
    <w:rsid w:val="002926C9"/>
    <w:rsid w:val="002934A8"/>
    <w:rsid w:val="00296341"/>
    <w:rsid w:val="00296871"/>
    <w:rsid w:val="002977BE"/>
    <w:rsid w:val="00297F0E"/>
    <w:rsid w:val="002A12E8"/>
    <w:rsid w:val="002A22EB"/>
    <w:rsid w:val="002A42E9"/>
    <w:rsid w:val="002A4700"/>
    <w:rsid w:val="002A556A"/>
    <w:rsid w:val="002A61A3"/>
    <w:rsid w:val="002B41C7"/>
    <w:rsid w:val="002B4C13"/>
    <w:rsid w:val="002B6078"/>
    <w:rsid w:val="002B7ED6"/>
    <w:rsid w:val="002C134F"/>
    <w:rsid w:val="002C1ED9"/>
    <w:rsid w:val="002D07FD"/>
    <w:rsid w:val="002D1286"/>
    <w:rsid w:val="002D28A9"/>
    <w:rsid w:val="002D4C3C"/>
    <w:rsid w:val="002D5BED"/>
    <w:rsid w:val="002E6B16"/>
    <w:rsid w:val="002E6D6C"/>
    <w:rsid w:val="002F16DD"/>
    <w:rsid w:val="002F3891"/>
    <w:rsid w:val="002F7870"/>
    <w:rsid w:val="00301640"/>
    <w:rsid w:val="00305915"/>
    <w:rsid w:val="00305CB8"/>
    <w:rsid w:val="0031001C"/>
    <w:rsid w:val="0031039D"/>
    <w:rsid w:val="00310ED3"/>
    <w:rsid w:val="00311DFF"/>
    <w:rsid w:val="00313C20"/>
    <w:rsid w:val="003140DC"/>
    <w:rsid w:val="003203DE"/>
    <w:rsid w:val="00321DFB"/>
    <w:rsid w:val="00322538"/>
    <w:rsid w:val="00324A92"/>
    <w:rsid w:val="003365C3"/>
    <w:rsid w:val="00340CD9"/>
    <w:rsid w:val="003425AD"/>
    <w:rsid w:val="00343CD1"/>
    <w:rsid w:val="003451DB"/>
    <w:rsid w:val="0036337C"/>
    <w:rsid w:val="003645D3"/>
    <w:rsid w:val="00364DD7"/>
    <w:rsid w:val="00371B96"/>
    <w:rsid w:val="00371C61"/>
    <w:rsid w:val="003722B8"/>
    <w:rsid w:val="00372BEA"/>
    <w:rsid w:val="003735CE"/>
    <w:rsid w:val="00375700"/>
    <w:rsid w:val="00375997"/>
    <w:rsid w:val="0038178E"/>
    <w:rsid w:val="00383071"/>
    <w:rsid w:val="00383D04"/>
    <w:rsid w:val="003854B3"/>
    <w:rsid w:val="00387DE8"/>
    <w:rsid w:val="003915DE"/>
    <w:rsid w:val="00392A7D"/>
    <w:rsid w:val="003956D9"/>
    <w:rsid w:val="003964BC"/>
    <w:rsid w:val="003970B1"/>
    <w:rsid w:val="003A04D4"/>
    <w:rsid w:val="003A5B3C"/>
    <w:rsid w:val="003B02A5"/>
    <w:rsid w:val="003B08EB"/>
    <w:rsid w:val="003B1A22"/>
    <w:rsid w:val="003B40EC"/>
    <w:rsid w:val="003B5EF2"/>
    <w:rsid w:val="003B64C9"/>
    <w:rsid w:val="003B6731"/>
    <w:rsid w:val="003C147C"/>
    <w:rsid w:val="003C1EEE"/>
    <w:rsid w:val="003C637E"/>
    <w:rsid w:val="003C6972"/>
    <w:rsid w:val="003C773C"/>
    <w:rsid w:val="003D03E9"/>
    <w:rsid w:val="003D1132"/>
    <w:rsid w:val="003D29CD"/>
    <w:rsid w:val="003D3CB9"/>
    <w:rsid w:val="003D3D91"/>
    <w:rsid w:val="003D655C"/>
    <w:rsid w:val="003D7726"/>
    <w:rsid w:val="003E2735"/>
    <w:rsid w:val="003E2CB1"/>
    <w:rsid w:val="003E394D"/>
    <w:rsid w:val="003E644A"/>
    <w:rsid w:val="003E665D"/>
    <w:rsid w:val="003F09A5"/>
    <w:rsid w:val="003F1240"/>
    <w:rsid w:val="003F3937"/>
    <w:rsid w:val="003F4B6F"/>
    <w:rsid w:val="003F754F"/>
    <w:rsid w:val="003F7EE0"/>
    <w:rsid w:val="00400475"/>
    <w:rsid w:val="00401350"/>
    <w:rsid w:val="00401855"/>
    <w:rsid w:val="004018EC"/>
    <w:rsid w:val="00402842"/>
    <w:rsid w:val="004031DE"/>
    <w:rsid w:val="00403508"/>
    <w:rsid w:val="004051CD"/>
    <w:rsid w:val="00405A74"/>
    <w:rsid w:val="004060BB"/>
    <w:rsid w:val="004153FD"/>
    <w:rsid w:val="00417F9C"/>
    <w:rsid w:val="00421E5C"/>
    <w:rsid w:val="00423068"/>
    <w:rsid w:val="004249A5"/>
    <w:rsid w:val="00425485"/>
    <w:rsid w:val="00427835"/>
    <w:rsid w:val="00435978"/>
    <w:rsid w:val="00440193"/>
    <w:rsid w:val="0044210C"/>
    <w:rsid w:val="00445FE0"/>
    <w:rsid w:val="004471EC"/>
    <w:rsid w:val="0044773A"/>
    <w:rsid w:val="00450D91"/>
    <w:rsid w:val="0045601F"/>
    <w:rsid w:val="004601A3"/>
    <w:rsid w:val="004630C6"/>
    <w:rsid w:val="00463E51"/>
    <w:rsid w:val="0046489A"/>
    <w:rsid w:val="0046538D"/>
    <w:rsid w:val="00466B6F"/>
    <w:rsid w:val="00471259"/>
    <w:rsid w:val="00475889"/>
    <w:rsid w:val="004762F0"/>
    <w:rsid w:val="00476567"/>
    <w:rsid w:val="00480B45"/>
    <w:rsid w:val="00483EE2"/>
    <w:rsid w:val="004845DD"/>
    <w:rsid w:val="004859D2"/>
    <w:rsid w:val="00485A3C"/>
    <w:rsid w:val="00486867"/>
    <w:rsid w:val="00491EEB"/>
    <w:rsid w:val="004923BD"/>
    <w:rsid w:val="004928F0"/>
    <w:rsid w:val="00492FED"/>
    <w:rsid w:val="00493D02"/>
    <w:rsid w:val="00495349"/>
    <w:rsid w:val="004960DE"/>
    <w:rsid w:val="0049620E"/>
    <w:rsid w:val="0049768B"/>
    <w:rsid w:val="004A0C39"/>
    <w:rsid w:val="004B06BE"/>
    <w:rsid w:val="004B0ED8"/>
    <w:rsid w:val="004B457A"/>
    <w:rsid w:val="004B71C3"/>
    <w:rsid w:val="004C0D75"/>
    <w:rsid w:val="004C2A10"/>
    <w:rsid w:val="004C3207"/>
    <w:rsid w:val="004C5360"/>
    <w:rsid w:val="004C53EB"/>
    <w:rsid w:val="004C5581"/>
    <w:rsid w:val="004C5AA2"/>
    <w:rsid w:val="004C5CA0"/>
    <w:rsid w:val="004C64C2"/>
    <w:rsid w:val="004D2324"/>
    <w:rsid w:val="004E3697"/>
    <w:rsid w:val="00500FEA"/>
    <w:rsid w:val="00502E38"/>
    <w:rsid w:val="00504F9E"/>
    <w:rsid w:val="00506296"/>
    <w:rsid w:val="00507F16"/>
    <w:rsid w:val="00512DF6"/>
    <w:rsid w:val="00514D6A"/>
    <w:rsid w:val="00516DE6"/>
    <w:rsid w:val="00520A9B"/>
    <w:rsid w:val="00523176"/>
    <w:rsid w:val="005246A4"/>
    <w:rsid w:val="00527200"/>
    <w:rsid w:val="0052742D"/>
    <w:rsid w:val="0052783A"/>
    <w:rsid w:val="00527B71"/>
    <w:rsid w:val="00532266"/>
    <w:rsid w:val="00537260"/>
    <w:rsid w:val="00537F94"/>
    <w:rsid w:val="0054159E"/>
    <w:rsid w:val="00543A87"/>
    <w:rsid w:val="00547314"/>
    <w:rsid w:val="00547DB1"/>
    <w:rsid w:val="0055519E"/>
    <w:rsid w:val="00556914"/>
    <w:rsid w:val="005570C9"/>
    <w:rsid w:val="00565B26"/>
    <w:rsid w:val="00565E0C"/>
    <w:rsid w:val="005729AE"/>
    <w:rsid w:val="00585C1E"/>
    <w:rsid w:val="00586584"/>
    <w:rsid w:val="00587EDB"/>
    <w:rsid w:val="0059133D"/>
    <w:rsid w:val="00591C4F"/>
    <w:rsid w:val="00592B45"/>
    <w:rsid w:val="0059525D"/>
    <w:rsid w:val="00595354"/>
    <w:rsid w:val="005A01A4"/>
    <w:rsid w:val="005A0687"/>
    <w:rsid w:val="005A28C6"/>
    <w:rsid w:val="005A594C"/>
    <w:rsid w:val="005A637F"/>
    <w:rsid w:val="005A755E"/>
    <w:rsid w:val="005B5215"/>
    <w:rsid w:val="005B5C19"/>
    <w:rsid w:val="005C0129"/>
    <w:rsid w:val="005C0192"/>
    <w:rsid w:val="005C0681"/>
    <w:rsid w:val="005C1F22"/>
    <w:rsid w:val="005C3A2D"/>
    <w:rsid w:val="005C3CBE"/>
    <w:rsid w:val="005C7129"/>
    <w:rsid w:val="005D1641"/>
    <w:rsid w:val="005D31DB"/>
    <w:rsid w:val="005D387B"/>
    <w:rsid w:val="005E0E81"/>
    <w:rsid w:val="005E365B"/>
    <w:rsid w:val="005F00EF"/>
    <w:rsid w:val="005F02BA"/>
    <w:rsid w:val="005F2060"/>
    <w:rsid w:val="005F2665"/>
    <w:rsid w:val="005F2FA9"/>
    <w:rsid w:val="005F4D3B"/>
    <w:rsid w:val="005F733A"/>
    <w:rsid w:val="005F7F38"/>
    <w:rsid w:val="006005EF"/>
    <w:rsid w:val="00600C56"/>
    <w:rsid w:val="00601E24"/>
    <w:rsid w:val="006033FB"/>
    <w:rsid w:val="0060351B"/>
    <w:rsid w:val="00603526"/>
    <w:rsid w:val="006055D3"/>
    <w:rsid w:val="0060681E"/>
    <w:rsid w:val="00607324"/>
    <w:rsid w:val="00607BEB"/>
    <w:rsid w:val="006100EB"/>
    <w:rsid w:val="006104F8"/>
    <w:rsid w:val="0061145E"/>
    <w:rsid w:val="0061147E"/>
    <w:rsid w:val="0061505F"/>
    <w:rsid w:val="00620D97"/>
    <w:rsid w:val="00625A95"/>
    <w:rsid w:val="00625EF2"/>
    <w:rsid w:val="00626BB0"/>
    <w:rsid w:val="00630937"/>
    <w:rsid w:val="006315B6"/>
    <w:rsid w:val="00632541"/>
    <w:rsid w:val="00635D85"/>
    <w:rsid w:val="00642EA3"/>
    <w:rsid w:val="0064339C"/>
    <w:rsid w:val="00645EFC"/>
    <w:rsid w:val="006514E3"/>
    <w:rsid w:val="006536B5"/>
    <w:rsid w:val="006660B9"/>
    <w:rsid w:val="00666B6B"/>
    <w:rsid w:val="00666BA1"/>
    <w:rsid w:val="0066743D"/>
    <w:rsid w:val="00673BC4"/>
    <w:rsid w:val="00674FD8"/>
    <w:rsid w:val="006760E7"/>
    <w:rsid w:val="006775F9"/>
    <w:rsid w:val="00680897"/>
    <w:rsid w:val="00684320"/>
    <w:rsid w:val="00691F2F"/>
    <w:rsid w:val="00692C7F"/>
    <w:rsid w:val="0069535F"/>
    <w:rsid w:val="0069771E"/>
    <w:rsid w:val="006A551B"/>
    <w:rsid w:val="006A5661"/>
    <w:rsid w:val="006B0605"/>
    <w:rsid w:val="006B1428"/>
    <w:rsid w:val="006B163A"/>
    <w:rsid w:val="006B17BF"/>
    <w:rsid w:val="006B2C89"/>
    <w:rsid w:val="006B47A9"/>
    <w:rsid w:val="006B5A6E"/>
    <w:rsid w:val="006C1405"/>
    <w:rsid w:val="006C4128"/>
    <w:rsid w:val="006C5934"/>
    <w:rsid w:val="006C79AC"/>
    <w:rsid w:val="006C7FB5"/>
    <w:rsid w:val="006D0594"/>
    <w:rsid w:val="006D2346"/>
    <w:rsid w:val="006D3975"/>
    <w:rsid w:val="006D5007"/>
    <w:rsid w:val="006D799B"/>
    <w:rsid w:val="006D7D21"/>
    <w:rsid w:val="006E0BF6"/>
    <w:rsid w:val="006E3155"/>
    <w:rsid w:val="006E37E9"/>
    <w:rsid w:val="006E4774"/>
    <w:rsid w:val="006F1D5B"/>
    <w:rsid w:val="006F487B"/>
    <w:rsid w:val="006F4A8C"/>
    <w:rsid w:val="007018B2"/>
    <w:rsid w:val="00701AB5"/>
    <w:rsid w:val="00701FA0"/>
    <w:rsid w:val="00702476"/>
    <w:rsid w:val="00704AA6"/>
    <w:rsid w:val="00706A3C"/>
    <w:rsid w:val="007160BA"/>
    <w:rsid w:val="00716C68"/>
    <w:rsid w:val="00717254"/>
    <w:rsid w:val="00717FD9"/>
    <w:rsid w:val="00720AD6"/>
    <w:rsid w:val="00720E7C"/>
    <w:rsid w:val="00721D8B"/>
    <w:rsid w:val="00723F63"/>
    <w:rsid w:val="00724792"/>
    <w:rsid w:val="007249A7"/>
    <w:rsid w:val="007272CD"/>
    <w:rsid w:val="00727D20"/>
    <w:rsid w:val="00737E62"/>
    <w:rsid w:val="00737EA1"/>
    <w:rsid w:val="007410A5"/>
    <w:rsid w:val="0074379C"/>
    <w:rsid w:val="00744137"/>
    <w:rsid w:val="00745817"/>
    <w:rsid w:val="00745E2E"/>
    <w:rsid w:val="007500FE"/>
    <w:rsid w:val="00751252"/>
    <w:rsid w:val="0075339E"/>
    <w:rsid w:val="007573AD"/>
    <w:rsid w:val="00762292"/>
    <w:rsid w:val="007624D0"/>
    <w:rsid w:val="00765DCE"/>
    <w:rsid w:val="00767D2C"/>
    <w:rsid w:val="00770B27"/>
    <w:rsid w:val="007739BA"/>
    <w:rsid w:val="00775673"/>
    <w:rsid w:val="00777421"/>
    <w:rsid w:val="00777A6E"/>
    <w:rsid w:val="00780D74"/>
    <w:rsid w:val="00784852"/>
    <w:rsid w:val="007850C6"/>
    <w:rsid w:val="0078718D"/>
    <w:rsid w:val="007908D1"/>
    <w:rsid w:val="007914CB"/>
    <w:rsid w:val="00791855"/>
    <w:rsid w:val="007A0051"/>
    <w:rsid w:val="007A15F0"/>
    <w:rsid w:val="007A4753"/>
    <w:rsid w:val="007A4858"/>
    <w:rsid w:val="007A61C3"/>
    <w:rsid w:val="007A7E08"/>
    <w:rsid w:val="007B286D"/>
    <w:rsid w:val="007B5DA9"/>
    <w:rsid w:val="007B6151"/>
    <w:rsid w:val="007B7D87"/>
    <w:rsid w:val="007B7EAA"/>
    <w:rsid w:val="007C11AF"/>
    <w:rsid w:val="007C3642"/>
    <w:rsid w:val="007C3738"/>
    <w:rsid w:val="007D1669"/>
    <w:rsid w:val="007D2ED5"/>
    <w:rsid w:val="007D6F18"/>
    <w:rsid w:val="007D73AA"/>
    <w:rsid w:val="007E0F3F"/>
    <w:rsid w:val="007E100D"/>
    <w:rsid w:val="007E3B91"/>
    <w:rsid w:val="007E4383"/>
    <w:rsid w:val="007E6AE2"/>
    <w:rsid w:val="007F026D"/>
    <w:rsid w:val="007F0305"/>
    <w:rsid w:val="007F3985"/>
    <w:rsid w:val="007F4D76"/>
    <w:rsid w:val="007F5809"/>
    <w:rsid w:val="00800281"/>
    <w:rsid w:val="008019C8"/>
    <w:rsid w:val="00801EFB"/>
    <w:rsid w:val="008036A0"/>
    <w:rsid w:val="00803F09"/>
    <w:rsid w:val="00804F95"/>
    <w:rsid w:val="00805B53"/>
    <w:rsid w:val="008108A6"/>
    <w:rsid w:val="00810DC0"/>
    <w:rsid w:val="0081260D"/>
    <w:rsid w:val="00812E99"/>
    <w:rsid w:val="00813EEC"/>
    <w:rsid w:val="00814501"/>
    <w:rsid w:val="00817183"/>
    <w:rsid w:val="008174A2"/>
    <w:rsid w:val="0082668B"/>
    <w:rsid w:val="00834300"/>
    <w:rsid w:val="008344E8"/>
    <w:rsid w:val="00834D14"/>
    <w:rsid w:val="00837485"/>
    <w:rsid w:val="008442D7"/>
    <w:rsid w:val="008446E7"/>
    <w:rsid w:val="00845346"/>
    <w:rsid w:val="00845839"/>
    <w:rsid w:val="00845EA2"/>
    <w:rsid w:val="008466B9"/>
    <w:rsid w:val="00847AD5"/>
    <w:rsid w:val="00850212"/>
    <w:rsid w:val="0085172C"/>
    <w:rsid w:val="0085292B"/>
    <w:rsid w:val="008532AE"/>
    <w:rsid w:val="008615F9"/>
    <w:rsid w:val="008629EF"/>
    <w:rsid w:val="00863529"/>
    <w:rsid w:val="00866828"/>
    <w:rsid w:val="008710EB"/>
    <w:rsid w:val="00871DC5"/>
    <w:rsid w:val="008723EF"/>
    <w:rsid w:val="00880806"/>
    <w:rsid w:val="00880A60"/>
    <w:rsid w:val="00886297"/>
    <w:rsid w:val="008905AC"/>
    <w:rsid w:val="0089332B"/>
    <w:rsid w:val="008933F6"/>
    <w:rsid w:val="00895B3A"/>
    <w:rsid w:val="008A2604"/>
    <w:rsid w:val="008A4462"/>
    <w:rsid w:val="008A4C6F"/>
    <w:rsid w:val="008A7F3C"/>
    <w:rsid w:val="008B0DD9"/>
    <w:rsid w:val="008B1B8F"/>
    <w:rsid w:val="008B3F47"/>
    <w:rsid w:val="008B68F6"/>
    <w:rsid w:val="008B7555"/>
    <w:rsid w:val="008C0D26"/>
    <w:rsid w:val="008C1431"/>
    <w:rsid w:val="008C150A"/>
    <w:rsid w:val="008C1E00"/>
    <w:rsid w:val="008C2140"/>
    <w:rsid w:val="008C22A4"/>
    <w:rsid w:val="008C241C"/>
    <w:rsid w:val="008C309C"/>
    <w:rsid w:val="008C507D"/>
    <w:rsid w:val="008C6092"/>
    <w:rsid w:val="008C6A42"/>
    <w:rsid w:val="008D3764"/>
    <w:rsid w:val="008D3D73"/>
    <w:rsid w:val="008D76ED"/>
    <w:rsid w:val="008E3529"/>
    <w:rsid w:val="008E36DD"/>
    <w:rsid w:val="008F0822"/>
    <w:rsid w:val="008F1022"/>
    <w:rsid w:val="008F6A0C"/>
    <w:rsid w:val="008F7BA1"/>
    <w:rsid w:val="00900D17"/>
    <w:rsid w:val="00901D37"/>
    <w:rsid w:val="00904E4D"/>
    <w:rsid w:val="009058AB"/>
    <w:rsid w:val="00905947"/>
    <w:rsid w:val="00906756"/>
    <w:rsid w:val="009114E2"/>
    <w:rsid w:val="00911F01"/>
    <w:rsid w:val="00914334"/>
    <w:rsid w:val="00917CB2"/>
    <w:rsid w:val="00920E04"/>
    <w:rsid w:val="009212F6"/>
    <w:rsid w:val="0092227B"/>
    <w:rsid w:val="00922BB3"/>
    <w:rsid w:val="00924942"/>
    <w:rsid w:val="00930D2D"/>
    <w:rsid w:val="00930DE9"/>
    <w:rsid w:val="00931A4B"/>
    <w:rsid w:val="009321A4"/>
    <w:rsid w:val="009359D9"/>
    <w:rsid w:val="0094070E"/>
    <w:rsid w:val="0094159C"/>
    <w:rsid w:val="00945599"/>
    <w:rsid w:val="00951D0C"/>
    <w:rsid w:val="009543C6"/>
    <w:rsid w:val="00956CA5"/>
    <w:rsid w:val="0096303F"/>
    <w:rsid w:val="0096606C"/>
    <w:rsid w:val="00972557"/>
    <w:rsid w:val="009809BE"/>
    <w:rsid w:val="00983BB0"/>
    <w:rsid w:val="00984680"/>
    <w:rsid w:val="00986C34"/>
    <w:rsid w:val="00990995"/>
    <w:rsid w:val="009975C7"/>
    <w:rsid w:val="009A1548"/>
    <w:rsid w:val="009B1D85"/>
    <w:rsid w:val="009B3759"/>
    <w:rsid w:val="009B39EA"/>
    <w:rsid w:val="009B486E"/>
    <w:rsid w:val="009B49A6"/>
    <w:rsid w:val="009B69D9"/>
    <w:rsid w:val="009C0E3E"/>
    <w:rsid w:val="009D08A3"/>
    <w:rsid w:val="009D15FA"/>
    <w:rsid w:val="009D7DD6"/>
    <w:rsid w:val="009E0BC8"/>
    <w:rsid w:val="009E2980"/>
    <w:rsid w:val="009E4479"/>
    <w:rsid w:val="009E5C3A"/>
    <w:rsid w:val="009E68F5"/>
    <w:rsid w:val="009F2336"/>
    <w:rsid w:val="009F39DA"/>
    <w:rsid w:val="009F5BA0"/>
    <w:rsid w:val="009F716D"/>
    <w:rsid w:val="00A00375"/>
    <w:rsid w:val="00A00D35"/>
    <w:rsid w:val="00A04AD6"/>
    <w:rsid w:val="00A06AEB"/>
    <w:rsid w:val="00A07A56"/>
    <w:rsid w:val="00A07B2C"/>
    <w:rsid w:val="00A07DE2"/>
    <w:rsid w:val="00A10C95"/>
    <w:rsid w:val="00A12F09"/>
    <w:rsid w:val="00A15561"/>
    <w:rsid w:val="00A30BCD"/>
    <w:rsid w:val="00A31E96"/>
    <w:rsid w:val="00A3598A"/>
    <w:rsid w:val="00A449BD"/>
    <w:rsid w:val="00A4503B"/>
    <w:rsid w:val="00A46857"/>
    <w:rsid w:val="00A46AF7"/>
    <w:rsid w:val="00A46C2A"/>
    <w:rsid w:val="00A51456"/>
    <w:rsid w:val="00A5474F"/>
    <w:rsid w:val="00A554E4"/>
    <w:rsid w:val="00A576F4"/>
    <w:rsid w:val="00A64611"/>
    <w:rsid w:val="00A649F5"/>
    <w:rsid w:val="00A650E4"/>
    <w:rsid w:val="00A6572F"/>
    <w:rsid w:val="00A74184"/>
    <w:rsid w:val="00A77021"/>
    <w:rsid w:val="00A77C93"/>
    <w:rsid w:val="00A80B14"/>
    <w:rsid w:val="00A8633A"/>
    <w:rsid w:val="00A910C9"/>
    <w:rsid w:val="00A924A7"/>
    <w:rsid w:val="00A932ED"/>
    <w:rsid w:val="00AA33D0"/>
    <w:rsid w:val="00AA4987"/>
    <w:rsid w:val="00AA4BED"/>
    <w:rsid w:val="00AA68FF"/>
    <w:rsid w:val="00AA7278"/>
    <w:rsid w:val="00AA77A2"/>
    <w:rsid w:val="00AB1540"/>
    <w:rsid w:val="00AB642A"/>
    <w:rsid w:val="00AC1FBF"/>
    <w:rsid w:val="00AC39F1"/>
    <w:rsid w:val="00AC4A45"/>
    <w:rsid w:val="00AC75D7"/>
    <w:rsid w:val="00AD0C9F"/>
    <w:rsid w:val="00AD0D98"/>
    <w:rsid w:val="00AD0E85"/>
    <w:rsid w:val="00AD3735"/>
    <w:rsid w:val="00AE17C5"/>
    <w:rsid w:val="00AE19B2"/>
    <w:rsid w:val="00AE642E"/>
    <w:rsid w:val="00AE7D53"/>
    <w:rsid w:val="00AF5C56"/>
    <w:rsid w:val="00AF62BD"/>
    <w:rsid w:val="00AF7835"/>
    <w:rsid w:val="00B01A07"/>
    <w:rsid w:val="00B03ACE"/>
    <w:rsid w:val="00B160AB"/>
    <w:rsid w:val="00B167AE"/>
    <w:rsid w:val="00B1699C"/>
    <w:rsid w:val="00B17700"/>
    <w:rsid w:val="00B229D4"/>
    <w:rsid w:val="00B25F6C"/>
    <w:rsid w:val="00B2750E"/>
    <w:rsid w:val="00B27ED2"/>
    <w:rsid w:val="00B304C8"/>
    <w:rsid w:val="00B32FFE"/>
    <w:rsid w:val="00B33FEF"/>
    <w:rsid w:val="00B353E0"/>
    <w:rsid w:val="00B41930"/>
    <w:rsid w:val="00B41B48"/>
    <w:rsid w:val="00B42652"/>
    <w:rsid w:val="00B44963"/>
    <w:rsid w:val="00B5279C"/>
    <w:rsid w:val="00B56B7D"/>
    <w:rsid w:val="00B6229F"/>
    <w:rsid w:val="00B707C7"/>
    <w:rsid w:val="00B74294"/>
    <w:rsid w:val="00B7440A"/>
    <w:rsid w:val="00B7760E"/>
    <w:rsid w:val="00B81A18"/>
    <w:rsid w:val="00B826B4"/>
    <w:rsid w:val="00B85BDD"/>
    <w:rsid w:val="00B86BA5"/>
    <w:rsid w:val="00B875B7"/>
    <w:rsid w:val="00B91544"/>
    <w:rsid w:val="00B939B3"/>
    <w:rsid w:val="00B944E5"/>
    <w:rsid w:val="00BA0133"/>
    <w:rsid w:val="00BA39F5"/>
    <w:rsid w:val="00BA4A0A"/>
    <w:rsid w:val="00BA6587"/>
    <w:rsid w:val="00BB16A6"/>
    <w:rsid w:val="00BC43E7"/>
    <w:rsid w:val="00BC4639"/>
    <w:rsid w:val="00BC58AD"/>
    <w:rsid w:val="00BC5C6D"/>
    <w:rsid w:val="00BD1753"/>
    <w:rsid w:val="00BD28EC"/>
    <w:rsid w:val="00BD3D3C"/>
    <w:rsid w:val="00BD5B17"/>
    <w:rsid w:val="00BD65C6"/>
    <w:rsid w:val="00BD754E"/>
    <w:rsid w:val="00BD77EC"/>
    <w:rsid w:val="00BE2560"/>
    <w:rsid w:val="00BE275B"/>
    <w:rsid w:val="00BE6A3F"/>
    <w:rsid w:val="00BF2534"/>
    <w:rsid w:val="00BF278D"/>
    <w:rsid w:val="00BF61A9"/>
    <w:rsid w:val="00BF6E24"/>
    <w:rsid w:val="00BF7B31"/>
    <w:rsid w:val="00C038DE"/>
    <w:rsid w:val="00C06C85"/>
    <w:rsid w:val="00C1054A"/>
    <w:rsid w:val="00C10735"/>
    <w:rsid w:val="00C11A05"/>
    <w:rsid w:val="00C137FC"/>
    <w:rsid w:val="00C13D96"/>
    <w:rsid w:val="00C13E67"/>
    <w:rsid w:val="00C1468F"/>
    <w:rsid w:val="00C15CF8"/>
    <w:rsid w:val="00C200A6"/>
    <w:rsid w:val="00C2069A"/>
    <w:rsid w:val="00C20D70"/>
    <w:rsid w:val="00C23634"/>
    <w:rsid w:val="00C27919"/>
    <w:rsid w:val="00C31A1B"/>
    <w:rsid w:val="00C36F2F"/>
    <w:rsid w:val="00C376CF"/>
    <w:rsid w:val="00C41579"/>
    <w:rsid w:val="00C42063"/>
    <w:rsid w:val="00C425B5"/>
    <w:rsid w:val="00C43AE6"/>
    <w:rsid w:val="00C4627C"/>
    <w:rsid w:val="00C470B6"/>
    <w:rsid w:val="00C51661"/>
    <w:rsid w:val="00C517FC"/>
    <w:rsid w:val="00C5205D"/>
    <w:rsid w:val="00C53BB7"/>
    <w:rsid w:val="00C53D9E"/>
    <w:rsid w:val="00C553D2"/>
    <w:rsid w:val="00C55811"/>
    <w:rsid w:val="00C55CE8"/>
    <w:rsid w:val="00C628DE"/>
    <w:rsid w:val="00C666F9"/>
    <w:rsid w:val="00C6681F"/>
    <w:rsid w:val="00C67554"/>
    <w:rsid w:val="00C67B18"/>
    <w:rsid w:val="00C73EAC"/>
    <w:rsid w:val="00C73F87"/>
    <w:rsid w:val="00C76612"/>
    <w:rsid w:val="00C77E11"/>
    <w:rsid w:val="00C8218E"/>
    <w:rsid w:val="00C83476"/>
    <w:rsid w:val="00C8527D"/>
    <w:rsid w:val="00C8696A"/>
    <w:rsid w:val="00C9695A"/>
    <w:rsid w:val="00C96CB5"/>
    <w:rsid w:val="00C97A7A"/>
    <w:rsid w:val="00CA1443"/>
    <w:rsid w:val="00CA4B6C"/>
    <w:rsid w:val="00CA5AFD"/>
    <w:rsid w:val="00CA5D2A"/>
    <w:rsid w:val="00CB1D64"/>
    <w:rsid w:val="00CB25EF"/>
    <w:rsid w:val="00CB61DE"/>
    <w:rsid w:val="00CC0812"/>
    <w:rsid w:val="00CC3934"/>
    <w:rsid w:val="00CC7F5D"/>
    <w:rsid w:val="00CD2C68"/>
    <w:rsid w:val="00CE2035"/>
    <w:rsid w:val="00CE3A97"/>
    <w:rsid w:val="00CE5BCB"/>
    <w:rsid w:val="00CE6B6E"/>
    <w:rsid w:val="00CF1C84"/>
    <w:rsid w:val="00CF5FC5"/>
    <w:rsid w:val="00CF72F8"/>
    <w:rsid w:val="00CF73A3"/>
    <w:rsid w:val="00CF73F8"/>
    <w:rsid w:val="00CF7960"/>
    <w:rsid w:val="00D02E70"/>
    <w:rsid w:val="00D03D01"/>
    <w:rsid w:val="00D054A7"/>
    <w:rsid w:val="00D05A79"/>
    <w:rsid w:val="00D066EC"/>
    <w:rsid w:val="00D12249"/>
    <w:rsid w:val="00D15B33"/>
    <w:rsid w:val="00D178FA"/>
    <w:rsid w:val="00D218FD"/>
    <w:rsid w:val="00D22395"/>
    <w:rsid w:val="00D2319E"/>
    <w:rsid w:val="00D2370F"/>
    <w:rsid w:val="00D252AD"/>
    <w:rsid w:val="00D25520"/>
    <w:rsid w:val="00D25F44"/>
    <w:rsid w:val="00D32C40"/>
    <w:rsid w:val="00D35A06"/>
    <w:rsid w:val="00D37567"/>
    <w:rsid w:val="00D375F4"/>
    <w:rsid w:val="00D422D7"/>
    <w:rsid w:val="00D4474B"/>
    <w:rsid w:val="00D459B6"/>
    <w:rsid w:val="00D474F3"/>
    <w:rsid w:val="00D5030A"/>
    <w:rsid w:val="00D51866"/>
    <w:rsid w:val="00D521E5"/>
    <w:rsid w:val="00D54449"/>
    <w:rsid w:val="00D54A87"/>
    <w:rsid w:val="00D555A0"/>
    <w:rsid w:val="00D60000"/>
    <w:rsid w:val="00D60E79"/>
    <w:rsid w:val="00D61893"/>
    <w:rsid w:val="00D62C88"/>
    <w:rsid w:val="00D64D3D"/>
    <w:rsid w:val="00D65C4D"/>
    <w:rsid w:val="00D714E8"/>
    <w:rsid w:val="00D746C6"/>
    <w:rsid w:val="00D76FE7"/>
    <w:rsid w:val="00D8186B"/>
    <w:rsid w:val="00D86C93"/>
    <w:rsid w:val="00D87918"/>
    <w:rsid w:val="00D90DA1"/>
    <w:rsid w:val="00D94702"/>
    <w:rsid w:val="00D95458"/>
    <w:rsid w:val="00DA15AB"/>
    <w:rsid w:val="00DA18D5"/>
    <w:rsid w:val="00DA59F4"/>
    <w:rsid w:val="00DA6789"/>
    <w:rsid w:val="00DB0BE0"/>
    <w:rsid w:val="00DB1E76"/>
    <w:rsid w:val="00DB29EE"/>
    <w:rsid w:val="00DB459B"/>
    <w:rsid w:val="00DB7A2F"/>
    <w:rsid w:val="00DC1562"/>
    <w:rsid w:val="00DC56E3"/>
    <w:rsid w:val="00DC5A9C"/>
    <w:rsid w:val="00DC6A5A"/>
    <w:rsid w:val="00DD3369"/>
    <w:rsid w:val="00DD3A77"/>
    <w:rsid w:val="00DD506B"/>
    <w:rsid w:val="00DD6048"/>
    <w:rsid w:val="00DD6A1C"/>
    <w:rsid w:val="00DE23EB"/>
    <w:rsid w:val="00DE3C40"/>
    <w:rsid w:val="00DE432D"/>
    <w:rsid w:val="00DF04D3"/>
    <w:rsid w:val="00DF153C"/>
    <w:rsid w:val="00DF2D93"/>
    <w:rsid w:val="00DF3DA8"/>
    <w:rsid w:val="00DF4858"/>
    <w:rsid w:val="00DF4F84"/>
    <w:rsid w:val="00DF5EE1"/>
    <w:rsid w:val="00DF7EB4"/>
    <w:rsid w:val="00E022D0"/>
    <w:rsid w:val="00E054C4"/>
    <w:rsid w:val="00E0637F"/>
    <w:rsid w:val="00E07D60"/>
    <w:rsid w:val="00E13B50"/>
    <w:rsid w:val="00E13B88"/>
    <w:rsid w:val="00E164CE"/>
    <w:rsid w:val="00E2092E"/>
    <w:rsid w:val="00E20D85"/>
    <w:rsid w:val="00E212B6"/>
    <w:rsid w:val="00E2784F"/>
    <w:rsid w:val="00E30013"/>
    <w:rsid w:val="00E335B6"/>
    <w:rsid w:val="00E34502"/>
    <w:rsid w:val="00E359EC"/>
    <w:rsid w:val="00E37AB0"/>
    <w:rsid w:val="00E40C41"/>
    <w:rsid w:val="00E41EAC"/>
    <w:rsid w:val="00E45511"/>
    <w:rsid w:val="00E5324B"/>
    <w:rsid w:val="00E60191"/>
    <w:rsid w:val="00E6057F"/>
    <w:rsid w:val="00E61293"/>
    <w:rsid w:val="00E61588"/>
    <w:rsid w:val="00E61863"/>
    <w:rsid w:val="00E61FFF"/>
    <w:rsid w:val="00E748E0"/>
    <w:rsid w:val="00E807D4"/>
    <w:rsid w:val="00E80BF5"/>
    <w:rsid w:val="00E8484C"/>
    <w:rsid w:val="00E9306B"/>
    <w:rsid w:val="00EA113A"/>
    <w:rsid w:val="00EA1BE3"/>
    <w:rsid w:val="00EA254C"/>
    <w:rsid w:val="00EA3844"/>
    <w:rsid w:val="00EA64F2"/>
    <w:rsid w:val="00EA7214"/>
    <w:rsid w:val="00EB39E9"/>
    <w:rsid w:val="00EB4D0E"/>
    <w:rsid w:val="00EB59D0"/>
    <w:rsid w:val="00EB7478"/>
    <w:rsid w:val="00EB78ED"/>
    <w:rsid w:val="00EC0F5D"/>
    <w:rsid w:val="00EC2885"/>
    <w:rsid w:val="00EC28E6"/>
    <w:rsid w:val="00EC3BB9"/>
    <w:rsid w:val="00EC5434"/>
    <w:rsid w:val="00EC5802"/>
    <w:rsid w:val="00EC79A8"/>
    <w:rsid w:val="00EC7C96"/>
    <w:rsid w:val="00ED229F"/>
    <w:rsid w:val="00ED38E7"/>
    <w:rsid w:val="00ED4D0B"/>
    <w:rsid w:val="00ED51B7"/>
    <w:rsid w:val="00ED7DE2"/>
    <w:rsid w:val="00EE2CE0"/>
    <w:rsid w:val="00EE5046"/>
    <w:rsid w:val="00EF0CD7"/>
    <w:rsid w:val="00EF23DC"/>
    <w:rsid w:val="00EF245C"/>
    <w:rsid w:val="00EF46E5"/>
    <w:rsid w:val="00EF69E0"/>
    <w:rsid w:val="00F02B8C"/>
    <w:rsid w:val="00F052A4"/>
    <w:rsid w:val="00F07848"/>
    <w:rsid w:val="00F13617"/>
    <w:rsid w:val="00F15536"/>
    <w:rsid w:val="00F216B4"/>
    <w:rsid w:val="00F2173C"/>
    <w:rsid w:val="00F23014"/>
    <w:rsid w:val="00F2508C"/>
    <w:rsid w:val="00F251C9"/>
    <w:rsid w:val="00F2666E"/>
    <w:rsid w:val="00F31789"/>
    <w:rsid w:val="00F3451F"/>
    <w:rsid w:val="00F354FF"/>
    <w:rsid w:val="00F35D8E"/>
    <w:rsid w:val="00F4009D"/>
    <w:rsid w:val="00F42C59"/>
    <w:rsid w:val="00F43118"/>
    <w:rsid w:val="00F543FD"/>
    <w:rsid w:val="00F549C4"/>
    <w:rsid w:val="00F54B16"/>
    <w:rsid w:val="00F575A3"/>
    <w:rsid w:val="00F61F28"/>
    <w:rsid w:val="00F62848"/>
    <w:rsid w:val="00F670C5"/>
    <w:rsid w:val="00F67C58"/>
    <w:rsid w:val="00F67DEC"/>
    <w:rsid w:val="00F70A6F"/>
    <w:rsid w:val="00F73DF9"/>
    <w:rsid w:val="00F80649"/>
    <w:rsid w:val="00F83F1B"/>
    <w:rsid w:val="00F845F7"/>
    <w:rsid w:val="00F90108"/>
    <w:rsid w:val="00F901A6"/>
    <w:rsid w:val="00F949EF"/>
    <w:rsid w:val="00FA17D7"/>
    <w:rsid w:val="00FA2400"/>
    <w:rsid w:val="00FA2753"/>
    <w:rsid w:val="00FA2C9E"/>
    <w:rsid w:val="00FA2EB8"/>
    <w:rsid w:val="00FA51E4"/>
    <w:rsid w:val="00FB0B1D"/>
    <w:rsid w:val="00FB0F05"/>
    <w:rsid w:val="00FB130B"/>
    <w:rsid w:val="00FB1381"/>
    <w:rsid w:val="00FB4BF4"/>
    <w:rsid w:val="00FC3502"/>
    <w:rsid w:val="00FC35EC"/>
    <w:rsid w:val="00FC4004"/>
    <w:rsid w:val="00FC44C2"/>
    <w:rsid w:val="00FC6A62"/>
    <w:rsid w:val="00FD178B"/>
    <w:rsid w:val="00FD41AB"/>
    <w:rsid w:val="00FD5ECB"/>
    <w:rsid w:val="00FD6751"/>
    <w:rsid w:val="00FE0645"/>
    <w:rsid w:val="00FE1767"/>
    <w:rsid w:val="00FE5D8C"/>
    <w:rsid w:val="00FF2017"/>
    <w:rsid w:val="00FF3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AC"/>
    <w:rPr>
      <w:rFonts w:ascii="Arial" w:hAnsi="Arial"/>
      <w:sz w:val="22"/>
      <w:szCs w:val="24"/>
    </w:rPr>
  </w:style>
  <w:style w:type="paragraph" w:styleId="Heading1">
    <w:name w:val="heading 1"/>
    <w:basedOn w:val="Normal"/>
    <w:next w:val="Normal"/>
    <w:link w:val="Heading1Char"/>
    <w:uiPriority w:val="9"/>
    <w:qFormat/>
    <w:rsid w:val="00FA2400"/>
    <w:pPr>
      <w:keepNext/>
      <w:spacing w:after="240"/>
      <w:outlineLvl w:val="0"/>
    </w:pPr>
    <w:rPr>
      <w:rFonts w:ascii="Arial Bold" w:eastAsiaTheme="majorEastAsia" w:hAnsi="Arial Bold" w:cs="Arial"/>
      <w:b/>
      <w:color w:val="1F497D" w:themeColor="text2"/>
      <w:kern w:val="32"/>
      <w:sz w:val="48"/>
      <w:szCs w:val="22"/>
    </w:rPr>
  </w:style>
  <w:style w:type="paragraph" w:styleId="Heading2">
    <w:name w:val="heading 2"/>
    <w:basedOn w:val="Normal"/>
    <w:next w:val="Normal"/>
    <w:link w:val="Heading2Char"/>
    <w:uiPriority w:val="9"/>
    <w:qFormat/>
    <w:rsid w:val="00FA2400"/>
    <w:pPr>
      <w:outlineLvl w:val="1"/>
    </w:pPr>
    <w:rPr>
      <w:rFonts w:ascii="Arial Bold" w:eastAsiaTheme="majorEastAsia" w:hAnsi="Arial Bold" w:cstheme="majorBidi"/>
      <w:b/>
      <w:color w:val="1F497D" w:themeColor="text2"/>
      <w:sz w:val="28"/>
      <w:szCs w:val="28"/>
    </w:rPr>
  </w:style>
  <w:style w:type="paragraph" w:styleId="Heading3">
    <w:name w:val="heading 3"/>
    <w:basedOn w:val="Normal"/>
    <w:next w:val="Normal"/>
    <w:link w:val="Heading3Char"/>
    <w:uiPriority w:val="9"/>
    <w:qFormat/>
    <w:rsid w:val="00FA2400"/>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1F497D" w:themeColor="text2"/>
      <w:sz w:val="24"/>
      <w:szCs w:val="20"/>
      <w:lang w:eastAsia="en-US"/>
    </w:rPr>
  </w:style>
  <w:style w:type="paragraph" w:styleId="Heading4">
    <w:name w:val="heading 4"/>
    <w:basedOn w:val="Normal"/>
    <w:next w:val="Normal"/>
    <w:link w:val="Heading4Char"/>
    <w:uiPriority w:val="9"/>
    <w:qFormat/>
    <w:rsid w:val="00FA2400"/>
    <w:pPr>
      <w:overflowPunct w:val="0"/>
      <w:autoSpaceDE w:val="0"/>
      <w:autoSpaceDN w:val="0"/>
      <w:adjustRightInd w:val="0"/>
      <w:ind w:left="360" w:hanging="360"/>
      <w:textAlignment w:val="baseline"/>
      <w:outlineLvl w:val="3"/>
    </w:pPr>
    <w:rPr>
      <w:rFonts w:eastAsiaTheme="majorEastAsia" w:cstheme="majorBidi"/>
      <w:b/>
      <w:color w:val="1F497D" w:themeColor="text2"/>
      <w:spacing w:val="-3"/>
      <w:szCs w:val="22"/>
      <w:lang w:eastAsia="en-US"/>
    </w:rPr>
  </w:style>
  <w:style w:type="paragraph" w:styleId="Heading5">
    <w:name w:val="heading 5"/>
    <w:basedOn w:val="Normal"/>
    <w:next w:val="Normal"/>
    <w:link w:val="Heading5Char"/>
    <w:qFormat/>
    <w:rsid w:val="004928F0"/>
    <w:pPr>
      <w:overflowPunct w:val="0"/>
      <w:autoSpaceDE w:val="0"/>
      <w:autoSpaceDN w:val="0"/>
      <w:adjustRightInd w:val="0"/>
      <w:spacing w:before="240" w:after="60"/>
      <w:textAlignment w:val="baseline"/>
      <w:outlineLvl w:val="4"/>
    </w:pPr>
    <w:rPr>
      <w:rFonts w:eastAsiaTheme="majorEastAsia" w:cstheme="majorBidi"/>
      <w:b/>
      <w:bCs/>
      <w:i/>
      <w:iCs/>
      <w:sz w:val="26"/>
      <w:szCs w:val="26"/>
      <w:lang w:eastAsia="en-US"/>
    </w:rPr>
  </w:style>
  <w:style w:type="paragraph" w:styleId="Heading6">
    <w:name w:val="heading 6"/>
    <w:basedOn w:val="Normal"/>
    <w:next w:val="Normal"/>
    <w:link w:val="Heading6Char"/>
    <w:rsid w:val="00136F9D"/>
    <w:pPr>
      <w:overflowPunct w:val="0"/>
      <w:autoSpaceDE w:val="0"/>
      <w:autoSpaceDN w:val="0"/>
      <w:adjustRightInd w:val="0"/>
      <w:spacing w:before="240" w:after="60"/>
      <w:textAlignment w:val="baseline"/>
      <w:outlineLvl w:val="5"/>
    </w:pPr>
    <w:rPr>
      <w:rFonts w:ascii="Times New Roman" w:eastAsiaTheme="majorEastAsia" w:hAnsi="Times New Roman" w:cstheme="majorBidi"/>
      <w:b/>
      <w:bCs/>
      <w:szCs w:val="22"/>
      <w:lang w:eastAsia="en-US"/>
    </w:rPr>
  </w:style>
  <w:style w:type="paragraph" w:styleId="Heading7">
    <w:name w:val="heading 7"/>
    <w:basedOn w:val="Normal"/>
    <w:next w:val="Normal"/>
    <w:link w:val="Heading7Char"/>
    <w:rsid w:val="00136F9D"/>
    <w:pPr>
      <w:overflowPunct w:val="0"/>
      <w:autoSpaceDE w:val="0"/>
      <w:autoSpaceDN w:val="0"/>
      <w:adjustRightInd w:val="0"/>
      <w:spacing w:before="240" w:after="60"/>
      <w:textAlignment w:val="baseline"/>
      <w:outlineLvl w:val="6"/>
    </w:pPr>
    <w:rPr>
      <w:rFonts w:ascii="Times New Roman" w:eastAsiaTheme="majorEastAsia" w:hAnsi="Times New Roman" w:cstheme="majorBidi"/>
      <w:sz w:val="24"/>
      <w:lang w:eastAsia="en-US"/>
    </w:rPr>
  </w:style>
  <w:style w:type="paragraph" w:styleId="Heading8">
    <w:name w:val="heading 8"/>
    <w:basedOn w:val="Normal"/>
    <w:next w:val="Normal"/>
    <w:link w:val="Heading8Char"/>
    <w:rsid w:val="00136F9D"/>
    <w:pPr>
      <w:overflowPunct w:val="0"/>
      <w:autoSpaceDE w:val="0"/>
      <w:autoSpaceDN w:val="0"/>
      <w:adjustRightInd w:val="0"/>
      <w:spacing w:before="240" w:after="60"/>
      <w:textAlignment w:val="baseline"/>
      <w:outlineLvl w:val="7"/>
    </w:pPr>
    <w:rPr>
      <w:rFonts w:ascii="Times New Roman" w:eastAsiaTheme="majorEastAsia" w:hAnsi="Times New Roman" w:cstheme="majorBidi"/>
      <w:i/>
      <w:iCs/>
      <w:sz w:val="24"/>
      <w:lang w:eastAsia="en-US"/>
    </w:rPr>
  </w:style>
  <w:style w:type="paragraph" w:styleId="Heading9">
    <w:name w:val="heading 9"/>
    <w:aliases w:val="Heading 9 Char2,Heading 9 Char1 Char"/>
    <w:basedOn w:val="Normal"/>
    <w:next w:val="Normal"/>
    <w:link w:val="Heading9Char"/>
    <w:qFormat/>
    <w:rsid w:val="00136F9D"/>
    <w:pPr>
      <w:overflowPunct w:val="0"/>
      <w:autoSpaceDE w:val="0"/>
      <w:autoSpaceDN w:val="0"/>
      <w:adjustRightInd w:val="0"/>
      <w:spacing w:before="240" w:after="60"/>
      <w:textAlignment w:val="baseline"/>
      <w:outlineLvl w:val="8"/>
    </w:pPr>
    <w:rPr>
      <w:rFonts w:eastAsiaTheme="majorEastAsia"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uiPriority w:val="35"/>
    <w:qFormat/>
    <w:rsid w:val="003E644A"/>
    <w:pPr>
      <w:overflowPunct w:val="0"/>
      <w:autoSpaceDE w:val="0"/>
      <w:autoSpaceDN w:val="0"/>
      <w:adjustRightInd w:val="0"/>
      <w:spacing w:before="120" w:after="120"/>
      <w:textAlignment w:val="baseline"/>
    </w:pPr>
    <w:rPr>
      <w:b/>
      <w:bCs/>
      <w:szCs w:val="20"/>
      <w:lang w:eastAsia="en-US"/>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style>
  <w:style w:type="paragraph" w:customStyle="1" w:styleId="CaptionTable">
    <w:name w:val="Caption_Table"/>
    <w:basedOn w:val="Normal"/>
    <w:next w:val="BodyText"/>
    <w:rsid w:val="00C20D70"/>
    <w:pPr>
      <w:keepNext/>
      <w:keepLines/>
      <w:spacing w:before="240" w:after="240"/>
      <w:jc w:val="center"/>
    </w:pPr>
    <w:rPr>
      <w:rFonts w:ascii="Calibri" w:hAnsi="Calibri"/>
      <w:b/>
      <w:color w:val="931638"/>
      <w:szCs w:val="20"/>
      <w:lang w:eastAsia="en-US"/>
    </w:rPr>
  </w:style>
  <w:style w:type="paragraph" w:styleId="BodyText">
    <w:name w:val="Body Text"/>
    <w:basedOn w:val="Normal"/>
    <w:rsid w:val="00C20D70"/>
    <w:pPr>
      <w:spacing w:after="120"/>
    </w:pPr>
  </w:style>
  <w:style w:type="paragraph" w:customStyle="1" w:styleId="CaptionTableheading">
    <w:name w:val="Caption_Table heading"/>
    <w:basedOn w:val="Normal"/>
    <w:next w:val="BodyText"/>
    <w:rsid w:val="00B707C7"/>
    <w:pPr>
      <w:keepNext/>
      <w:keepLines/>
      <w:spacing w:before="240" w:after="240"/>
      <w:jc w:val="center"/>
    </w:pPr>
    <w:rPr>
      <w:rFonts w:ascii="Calibri" w:hAnsi="Calibri"/>
      <w:b/>
      <w:color w:val="931638"/>
      <w:szCs w:val="20"/>
      <w:lang w:eastAsia="en-US"/>
    </w:rPr>
  </w:style>
  <w:style w:type="character" w:customStyle="1" w:styleId="Heading1Char">
    <w:name w:val="Heading 1 Char"/>
    <w:basedOn w:val="DefaultParagraphFont"/>
    <w:link w:val="Heading1"/>
    <w:uiPriority w:val="9"/>
    <w:rsid w:val="00FA2400"/>
    <w:rPr>
      <w:rFonts w:ascii="Arial Bold" w:eastAsiaTheme="majorEastAsia" w:hAnsi="Arial Bold" w:cs="Arial"/>
      <w:b/>
      <w:color w:val="1F497D" w:themeColor="text2"/>
      <w:kern w:val="32"/>
      <w:sz w:val="48"/>
      <w:szCs w:val="22"/>
    </w:rPr>
  </w:style>
  <w:style w:type="paragraph" w:styleId="Title">
    <w:name w:val="Title"/>
    <w:basedOn w:val="Normal"/>
    <w:link w:val="TitleChar"/>
    <w:uiPriority w:val="10"/>
    <w:qFormat/>
    <w:rsid w:val="008615F9"/>
    <w:pPr>
      <w:overflowPunct w:val="0"/>
      <w:autoSpaceDE w:val="0"/>
      <w:autoSpaceDN w:val="0"/>
      <w:adjustRightInd w:val="0"/>
      <w:spacing w:before="240" w:after="60"/>
      <w:textAlignment w:val="baseline"/>
      <w:outlineLvl w:val="0"/>
    </w:pPr>
    <w:rPr>
      <w:rFonts w:ascii="Arial Bold" w:eastAsiaTheme="majorEastAsia" w:hAnsi="Arial Bold" w:cs="Arial"/>
      <w:b/>
      <w:bCs/>
      <w:caps/>
      <w:color w:val="C00000"/>
      <w:kern w:val="28"/>
      <w:sz w:val="36"/>
      <w:szCs w:val="32"/>
      <w:lang w:eastAsia="en-US"/>
    </w:rPr>
  </w:style>
  <w:style w:type="character" w:customStyle="1" w:styleId="TitleChar">
    <w:name w:val="Title Char"/>
    <w:basedOn w:val="DefaultParagraphFont"/>
    <w:link w:val="Title"/>
    <w:uiPriority w:val="10"/>
    <w:rsid w:val="008615F9"/>
    <w:rPr>
      <w:rFonts w:ascii="Arial Bold" w:eastAsiaTheme="majorEastAsia" w:hAnsi="Arial Bold" w:cs="Arial"/>
      <w:b/>
      <w:bCs/>
      <w:caps/>
      <w:color w:val="C00000"/>
      <w:kern w:val="28"/>
      <w:sz w:val="36"/>
      <w:szCs w:val="32"/>
      <w:lang w:eastAsia="en-US"/>
    </w:rPr>
  </w:style>
  <w:style w:type="paragraph" w:styleId="Subtitle">
    <w:name w:val="Subtitle"/>
    <w:aliases w:val="Figure heading"/>
    <w:basedOn w:val="Normal"/>
    <w:link w:val="SubtitleChar"/>
    <w:uiPriority w:val="11"/>
    <w:qFormat/>
    <w:rsid w:val="00800281"/>
    <w:pPr>
      <w:overflowPunct w:val="0"/>
      <w:autoSpaceDE w:val="0"/>
      <w:autoSpaceDN w:val="0"/>
      <w:adjustRightInd w:val="0"/>
      <w:spacing w:after="60"/>
      <w:textAlignment w:val="baseline"/>
      <w:outlineLvl w:val="1"/>
    </w:pPr>
    <w:rPr>
      <w:rFonts w:eastAsiaTheme="majorEastAsia" w:cs="Arial"/>
      <w:b/>
      <w:color w:val="1F497D" w:themeColor="text2"/>
      <w:lang w:eastAsia="en-US"/>
    </w:rPr>
  </w:style>
  <w:style w:type="character" w:customStyle="1" w:styleId="SubtitleChar">
    <w:name w:val="Subtitle Char"/>
    <w:aliases w:val="Figure heading Char"/>
    <w:basedOn w:val="DefaultParagraphFont"/>
    <w:link w:val="Subtitle"/>
    <w:uiPriority w:val="11"/>
    <w:rsid w:val="00800281"/>
    <w:rPr>
      <w:rFonts w:ascii="Arial" w:eastAsiaTheme="majorEastAsia" w:hAnsi="Arial" w:cs="Arial"/>
      <w:b/>
      <w:color w:val="1F497D" w:themeColor="text2"/>
      <w:sz w:val="22"/>
      <w:szCs w:val="24"/>
      <w:lang w:eastAsia="en-US"/>
    </w:rPr>
  </w:style>
  <w:style w:type="character" w:styleId="Strong">
    <w:name w:val="Strong"/>
    <w:basedOn w:val="DefaultParagraphFont"/>
    <w:qFormat/>
    <w:rsid w:val="008615F9"/>
    <w:rPr>
      <w:rFonts w:ascii="Arial" w:hAnsi="Arial"/>
      <w:b/>
      <w:bCs/>
    </w:rPr>
  </w:style>
  <w:style w:type="paragraph" w:styleId="NoSpacing">
    <w:name w:val="No Spacing"/>
    <w:uiPriority w:val="1"/>
    <w:qFormat/>
    <w:rsid w:val="00136F9D"/>
    <w:rPr>
      <w:rFonts w:ascii="Arial" w:eastAsia="Calibri" w:hAnsi="Arial"/>
      <w:sz w:val="22"/>
      <w:szCs w:val="22"/>
      <w:lang w:eastAsia="en-US"/>
    </w:rPr>
  </w:style>
  <w:style w:type="paragraph" w:styleId="ListParagraph">
    <w:name w:val="List Paragraph"/>
    <w:aliases w:val="Bullet"/>
    <w:basedOn w:val="Normal"/>
    <w:link w:val="ListParagraphChar"/>
    <w:uiPriority w:val="34"/>
    <w:qFormat/>
    <w:rsid w:val="00D54A87"/>
    <w:pPr>
      <w:numPr>
        <w:numId w:val="54"/>
      </w:numPr>
      <w:overflowPunct w:val="0"/>
      <w:autoSpaceDE w:val="0"/>
      <w:autoSpaceDN w:val="0"/>
      <w:adjustRightInd w:val="0"/>
      <w:textAlignment w:val="baseline"/>
    </w:pPr>
    <w:rPr>
      <w:szCs w:val="20"/>
    </w:rPr>
  </w:style>
  <w:style w:type="character" w:customStyle="1" w:styleId="Heading2Char">
    <w:name w:val="Heading 2 Char"/>
    <w:basedOn w:val="DefaultParagraphFont"/>
    <w:link w:val="Heading2"/>
    <w:uiPriority w:val="9"/>
    <w:rsid w:val="00FA2400"/>
    <w:rPr>
      <w:rFonts w:ascii="Arial Bold" w:eastAsiaTheme="majorEastAsia" w:hAnsi="Arial Bold" w:cstheme="majorBidi"/>
      <w:b/>
      <w:color w:val="1F497D" w:themeColor="text2"/>
      <w:sz w:val="28"/>
      <w:szCs w:val="28"/>
    </w:rPr>
  </w:style>
  <w:style w:type="character" w:customStyle="1" w:styleId="Heading3Char">
    <w:name w:val="Heading 3 Char"/>
    <w:basedOn w:val="DefaultParagraphFont"/>
    <w:link w:val="Heading3"/>
    <w:uiPriority w:val="9"/>
    <w:rsid w:val="00FA2400"/>
    <w:rPr>
      <w:rFonts w:ascii="Arial Bold" w:eastAsiaTheme="majorEastAsia" w:hAnsi="Arial Bold" w:cstheme="majorBidi"/>
      <w:b/>
      <w:color w:val="1F497D" w:themeColor="text2"/>
      <w:sz w:val="24"/>
      <w:lang w:eastAsia="en-US"/>
    </w:rPr>
  </w:style>
  <w:style w:type="character" w:customStyle="1" w:styleId="Heading4Char">
    <w:name w:val="Heading 4 Char"/>
    <w:basedOn w:val="DefaultParagraphFont"/>
    <w:link w:val="Heading4"/>
    <w:uiPriority w:val="9"/>
    <w:rsid w:val="00FA2400"/>
    <w:rPr>
      <w:rFonts w:ascii="Arial" w:eastAsiaTheme="majorEastAsia" w:hAnsi="Arial" w:cstheme="majorBidi"/>
      <w:b/>
      <w:color w:val="1F497D" w:themeColor="text2"/>
      <w:spacing w:val="-3"/>
      <w:sz w:val="22"/>
      <w:szCs w:val="22"/>
      <w:lang w:eastAsia="en-US"/>
    </w:rPr>
  </w:style>
  <w:style w:type="character" w:customStyle="1" w:styleId="Heading5Char">
    <w:name w:val="Heading 5 Char"/>
    <w:basedOn w:val="DefaultParagraphFont"/>
    <w:link w:val="Heading5"/>
    <w:rsid w:val="004928F0"/>
    <w:rPr>
      <w:rFonts w:ascii="Arial" w:eastAsiaTheme="majorEastAsia" w:hAnsi="Arial" w:cstheme="majorBidi"/>
      <w:b/>
      <w:bCs/>
      <w:i/>
      <w:iCs/>
      <w:sz w:val="26"/>
      <w:szCs w:val="26"/>
      <w:lang w:eastAsia="en-US"/>
    </w:rPr>
  </w:style>
  <w:style w:type="character" w:customStyle="1" w:styleId="Heading6Char">
    <w:name w:val="Heading 6 Char"/>
    <w:basedOn w:val="DefaultParagraphFont"/>
    <w:link w:val="Heading6"/>
    <w:rsid w:val="00136F9D"/>
    <w:rPr>
      <w:rFonts w:eastAsiaTheme="majorEastAsia" w:cstheme="majorBidi"/>
      <w:b/>
      <w:bCs/>
      <w:sz w:val="22"/>
      <w:szCs w:val="22"/>
      <w:lang w:eastAsia="en-US"/>
    </w:rPr>
  </w:style>
  <w:style w:type="character" w:customStyle="1" w:styleId="Heading7Char">
    <w:name w:val="Heading 7 Char"/>
    <w:basedOn w:val="DefaultParagraphFont"/>
    <w:link w:val="Heading7"/>
    <w:rsid w:val="00136F9D"/>
    <w:rPr>
      <w:rFonts w:eastAsiaTheme="majorEastAsia" w:cstheme="majorBidi"/>
      <w:sz w:val="24"/>
      <w:szCs w:val="24"/>
      <w:lang w:eastAsia="en-US"/>
    </w:rPr>
  </w:style>
  <w:style w:type="character" w:customStyle="1" w:styleId="Heading8Char">
    <w:name w:val="Heading 8 Char"/>
    <w:basedOn w:val="DefaultParagraphFont"/>
    <w:link w:val="Heading8"/>
    <w:rsid w:val="00136F9D"/>
    <w:rPr>
      <w:rFonts w:eastAsiaTheme="majorEastAsia" w:cstheme="majorBidi"/>
      <w:i/>
      <w:iCs/>
      <w:sz w:val="24"/>
      <w:szCs w:val="24"/>
      <w:lang w:eastAsia="en-US"/>
    </w:rPr>
  </w:style>
  <w:style w:type="character" w:customStyle="1" w:styleId="Heading9Char">
    <w:name w:val="Heading 9 Char"/>
    <w:aliases w:val="Heading 9 Char2 Char,Heading 9 Char1 Char Char"/>
    <w:basedOn w:val="DefaultParagraphFont"/>
    <w:link w:val="Heading9"/>
    <w:rsid w:val="00136F9D"/>
    <w:rPr>
      <w:rFonts w:ascii="Arial" w:eastAsiaTheme="majorEastAsia" w:hAnsi="Arial" w:cs="Arial"/>
      <w:sz w:val="22"/>
      <w:szCs w:val="22"/>
      <w:lang w:eastAsia="en-US"/>
    </w:rPr>
  </w:style>
  <w:style w:type="paragraph" w:styleId="TOC1">
    <w:name w:val="toc 1"/>
    <w:basedOn w:val="Normal"/>
    <w:next w:val="Normal"/>
    <w:autoRedefine/>
    <w:uiPriority w:val="39"/>
    <w:qFormat/>
    <w:rsid w:val="00136F9D"/>
    <w:pPr>
      <w:spacing w:before="120" w:after="120"/>
    </w:pPr>
    <w:rPr>
      <w:rFonts w:asciiTheme="minorHAnsi" w:hAnsiTheme="minorHAnsi" w:cstheme="minorHAnsi"/>
      <w:b/>
      <w:bCs/>
      <w:caps/>
      <w:szCs w:val="20"/>
    </w:rPr>
  </w:style>
  <w:style w:type="paragraph" w:styleId="TOC2">
    <w:name w:val="toc 2"/>
    <w:basedOn w:val="Normal"/>
    <w:next w:val="Normal"/>
    <w:autoRedefine/>
    <w:uiPriority w:val="39"/>
    <w:qFormat/>
    <w:rsid w:val="00136F9D"/>
    <w:pPr>
      <w:ind w:left="220"/>
    </w:pPr>
    <w:rPr>
      <w:rFonts w:asciiTheme="minorHAnsi" w:hAnsiTheme="minorHAnsi" w:cstheme="minorHAnsi"/>
      <w:smallCaps/>
      <w:szCs w:val="20"/>
    </w:rPr>
  </w:style>
  <w:style w:type="paragraph" w:styleId="TOC3">
    <w:name w:val="toc 3"/>
    <w:basedOn w:val="Normal"/>
    <w:next w:val="Normal"/>
    <w:autoRedefine/>
    <w:uiPriority w:val="39"/>
    <w:qFormat/>
    <w:rsid w:val="008615F9"/>
    <w:pPr>
      <w:ind w:left="440"/>
    </w:pPr>
    <w:rPr>
      <w:rFonts w:cstheme="minorHAnsi"/>
      <w:i/>
      <w:iCs/>
      <w:szCs w:val="20"/>
    </w:rPr>
  </w:style>
  <w:style w:type="character" w:styleId="Emphasis">
    <w:name w:val="Emphasis"/>
    <w:uiPriority w:val="20"/>
    <w:qFormat/>
    <w:rsid w:val="0054159E"/>
    <w:rPr>
      <w:rFonts w:ascii="Arial" w:hAnsi="Arial" w:cs="Arial"/>
      <w:b w:val="0"/>
      <w:i/>
      <w:szCs w:val="22"/>
    </w:rPr>
  </w:style>
  <w:style w:type="paragraph" w:styleId="TOCHeading">
    <w:name w:val="TOC Heading"/>
    <w:basedOn w:val="Heading1"/>
    <w:next w:val="Normal"/>
    <w:uiPriority w:val="39"/>
    <w:semiHidden/>
    <w:unhideWhenUsed/>
    <w:qFormat/>
    <w:rsid w:val="00136F9D"/>
    <w:pPr>
      <w:keepLines/>
      <w:spacing w:before="480" w:after="0" w:line="276" w:lineRule="auto"/>
      <w:outlineLvl w:val="9"/>
    </w:pPr>
    <w:rPr>
      <w:rFonts w:asciiTheme="majorHAnsi" w:hAnsiTheme="majorHAnsi" w:cstheme="majorBidi"/>
      <w:bCs/>
      <w:caps/>
      <w:color w:val="365F91" w:themeColor="accent1" w:themeShade="BF"/>
      <w:kern w:val="0"/>
      <w:szCs w:val="28"/>
      <w:lang w:val="en-US" w:eastAsia="en-US"/>
    </w:rPr>
  </w:style>
  <w:style w:type="paragraph" w:styleId="Header">
    <w:name w:val="header"/>
    <w:basedOn w:val="Normal"/>
    <w:link w:val="HeaderChar"/>
    <w:uiPriority w:val="99"/>
    <w:rsid w:val="0054159E"/>
    <w:pPr>
      <w:tabs>
        <w:tab w:val="center" w:pos="4513"/>
        <w:tab w:val="right" w:pos="9026"/>
      </w:tabs>
    </w:pPr>
  </w:style>
  <w:style w:type="character" w:customStyle="1" w:styleId="HeaderChar">
    <w:name w:val="Header Char"/>
    <w:basedOn w:val="DefaultParagraphFont"/>
    <w:link w:val="Header"/>
    <w:uiPriority w:val="99"/>
    <w:rsid w:val="0054159E"/>
    <w:rPr>
      <w:rFonts w:ascii="Arial" w:hAnsi="Arial"/>
      <w:sz w:val="22"/>
      <w:szCs w:val="24"/>
    </w:rPr>
  </w:style>
  <w:style w:type="paragraph" w:styleId="Footer">
    <w:name w:val="footer"/>
    <w:basedOn w:val="Normal"/>
    <w:link w:val="FooterChar"/>
    <w:uiPriority w:val="99"/>
    <w:rsid w:val="0054159E"/>
    <w:pPr>
      <w:tabs>
        <w:tab w:val="center" w:pos="4513"/>
        <w:tab w:val="right" w:pos="9026"/>
      </w:tabs>
    </w:pPr>
  </w:style>
  <w:style w:type="character" w:customStyle="1" w:styleId="FooterChar">
    <w:name w:val="Footer Char"/>
    <w:basedOn w:val="DefaultParagraphFont"/>
    <w:link w:val="Footer"/>
    <w:uiPriority w:val="99"/>
    <w:rsid w:val="0054159E"/>
    <w:rPr>
      <w:rFonts w:ascii="Arial" w:hAnsi="Arial"/>
      <w:sz w:val="22"/>
      <w:szCs w:val="24"/>
    </w:rPr>
  </w:style>
  <w:style w:type="paragraph" w:styleId="BalloonText">
    <w:name w:val="Balloon Text"/>
    <w:basedOn w:val="Normal"/>
    <w:link w:val="BalloonTextChar"/>
    <w:uiPriority w:val="99"/>
    <w:rsid w:val="0054159E"/>
    <w:rPr>
      <w:rFonts w:ascii="Tahoma" w:hAnsi="Tahoma" w:cs="Tahoma"/>
      <w:sz w:val="16"/>
      <w:szCs w:val="16"/>
    </w:rPr>
  </w:style>
  <w:style w:type="character" w:customStyle="1" w:styleId="BalloonTextChar">
    <w:name w:val="Balloon Text Char"/>
    <w:basedOn w:val="DefaultParagraphFont"/>
    <w:link w:val="BalloonText"/>
    <w:uiPriority w:val="99"/>
    <w:rsid w:val="0054159E"/>
    <w:rPr>
      <w:rFonts w:ascii="Tahoma" w:hAnsi="Tahoma" w:cs="Tahoma"/>
      <w:sz w:val="16"/>
      <w:szCs w:val="16"/>
    </w:rPr>
  </w:style>
  <w:style w:type="character" w:styleId="Hyperlink">
    <w:name w:val="Hyperlink"/>
    <w:basedOn w:val="DefaultParagraphFont"/>
    <w:uiPriority w:val="99"/>
    <w:rsid w:val="00B304C8"/>
    <w:rPr>
      <w:color w:val="0000FF" w:themeColor="hyperlink"/>
      <w:u w:val="single"/>
    </w:rPr>
  </w:style>
  <w:style w:type="paragraph" w:customStyle="1" w:styleId="Link">
    <w:name w:val="Link"/>
    <w:basedOn w:val="Normal"/>
    <w:link w:val="LinkChar"/>
    <w:qFormat/>
    <w:rsid w:val="00B304C8"/>
  </w:style>
  <w:style w:type="character" w:customStyle="1" w:styleId="LinkChar">
    <w:name w:val="Link Char"/>
    <w:basedOn w:val="DefaultParagraphFont"/>
    <w:link w:val="Link"/>
    <w:rsid w:val="00B304C8"/>
    <w:rPr>
      <w:rFonts w:ascii="Arial" w:hAnsi="Arial"/>
      <w:szCs w:val="24"/>
    </w:rPr>
  </w:style>
  <w:style w:type="character" w:styleId="SubtleEmphasis">
    <w:name w:val="Subtle Emphasis"/>
    <w:basedOn w:val="DefaultParagraphFont"/>
    <w:uiPriority w:val="19"/>
    <w:qFormat/>
    <w:rsid w:val="008615F9"/>
    <w:rPr>
      <w:rFonts w:ascii="Arial" w:hAnsi="Arial"/>
      <w:i/>
      <w:iCs/>
      <w:color w:val="808080" w:themeColor="text1" w:themeTint="7F"/>
    </w:rPr>
  </w:style>
  <w:style w:type="character" w:styleId="IntenseEmphasis">
    <w:name w:val="Intense Emphasis"/>
    <w:basedOn w:val="DefaultParagraphFont"/>
    <w:uiPriority w:val="21"/>
    <w:qFormat/>
    <w:rsid w:val="004928F0"/>
    <w:rPr>
      <w:rFonts w:ascii="Arial" w:hAnsi="Arial"/>
      <w:b/>
      <w:bCs/>
      <w:i/>
      <w:iCs/>
      <w:color w:val="C00000"/>
    </w:rPr>
  </w:style>
  <w:style w:type="character" w:styleId="SubtleReference">
    <w:name w:val="Subtle Reference"/>
    <w:basedOn w:val="DefaultParagraphFont"/>
    <w:uiPriority w:val="31"/>
    <w:qFormat/>
    <w:rsid w:val="008615F9"/>
    <w:rPr>
      <w:rFonts w:ascii="Arial" w:hAnsi="Arial"/>
      <w:smallCaps/>
      <w:color w:val="C0504D" w:themeColor="accent2"/>
      <w:u w:val="single"/>
    </w:rPr>
  </w:style>
  <w:style w:type="character" w:styleId="IntenseReference">
    <w:name w:val="Intense Reference"/>
    <w:basedOn w:val="DefaultParagraphFont"/>
    <w:uiPriority w:val="32"/>
    <w:qFormat/>
    <w:rsid w:val="008615F9"/>
    <w:rPr>
      <w:rFonts w:ascii="Arial" w:hAnsi="Arial"/>
      <w:b/>
      <w:bCs/>
      <w:smallCaps/>
      <w:color w:val="C0504D" w:themeColor="accent2"/>
      <w:spacing w:val="5"/>
      <w:u w:val="single"/>
    </w:rPr>
  </w:style>
  <w:style w:type="table" w:styleId="TableGrid">
    <w:name w:val="Table Grid"/>
    <w:basedOn w:val="TableNormal"/>
    <w:rsid w:val="00C1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
    <w:basedOn w:val="DefaultParagraphFont"/>
    <w:link w:val="ListParagraph"/>
    <w:uiPriority w:val="34"/>
    <w:rsid w:val="00D54A87"/>
    <w:rPr>
      <w:rFonts w:ascii="Arial" w:hAnsi="Arial"/>
      <w:sz w:val="22"/>
    </w:rPr>
  </w:style>
  <w:style w:type="character" w:customStyle="1" w:styleId="PersonalReplyStyle">
    <w:name w:val="Personal Reply Style"/>
    <w:basedOn w:val="DefaultParagraphFont"/>
    <w:rsid w:val="006104F8"/>
    <w:rPr>
      <w:rFonts w:ascii="Arial" w:hAnsi="Arial" w:cs="Arial"/>
      <w:color w:val="auto"/>
      <w:sz w:val="20"/>
    </w:rPr>
  </w:style>
  <w:style w:type="paragraph" w:customStyle="1" w:styleId="Numbers">
    <w:name w:val="Numbers"/>
    <w:basedOn w:val="ListParagraph"/>
    <w:link w:val="NumbersChar"/>
    <w:qFormat/>
    <w:rsid w:val="0055519E"/>
    <w:pPr>
      <w:numPr>
        <w:numId w:val="9"/>
      </w:numPr>
      <w:spacing w:before="120"/>
      <w:ind w:hanging="720"/>
    </w:pPr>
    <w:rPr>
      <w:szCs w:val="22"/>
    </w:rPr>
  </w:style>
  <w:style w:type="character" w:customStyle="1" w:styleId="NumbersChar">
    <w:name w:val="Numbers Char"/>
    <w:basedOn w:val="ListParagraphChar"/>
    <w:link w:val="Numbers"/>
    <w:rsid w:val="0055519E"/>
    <w:rPr>
      <w:rFonts w:ascii="Arial" w:hAnsi="Arial"/>
      <w:sz w:val="22"/>
      <w:szCs w:val="22"/>
    </w:rPr>
  </w:style>
  <w:style w:type="character" w:styleId="CommentReference">
    <w:name w:val="annotation reference"/>
    <w:basedOn w:val="DefaultParagraphFont"/>
    <w:uiPriority w:val="99"/>
    <w:rsid w:val="00476567"/>
    <w:rPr>
      <w:sz w:val="16"/>
      <w:szCs w:val="16"/>
    </w:rPr>
  </w:style>
  <w:style w:type="paragraph" w:styleId="CommentText">
    <w:name w:val="annotation text"/>
    <w:basedOn w:val="Normal"/>
    <w:link w:val="CommentTextChar"/>
    <w:uiPriority w:val="99"/>
    <w:rsid w:val="00476567"/>
    <w:rPr>
      <w:szCs w:val="20"/>
    </w:rPr>
  </w:style>
  <w:style w:type="character" w:customStyle="1" w:styleId="CommentTextChar">
    <w:name w:val="Comment Text Char"/>
    <w:basedOn w:val="DefaultParagraphFont"/>
    <w:link w:val="CommentText"/>
    <w:uiPriority w:val="99"/>
    <w:rsid w:val="00476567"/>
    <w:rPr>
      <w:rFonts w:ascii="Arial" w:hAnsi="Arial"/>
    </w:rPr>
  </w:style>
  <w:style w:type="paragraph" w:styleId="CommentSubject">
    <w:name w:val="annotation subject"/>
    <w:basedOn w:val="CommentText"/>
    <w:next w:val="CommentText"/>
    <w:link w:val="CommentSubjectChar"/>
    <w:uiPriority w:val="99"/>
    <w:rsid w:val="00476567"/>
    <w:rPr>
      <w:b/>
      <w:bCs/>
    </w:rPr>
  </w:style>
  <w:style w:type="character" w:customStyle="1" w:styleId="CommentSubjectChar">
    <w:name w:val="Comment Subject Char"/>
    <w:basedOn w:val="CommentTextChar"/>
    <w:link w:val="CommentSubject"/>
    <w:uiPriority w:val="99"/>
    <w:rsid w:val="00476567"/>
    <w:rPr>
      <w:rFonts w:ascii="Arial" w:hAnsi="Arial"/>
      <w:b/>
      <w:bCs/>
    </w:rPr>
  </w:style>
  <w:style w:type="paragraph" w:styleId="Revision">
    <w:name w:val="Revision"/>
    <w:hidden/>
    <w:uiPriority w:val="99"/>
    <w:semiHidden/>
    <w:rsid w:val="0055519E"/>
    <w:rPr>
      <w:rFonts w:ascii="Arial" w:hAnsi="Arial"/>
      <w:szCs w:val="24"/>
    </w:rPr>
  </w:style>
  <w:style w:type="character" w:customStyle="1" w:styleId="Level2subbulletChar">
    <w:name w:val="Level 2 sub bullet Char"/>
    <w:basedOn w:val="ListParagraphChar"/>
    <w:link w:val="Level2subbullet"/>
    <w:locked/>
    <w:rsid w:val="003C147C"/>
    <w:rPr>
      <w:rFonts w:ascii="Arial" w:hAnsi="Arial" w:cs="Arial"/>
      <w:sz w:val="22"/>
      <w:szCs w:val="22"/>
      <w:lang w:eastAsia="en-US"/>
    </w:rPr>
  </w:style>
  <w:style w:type="paragraph" w:customStyle="1" w:styleId="Level2subbullet">
    <w:name w:val="Level 2 sub bullet"/>
    <w:basedOn w:val="ListParagraph"/>
    <w:link w:val="Level2subbulletChar"/>
    <w:qFormat/>
    <w:rsid w:val="003C147C"/>
    <w:pPr>
      <w:overflowPunct/>
      <w:adjustRightInd/>
      <w:spacing w:before="120" w:after="120"/>
      <w:ind w:left="1440"/>
      <w:textAlignment w:val="auto"/>
    </w:pPr>
    <w:rPr>
      <w:rFonts w:cs="Arial"/>
      <w:szCs w:val="22"/>
      <w:lang w:eastAsia="en-US"/>
    </w:rPr>
  </w:style>
  <w:style w:type="paragraph" w:styleId="FootnoteText">
    <w:name w:val="footnote text"/>
    <w:basedOn w:val="Normal"/>
    <w:link w:val="FootnoteTextChar"/>
    <w:uiPriority w:val="99"/>
    <w:unhideWhenUsed/>
    <w:rsid w:val="00375700"/>
    <w:rPr>
      <w:sz w:val="20"/>
      <w:szCs w:val="20"/>
    </w:rPr>
  </w:style>
  <w:style w:type="character" w:customStyle="1" w:styleId="FootnoteTextChar">
    <w:name w:val="Footnote Text Char"/>
    <w:basedOn w:val="DefaultParagraphFont"/>
    <w:link w:val="FootnoteText"/>
    <w:uiPriority w:val="99"/>
    <w:rsid w:val="00375700"/>
    <w:rPr>
      <w:rFonts w:ascii="Arial" w:hAnsi="Arial"/>
    </w:rPr>
  </w:style>
  <w:style w:type="character" w:styleId="FootnoteReference">
    <w:name w:val="footnote reference"/>
    <w:basedOn w:val="DefaultParagraphFont"/>
    <w:uiPriority w:val="99"/>
    <w:unhideWhenUsed/>
    <w:rsid w:val="00375700"/>
    <w:rPr>
      <w:vertAlign w:val="superscript"/>
    </w:rPr>
  </w:style>
  <w:style w:type="paragraph" w:customStyle="1" w:styleId="numberedpara">
    <w:name w:val="numbered para"/>
    <w:basedOn w:val="Normal"/>
    <w:rsid w:val="00375700"/>
    <w:pPr>
      <w:keepLines/>
      <w:spacing w:after="120"/>
    </w:pPr>
    <w:rPr>
      <w:rFonts w:ascii="Calibri" w:hAnsi="Calibri" w:cs="Arial"/>
      <w:szCs w:val="16"/>
      <w:lang w:eastAsia="en-US"/>
    </w:rPr>
  </w:style>
  <w:style w:type="numbering" w:customStyle="1" w:styleId="NoList1">
    <w:name w:val="No List1"/>
    <w:next w:val="NoList"/>
    <w:uiPriority w:val="99"/>
    <w:semiHidden/>
    <w:unhideWhenUsed/>
    <w:rsid w:val="00595354"/>
  </w:style>
  <w:style w:type="numbering" w:customStyle="1" w:styleId="NoList11">
    <w:name w:val="No List11"/>
    <w:next w:val="NoList"/>
    <w:uiPriority w:val="99"/>
    <w:semiHidden/>
    <w:unhideWhenUsed/>
    <w:rsid w:val="00595354"/>
  </w:style>
  <w:style w:type="paragraph" w:customStyle="1" w:styleId="Body">
    <w:name w:val="Body"/>
    <w:rsid w:val="00595354"/>
    <w:pPr>
      <w:pBdr>
        <w:top w:val="nil"/>
        <w:left w:val="nil"/>
        <w:bottom w:val="nil"/>
        <w:right w:val="nil"/>
        <w:between w:val="nil"/>
        <w:bar w:val="nil"/>
      </w:pBdr>
      <w:spacing w:after="160" w:line="259" w:lineRule="auto"/>
    </w:pPr>
    <w:rPr>
      <w:rFonts w:ascii="Cambria" w:eastAsia="Cambria" w:hAnsi="Cambria" w:cs="Cambria"/>
      <w:color w:val="000000"/>
      <w:sz w:val="22"/>
      <w:szCs w:val="22"/>
      <w:u w:color="000000"/>
      <w:bdr w:val="nil"/>
      <w:lang w:val="en-US"/>
    </w:rPr>
  </w:style>
  <w:style w:type="paragraph" w:customStyle="1" w:styleId="Default">
    <w:name w:val="Default"/>
    <w:rsid w:val="00595354"/>
    <w:pPr>
      <w:pBdr>
        <w:top w:val="nil"/>
        <w:left w:val="nil"/>
        <w:bottom w:val="nil"/>
        <w:right w:val="nil"/>
        <w:between w:val="nil"/>
        <w:bar w:val="nil"/>
      </w:pBdr>
      <w:spacing w:after="160" w:line="259" w:lineRule="auto"/>
    </w:pPr>
    <w:rPr>
      <w:rFonts w:ascii="Arial" w:eastAsia="Arial" w:hAnsi="Arial" w:cs="Arial"/>
      <w:color w:val="000000"/>
      <w:sz w:val="24"/>
      <w:szCs w:val="24"/>
      <w:u w:color="000000"/>
      <w:bdr w:val="nil"/>
      <w:lang w:val="en-US"/>
    </w:rPr>
  </w:style>
  <w:style w:type="numbering" w:customStyle="1" w:styleId="List51">
    <w:name w:val="List 51"/>
    <w:basedOn w:val="NoList"/>
    <w:rsid w:val="00595354"/>
    <w:pPr>
      <w:numPr>
        <w:numId w:val="15"/>
      </w:numPr>
    </w:pPr>
  </w:style>
  <w:style w:type="paragraph" w:customStyle="1" w:styleId="HeaderFooter">
    <w:name w:val="Header &amp; Footer"/>
    <w:rsid w:val="0059535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table" w:customStyle="1" w:styleId="TableGrid1">
    <w:name w:val="Table Grid1"/>
    <w:basedOn w:val="TableNormal"/>
    <w:next w:val="TableGrid"/>
    <w:uiPriority w:val="59"/>
    <w:rsid w:val="00595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95354"/>
  </w:style>
  <w:style w:type="character" w:customStyle="1" w:styleId="Hyperlink0">
    <w:name w:val="Hyperlink.0"/>
    <w:basedOn w:val="DefaultParagraphFont"/>
    <w:rsid w:val="00595354"/>
    <w:rPr>
      <w:color w:val="0000FF"/>
      <w:sz w:val="24"/>
      <w:szCs w:val="24"/>
      <w:u w:val="single" w:color="0000FF"/>
    </w:rPr>
  </w:style>
  <w:style w:type="character" w:customStyle="1" w:styleId="Hyperlink1">
    <w:name w:val="Hyperlink.1"/>
    <w:basedOn w:val="DefaultParagraphFont"/>
    <w:rsid w:val="00595354"/>
    <w:rPr>
      <w:color w:val="0000FF"/>
      <w:u w:val="single" w:color="0000FF"/>
    </w:rPr>
  </w:style>
  <w:style w:type="character" w:customStyle="1" w:styleId="citation">
    <w:name w:val="citation"/>
    <w:basedOn w:val="DefaultParagraphFont"/>
    <w:rsid w:val="00595354"/>
  </w:style>
  <w:style w:type="character" w:customStyle="1" w:styleId="ref-journal">
    <w:name w:val="ref-journal"/>
    <w:basedOn w:val="DefaultParagraphFont"/>
    <w:rsid w:val="00595354"/>
  </w:style>
  <w:style w:type="character" w:customStyle="1" w:styleId="ref-vol">
    <w:name w:val="ref-vol"/>
    <w:basedOn w:val="DefaultParagraphFont"/>
    <w:rsid w:val="00595354"/>
  </w:style>
  <w:style w:type="character" w:customStyle="1" w:styleId="nowrap">
    <w:name w:val="nowrap"/>
    <w:basedOn w:val="DefaultParagraphFont"/>
    <w:rsid w:val="00595354"/>
  </w:style>
  <w:style w:type="paragraph" w:customStyle="1" w:styleId="bullet">
    <w:name w:val="bullet"/>
    <w:basedOn w:val="ListParagraph"/>
    <w:qFormat/>
    <w:rsid w:val="00595354"/>
    <w:pPr>
      <w:numPr>
        <w:numId w:val="19"/>
      </w:numPr>
      <w:pBdr>
        <w:top w:val="nil"/>
        <w:left w:val="nil"/>
        <w:bottom w:val="nil"/>
        <w:right w:val="nil"/>
        <w:between w:val="nil"/>
        <w:bar w:val="nil"/>
      </w:pBdr>
      <w:overflowPunct/>
      <w:autoSpaceDE/>
      <w:autoSpaceDN/>
      <w:adjustRightInd/>
      <w:spacing w:after="160" w:line="259" w:lineRule="auto"/>
      <w:jc w:val="both"/>
      <w:textAlignment w:val="auto"/>
    </w:pPr>
    <w:rPr>
      <w:rFonts w:ascii="Calibri" w:eastAsia="Cambria" w:hAnsi="Calibri" w:cs="Calibri"/>
      <w:color w:val="000000"/>
      <w:szCs w:val="22"/>
      <w:u w:color="000000"/>
      <w:bdr w:val="nil"/>
      <w:lang w:val="en-US"/>
    </w:rPr>
  </w:style>
  <w:style w:type="paragraph" w:customStyle="1" w:styleId="Quote1">
    <w:name w:val="Quote1"/>
    <w:basedOn w:val="Body"/>
    <w:next w:val="Normal"/>
    <w:uiPriority w:val="29"/>
    <w:qFormat/>
    <w:rsid w:val="00595354"/>
    <w:pPr>
      <w:spacing w:before="100" w:after="100" w:line="276" w:lineRule="auto"/>
      <w:ind w:left="567" w:right="567"/>
      <w:jc w:val="both"/>
    </w:pPr>
    <w:rPr>
      <w:rFonts w:ascii="Calibri" w:hAnsi="Calibri" w:cs="Calibri"/>
      <w:i/>
    </w:rPr>
  </w:style>
  <w:style w:type="character" w:customStyle="1" w:styleId="QuoteChar">
    <w:name w:val="Quote Char"/>
    <w:basedOn w:val="DefaultParagraphFont"/>
    <w:link w:val="Quote"/>
    <w:uiPriority w:val="29"/>
    <w:rsid w:val="00595354"/>
    <w:rPr>
      <w:rFonts w:eastAsia="Cambria" w:cs="Calibri"/>
      <w:i/>
      <w:color w:val="000000"/>
      <w:u w:color="000000"/>
      <w:bdr w:val="nil"/>
      <w:lang w:val="en-US" w:eastAsia="en-AU"/>
    </w:rPr>
  </w:style>
  <w:style w:type="character" w:customStyle="1" w:styleId="addmd1">
    <w:name w:val="addmd1"/>
    <w:basedOn w:val="DefaultParagraphFont"/>
    <w:rsid w:val="00595354"/>
    <w:rPr>
      <w:sz w:val="20"/>
      <w:szCs w:val="20"/>
    </w:rPr>
  </w:style>
  <w:style w:type="paragraph" w:customStyle="1" w:styleId="references">
    <w:name w:val="references"/>
    <w:basedOn w:val="Body"/>
    <w:qFormat/>
    <w:rsid w:val="004B457A"/>
    <w:pPr>
      <w:tabs>
        <w:tab w:val="left" w:pos="284"/>
      </w:tabs>
      <w:spacing w:after="0" w:line="360" w:lineRule="auto"/>
      <w:ind w:left="-142" w:hanging="284"/>
    </w:pPr>
    <w:rPr>
      <w:rFonts w:ascii="Arial" w:hAnsi="Arial" w:cs="Calibri"/>
      <w:sz w:val="18"/>
      <w:lang w:val="nl-NL"/>
    </w:rPr>
  </w:style>
  <w:style w:type="paragraph" w:customStyle="1" w:styleId="bulletdotpoint">
    <w:name w:val="bullet dotpoint"/>
    <w:basedOn w:val="ListParagraph"/>
    <w:qFormat/>
    <w:rsid w:val="00595354"/>
    <w:pPr>
      <w:numPr>
        <w:numId w:val="30"/>
      </w:numPr>
      <w:pBdr>
        <w:top w:val="nil"/>
        <w:left w:val="nil"/>
        <w:bottom w:val="nil"/>
        <w:right w:val="nil"/>
        <w:between w:val="nil"/>
        <w:bar w:val="nil"/>
      </w:pBdr>
      <w:overflowPunct/>
      <w:autoSpaceDE/>
      <w:autoSpaceDN/>
      <w:adjustRightInd/>
      <w:spacing w:after="160" w:line="259" w:lineRule="auto"/>
      <w:ind w:left="714" w:hanging="357"/>
      <w:contextualSpacing/>
      <w:textAlignment w:val="auto"/>
    </w:pPr>
    <w:rPr>
      <w:rFonts w:ascii="Calibri" w:eastAsia="Cambria" w:hAnsi="Calibri" w:cs="Cambria"/>
      <w:color w:val="000000"/>
      <w:szCs w:val="22"/>
      <w:u w:color="000000"/>
      <w:bdr w:val="nil"/>
      <w:lang w:val="en-US"/>
    </w:rPr>
  </w:style>
  <w:style w:type="paragraph" w:customStyle="1" w:styleId="tableDtab4">
    <w:name w:val="table D tab .4"/>
    <w:basedOn w:val="Normal"/>
    <w:qFormat/>
    <w:rsid w:val="00595354"/>
    <w:pPr>
      <w:framePr w:hSpace="180" w:wrap="around" w:hAnchor="margin" w:y="952"/>
      <w:pBdr>
        <w:top w:val="nil"/>
        <w:left w:val="nil"/>
        <w:bottom w:val="nil"/>
        <w:right w:val="nil"/>
        <w:between w:val="nil"/>
        <w:bar w:val="nil"/>
      </w:pBdr>
      <w:tabs>
        <w:tab w:val="decimal" w:pos="284"/>
      </w:tabs>
      <w:spacing w:before="120" w:after="120"/>
      <w:jc w:val="both"/>
    </w:pPr>
    <w:rPr>
      <w:rFonts w:ascii="Calibri" w:eastAsia="Cambria" w:hAnsi="Calibri" w:cs="Calibri"/>
      <w:color w:val="000000"/>
      <w:szCs w:val="22"/>
      <w:u w:color="000000"/>
      <w:bdr w:val="nil"/>
      <w:lang w:val="en-US"/>
    </w:rPr>
  </w:style>
  <w:style w:type="paragraph" w:customStyle="1" w:styleId="tableheadertab">
    <w:name w:val="table header tab"/>
    <w:basedOn w:val="Normal"/>
    <w:qFormat/>
    <w:rsid w:val="00595354"/>
    <w:pPr>
      <w:framePr w:hSpace="180" w:wrap="around" w:hAnchor="margin" w:y="952"/>
      <w:pBdr>
        <w:top w:val="nil"/>
        <w:left w:val="nil"/>
        <w:bottom w:val="nil"/>
        <w:right w:val="nil"/>
        <w:between w:val="nil"/>
        <w:bar w:val="nil"/>
      </w:pBdr>
      <w:tabs>
        <w:tab w:val="left" w:pos="205"/>
      </w:tabs>
      <w:spacing w:before="120" w:after="120"/>
      <w:jc w:val="both"/>
    </w:pPr>
    <w:rPr>
      <w:rFonts w:ascii="Calibri" w:eastAsia="Cambria" w:hAnsi="Calibri" w:cs="Calibri"/>
      <w:color w:val="000000"/>
      <w:szCs w:val="22"/>
      <w:u w:color="000000"/>
      <w:bdr w:val="nil"/>
      <w:lang w:val="en-US"/>
    </w:rPr>
  </w:style>
  <w:style w:type="paragraph" w:customStyle="1" w:styleId="tableheaderL">
    <w:name w:val="table header L"/>
    <w:basedOn w:val="Normal"/>
    <w:qFormat/>
    <w:rsid w:val="00141A29"/>
    <w:pPr>
      <w:pBdr>
        <w:top w:val="nil"/>
        <w:left w:val="nil"/>
        <w:bottom w:val="nil"/>
        <w:right w:val="nil"/>
        <w:between w:val="nil"/>
        <w:bar w:val="nil"/>
      </w:pBdr>
      <w:spacing w:before="120" w:after="120" w:line="276" w:lineRule="auto"/>
    </w:pPr>
    <w:rPr>
      <w:rFonts w:eastAsia="Cambria" w:cs="Calibri"/>
      <w:b/>
      <w:color w:val="1F497D" w:themeColor="text2"/>
      <w:szCs w:val="22"/>
      <w:u w:color="000000"/>
      <w:bdr w:val="nil"/>
      <w:lang w:val="en-US"/>
    </w:rPr>
  </w:style>
  <w:style w:type="table" w:customStyle="1" w:styleId="PlainTable11">
    <w:name w:val="Plain Table 11"/>
    <w:basedOn w:val="TableNormal"/>
    <w:uiPriority w:val="41"/>
    <w:rsid w:val="00595354"/>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59535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59535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L">
    <w:name w:val="normal L"/>
    <w:basedOn w:val="Normal"/>
    <w:qFormat/>
    <w:rsid w:val="00595354"/>
    <w:pPr>
      <w:pBdr>
        <w:top w:val="nil"/>
        <w:left w:val="nil"/>
        <w:bottom w:val="nil"/>
        <w:right w:val="nil"/>
        <w:between w:val="nil"/>
        <w:bar w:val="nil"/>
      </w:pBdr>
      <w:spacing w:before="120" w:after="120"/>
    </w:pPr>
    <w:rPr>
      <w:rFonts w:ascii="Calibri" w:eastAsia="Cambria" w:hAnsi="Calibri" w:cs="Calibri"/>
      <w:color w:val="000000"/>
      <w:szCs w:val="22"/>
      <w:u w:color="000000"/>
      <w:bdr w:val="nil"/>
      <w:lang w:val="en-US"/>
    </w:rPr>
  </w:style>
  <w:style w:type="paragraph" w:customStyle="1" w:styleId="tableD10pttab2">
    <w:name w:val="table D 10 pt tab .2"/>
    <w:basedOn w:val="tableDtab4"/>
    <w:qFormat/>
    <w:rsid w:val="00595354"/>
    <w:pPr>
      <w:framePr w:wrap="around"/>
      <w:tabs>
        <w:tab w:val="decimal" w:pos="113"/>
      </w:tabs>
    </w:pPr>
  </w:style>
  <w:style w:type="paragraph" w:customStyle="1" w:styleId="tableD10pttab4">
    <w:name w:val="table D 10 pt tab .4"/>
    <w:basedOn w:val="tableDtab4"/>
    <w:qFormat/>
    <w:rsid w:val="00595354"/>
    <w:pPr>
      <w:framePr w:wrap="around"/>
    </w:pPr>
    <w:rPr>
      <w:sz w:val="20"/>
      <w:szCs w:val="20"/>
    </w:rPr>
  </w:style>
  <w:style w:type="paragraph" w:customStyle="1" w:styleId="tabletext10ptcond03">
    <w:name w:val="table text 10 pt cond .03"/>
    <w:basedOn w:val="Normal"/>
    <w:qFormat/>
    <w:rsid w:val="00595354"/>
    <w:pPr>
      <w:pBdr>
        <w:top w:val="nil"/>
        <w:left w:val="nil"/>
        <w:bottom w:val="nil"/>
        <w:right w:val="nil"/>
        <w:between w:val="nil"/>
        <w:bar w:val="nil"/>
      </w:pBdr>
      <w:spacing w:before="120" w:after="120"/>
      <w:jc w:val="both"/>
    </w:pPr>
    <w:rPr>
      <w:rFonts w:ascii="Calibri" w:eastAsia="Cambria" w:hAnsi="Calibri" w:cs="Calibri"/>
      <w:color w:val="000000"/>
      <w:spacing w:val="-6"/>
      <w:sz w:val="18"/>
      <w:szCs w:val="18"/>
      <w:u w:color="000000"/>
      <w:bdr w:val="nil"/>
      <w:lang w:val="en-US"/>
    </w:rPr>
  </w:style>
  <w:style w:type="paragraph" w:customStyle="1" w:styleId="tabletext10pt">
    <w:name w:val="table text 10 pt"/>
    <w:basedOn w:val="normalL"/>
    <w:qFormat/>
    <w:rsid w:val="00595354"/>
    <w:rPr>
      <w:sz w:val="18"/>
      <w:szCs w:val="18"/>
    </w:rPr>
  </w:style>
  <w:style w:type="character" w:styleId="HTMLCite">
    <w:name w:val="HTML Cite"/>
    <w:basedOn w:val="DefaultParagraphFont"/>
    <w:uiPriority w:val="99"/>
    <w:unhideWhenUsed/>
    <w:rsid w:val="00595354"/>
    <w:rPr>
      <w:i/>
      <w:iCs/>
    </w:rPr>
  </w:style>
  <w:style w:type="paragraph" w:customStyle="1" w:styleId="smallheadingAWB">
    <w:name w:val="small headingAWB"/>
    <w:basedOn w:val="Normal"/>
    <w:link w:val="smallheadingAWBChar"/>
    <w:qFormat/>
    <w:rsid w:val="00595354"/>
    <w:pPr>
      <w:keepNext/>
      <w:pBdr>
        <w:top w:val="nil"/>
        <w:left w:val="nil"/>
        <w:bottom w:val="nil"/>
        <w:right w:val="nil"/>
        <w:between w:val="nil"/>
        <w:bar w:val="nil"/>
      </w:pBdr>
      <w:spacing w:before="120" w:after="120" w:line="276" w:lineRule="auto"/>
      <w:jc w:val="both"/>
      <w:outlineLvl w:val="2"/>
    </w:pPr>
    <w:rPr>
      <w:rFonts w:eastAsia="Cambria" w:cs="Arial"/>
      <w:b/>
      <w:color w:val="000000"/>
      <w:szCs w:val="22"/>
      <w:u w:color="000000"/>
      <w:lang w:eastAsia="en-US"/>
    </w:rPr>
  </w:style>
  <w:style w:type="paragraph" w:customStyle="1" w:styleId="awbbodytext">
    <w:name w:val="awbbodytext"/>
    <w:basedOn w:val="Normal"/>
    <w:link w:val="awbbodytextChar"/>
    <w:qFormat/>
    <w:rsid w:val="00595354"/>
    <w:pPr>
      <w:pBdr>
        <w:top w:val="nil"/>
        <w:left w:val="nil"/>
        <w:bottom w:val="nil"/>
        <w:right w:val="nil"/>
        <w:between w:val="nil"/>
        <w:bar w:val="nil"/>
      </w:pBdr>
      <w:shd w:val="clear" w:color="auto" w:fill="FFFF00"/>
      <w:tabs>
        <w:tab w:val="left" w:pos="3737"/>
      </w:tabs>
      <w:spacing w:after="160" w:line="276" w:lineRule="auto"/>
      <w:jc w:val="both"/>
    </w:pPr>
    <w:rPr>
      <w:rFonts w:ascii="Calibri" w:hAnsi="Calibri" w:cs="Calibri"/>
      <w:iCs/>
      <w:color w:val="000000"/>
      <w:szCs w:val="22"/>
      <w:u w:color="000000"/>
      <w:bdr w:val="nil"/>
      <w:lang w:val="en-US"/>
    </w:rPr>
  </w:style>
  <w:style w:type="character" w:customStyle="1" w:styleId="smallheadingAWBChar">
    <w:name w:val="small headingAWB Char"/>
    <w:basedOn w:val="DefaultParagraphFont"/>
    <w:link w:val="smallheadingAWB"/>
    <w:rsid w:val="00595354"/>
    <w:rPr>
      <w:rFonts w:ascii="Arial" w:eastAsia="Cambria" w:hAnsi="Arial" w:cs="Arial"/>
      <w:b/>
      <w:color w:val="000000"/>
      <w:sz w:val="22"/>
      <w:szCs w:val="22"/>
      <w:u w:color="000000"/>
      <w:lang w:eastAsia="en-US"/>
    </w:rPr>
  </w:style>
  <w:style w:type="paragraph" w:customStyle="1" w:styleId="largetitleAWB">
    <w:name w:val="largetitleAWB"/>
    <w:basedOn w:val="Normal"/>
    <w:link w:val="largetitleAWBChar"/>
    <w:qFormat/>
    <w:rsid w:val="00595354"/>
    <w:pPr>
      <w:keepNext/>
      <w:pBdr>
        <w:top w:val="nil"/>
        <w:left w:val="nil"/>
        <w:bottom w:val="nil"/>
        <w:right w:val="nil"/>
        <w:between w:val="nil"/>
        <w:bar w:val="nil"/>
      </w:pBdr>
      <w:spacing w:before="120" w:after="120" w:line="276" w:lineRule="auto"/>
      <w:jc w:val="both"/>
      <w:outlineLvl w:val="1"/>
    </w:pPr>
    <w:rPr>
      <w:rFonts w:ascii="Arial Black" w:eastAsia="Cambria" w:hAnsi="Arial Black" w:cs="Calibri"/>
      <w:b/>
      <w:sz w:val="24"/>
      <w:u w:color="000000"/>
      <w:bdr w:val="nil"/>
      <w:lang w:val="en-US"/>
    </w:rPr>
  </w:style>
  <w:style w:type="character" w:customStyle="1" w:styleId="awbbodytextChar">
    <w:name w:val="awbbodytext Char"/>
    <w:basedOn w:val="DefaultParagraphFont"/>
    <w:link w:val="awbbodytext"/>
    <w:rsid w:val="00595354"/>
    <w:rPr>
      <w:rFonts w:ascii="Calibri" w:hAnsi="Calibri" w:cs="Calibri"/>
      <w:iCs/>
      <w:color w:val="000000"/>
      <w:sz w:val="22"/>
      <w:szCs w:val="22"/>
      <w:u w:color="000000"/>
      <w:bdr w:val="nil"/>
      <w:shd w:val="clear" w:color="auto" w:fill="FFFF00"/>
      <w:lang w:val="en-US"/>
    </w:rPr>
  </w:style>
  <w:style w:type="paragraph" w:customStyle="1" w:styleId="MAINTEXTawb">
    <w:name w:val="MAINTEXTawb"/>
    <w:basedOn w:val="Normal"/>
    <w:link w:val="MAINTEXTawbChar"/>
    <w:qFormat/>
    <w:rsid w:val="00595354"/>
    <w:pPr>
      <w:pBdr>
        <w:top w:val="nil"/>
        <w:left w:val="nil"/>
        <w:bottom w:val="nil"/>
        <w:right w:val="nil"/>
        <w:between w:val="nil"/>
        <w:bar w:val="nil"/>
      </w:pBdr>
      <w:spacing w:before="120" w:after="120" w:line="276" w:lineRule="auto"/>
      <w:jc w:val="both"/>
    </w:pPr>
    <w:rPr>
      <w:rFonts w:ascii="Calibri" w:eastAsia="Cambria" w:hAnsi="Calibri" w:cs="Calibri"/>
      <w:color w:val="000000"/>
      <w:szCs w:val="22"/>
      <w:u w:color="000000"/>
      <w:bdr w:val="nil"/>
      <w:lang w:val="en-US"/>
    </w:rPr>
  </w:style>
  <w:style w:type="character" w:customStyle="1" w:styleId="largetitleAWBChar">
    <w:name w:val="largetitleAWB Char"/>
    <w:basedOn w:val="DefaultParagraphFont"/>
    <w:link w:val="largetitleAWB"/>
    <w:rsid w:val="00595354"/>
    <w:rPr>
      <w:rFonts w:ascii="Arial Black" w:eastAsia="Cambria" w:hAnsi="Arial Black" w:cs="Calibri"/>
      <w:b/>
      <w:sz w:val="24"/>
      <w:szCs w:val="24"/>
      <w:u w:color="000000"/>
      <w:bdr w:val="nil"/>
      <w:lang w:val="en-US"/>
    </w:rPr>
  </w:style>
  <w:style w:type="character" w:customStyle="1" w:styleId="ReferenceChar">
    <w:name w:val="Reference Char"/>
    <w:basedOn w:val="DefaultParagraphFont"/>
    <w:link w:val="Reference"/>
    <w:locked/>
    <w:rsid w:val="00595354"/>
  </w:style>
  <w:style w:type="character" w:customStyle="1" w:styleId="MAINTEXTawbChar">
    <w:name w:val="MAINTEXTawb Char"/>
    <w:basedOn w:val="DefaultParagraphFont"/>
    <w:link w:val="MAINTEXTawb"/>
    <w:rsid w:val="00595354"/>
    <w:rPr>
      <w:rFonts w:ascii="Calibri" w:eastAsia="Cambria" w:hAnsi="Calibri" w:cs="Calibri"/>
      <w:color w:val="000000"/>
      <w:sz w:val="22"/>
      <w:szCs w:val="22"/>
      <w:u w:color="000000"/>
      <w:bdr w:val="nil"/>
      <w:lang w:val="en-US"/>
    </w:rPr>
  </w:style>
  <w:style w:type="paragraph" w:customStyle="1" w:styleId="Reference">
    <w:name w:val="Reference"/>
    <w:basedOn w:val="Normal"/>
    <w:link w:val="ReferenceChar"/>
    <w:rsid w:val="00595354"/>
    <w:pPr>
      <w:spacing w:line="480" w:lineRule="auto"/>
      <w:ind w:left="720" w:hanging="720"/>
    </w:pPr>
    <w:rPr>
      <w:rFonts w:ascii="Times New Roman" w:hAnsi="Times New Roman"/>
      <w:sz w:val="20"/>
      <w:szCs w:val="20"/>
    </w:rPr>
  </w:style>
  <w:style w:type="paragraph" w:customStyle="1" w:styleId="PlainText1">
    <w:name w:val="Plain Text1"/>
    <w:basedOn w:val="Normal"/>
    <w:next w:val="PlainText"/>
    <w:link w:val="PlainTextChar"/>
    <w:uiPriority w:val="99"/>
    <w:semiHidden/>
    <w:unhideWhenUsed/>
    <w:rsid w:val="00595354"/>
    <w:rPr>
      <w:rFonts w:ascii="Calibri" w:hAnsi="Calibri"/>
      <w:sz w:val="20"/>
      <w:szCs w:val="21"/>
    </w:rPr>
  </w:style>
  <w:style w:type="character" w:customStyle="1" w:styleId="PlainTextChar">
    <w:name w:val="Plain Text Char"/>
    <w:basedOn w:val="DefaultParagraphFont"/>
    <w:link w:val="PlainText1"/>
    <w:uiPriority w:val="99"/>
    <w:semiHidden/>
    <w:rsid w:val="00595354"/>
    <w:rPr>
      <w:rFonts w:ascii="Calibri" w:hAnsi="Calibri"/>
      <w:szCs w:val="21"/>
    </w:rPr>
  </w:style>
  <w:style w:type="paragraph" w:styleId="Quote">
    <w:name w:val="Quote"/>
    <w:basedOn w:val="Normal"/>
    <w:next w:val="Normal"/>
    <w:link w:val="QuoteChar"/>
    <w:uiPriority w:val="29"/>
    <w:qFormat/>
    <w:rsid w:val="00595354"/>
    <w:rPr>
      <w:rFonts w:ascii="Times New Roman" w:eastAsia="Cambria" w:hAnsi="Times New Roman" w:cs="Calibri"/>
      <w:i/>
      <w:color w:val="000000"/>
      <w:sz w:val="20"/>
      <w:szCs w:val="20"/>
      <w:u w:color="000000"/>
      <w:bdr w:val="nil"/>
      <w:lang w:val="en-US"/>
    </w:rPr>
  </w:style>
  <w:style w:type="character" w:customStyle="1" w:styleId="QuoteChar1">
    <w:name w:val="Quote Char1"/>
    <w:basedOn w:val="DefaultParagraphFont"/>
    <w:uiPriority w:val="29"/>
    <w:rsid w:val="00595354"/>
    <w:rPr>
      <w:rFonts w:ascii="Arial" w:hAnsi="Arial"/>
      <w:i/>
      <w:iCs/>
      <w:color w:val="000000" w:themeColor="text1"/>
      <w:sz w:val="22"/>
      <w:szCs w:val="24"/>
    </w:rPr>
  </w:style>
  <w:style w:type="paragraph" w:styleId="PlainText">
    <w:name w:val="Plain Text"/>
    <w:basedOn w:val="Normal"/>
    <w:link w:val="PlainTextChar1"/>
    <w:uiPriority w:val="99"/>
    <w:rsid w:val="00595354"/>
    <w:rPr>
      <w:rFonts w:ascii="Consolas" w:hAnsi="Consolas" w:cs="Consolas"/>
      <w:sz w:val="21"/>
      <w:szCs w:val="21"/>
    </w:rPr>
  </w:style>
  <w:style w:type="character" w:customStyle="1" w:styleId="PlainTextChar1">
    <w:name w:val="Plain Text Char1"/>
    <w:basedOn w:val="DefaultParagraphFont"/>
    <w:link w:val="PlainText"/>
    <w:rsid w:val="00595354"/>
    <w:rPr>
      <w:rFonts w:ascii="Consolas" w:hAnsi="Consolas" w:cs="Consolas"/>
      <w:sz w:val="21"/>
      <w:szCs w:val="21"/>
    </w:rPr>
  </w:style>
  <w:style w:type="numbering" w:customStyle="1" w:styleId="NoList2">
    <w:name w:val="No List2"/>
    <w:next w:val="NoList"/>
    <w:uiPriority w:val="99"/>
    <w:semiHidden/>
    <w:unhideWhenUsed/>
    <w:rsid w:val="00F43118"/>
  </w:style>
  <w:style w:type="numbering" w:customStyle="1" w:styleId="NoList12">
    <w:name w:val="No List12"/>
    <w:next w:val="NoList"/>
    <w:uiPriority w:val="99"/>
    <w:semiHidden/>
    <w:unhideWhenUsed/>
    <w:rsid w:val="00F43118"/>
  </w:style>
  <w:style w:type="numbering" w:customStyle="1" w:styleId="List511">
    <w:name w:val="List 511"/>
    <w:basedOn w:val="NoList"/>
    <w:rsid w:val="00F43118"/>
  </w:style>
  <w:style w:type="table" w:customStyle="1" w:styleId="TableGrid2">
    <w:name w:val="Table Grid2"/>
    <w:basedOn w:val="TableNormal"/>
    <w:next w:val="TableGrid"/>
    <w:uiPriority w:val="59"/>
    <w:rsid w:val="00F43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F43118"/>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F43118"/>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F4311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WA-FOOTER">
    <w:name w:val="SWA - FOOTER"/>
    <w:basedOn w:val="Normal"/>
    <w:qFormat/>
    <w:rsid w:val="00DF04D3"/>
    <w:pPr>
      <w:tabs>
        <w:tab w:val="left" w:pos="425"/>
        <w:tab w:val="right" w:pos="9072"/>
      </w:tabs>
      <w:spacing w:after="120"/>
      <w:ind w:left="425" w:hanging="425"/>
      <w:contextualSpacing/>
    </w:pPr>
    <w:rPr>
      <w:rFonts w:eastAsiaTheme="minorHAnsi" w:cstheme="minorBidi"/>
      <w:sz w:val="18"/>
      <w:lang w:eastAsia="en-US"/>
    </w:rPr>
  </w:style>
  <w:style w:type="paragraph" w:customStyle="1" w:styleId="Style1">
    <w:name w:val="Style1"/>
    <w:basedOn w:val="Normal"/>
    <w:link w:val="Style1Char"/>
    <w:qFormat/>
    <w:rsid w:val="005F2060"/>
    <w:pPr>
      <w:numPr>
        <w:numId w:val="35"/>
      </w:numPr>
      <w:suppressAutoHyphens/>
      <w:autoSpaceDE w:val="0"/>
      <w:autoSpaceDN w:val="0"/>
      <w:adjustRightInd w:val="0"/>
      <w:spacing w:after="57" w:line="264" w:lineRule="atLeast"/>
      <w:ind w:right="-1045"/>
      <w:textAlignment w:val="center"/>
    </w:pPr>
    <w:rPr>
      <w:rFonts w:eastAsia="Calibri" w:cs="Arial"/>
      <w:color w:val="000000"/>
      <w:szCs w:val="22"/>
      <w:lang w:val="en-US" w:eastAsia="en-US"/>
    </w:rPr>
  </w:style>
  <w:style w:type="paragraph" w:styleId="EndnoteText">
    <w:name w:val="endnote text"/>
    <w:basedOn w:val="Normal"/>
    <w:link w:val="EndnoteTextChar"/>
    <w:semiHidden/>
    <w:unhideWhenUsed/>
    <w:rsid w:val="00C36F2F"/>
    <w:rPr>
      <w:sz w:val="20"/>
      <w:szCs w:val="20"/>
    </w:rPr>
  </w:style>
  <w:style w:type="character" w:customStyle="1" w:styleId="Style1Char">
    <w:name w:val="Style1 Char"/>
    <w:basedOn w:val="DefaultParagraphFont"/>
    <w:link w:val="Style1"/>
    <w:rsid w:val="005F2060"/>
    <w:rPr>
      <w:rFonts w:ascii="Arial" w:eastAsia="Calibri" w:hAnsi="Arial" w:cs="Arial"/>
      <w:color w:val="000000"/>
      <w:sz w:val="22"/>
      <w:szCs w:val="22"/>
      <w:lang w:val="en-US" w:eastAsia="en-US"/>
    </w:rPr>
  </w:style>
  <w:style w:type="character" w:customStyle="1" w:styleId="EndnoteTextChar">
    <w:name w:val="Endnote Text Char"/>
    <w:basedOn w:val="DefaultParagraphFont"/>
    <w:link w:val="EndnoteText"/>
    <w:semiHidden/>
    <w:rsid w:val="00C36F2F"/>
    <w:rPr>
      <w:rFonts w:ascii="Arial" w:hAnsi="Arial"/>
    </w:rPr>
  </w:style>
  <w:style w:type="character" w:styleId="EndnoteReference">
    <w:name w:val="endnote reference"/>
    <w:basedOn w:val="DefaultParagraphFont"/>
    <w:semiHidden/>
    <w:unhideWhenUsed/>
    <w:rsid w:val="00C36F2F"/>
    <w:rPr>
      <w:vertAlign w:val="superscript"/>
    </w:rPr>
  </w:style>
  <w:style w:type="paragraph" w:customStyle="1" w:styleId="Style2">
    <w:name w:val="Style2"/>
    <w:basedOn w:val="Normal"/>
    <w:link w:val="Style2Char"/>
    <w:qFormat/>
    <w:rsid w:val="003F754F"/>
    <w:pPr>
      <w:pBdr>
        <w:top w:val="nil"/>
        <w:left w:val="nil"/>
        <w:bottom w:val="nil"/>
        <w:right w:val="nil"/>
        <w:between w:val="nil"/>
        <w:bar w:val="nil"/>
      </w:pBdr>
      <w:spacing w:before="120" w:after="120" w:line="276" w:lineRule="auto"/>
      <w:jc w:val="both"/>
    </w:pPr>
    <w:rPr>
      <w:rFonts w:ascii="Calibri" w:eastAsia="Calibri" w:hAnsi="Calibri"/>
      <w:szCs w:val="22"/>
      <w:lang w:eastAsia="en-US"/>
    </w:rPr>
  </w:style>
  <w:style w:type="paragraph" w:customStyle="1" w:styleId="StyleHeading9Heading9Char2Heading9Char1CharTahomaBefo">
    <w:name w:val="Style Heading 9Heading 9 Char2Heading 9 Char1 Char + Tahoma Befo..."/>
    <w:basedOn w:val="Heading9"/>
    <w:rsid w:val="009B39EA"/>
    <w:pPr>
      <w:numPr>
        <w:ilvl w:val="8"/>
      </w:numPr>
      <w:tabs>
        <w:tab w:val="left" w:pos="567"/>
        <w:tab w:val="num" w:pos="862"/>
      </w:tabs>
      <w:overflowPunct/>
      <w:autoSpaceDE/>
      <w:autoSpaceDN/>
      <w:adjustRightInd/>
      <w:spacing w:before="48" w:after="48"/>
      <w:ind w:left="142"/>
      <w:textAlignment w:val="auto"/>
    </w:pPr>
    <w:rPr>
      <w:rFonts w:eastAsia="Times New Roman" w:cs="Times New Roman"/>
      <w:b/>
      <w:bCs/>
      <w:sz w:val="20"/>
      <w:szCs w:val="20"/>
      <w:lang w:val="en-GB"/>
    </w:rPr>
  </w:style>
  <w:style w:type="character" w:customStyle="1" w:styleId="Style2Char">
    <w:name w:val="Style2 Char"/>
    <w:basedOn w:val="DefaultParagraphFont"/>
    <w:link w:val="Style2"/>
    <w:rsid w:val="003F754F"/>
    <w:rPr>
      <w:rFonts w:ascii="Calibri" w:eastAsia="Calibri" w:hAnsi="Calibri"/>
      <w:sz w:val="22"/>
      <w:szCs w:val="22"/>
      <w:lang w:eastAsia="en-US"/>
    </w:rPr>
  </w:style>
  <w:style w:type="paragraph" w:customStyle="1" w:styleId="Style4">
    <w:name w:val="Style4"/>
    <w:basedOn w:val="Normal"/>
    <w:qFormat/>
    <w:rsid w:val="009B39EA"/>
    <w:pPr>
      <w:spacing w:after="60"/>
      <w:ind w:left="710" w:right="-68"/>
      <w:outlineLvl w:val="7"/>
    </w:pPr>
    <w:rPr>
      <w:rFonts w:cs="Arial"/>
      <w:b/>
      <w:bCs/>
      <w:sz w:val="28"/>
      <w:szCs w:val="28"/>
      <w:lang w:eastAsia="en-US"/>
    </w:rPr>
  </w:style>
  <w:style w:type="paragraph" w:customStyle="1" w:styleId="Style3">
    <w:name w:val="Style3"/>
    <w:basedOn w:val="ListParagraph"/>
    <w:link w:val="Style3Char"/>
    <w:qFormat/>
    <w:rsid w:val="003F754F"/>
    <w:pPr>
      <w:numPr>
        <w:numId w:val="47"/>
      </w:numPr>
      <w:tabs>
        <w:tab w:val="left" w:pos="709"/>
      </w:tabs>
      <w:suppressAutoHyphens/>
      <w:spacing w:after="57" w:line="264" w:lineRule="atLeast"/>
      <w:ind w:right="89"/>
      <w:jc w:val="both"/>
      <w:textAlignment w:val="center"/>
    </w:pPr>
    <w:rPr>
      <w:rFonts w:asciiTheme="minorHAnsi" w:eastAsia="Calibri" w:hAnsiTheme="minorHAnsi" w:cstheme="minorHAnsi"/>
      <w:color w:val="000000"/>
      <w:szCs w:val="22"/>
      <w:lang w:val="en-US" w:eastAsia="en-US"/>
    </w:rPr>
  </w:style>
  <w:style w:type="character" w:customStyle="1" w:styleId="Style3Char">
    <w:name w:val="Style3 Char"/>
    <w:basedOn w:val="ListParagraphChar"/>
    <w:link w:val="Style3"/>
    <w:rsid w:val="003F754F"/>
    <w:rPr>
      <w:rFonts w:asciiTheme="minorHAnsi" w:eastAsia="Calibri" w:hAnsiTheme="minorHAnsi" w:cstheme="minorHAnsi"/>
      <w:color w:val="000000"/>
      <w:sz w:val="22"/>
      <w:szCs w:val="22"/>
      <w:lang w:val="en-US" w:eastAsia="en-US"/>
    </w:rPr>
  </w:style>
  <w:style w:type="paragraph" w:customStyle="1" w:styleId="Style5">
    <w:name w:val="Style5"/>
    <w:basedOn w:val="Normal"/>
    <w:link w:val="Style5Char"/>
    <w:qFormat/>
    <w:rsid w:val="00260052"/>
    <w:pPr>
      <w:pBdr>
        <w:top w:val="nil"/>
        <w:left w:val="nil"/>
        <w:bottom w:val="nil"/>
        <w:right w:val="nil"/>
        <w:between w:val="nil"/>
        <w:bar w:val="nil"/>
      </w:pBdr>
      <w:spacing w:before="120" w:after="120" w:line="276" w:lineRule="auto"/>
      <w:jc w:val="both"/>
    </w:pPr>
    <w:rPr>
      <w:rFonts w:ascii="Calibri" w:eastAsia="Cambria" w:hAnsi="Calibri" w:cs="Calibri"/>
      <w:color w:val="000000"/>
      <w:szCs w:val="22"/>
      <w:u w:color="000000"/>
      <w:bdr w:val="nil"/>
      <w:lang w:val="en-US"/>
    </w:rPr>
  </w:style>
  <w:style w:type="character" w:customStyle="1" w:styleId="Style5Char">
    <w:name w:val="Style5 Char"/>
    <w:basedOn w:val="DefaultParagraphFont"/>
    <w:link w:val="Style5"/>
    <w:rsid w:val="00260052"/>
    <w:rPr>
      <w:rFonts w:ascii="Calibri" w:eastAsia="Cambria" w:hAnsi="Calibri" w:cs="Calibri"/>
      <w:color w:val="000000"/>
      <w:sz w:val="22"/>
      <w:szCs w:val="22"/>
      <w:u w:color="000000"/>
      <w:bdr w:val="nil"/>
      <w:lang w:val="en-US"/>
    </w:rPr>
  </w:style>
  <w:style w:type="paragraph" w:styleId="NormalWeb">
    <w:name w:val="Normal (Web)"/>
    <w:basedOn w:val="Normal"/>
    <w:uiPriority w:val="99"/>
    <w:semiHidden/>
    <w:unhideWhenUsed/>
    <w:rsid w:val="00B7440A"/>
    <w:pPr>
      <w:spacing w:before="100" w:beforeAutospacing="1" w:after="100" w:afterAutospacing="1"/>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9AC"/>
    <w:rPr>
      <w:rFonts w:ascii="Arial" w:hAnsi="Arial"/>
      <w:sz w:val="22"/>
      <w:szCs w:val="24"/>
    </w:rPr>
  </w:style>
  <w:style w:type="paragraph" w:styleId="Heading1">
    <w:name w:val="heading 1"/>
    <w:basedOn w:val="Normal"/>
    <w:next w:val="Normal"/>
    <w:link w:val="Heading1Char"/>
    <w:uiPriority w:val="9"/>
    <w:qFormat/>
    <w:rsid w:val="00FA2400"/>
    <w:pPr>
      <w:keepNext/>
      <w:spacing w:after="240"/>
      <w:outlineLvl w:val="0"/>
    </w:pPr>
    <w:rPr>
      <w:rFonts w:ascii="Arial Bold" w:eastAsiaTheme="majorEastAsia" w:hAnsi="Arial Bold" w:cs="Arial"/>
      <w:b/>
      <w:color w:val="1F497D" w:themeColor="text2"/>
      <w:kern w:val="32"/>
      <w:sz w:val="48"/>
      <w:szCs w:val="22"/>
    </w:rPr>
  </w:style>
  <w:style w:type="paragraph" w:styleId="Heading2">
    <w:name w:val="heading 2"/>
    <w:basedOn w:val="Normal"/>
    <w:next w:val="Normal"/>
    <w:link w:val="Heading2Char"/>
    <w:uiPriority w:val="9"/>
    <w:qFormat/>
    <w:rsid w:val="00FA2400"/>
    <w:pPr>
      <w:outlineLvl w:val="1"/>
    </w:pPr>
    <w:rPr>
      <w:rFonts w:ascii="Arial Bold" w:eastAsiaTheme="majorEastAsia" w:hAnsi="Arial Bold" w:cstheme="majorBidi"/>
      <w:b/>
      <w:color w:val="1F497D" w:themeColor="text2"/>
      <w:sz w:val="28"/>
      <w:szCs w:val="28"/>
    </w:rPr>
  </w:style>
  <w:style w:type="paragraph" w:styleId="Heading3">
    <w:name w:val="heading 3"/>
    <w:basedOn w:val="Normal"/>
    <w:next w:val="Normal"/>
    <w:link w:val="Heading3Char"/>
    <w:uiPriority w:val="9"/>
    <w:qFormat/>
    <w:rsid w:val="00FA2400"/>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1F497D" w:themeColor="text2"/>
      <w:sz w:val="24"/>
      <w:szCs w:val="20"/>
      <w:lang w:eastAsia="en-US"/>
    </w:rPr>
  </w:style>
  <w:style w:type="paragraph" w:styleId="Heading4">
    <w:name w:val="heading 4"/>
    <w:basedOn w:val="Normal"/>
    <w:next w:val="Normal"/>
    <w:link w:val="Heading4Char"/>
    <w:uiPriority w:val="9"/>
    <w:qFormat/>
    <w:rsid w:val="00FA2400"/>
    <w:pPr>
      <w:overflowPunct w:val="0"/>
      <w:autoSpaceDE w:val="0"/>
      <w:autoSpaceDN w:val="0"/>
      <w:adjustRightInd w:val="0"/>
      <w:ind w:left="360" w:hanging="360"/>
      <w:textAlignment w:val="baseline"/>
      <w:outlineLvl w:val="3"/>
    </w:pPr>
    <w:rPr>
      <w:rFonts w:eastAsiaTheme="majorEastAsia" w:cstheme="majorBidi"/>
      <w:b/>
      <w:color w:val="1F497D" w:themeColor="text2"/>
      <w:spacing w:val="-3"/>
      <w:szCs w:val="22"/>
      <w:lang w:eastAsia="en-US"/>
    </w:rPr>
  </w:style>
  <w:style w:type="paragraph" w:styleId="Heading5">
    <w:name w:val="heading 5"/>
    <w:basedOn w:val="Normal"/>
    <w:next w:val="Normal"/>
    <w:link w:val="Heading5Char"/>
    <w:qFormat/>
    <w:rsid w:val="004928F0"/>
    <w:pPr>
      <w:overflowPunct w:val="0"/>
      <w:autoSpaceDE w:val="0"/>
      <w:autoSpaceDN w:val="0"/>
      <w:adjustRightInd w:val="0"/>
      <w:spacing w:before="240" w:after="60"/>
      <w:textAlignment w:val="baseline"/>
      <w:outlineLvl w:val="4"/>
    </w:pPr>
    <w:rPr>
      <w:rFonts w:eastAsiaTheme="majorEastAsia" w:cstheme="majorBidi"/>
      <w:b/>
      <w:bCs/>
      <w:i/>
      <w:iCs/>
      <w:sz w:val="26"/>
      <w:szCs w:val="26"/>
      <w:lang w:eastAsia="en-US"/>
    </w:rPr>
  </w:style>
  <w:style w:type="paragraph" w:styleId="Heading6">
    <w:name w:val="heading 6"/>
    <w:basedOn w:val="Normal"/>
    <w:next w:val="Normal"/>
    <w:link w:val="Heading6Char"/>
    <w:rsid w:val="00136F9D"/>
    <w:pPr>
      <w:overflowPunct w:val="0"/>
      <w:autoSpaceDE w:val="0"/>
      <w:autoSpaceDN w:val="0"/>
      <w:adjustRightInd w:val="0"/>
      <w:spacing w:before="240" w:after="60"/>
      <w:textAlignment w:val="baseline"/>
      <w:outlineLvl w:val="5"/>
    </w:pPr>
    <w:rPr>
      <w:rFonts w:ascii="Times New Roman" w:eastAsiaTheme="majorEastAsia" w:hAnsi="Times New Roman" w:cstheme="majorBidi"/>
      <w:b/>
      <w:bCs/>
      <w:szCs w:val="22"/>
      <w:lang w:eastAsia="en-US"/>
    </w:rPr>
  </w:style>
  <w:style w:type="paragraph" w:styleId="Heading7">
    <w:name w:val="heading 7"/>
    <w:basedOn w:val="Normal"/>
    <w:next w:val="Normal"/>
    <w:link w:val="Heading7Char"/>
    <w:rsid w:val="00136F9D"/>
    <w:pPr>
      <w:overflowPunct w:val="0"/>
      <w:autoSpaceDE w:val="0"/>
      <w:autoSpaceDN w:val="0"/>
      <w:adjustRightInd w:val="0"/>
      <w:spacing w:before="240" w:after="60"/>
      <w:textAlignment w:val="baseline"/>
      <w:outlineLvl w:val="6"/>
    </w:pPr>
    <w:rPr>
      <w:rFonts w:ascii="Times New Roman" w:eastAsiaTheme="majorEastAsia" w:hAnsi="Times New Roman" w:cstheme="majorBidi"/>
      <w:sz w:val="24"/>
      <w:lang w:eastAsia="en-US"/>
    </w:rPr>
  </w:style>
  <w:style w:type="paragraph" w:styleId="Heading8">
    <w:name w:val="heading 8"/>
    <w:basedOn w:val="Normal"/>
    <w:next w:val="Normal"/>
    <w:link w:val="Heading8Char"/>
    <w:rsid w:val="00136F9D"/>
    <w:pPr>
      <w:overflowPunct w:val="0"/>
      <w:autoSpaceDE w:val="0"/>
      <w:autoSpaceDN w:val="0"/>
      <w:adjustRightInd w:val="0"/>
      <w:spacing w:before="240" w:after="60"/>
      <w:textAlignment w:val="baseline"/>
      <w:outlineLvl w:val="7"/>
    </w:pPr>
    <w:rPr>
      <w:rFonts w:ascii="Times New Roman" w:eastAsiaTheme="majorEastAsia" w:hAnsi="Times New Roman" w:cstheme="majorBidi"/>
      <w:i/>
      <w:iCs/>
      <w:sz w:val="24"/>
      <w:lang w:eastAsia="en-US"/>
    </w:rPr>
  </w:style>
  <w:style w:type="paragraph" w:styleId="Heading9">
    <w:name w:val="heading 9"/>
    <w:aliases w:val="Heading 9 Char2,Heading 9 Char1 Char"/>
    <w:basedOn w:val="Normal"/>
    <w:next w:val="Normal"/>
    <w:link w:val="Heading9Char"/>
    <w:qFormat/>
    <w:rsid w:val="00136F9D"/>
    <w:pPr>
      <w:overflowPunct w:val="0"/>
      <w:autoSpaceDE w:val="0"/>
      <w:autoSpaceDN w:val="0"/>
      <w:adjustRightInd w:val="0"/>
      <w:spacing w:before="240" w:after="60"/>
      <w:textAlignment w:val="baseline"/>
      <w:outlineLvl w:val="8"/>
    </w:pPr>
    <w:rPr>
      <w:rFonts w:eastAsiaTheme="majorEastAsia"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uiPriority w:val="35"/>
    <w:qFormat/>
    <w:rsid w:val="003E644A"/>
    <w:pPr>
      <w:overflowPunct w:val="0"/>
      <w:autoSpaceDE w:val="0"/>
      <w:autoSpaceDN w:val="0"/>
      <w:adjustRightInd w:val="0"/>
      <w:spacing w:before="120" w:after="120"/>
      <w:textAlignment w:val="baseline"/>
    </w:pPr>
    <w:rPr>
      <w:b/>
      <w:bCs/>
      <w:szCs w:val="20"/>
      <w:lang w:eastAsia="en-US"/>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style>
  <w:style w:type="paragraph" w:customStyle="1" w:styleId="CaptionTable">
    <w:name w:val="Caption_Table"/>
    <w:basedOn w:val="Normal"/>
    <w:next w:val="BodyText"/>
    <w:rsid w:val="00C20D70"/>
    <w:pPr>
      <w:keepNext/>
      <w:keepLines/>
      <w:spacing w:before="240" w:after="240"/>
      <w:jc w:val="center"/>
    </w:pPr>
    <w:rPr>
      <w:rFonts w:ascii="Calibri" w:hAnsi="Calibri"/>
      <w:b/>
      <w:color w:val="931638"/>
      <w:szCs w:val="20"/>
      <w:lang w:eastAsia="en-US"/>
    </w:rPr>
  </w:style>
  <w:style w:type="paragraph" w:styleId="BodyText">
    <w:name w:val="Body Text"/>
    <w:basedOn w:val="Normal"/>
    <w:rsid w:val="00C20D70"/>
    <w:pPr>
      <w:spacing w:after="120"/>
    </w:pPr>
  </w:style>
  <w:style w:type="paragraph" w:customStyle="1" w:styleId="CaptionTableheading">
    <w:name w:val="Caption_Table heading"/>
    <w:basedOn w:val="Normal"/>
    <w:next w:val="BodyText"/>
    <w:rsid w:val="00B707C7"/>
    <w:pPr>
      <w:keepNext/>
      <w:keepLines/>
      <w:spacing w:before="240" w:after="240"/>
      <w:jc w:val="center"/>
    </w:pPr>
    <w:rPr>
      <w:rFonts w:ascii="Calibri" w:hAnsi="Calibri"/>
      <w:b/>
      <w:color w:val="931638"/>
      <w:szCs w:val="20"/>
      <w:lang w:eastAsia="en-US"/>
    </w:rPr>
  </w:style>
  <w:style w:type="character" w:customStyle="1" w:styleId="Heading1Char">
    <w:name w:val="Heading 1 Char"/>
    <w:basedOn w:val="DefaultParagraphFont"/>
    <w:link w:val="Heading1"/>
    <w:uiPriority w:val="9"/>
    <w:rsid w:val="00FA2400"/>
    <w:rPr>
      <w:rFonts w:ascii="Arial Bold" w:eastAsiaTheme="majorEastAsia" w:hAnsi="Arial Bold" w:cs="Arial"/>
      <w:b/>
      <w:color w:val="1F497D" w:themeColor="text2"/>
      <w:kern w:val="32"/>
      <w:sz w:val="48"/>
      <w:szCs w:val="22"/>
    </w:rPr>
  </w:style>
  <w:style w:type="paragraph" w:styleId="Title">
    <w:name w:val="Title"/>
    <w:basedOn w:val="Normal"/>
    <w:link w:val="TitleChar"/>
    <w:uiPriority w:val="10"/>
    <w:qFormat/>
    <w:rsid w:val="008615F9"/>
    <w:pPr>
      <w:overflowPunct w:val="0"/>
      <w:autoSpaceDE w:val="0"/>
      <w:autoSpaceDN w:val="0"/>
      <w:adjustRightInd w:val="0"/>
      <w:spacing w:before="240" w:after="60"/>
      <w:textAlignment w:val="baseline"/>
      <w:outlineLvl w:val="0"/>
    </w:pPr>
    <w:rPr>
      <w:rFonts w:ascii="Arial Bold" w:eastAsiaTheme="majorEastAsia" w:hAnsi="Arial Bold" w:cs="Arial"/>
      <w:b/>
      <w:bCs/>
      <w:caps/>
      <w:color w:val="C00000"/>
      <w:kern w:val="28"/>
      <w:sz w:val="36"/>
      <w:szCs w:val="32"/>
      <w:lang w:eastAsia="en-US"/>
    </w:rPr>
  </w:style>
  <w:style w:type="character" w:customStyle="1" w:styleId="TitleChar">
    <w:name w:val="Title Char"/>
    <w:basedOn w:val="DefaultParagraphFont"/>
    <w:link w:val="Title"/>
    <w:uiPriority w:val="10"/>
    <w:rsid w:val="008615F9"/>
    <w:rPr>
      <w:rFonts w:ascii="Arial Bold" w:eastAsiaTheme="majorEastAsia" w:hAnsi="Arial Bold" w:cs="Arial"/>
      <w:b/>
      <w:bCs/>
      <w:caps/>
      <w:color w:val="C00000"/>
      <w:kern w:val="28"/>
      <w:sz w:val="36"/>
      <w:szCs w:val="32"/>
      <w:lang w:eastAsia="en-US"/>
    </w:rPr>
  </w:style>
  <w:style w:type="paragraph" w:styleId="Subtitle">
    <w:name w:val="Subtitle"/>
    <w:aliases w:val="Figure heading"/>
    <w:basedOn w:val="Normal"/>
    <w:link w:val="SubtitleChar"/>
    <w:uiPriority w:val="11"/>
    <w:qFormat/>
    <w:rsid w:val="00800281"/>
    <w:pPr>
      <w:overflowPunct w:val="0"/>
      <w:autoSpaceDE w:val="0"/>
      <w:autoSpaceDN w:val="0"/>
      <w:adjustRightInd w:val="0"/>
      <w:spacing w:after="60"/>
      <w:textAlignment w:val="baseline"/>
      <w:outlineLvl w:val="1"/>
    </w:pPr>
    <w:rPr>
      <w:rFonts w:eastAsiaTheme="majorEastAsia" w:cs="Arial"/>
      <w:b/>
      <w:color w:val="1F497D" w:themeColor="text2"/>
      <w:lang w:eastAsia="en-US"/>
    </w:rPr>
  </w:style>
  <w:style w:type="character" w:customStyle="1" w:styleId="SubtitleChar">
    <w:name w:val="Subtitle Char"/>
    <w:aliases w:val="Figure heading Char"/>
    <w:basedOn w:val="DefaultParagraphFont"/>
    <w:link w:val="Subtitle"/>
    <w:uiPriority w:val="11"/>
    <w:rsid w:val="00800281"/>
    <w:rPr>
      <w:rFonts w:ascii="Arial" w:eastAsiaTheme="majorEastAsia" w:hAnsi="Arial" w:cs="Arial"/>
      <w:b/>
      <w:color w:val="1F497D" w:themeColor="text2"/>
      <w:sz w:val="22"/>
      <w:szCs w:val="24"/>
      <w:lang w:eastAsia="en-US"/>
    </w:rPr>
  </w:style>
  <w:style w:type="character" w:styleId="Strong">
    <w:name w:val="Strong"/>
    <w:basedOn w:val="DefaultParagraphFont"/>
    <w:qFormat/>
    <w:rsid w:val="008615F9"/>
    <w:rPr>
      <w:rFonts w:ascii="Arial" w:hAnsi="Arial"/>
      <w:b/>
      <w:bCs/>
    </w:rPr>
  </w:style>
  <w:style w:type="paragraph" w:styleId="NoSpacing">
    <w:name w:val="No Spacing"/>
    <w:uiPriority w:val="1"/>
    <w:qFormat/>
    <w:rsid w:val="00136F9D"/>
    <w:rPr>
      <w:rFonts w:ascii="Arial" w:eastAsia="Calibri" w:hAnsi="Arial"/>
      <w:sz w:val="22"/>
      <w:szCs w:val="22"/>
      <w:lang w:eastAsia="en-US"/>
    </w:rPr>
  </w:style>
  <w:style w:type="paragraph" w:styleId="ListParagraph">
    <w:name w:val="List Paragraph"/>
    <w:aliases w:val="Bullet"/>
    <w:basedOn w:val="Normal"/>
    <w:link w:val="ListParagraphChar"/>
    <w:uiPriority w:val="34"/>
    <w:qFormat/>
    <w:rsid w:val="00D54A87"/>
    <w:pPr>
      <w:numPr>
        <w:numId w:val="54"/>
      </w:numPr>
      <w:overflowPunct w:val="0"/>
      <w:autoSpaceDE w:val="0"/>
      <w:autoSpaceDN w:val="0"/>
      <w:adjustRightInd w:val="0"/>
      <w:textAlignment w:val="baseline"/>
    </w:pPr>
    <w:rPr>
      <w:szCs w:val="20"/>
    </w:rPr>
  </w:style>
  <w:style w:type="character" w:customStyle="1" w:styleId="Heading2Char">
    <w:name w:val="Heading 2 Char"/>
    <w:basedOn w:val="DefaultParagraphFont"/>
    <w:link w:val="Heading2"/>
    <w:uiPriority w:val="9"/>
    <w:rsid w:val="00FA2400"/>
    <w:rPr>
      <w:rFonts w:ascii="Arial Bold" w:eastAsiaTheme="majorEastAsia" w:hAnsi="Arial Bold" w:cstheme="majorBidi"/>
      <w:b/>
      <w:color w:val="1F497D" w:themeColor="text2"/>
      <w:sz w:val="28"/>
      <w:szCs w:val="28"/>
    </w:rPr>
  </w:style>
  <w:style w:type="character" w:customStyle="1" w:styleId="Heading3Char">
    <w:name w:val="Heading 3 Char"/>
    <w:basedOn w:val="DefaultParagraphFont"/>
    <w:link w:val="Heading3"/>
    <w:uiPriority w:val="9"/>
    <w:rsid w:val="00FA2400"/>
    <w:rPr>
      <w:rFonts w:ascii="Arial Bold" w:eastAsiaTheme="majorEastAsia" w:hAnsi="Arial Bold" w:cstheme="majorBidi"/>
      <w:b/>
      <w:color w:val="1F497D" w:themeColor="text2"/>
      <w:sz w:val="24"/>
      <w:lang w:eastAsia="en-US"/>
    </w:rPr>
  </w:style>
  <w:style w:type="character" w:customStyle="1" w:styleId="Heading4Char">
    <w:name w:val="Heading 4 Char"/>
    <w:basedOn w:val="DefaultParagraphFont"/>
    <w:link w:val="Heading4"/>
    <w:uiPriority w:val="9"/>
    <w:rsid w:val="00FA2400"/>
    <w:rPr>
      <w:rFonts w:ascii="Arial" w:eastAsiaTheme="majorEastAsia" w:hAnsi="Arial" w:cstheme="majorBidi"/>
      <w:b/>
      <w:color w:val="1F497D" w:themeColor="text2"/>
      <w:spacing w:val="-3"/>
      <w:sz w:val="22"/>
      <w:szCs w:val="22"/>
      <w:lang w:eastAsia="en-US"/>
    </w:rPr>
  </w:style>
  <w:style w:type="character" w:customStyle="1" w:styleId="Heading5Char">
    <w:name w:val="Heading 5 Char"/>
    <w:basedOn w:val="DefaultParagraphFont"/>
    <w:link w:val="Heading5"/>
    <w:rsid w:val="004928F0"/>
    <w:rPr>
      <w:rFonts w:ascii="Arial" w:eastAsiaTheme="majorEastAsia" w:hAnsi="Arial" w:cstheme="majorBidi"/>
      <w:b/>
      <w:bCs/>
      <w:i/>
      <w:iCs/>
      <w:sz w:val="26"/>
      <w:szCs w:val="26"/>
      <w:lang w:eastAsia="en-US"/>
    </w:rPr>
  </w:style>
  <w:style w:type="character" w:customStyle="1" w:styleId="Heading6Char">
    <w:name w:val="Heading 6 Char"/>
    <w:basedOn w:val="DefaultParagraphFont"/>
    <w:link w:val="Heading6"/>
    <w:rsid w:val="00136F9D"/>
    <w:rPr>
      <w:rFonts w:eastAsiaTheme="majorEastAsia" w:cstheme="majorBidi"/>
      <w:b/>
      <w:bCs/>
      <w:sz w:val="22"/>
      <w:szCs w:val="22"/>
      <w:lang w:eastAsia="en-US"/>
    </w:rPr>
  </w:style>
  <w:style w:type="character" w:customStyle="1" w:styleId="Heading7Char">
    <w:name w:val="Heading 7 Char"/>
    <w:basedOn w:val="DefaultParagraphFont"/>
    <w:link w:val="Heading7"/>
    <w:rsid w:val="00136F9D"/>
    <w:rPr>
      <w:rFonts w:eastAsiaTheme="majorEastAsia" w:cstheme="majorBidi"/>
      <w:sz w:val="24"/>
      <w:szCs w:val="24"/>
      <w:lang w:eastAsia="en-US"/>
    </w:rPr>
  </w:style>
  <w:style w:type="character" w:customStyle="1" w:styleId="Heading8Char">
    <w:name w:val="Heading 8 Char"/>
    <w:basedOn w:val="DefaultParagraphFont"/>
    <w:link w:val="Heading8"/>
    <w:rsid w:val="00136F9D"/>
    <w:rPr>
      <w:rFonts w:eastAsiaTheme="majorEastAsia" w:cstheme="majorBidi"/>
      <w:i/>
      <w:iCs/>
      <w:sz w:val="24"/>
      <w:szCs w:val="24"/>
      <w:lang w:eastAsia="en-US"/>
    </w:rPr>
  </w:style>
  <w:style w:type="character" w:customStyle="1" w:styleId="Heading9Char">
    <w:name w:val="Heading 9 Char"/>
    <w:aliases w:val="Heading 9 Char2 Char,Heading 9 Char1 Char Char"/>
    <w:basedOn w:val="DefaultParagraphFont"/>
    <w:link w:val="Heading9"/>
    <w:rsid w:val="00136F9D"/>
    <w:rPr>
      <w:rFonts w:ascii="Arial" w:eastAsiaTheme="majorEastAsia" w:hAnsi="Arial" w:cs="Arial"/>
      <w:sz w:val="22"/>
      <w:szCs w:val="22"/>
      <w:lang w:eastAsia="en-US"/>
    </w:rPr>
  </w:style>
  <w:style w:type="paragraph" w:styleId="TOC1">
    <w:name w:val="toc 1"/>
    <w:basedOn w:val="Normal"/>
    <w:next w:val="Normal"/>
    <w:autoRedefine/>
    <w:uiPriority w:val="39"/>
    <w:qFormat/>
    <w:rsid w:val="00136F9D"/>
    <w:pPr>
      <w:spacing w:before="120" w:after="120"/>
    </w:pPr>
    <w:rPr>
      <w:rFonts w:asciiTheme="minorHAnsi" w:hAnsiTheme="minorHAnsi" w:cstheme="minorHAnsi"/>
      <w:b/>
      <w:bCs/>
      <w:caps/>
      <w:szCs w:val="20"/>
    </w:rPr>
  </w:style>
  <w:style w:type="paragraph" w:styleId="TOC2">
    <w:name w:val="toc 2"/>
    <w:basedOn w:val="Normal"/>
    <w:next w:val="Normal"/>
    <w:autoRedefine/>
    <w:uiPriority w:val="39"/>
    <w:qFormat/>
    <w:rsid w:val="00136F9D"/>
    <w:pPr>
      <w:ind w:left="220"/>
    </w:pPr>
    <w:rPr>
      <w:rFonts w:asciiTheme="minorHAnsi" w:hAnsiTheme="minorHAnsi" w:cstheme="minorHAnsi"/>
      <w:smallCaps/>
      <w:szCs w:val="20"/>
    </w:rPr>
  </w:style>
  <w:style w:type="paragraph" w:styleId="TOC3">
    <w:name w:val="toc 3"/>
    <w:basedOn w:val="Normal"/>
    <w:next w:val="Normal"/>
    <w:autoRedefine/>
    <w:uiPriority w:val="39"/>
    <w:qFormat/>
    <w:rsid w:val="008615F9"/>
    <w:pPr>
      <w:ind w:left="440"/>
    </w:pPr>
    <w:rPr>
      <w:rFonts w:cstheme="minorHAnsi"/>
      <w:i/>
      <w:iCs/>
      <w:szCs w:val="20"/>
    </w:rPr>
  </w:style>
  <w:style w:type="character" w:styleId="Emphasis">
    <w:name w:val="Emphasis"/>
    <w:uiPriority w:val="20"/>
    <w:qFormat/>
    <w:rsid w:val="0054159E"/>
    <w:rPr>
      <w:rFonts w:ascii="Arial" w:hAnsi="Arial" w:cs="Arial"/>
      <w:b w:val="0"/>
      <w:i/>
      <w:szCs w:val="22"/>
    </w:rPr>
  </w:style>
  <w:style w:type="paragraph" w:styleId="TOCHeading">
    <w:name w:val="TOC Heading"/>
    <w:basedOn w:val="Heading1"/>
    <w:next w:val="Normal"/>
    <w:uiPriority w:val="39"/>
    <w:semiHidden/>
    <w:unhideWhenUsed/>
    <w:qFormat/>
    <w:rsid w:val="00136F9D"/>
    <w:pPr>
      <w:keepLines/>
      <w:spacing w:before="480" w:after="0" w:line="276" w:lineRule="auto"/>
      <w:outlineLvl w:val="9"/>
    </w:pPr>
    <w:rPr>
      <w:rFonts w:asciiTheme="majorHAnsi" w:hAnsiTheme="majorHAnsi" w:cstheme="majorBidi"/>
      <w:bCs/>
      <w:caps/>
      <w:color w:val="365F91" w:themeColor="accent1" w:themeShade="BF"/>
      <w:kern w:val="0"/>
      <w:szCs w:val="28"/>
      <w:lang w:val="en-US" w:eastAsia="en-US"/>
    </w:rPr>
  </w:style>
  <w:style w:type="paragraph" w:styleId="Header">
    <w:name w:val="header"/>
    <w:basedOn w:val="Normal"/>
    <w:link w:val="HeaderChar"/>
    <w:uiPriority w:val="99"/>
    <w:rsid w:val="0054159E"/>
    <w:pPr>
      <w:tabs>
        <w:tab w:val="center" w:pos="4513"/>
        <w:tab w:val="right" w:pos="9026"/>
      </w:tabs>
    </w:pPr>
  </w:style>
  <w:style w:type="character" w:customStyle="1" w:styleId="HeaderChar">
    <w:name w:val="Header Char"/>
    <w:basedOn w:val="DefaultParagraphFont"/>
    <w:link w:val="Header"/>
    <w:uiPriority w:val="99"/>
    <w:rsid w:val="0054159E"/>
    <w:rPr>
      <w:rFonts w:ascii="Arial" w:hAnsi="Arial"/>
      <w:sz w:val="22"/>
      <w:szCs w:val="24"/>
    </w:rPr>
  </w:style>
  <w:style w:type="paragraph" w:styleId="Footer">
    <w:name w:val="footer"/>
    <w:basedOn w:val="Normal"/>
    <w:link w:val="FooterChar"/>
    <w:uiPriority w:val="99"/>
    <w:rsid w:val="0054159E"/>
    <w:pPr>
      <w:tabs>
        <w:tab w:val="center" w:pos="4513"/>
        <w:tab w:val="right" w:pos="9026"/>
      </w:tabs>
    </w:pPr>
  </w:style>
  <w:style w:type="character" w:customStyle="1" w:styleId="FooterChar">
    <w:name w:val="Footer Char"/>
    <w:basedOn w:val="DefaultParagraphFont"/>
    <w:link w:val="Footer"/>
    <w:uiPriority w:val="99"/>
    <w:rsid w:val="0054159E"/>
    <w:rPr>
      <w:rFonts w:ascii="Arial" w:hAnsi="Arial"/>
      <w:sz w:val="22"/>
      <w:szCs w:val="24"/>
    </w:rPr>
  </w:style>
  <w:style w:type="paragraph" w:styleId="BalloonText">
    <w:name w:val="Balloon Text"/>
    <w:basedOn w:val="Normal"/>
    <w:link w:val="BalloonTextChar"/>
    <w:uiPriority w:val="99"/>
    <w:rsid w:val="0054159E"/>
    <w:rPr>
      <w:rFonts w:ascii="Tahoma" w:hAnsi="Tahoma" w:cs="Tahoma"/>
      <w:sz w:val="16"/>
      <w:szCs w:val="16"/>
    </w:rPr>
  </w:style>
  <w:style w:type="character" w:customStyle="1" w:styleId="BalloonTextChar">
    <w:name w:val="Balloon Text Char"/>
    <w:basedOn w:val="DefaultParagraphFont"/>
    <w:link w:val="BalloonText"/>
    <w:uiPriority w:val="99"/>
    <w:rsid w:val="0054159E"/>
    <w:rPr>
      <w:rFonts w:ascii="Tahoma" w:hAnsi="Tahoma" w:cs="Tahoma"/>
      <w:sz w:val="16"/>
      <w:szCs w:val="16"/>
    </w:rPr>
  </w:style>
  <w:style w:type="character" w:styleId="Hyperlink">
    <w:name w:val="Hyperlink"/>
    <w:basedOn w:val="DefaultParagraphFont"/>
    <w:uiPriority w:val="99"/>
    <w:rsid w:val="00B304C8"/>
    <w:rPr>
      <w:color w:val="0000FF" w:themeColor="hyperlink"/>
      <w:u w:val="single"/>
    </w:rPr>
  </w:style>
  <w:style w:type="paragraph" w:customStyle="1" w:styleId="Link">
    <w:name w:val="Link"/>
    <w:basedOn w:val="Normal"/>
    <w:link w:val="LinkChar"/>
    <w:qFormat/>
    <w:rsid w:val="00B304C8"/>
  </w:style>
  <w:style w:type="character" w:customStyle="1" w:styleId="LinkChar">
    <w:name w:val="Link Char"/>
    <w:basedOn w:val="DefaultParagraphFont"/>
    <w:link w:val="Link"/>
    <w:rsid w:val="00B304C8"/>
    <w:rPr>
      <w:rFonts w:ascii="Arial" w:hAnsi="Arial"/>
      <w:szCs w:val="24"/>
    </w:rPr>
  </w:style>
  <w:style w:type="character" w:styleId="SubtleEmphasis">
    <w:name w:val="Subtle Emphasis"/>
    <w:basedOn w:val="DefaultParagraphFont"/>
    <w:uiPriority w:val="19"/>
    <w:qFormat/>
    <w:rsid w:val="008615F9"/>
    <w:rPr>
      <w:rFonts w:ascii="Arial" w:hAnsi="Arial"/>
      <w:i/>
      <w:iCs/>
      <w:color w:val="808080" w:themeColor="text1" w:themeTint="7F"/>
    </w:rPr>
  </w:style>
  <w:style w:type="character" w:styleId="IntenseEmphasis">
    <w:name w:val="Intense Emphasis"/>
    <w:basedOn w:val="DefaultParagraphFont"/>
    <w:uiPriority w:val="21"/>
    <w:qFormat/>
    <w:rsid w:val="004928F0"/>
    <w:rPr>
      <w:rFonts w:ascii="Arial" w:hAnsi="Arial"/>
      <w:b/>
      <w:bCs/>
      <w:i/>
      <w:iCs/>
      <w:color w:val="C00000"/>
    </w:rPr>
  </w:style>
  <w:style w:type="character" w:styleId="SubtleReference">
    <w:name w:val="Subtle Reference"/>
    <w:basedOn w:val="DefaultParagraphFont"/>
    <w:uiPriority w:val="31"/>
    <w:qFormat/>
    <w:rsid w:val="008615F9"/>
    <w:rPr>
      <w:rFonts w:ascii="Arial" w:hAnsi="Arial"/>
      <w:smallCaps/>
      <w:color w:val="C0504D" w:themeColor="accent2"/>
      <w:u w:val="single"/>
    </w:rPr>
  </w:style>
  <w:style w:type="character" w:styleId="IntenseReference">
    <w:name w:val="Intense Reference"/>
    <w:basedOn w:val="DefaultParagraphFont"/>
    <w:uiPriority w:val="32"/>
    <w:qFormat/>
    <w:rsid w:val="008615F9"/>
    <w:rPr>
      <w:rFonts w:ascii="Arial" w:hAnsi="Arial"/>
      <w:b/>
      <w:bCs/>
      <w:smallCaps/>
      <w:color w:val="C0504D" w:themeColor="accent2"/>
      <w:spacing w:val="5"/>
      <w:u w:val="single"/>
    </w:rPr>
  </w:style>
  <w:style w:type="table" w:styleId="TableGrid">
    <w:name w:val="Table Grid"/>
    <w:basedOn w:val="TableNormal"/>
    <w:rsid w:val="00C1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
    <w:basedOn w:val="DefaultParagraphFont"/>
    <w:link w:val="ListParagraph"/>
    <w:uiPriority w:val="34"/>
    <w:rsid w:val="00D54A87"/>
    <w:rPr>
      <w:rFonts w:ascii="Arial" w:hAnsi="Arial"/>
      <w:sz w:val="22"/>
    </w:rPr>
  </w:style>
  <w:style w:type="character" w:customStyle="1" w:styleId="PersonalReplyStyle">
    <w:name w:val="Personal Reply Style"/>
    <w:basedOn w:val="DefaultParagraphFont"/>
    <w:rsid w:val="006104F8"/>
    <w:rPr>
      <w:rFonts w:ascii="Arial" w:hAnsi="Arial" w:cs="Arial"/>
      <w:color w:val="auto"/>
      <w:sz w:val="20"/>
    </w:rPr>
  </w:style>
  <w:style w:type="paragraph" w:customStyle="1" w:styleId="Numbers">
    <w:name w:val="Numbers"/>
    <w:basedOn w:val="ListParagraph"/>
    <w:link w:val="NumbersChar"/>
    <w:qFormat/>
    <w:rsid w:val="0055519E"/>
    <w:pPr>
      <w:numPr>
        <w:numId w:val="9"/>
      </w:numPr>
      <w:spacing w:before="120"/>
      <w:ind w:hanging="720"/>
    </w:pPr>
    <w:rPr>
      <w:szCs w:val="22"/>
    </w:rPr>
  </w:style>
  <w:style w:type="character" w:customStyle="1" w:styleId="NumbersChar">
    <w:name w:val="Numbers Char"/>
    <w:basedOn w:val="ListParagraphChar"/>
    <w:link w:val="Numbers"/>
    <w:rsid w:val="0055519E"/>
    <w:rPr>
      <w:rFonts w:ascii="Arial" w:hAnsi="Arial"/>
      <w:sz w:val="22"/>
      <w:szCs w:val="22"/>
    </w:rPr>
  </w:style>
  <w:style w:type="character" w:styleId="CommentReference">
    <w:name w:val="annotation reference"/>
    <w:basedOn w:val="DefaultParagraphFont"/>
    <w:uiPriority w:val="99"/>
    <w:rsid w:val="00476567"/>
    <w:rPr>
      <w:sz w:val="16"/>
      <w:szCs w:val="16"/>
    </w:rPr>
  </w:style>
  <w:style w:type="paragraph" w:styleId="CommentText">
    <w:name w:val="annotation text"/>
    <w:basedOn w:val="Normal"/>
    <w:link w:val="CommentTextChar"/>
    <w:uiPriority w:val="99"/>
    <w:rsid w:val="00476567"/>
    <w:rPr>
      <w:szCs w:val="20"/>
    </w:rPr>
  </w:style>
  <w:style w:type="character" w:customStyle="1" w:styleId="CommentTextChar">
    <w:name w:val="Comment Text Char"/>
    <w:basedOn w:val="DefaultParagraphFont"/>
    <w:link w:val="CommentText"/>
    <w:uiPriority w:val="99"/>
    <w:rsid w:val="00476567"/>
    <w:rPr>
      <w:rFonts w:ascii="Arial" w:hAnsi="Arial"/>
    </w:rPr>
  </w:style>
  <w:style w:type="paragraph" w:styleId="CommentSubject">
    <w:name w:val="annotation subject"/>
    <w:basedOn w:val="CommentText"/>
    <w:next w:val="CommentText"/>
    <w:link w:val="CommentSubjectChar"/>
    <w:uiPriority w:val="99"/>
    <w:rsid w:val="00476567"/>
    <w:rPr>
      <w:b/>
      <w:bCs/>
    </w:rPr>
  </w:style>
  <w:style w:type="character" w:customStyle="1" w:styleId="CommentSubjectChar">
    <w:name w:val="Comment Subject Char"/>
    <w:basedOn w:val="CommentTextChar"/>
    <w:link w:val="CommentSubject"/>
    <w:uiPriority w:val="99"/>
    <w:rsid w:val="00476567"/>
    <w:rPr>
      <w:rFonts w:ascii="Arial" w:hAnsi="Arial"/>
      <w:b/>
      <w:bCs/>
    </w:rPr>
  </w:style>
  <w:style w:type="paragraph" w:styleId="Revision">
    <w:name w:val="Revision"/>
    <w:hidden/>
    <w:uiPriority w:val="99"/>
    <w:semiHidden/>
    <w:rsid w:val="0055519E"/>
    <w:rPr>
      <w:rFonts w:ascii="Arial" w:hAnsi="Arial"/>
      <w:szCs w:val="24"/>
    </w:rPr>
  </w:style>
  <w:style w:type="character" w:customStyle="1" w:styleId="Level2subbulletChar">
    <w:name w:val="Level 2 sub bullet Char"/>
    <w:basedOn w:val="ListParagraphChar"/>
    <w:link w:val="Level2subbullet"/>
    <w:locked/>
    <w:rsid w:val="003C147C"/>
    <w:rPr>
      <w:rFonts w:ascii="Arial" w:hAnsi="Arial" w:cs="Arial"/>
      <w:sz w:val="22"/>
      <w:szCs w:val="22"/>
      <w:lang w:eastAsia="en-US"/>
    </w:rPr>
  </w:style>
  <w:style w:type="paragraph" w:customStyle="1" w:styleId="Level2subbullet">
    <w:name w:val="Level 2 sub bullet"/>
    <w:basedOn w:val="ListParagraph"/>
    <w:link w:val="Level2subbulletChar"/>
    <w:qFormat/>
    <w:rsid w:val="003C147C"/>
    <w:pPr>
      <w:overflowPunct/>
      <w:adjustRightInd/>
      <w:spacing w:before="120" w:after="120"/>
      <w:ind w:left="1440"/>
      <w:textAlignment w:val="auto"/>
    </w:pPr>
    <w:rPr>
      <w:rFonts w:cs="Arial"/>
      <w:szCs w:val="22"/>
      <w:lang w:eastAsia="en-US"/>
    </w:rPr>
  </w:style>
  <w:style w:type="paragraph" w:styleId="FootnoteText">
    <w:name w:val="footnote text"/>
    <w:basedOn w:val="Normal"/>
    <w:link w:val="FootnoteTextChar"/>
    <w:uiPriority w:val="99"/>
    <w:unhideWhenUsed/>
    <w:rsid w:val="00375700"/>
    <w:rPr>
      <w:sz w:val="20"/>
      <w:szCs w:val="20"/>
    </w:rPr>
  </w:style>
  <w:style w:type="character" w:customStyle="1" w:styleId="FootnoteTextChar">
    <w:name w:val="Footnote Text Char"/>
    <w:basedOn w:val="DefaultParagraphFont"/>
    <w:link w:val="FootnoteText"/>
    <w:uiPriority w:val="99"/>
    <w:rsid w:val="00375700"/>
    <w:rPr>
      <w:rFonts w:ascii="Arial" w:hAnsi="Arial"/>
    </w:rPr>
  </w:style>
  <w:style w:type="character" w:styleId="FootnoteReference">
    <w:name w:val="footnote reference"/>
    <w:basedOn w:val="DefaultParagraphFont"/>
    <w:uiPriority w:val="99"/>
    <w:unhideWhenUsed/>
    <w:rsid w:val="00375700"/>
    <w:rPr>
      <w:vertAlign w:val="superscript"/>
    </w:rPr>
  </w:style>
  <w:style w:type="paragraph" w:customStyle="1" w:styleId="numberedpara">
    <w:name w:val="numbered para"/>
    <w:basedOn w:val="Normal"/>
    <w:rsid w:val="00375700"/>
    <w:pPr>
      <w:keepLines/>
      <w:spacing w:after="120"/>
    </w:pPr>
    <w:rPr>
      <w:rFonts w:ascii="Calibri" w:hAnsi="Calibri" w:cs="Arial"/>
      <w:szCs w:val="16"/>
      <w:lang w:eastAsia="en-US"/>
    </w:rPr>
  </w:style>
  <w:style w:type="numbering" w:customStyle="1" w:styleId="NoList1">
    <w:name w:val="No List1"/>
    <w:next w:val="NoList"/>
    <w:uiPriority w:val="99"/>
    <w:semiHidden/>
    <w:unhideWhenUsed/>
    <w:rsid w:val="00595354"/>
  </w:style>
  <w:style w:type="numbering" w:customStyle="1" w:styleId="NoList11">
    <w:name w:val="No List11"/>
    <w:next w:val="NoList"/>
    <w:uiPriority w:val="99"/>
    <w:semiHidden/>
    <w:unhideWhenUsed/>
    <w:rsid w:val="00595354"/>
  </w:style>
  <w:style w:type="paragraph" w:customStyle="1" w:styleId="Body">
    <w:name w:val="Body"/>
    <w:rsid w:val="00595354"/>
    <w:pPr>
      <w:pBdr>
        <w:top w:val="nil"/>
        <w:left w:val="nil"/>
        <w:bottom w:val="nil"/>
        <w:right w:val="nil"/>
        <w:between w:val="nil"/>
        <w:bar w:val="nil"/>
      </w:pBdr>
      <w:spacing w:after="160" w:line="259" w:lineRule="auto"/>
    </w:pPr>
    <w:rPr>
      <w:rFonts w:ascii="Cambria" w:eastAsia="Cambria" w:hAnsi="Cambria" w:cs="Cambria"/>
      <w:color w:val="000000"/>
      <w:sz w:val="22"/>
      <w:szCs w:val="22"/>
      <w:u w:color="000000"/>
      <w:bdr w:val="nil"/>
      <w:lang w:val="en-US"/>
    </w:rPr>
  </w:style>
  <w:style w:type="paragraph" w:customStyle="1" w:styleId="Default">
    <w:name w:val="Default"/>
    <w:rsid w:val="00595354"/>
    <w:pPr>
      <w:pBdr>
        <w:top w:val="nil"/>
        <w:left w:val="nil"/>
        <w:bottom w:val="nil"/>
        <w:right w:val="nil"/>
        <w:between w:val="nil"/>
        <w:bar w:val="nil"/>
      </w:pBdr>
      <w:spacing w:after="160" w:line="259" w:lineRule="auto"/>
    </w:pPr>
    <w:rPr>
      <w:rFonts w:ascii="Arial" w:eastAsia="Arial" w:hAnsi="Arial" w:cs="Arial"/>
      <w:color w:val="000000"/>
      <w:sz w:val="24"/>
      <w:szCs w:val="24"/>
      <w:u w:color="000000"/>
      <w:bdr w:val="nil"/>
      <w:lang w:val="en-US"/>
    </w:rPr>
  </w:style>
  <w:style w:type="numbering" w:customStyle="1" w:styleId="List51">
    <w:name w:val="List 51"/>
    <w:basedOn w:val="NoList"/>
    <w:rsid w:val="00595354"/>
    <w:pPr>
      <w:numPr>
        <w:numId w:val="15"/>
      </w:numPr>
    </w:pPr>
  </w:style>
  <w:style w:type="paragraph" w:customStyle="1" w:styleId="HeaderFooter">
    <w:name w:val="Header &amp; Footer"/>
    <w:rsid w:val="0059535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table" w:customStyle="1" w:styleId="TableGrid1">
    <w:name w:val="Table Grid1"/>
    <w:basedOn w:val="TableNormal"/>
    <w:next w:val="TableGrid"/>
    <w:uiPriority w:val="59"/>
    <w:rsid w:val="00595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95354"/>
  </w:style>
  <w:style w:type="character" w:customStyle="1" w:styleId="Hyperlink0">
    <w:name w:val="Hyperlink.0"/>
    <w:basedOn w:val="DefaultParagraphFont"/>
    <w:rsid w:val="00595354"/>
    <w:rPr>
      <w:color w:val="0000FF"/>
      <w:sz w:val="24"/>
      <w:szCs w:val="24"/>
      <w:u w:val="single" w:color="0000FF"/>
    </w:rPr>
  </w:style>
  <w:style w:type="character" w:customStyle="1" w:styleId="Hyperlink1">
    <w:name w:val="Hyperlink.1"/>
    <w:basedOn w:val="DefaultParagraphFont"/>
    <w:rsid w:val="00595354"/>
    <w:rPr>
      <w:color w:val="0000FF"/>
      <w:u w:val="single" w:color="0000FF"/>
    </w:rPr>
  </w:style>
  <w:style w:type="character" w:customStyle="1" w:styleId="citation">
    <w:name w:val="citation"/>
    <w:basedOn w:val="DefaultParagraphFont"/>
    <w:rsid w:val="00595354"/>
  </w:style>
  <w:style w:type="character" w:customStyle="1" w:styleId="ref-journal">
    <w:name w:val="ref-journal"/>
    <w:basedOn w:val="DefaultParagraphFont"/>
    <w:rsid w:val="00595354"/>
  </w:style>
  <w:style w:type="character" w:customStyle="1" w:styleId="ref-vol">
    <w:name w:val="ref-vol"/>
    <w:basedOn w:val="DefaultParagraphFont"/>
    <w:rsid w:val="00595354"/>
  </w:style>
  <w:style w:type="character" w:customStyle="1" w:styleId="nowrap">
    <w:name w:val="nowrap"/>
    <w:basedOn w:val="DefaultParagraphFont"/>
    <w:rsid w:val="00595354"/>
  </w:style>
  <w:style w:type="paragraph" w:customStyle="1" w:styleId="bullet">
    <w:name w:val="bullet"/>
    <w:basedOn w:val="ListParagraph"/>
    <w:qFormat/>
    <w:rsid w:val="00595354"/>
    <w:pPr>
      <w:numPr>
        <w:numId w:val="19"/>
      </w:numPr>
      <w:pBdr>
        <w:top w:val="nil"/>
        <w:left w:val="nil"/>
        <w:bottom w:val="nil"/>
        <w:right w:val="nil"/>
        <w:between w:val="nil"/>
        <w:bar w:val="nil"/>
      </w:pBdr>
      <w:overflowPunct/>
      <w:autoSpaceDE/>
      <w:autoSpaceDN/>
      <w:adjustRightInd/>
      <w:spacing w:after="160" w:line="259" w:lineRule="auto"/>
      <w:jc w:val="both"/>
      <w:textAlignment w:val="auto"/>
    </w:pPr>
    <w:rPr>
      <w:rFonts w:ascii="Calibri" w:eastAsia="Cambria" w:hAnsi="Calibri" w:cs="Calibri"/>
      <w:color w:val="000000"/>
      <w:szCs w:val="22"/>
      <w:u w:color="000000"/>
      <w:bdr w:val="nil"/>
      <w:lang w:val="en-US"/>
    </w:rPr>
  </w:style>
  <w:style w:type="paragraph" w:customStyle="1" w:styleId="Quote1">
    <w:name w:val="Quote1"/>
    <w:basedOn w:val="Body"/>
    <w:next w:val="Normal"/>
    <w:uiPriority w:val="29"/>
    <w:qFormat/>
    <w:rsid w:val="00595354"/>
    <w:pPr>
      <w:spacing w:before="100" w:after="100" w:line="276" w:lineRule="auto"/>
      <w:ind w:left="567" w:right="567"/>
      <w:jc w:val="both"/>
    </w:pPr>
    <w:rPr>
      <w:rFonts w:ascii="Calibri" w:hAnsi="Calibri" w:cs="Calibri"/>
      <w:i/>
    </w:rPr>
  </w:style>
  <w:style w:type="character" w:customStyle="1" w:styleId="QuoteChar">
    <w:name w:val="Quote Char"/>
    <w:basedOn w:val="DefaultParagraphFont"/>
    <w:link w:val="Quote"/>
    <w:uiPriority w:val="29"/>
    <w:rsid w:val="00595354"/>
    <w:rPr>
      <w:rFonts w:eastAsia="Cambria" w:cs="Calibri"/>
      <w:i/>
      <w:color w:val="000000"/>
      <w:u w:color="000000"/>
      <w:bdr w:val="nil"/>
      <w:lang w:val="en-US" w:eastAsia="en-AU"/>
    </w:rPr>
  </w:style>
  <w:style w:type="character" w:customStyle="1" w:styleId="addmd1">
    <w:name w:val="addmd1"/>
    <w:basedOn w:val="DefaultParagraphFont"/>
    <w:rsid w:val="00595354"/>
    <w:rPr>
      <w:sz w:val="20"/>
      <w:szCs w:val="20"/>
    </w:rPr>
  </w:style>
  <w:style w:type="paragraph" w:customStyle="1" w:styleId="references">
    <w:name w:val="references"/>
    <w:basedOn w:val="Body"/>
    <w:qFormat/>
    <w:rsid w:val="004B457A"/>
    <w:pPr>
      <w:tabs>
        <w:tab w:val="left" w:pos="284"/>
      </w:tabs>
      <w:spacing w:after="0" w:line="360" w:lineRule="auto"/>
      <w:ind w:left="-142" w:hanging="284"/>
    </w:pPr>
    <w:rPr>
      <w:rFonts w:ascii="Arial" w:hAnsi="Arial" w:cs="Calibri"/>
      <w:sz w:val="18"/>
      <w:lang w:val="nl-NL"/>
    </w:rPr>
  </w:style>
  <w:style w:type="paragraph" w:customStyle="1" w:styleId="bulletdotpoint">
    <w:name w:val="bullet dotpoint"/>
    <w:basedOn w:val="ListParagraph"/>
    <w:qFormat/>
    <w:rsid w:val="00595354"/>
    <w:pPr>
      <w:numPr>
        <w:numId w:val="30"/>
      </w:numPr>
      <w:pBdr>
        <w:top w:val="nil"/>
        <w:left w:val="nil"/>
        <w:bottom w:val="nil"/>
        <w:right w:val="nil"/>
        <w:between w:val="nil"/>
        <w:bar w:val="nil"/>
      </w:pBdr>
      <w:overflowPunct/>
      <w:autoSpaceDE/>
      <w:autoSpaceDN/>
      <w:adjustRightInd/>
      <w:spacing w:after="160" w:line="259" w:lineRule="auto"/>
      <w:ind w:left="714" w:hanging="357"/>
      <w:contextualSpacing/>
      <w:textAlignment w:val="auto"/>
    </w:pPr>
    <w:rPr>
      <w:rFonts w:ascii="Calibri" w:eastAsia="Cambria" w:hAnsi="Calibri" w:cs="Cambria"/>
      <w:color w:val="000000"/>
      <w:szCs w:val="22"/>
      <w:u w:color="000000"/>
      <w:bdr w:val="nil"/>
      <w:lang w:val="en-US"/>
    </w:rPr>
  </w:style>
  <w:style w:type="paragraph" w:customStyle="1" w:styleId="tableDtab4">
    <w:name w:val="table D tab .4"/>
    <w:basedOn w:val="Normal"/>
    <w:qFormat/>
    <w:rsid w:val="00595354"/>
    <w:pPr>
      <w:framePr w:hSpace="180" w:wrap="around" w:hAnchor="margin" w:y="952"/>
      <w:pBdr>
        <w:top w:val="nil"/>
        <w:left w:val="nil"/>
        <w:bottom w:val="nil"/>
        <w:right w:val="nil"/>
        <w:between w:val="nil"/>
        <w:bar w:val="nil"/>
      </w:pBdr>
      <w:tabs>
        <w:tab w:val="decimal" w:pos="284"/>
      </w:tabs>
      <w:spacing w:before="120" w:after="120"/>
      <w:jc w:val="both"/>
    </w:pPr>
    <w:rPr>
      <w:rFonts w:ascii="Calibri" w:eastAsia="Cambria" w:hAnsi="Calibri" w:cs="Calibri"/>
      <w:color w:val="000000"/>
      <w:szCs w:val="22"/>
      <w:u w:color="000000"/>
      <w:bdr w:val="nil"/>
      <w:lang w:val="en-US"/>
    </w:rPr>
  </w:style>
  <w:style w:type="paragraph" w:customStyle="1" w:styleId="tableheadertab">
    <w:name w:val="table header tab"/>
    <w:basedOn w:val="Normal"/>
    <w:qFormat/>
    <w:rsid w:val="00595354"/>
    <w:pPr>
      <w:framePr w:hSpace="180" w:wrap="around" w:hAnchor="margin" w:y="952"/>
      <w:pBdr>
        <w:top w:val="nil"/>
        <w:left w:val="nil"/>
        <w:bottom w:val="nil"/>
        <w:right w:val="nil"/>
        <w:between w:val="nil"/>
        <w:bar w:val="nil"/>
      </w:pBdr>
      <w:tabs>
        <w:tab w:val="left" w:pos="205"/>
      </w:tabs>
      <w:spacing w:before="120" w:after="120"/>
      <w:jc w:val="both"/>
    </w:pPr>
    <w:rPr>
      <w:rFonts w:ascii="Calibri" w:eastAsia="Cambria" w:hAnsi="Calibri" w:cs="Calibri"/>
      <w:color w:val="000000"/>
      <w:szCs w:val="22"/>
      <w:u w:color="000000"/>
      <w:bdr w:val="nil"/>
      <w:lang w:val="en-US"/>
    </w:rPr>
  </w:style>
  <w:style w:type="paragraph" w:customStyle="1" w:styleId="tableheaderL">
    <w:name w:val="table header L"/>
    <w:basedOn w:val="Normal"/>
    <w:qFormat/>
    <w:rsid w:val="00141A29"/>
    <w:pPr>
      <w:pBdr>
        <w:top w:val="nil"/>
        <w:left w:val="nil"/>
        <w:bottom w:val="nil"/>
        <w:right w:val="nil"/>
        <w:between w:val="nil"/>
        <w:bar w:val="nil"/>
      </w:pBdr>
      <w:spacing w:before="120" w:after="120" w:line="276" w:lineRule="auto"/>
    </w:pPr>
    <w:rPr>
      <w:rFonts w:eastAsia="Cambria" w:cs="Calibri"/>
      <w:b/>
      <w:color w:val="1F497D" w:themeColor="text2"/>
      <w:szCs w:val="22"/>
      <w:u w:color="000000"/>
      <w:bdr w:val="nil"/>
      <w:lang w:val="en-US"/>
    </w:rPr>
  </w:style>
  <w:style w:type="table" w:customStyle="1" w:styleId="PlainTable11">
    <w:name w:val="Plain Table 11"/>
    <w:basedOn w:val="TableNormal"/>
    <w:uiPriority w:val="41"/>
    <w:rsid w:val="00595354"/>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59535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59535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L">
    <w:name w:val="normal L"/>
    <w:basedOn w:val="Normal"/>
    <w:qFormat/>
    <w:rsid w:val="00595354"/>
    <w:pPr>
      <w:pBdr>
        <w:top w:val="nil"/>
        <w:left w:val="nil"/>
        <w:bottom w:val="nil"/>
        <w:right w:val="nil"/>
        <w:between w:val="nil"/>
        <w:bar w:val="nil"/>
      </w:pBdr>
      <w:spacing w:before="120" w:after="120"/>
    </w:pPr>
    <w:rPr>
      <w:rFonts w:ascii="Calibri" w:eastAsia="Cambria" w:hAnsi="Calibri" w:cs="Calibri"/>
      <w:color w:val="000000"/>
      <w:szCs w:val="22"/>
      <w:u w:color="000000"/>
      <w:bdr w:val="nil"/>
      <w:lang w:val="en-US"/>
    </w:rPr>
  </w:style>
  <w:style w:type="paragraph" w:customStyle="1" w:styleId="tableD10pttab2">
    <w:name w:val="table D 10 pt tab .2"/>
    <w:basedOn w:val="tableDtab4"/>
    <w:qFormat/>
    <w:rsid w:val="00595354"/>
    <w:pPr>
      <w:framePr w:wrap="around"/>
      <w:tabs>
        <w:tab w:val="decimal" w:pos="113"/>
      </w:tabs>
    </w:pPr>
  </w:style>
  <w:style w:type="paragraph" w:customStyle="1" w:styleId="tableD10pttab4">
    <w:name w:val="table D 10 pt tab .4"/>
    <w:basedOn w:val="tableDtab4"/>
    <w:qFormat/>
    <w:rsid w:val="00595354"/>
    <w:pPr>
      <w:framePr w:wrap="around"/>
    </w:pPr>
    <w:rPr>
      <w:sz w:val="20"/>
      <w:szCs w:val="20"/>
    </w:rPr>
  </w:style>
  <w:style w:type="paragraph" w:customStyle="1" w:styleId="tabletext10ptcond03">
    <w:name w:val="table text 10 pt cond .03"/>
    <w:basedOn w:val="Normal"/>
    <w:qFormat/>
    <w:rsid w:val="00595354"/>
    <w:pPr>
      <w:pBdr>
        <w:top w:val="nil"/>
        <w:left w:val="nil"/>
        <w:bottom w:val="nil"/>
        <w:right w:val="nil"/>
        <w:between w:val="nil"/>
        <w:bar w:val="nil"/>
      </w:pBdr>
      <w:spacing w:before="120" w:after="120"/>
      <w:jc w:val="both"/>
    </w:pPr>
    <w:rPr>
      <w:rFonts w:ascii="Calibri" w:eastAsia="Cambria" w:hAnsi="Calibri" w:cs="Calibri"/>
      <w:color w:val="000000"/>
      <w:spacing w:val="-6"/>
      <w:sz w:val="18"/>
      <w:szCs w:val="18"/>
      <w:u w:color="000000"/>
      <w:bdr w:val="nil"/>
      <w:lang w:val="en-US"/>
    </w:rPr>
  </w:style>
  <w:style w:type="paragraph" w:customStyle="1" w:styleId="tabletext10pt">
    <w:name w:val="table text 10 pt"/>
    <w:basedOn w:val="normalL"/>
    <w:qFormat/>
    <w:rsid w:val="00595354"/>
    <w:rPr>
      <w:sz w:val="18"/>
      <w:szCs w:val="18"/>
    </w:rPr>
  </w:style>
  <w:style w:type="character" w:styleId="HTMLCite">
    <w:name w:val="HTML Cite"/>
    <w:basedOn w:val="DefaultParagraphFont"/>
    <w:uiPriority w:val="99"/>
    <w:unhideWhenUsed/>
    <w:rsid w:val="00595354"/>
    <w:rPr>
      <w:i/>
      <w:iCs/>
    </w:rPr>
  </w:style>
  <w:style w:type="paragraph" w:customStyle="1" w:styleId="smallheadingAWB">
    <w:name w:val="small headingAWB"/>
    <w:basedOn w:val="Normal"/>
    <w:link w:val="smallheadingAWBChar"/>
    <w:qFormat/>
    <w:rsid w:val="00595354"/>
    <w:pPr>
      <w:keepNext/>
      <w:pBdr>
        <w:top w:val="nil"/>
        <w:left w:val="nil"/>
        <w:bottom w:val="nil"/>
        <w:right w:val="nil"/>
        <w:between w:val="nil"/>
        <w:bar w:val="nil"/>
      </w:pBdr>
      <w:spacing w:before="120" w:after="120" w:line="276" w:lineRule="auto"/>
      <w:jc w:val="both"/>
      <w:outlineLvl w:val="2"/>
    </w:pPr>
    <w:rPr>
      <w:rFonts w:eastAsia="Cambria" w:cs="Arial"/>
      <w:b/>
      <w:color w:val="000000"/>
      <w:szCs w:val="22"/>
      <w:u w:color="000000"/>
      <w:lang w:eastAsia="en-US"/>
    </w:rPr>
  </w:style>
  <w:style w:type="paragraph" w:customStyle="1" w:styleId="awbbodytext">
    <w:name w:val="awbbodytext"/>
    <w:basedOn w:val="Normal"/>
    <w:link w:val="awbbodytextChar"/>
    <w:qFormat/>
    <w:rsid w:val="00595354"/>
    <w:pPr>
      <w:pBdr>
        <w:top w:val="nil"/>
        <w:left w:val="nil"/>
        <w:bottom w:val="nil"/>
        <w:right w:val="nil"/>
        <w:between w:val="nil"/>
        <w:bar w:val="nil"/>
      </w:pBdr>
      <w:shd w:val="clear" w:color="auto" w:fill="FFFF00"/>
      <w:tabs>
        <w:tab w:val="left" w:pos="3737"/>
      </w:tabs>
      <w:spacing w:after="160" w:line="276" w:lineRule="auto"/>
      <w:jc w:val="both"/>
    </w:pPr>
    <w:rPr>
      <w:rFonts w:ascii="Calibri" w:hAnsi="Calibri" w:cs="Calibri"/>
      <w:iCs/>
      <w:color w:val="000000"/>
      <w:szCs w:val="22"/>
      <w:u w:color="000000"/>
      <w:bdr w:val="nil"/>
      <w:lang w:val="en-US"/>
    </w:rPr>
  </w:style>
  <w:style w:type="character" w:customStyle="1" w:styleId="smallheadingAWBChar">
    <w:name w:val="small headingAWB Char"/>
    <w:basedOn w:val="DefaultParagraphFont"/>
    <w:link w:val="smallheadingAWB"/>
    <w:rsid w:val="00595354"/>
    <w:rPr>
      <w:rFonts w:ascii="Arial" w:eastAsia="Cambria" w:hAnsi="Arial" w:cs="Arial"/>
      <w:b/>
      <w:color w:val="000000"/>
      <w:sz w:val="22"/>
      <w:szCs w:val="22"/>
      <w:u w:color="000000"/>
      <w:lang w:eastAsia="en-US"/>
    </w:rPr>
  </w:style>
  <w:style w:type="paragraph" w:customStyle="1" w:styleId="largetitleAWB">
    <w:name w:val="largetitleAWB"/>
    <w:basedOn w:val="Normal"/>
    <w:link w:val="largetitleAWBChar"/>
    <w:qFormat/>
    <w:rsid w:val="00595354"/>
    <w:pPr>
      <w:keepNext/>
      <w:pBdr>
        <w:top w:val="nil"/>
        <w:left w:val="nil"/>
        <w:bottom w:val="nil"/>
        <w:right w:val="nil"/>
        <w:between w:val="nil"/>
        <w:bar w:val="nil"/>
      </w:pBdr>
      <w:spacing w:before="120" w:after="120" w:line="276" w:lineRule="auto"/>
      <w:jc w:val="both"/>
      <w:outlineLvl w:val="1"/>
    </w:pPr>
    <w:rPr>
      <w:rFonts w:ascii="Arial Black" w:eastAsia="Cambria" w:hAnsi="Arial Black" w:cs="Calibri"/>
      <w:b/>
      <w:sz w:val="24"/>
      <w:u w:color="000000"/>
      <w:bdr w:val="nil"/>
      <w:lang w:val="en-US"/>
    </w:rPr>
  </w:style>
  <w:style w:type="character" w:customStyle="1" w:styleId="awbbodytextChar">
    <w:name w:val="awbbodytext Char"/>
    <w:basedOn w:val="DefaultParagraphFont"/>
    <w:link w:val="awbbodytext"/>
    <w:rsid w:val="00595354"/>
    <w:rPr>
      <w:rFonts w:ascii="Calibri" w:hAnsi="Calibri" w:cs="Calibri"/>
      <w:iCs/>
      <w:color w:val="000000"/>
      <w:sz w:val="22"/>
      <w:szCs w:val="22"/>
      <w:u w:color="000000"/>
      <w:bdr w:val="nil"/>
      <w:shd w:val="clear" w:color="auto" w:fill="FFFF00"/>
      <w:lang w:val="en-US"/>
    </w:rPr>
  </w:style>
  <w:style w:type="paragraph" w:customStyle="1" w:styleId="MAINTEXTawb">
    <w:name w:val="MAINTEXTawb"/>
    <w:basedOn w:val="Normal"/>
    <w:link w:val="MAINTEXTawbChar"/>
    <w:qFormat/>
    <w:rsid w:val="00595354"/>
    <w:pPr>
      <w:pBdr>
        <w:top w:val="nil"/>
        <w:left w:val="nil"/>
        <w:bottom w:val="nil"/>
        <w:right w:val="nil"/>
        <w:between w:val="nil"/>
        <w:bar w:val="nil"/>
      </w:pBdr>
      <w:spacing w:before="120" w:after="120" w:line="276" w:lineRule="auto"/>
      <w:jc w:val="both"/>
    </w:pPr>
    <w:rPr>
      <w:rFonts w:ascii="Calibri" w:eastAsia="Cambria" w:hAnsi="Calibri" w:cs="Calibri"/>
      <w:color w:val="000000"/>
      <w:szCs w:val="22"/>
      <w:u w:color="000000"/>
      <w:bdr w:val="nil"/>
      <w:lang w:val="en-US"/>
    </w:rPr>
  </w:style>
  <w:style w:type="character" w:customStyle="1" w:styleId="largetitleAWBChar">
    <w:name w:val="largetitleAWB Char"/>
    <w:basedOn w:val="DefaultParagraphFont"/>
    <w:link w:val="largetitleAWB"/>
    <w:rsid w:val="00595354"/>
    <w:rPr>
      <w:rFonts w:ascii="Arial Black" w:eastAsia="Cambria" w:hAnsi="Arial Black" w:cs="Calibri"/>
      <w:b/>
      <w:sz w:val="24"/>
      <w:szCs w:val="24"/>
      <w:u w:color="000000"/>
      <w:bdr w:val="nil"/>
      <w:lang w:val="en-US"/>
    </w:rPr>
  </w:style>
  <w:style w:type="character" w:customStyle="1" w:styleId="ReferenceChar">
    <w:name w:val="Reference Char"/>
    <w:basedOn w:val="DefaultParagraphFont"/>
    <w:link w:val="Reference"/>
    <w:locked/>
    <w:rsid w:val="00595354"/>
  </w:style>
  <w:style w:type="character" w:customStyle="1" w:styleId="MAINTEXTawbChar">
    <w:name w:val="MAINTEXTawb Char"/>
    <w:basedOn w:val="DefaultParagraphFont"/>
    <w:link w:val="MAINTEXTawb"/>
    <w:rsid w:val="00595354"/>
    <w:rPr>
      <w:rFonts w:ascii="Calibri" w:eastAsia="Cambria" w:hAnsi="Calibri" w:cs="Calibri"/>
      <w:color w:val="000000"/>
      <w:sz w:val="22"/>
      <w:szCs w:val="22"/>
      <w:u w:color="000000"/>
      <w:bdr w:val="nil"/>
      <w:lang w:val="en-US"/>
    </w:rPr>
  </w:style>
  <w:style w:type="paragraph" w:customStyle="1" w:styleId="Reference">
    <w:name w:val="Reference"/>
    <w:basedOn w:val="Normal"/>
    <w:link w:val="ReferenceChar"/>
    <w:rsid w:val="00595354"/>
    <w:pPr>
      <w:spacing w:line="480" w:lineRule="auto"/>
      <w:ind w:left="720" w:hanging="720"/>
    </w:pPr>
    <w:rPr>
      <w:rFonts w:ascii="Times New Roman" w:hAnsi="Times New Roman"/>
      <w:sz w:val="20"/>
      <w:szCs w:val="20"/>
    </w:rPr>
  </w:style>
  <w:style w:type="paragraph" w:customStyle="1" w:styleId="PlainText1">
    <w:name w:val="Plain Text1"/>
    <w:basedOn w:val="Normal"/>
    <w:next w:val="PlainText"/>
    <w:link w:val="PlainTextChar"/>
    <w:uiPriority w:val="99"/>
    <w:semiHidden/>
    <w:unhideWhenUsed/>
    <w:rsid w:val="00595354"/>
    <w:rPr>
      <w:rFonts w:ascii="Calibri" w:hAnsi="Calibri"/>
      <w:sz w:val="20"/>
      <w:szCs w:val="21"/>
    </w:rPr>
  </w:style>
  <w:style w:type="character" w:customStyle="1" w:styleId="PlainTextChar">
    <w:name w:val="Plain Text Char"/>
    <w:basedOn w:val="DefaultParagraphFont"/>
    <w:link w:val="PlainText1"/>
    <w:uiPriority w:val="99"/>
    <w:semiHidden/>
    <w:rsid w:val="00595354"/>
    <w:rPr>
      <w:rFonts w:ascii="Calibri" w:hAnsi="Calibri"/>
      <w:szCs w:val="21"/>
    </w:rPr>
  </w:style>
  <w:style w:type="paragraph" w:styleId="Quote">
    <w:name w:val="Quote"/>
    <w:basedOn w:val="Normal"/>
    <w:next w:val="Normal"/>
    <w:link w:val="QuoteChar"/>
    <w:uiPriority w:val="29"/>
    <w:qFormat/>
    <w:rsid w:val="00595354"/>
    <w:rPr>
      <w:rFonts w:ascii="Times New Roman" w:eastAsia="Cambria" w:hAnsi="Times New Roman" w:cs="Calibri"/>
      <w:i/>
      <w:color w:val="000000"/>
      <w:sz w:val="20"/>
      <w:szCs w:val="20"/>
      <w:u w:color="000000"/>
      <w:bdr w:val="nil"/>
      <w:lang w:val="en-US"/>
    </w:rPr>
  </w:style>
  <w:style w:type="character" w:customStyle="1" w:styleId="QuoteChar1">
    <w:name w:val="Quote Char1"/>
    <w:basedOn w:val="DefaultParagraphFont"/>
    <w:uiPriority w:val="29"/>
    <w:rsid w:val="00595354"/>
    <w:rPr>
      <w:rFonts w:ascii="Arial" w:hAnsi="Arial"/>
      <w:i/>
      <w:iCs/>
      <w:color w:val="000000" w:themeColor="text1"/>
      <w:sz w:val="22"/>
      <w:szCs w:val="24"/>
    </w:rPr>
  </w:style>
  <w:style w:type="paragraph" w:styleId="PlainText">
    <w:name w:val="Plain Text"/>
    <w:basedOn w:val="Normal"/>
    <w:link w:val="PlainTextChar1"/>
    <w:uiPriority w:val="99"/>
    <w:rsid w:val="00595354"/>
    <w:rPr>
      <w:rFonts w:ascii="Consolas" w:hAnsi="Consolas" w:cs="Consolas"/>
      <w:sz w:val="21"/>
      <w:szCs w:val="21"/>
    </w:rPr>
  </w:style>
  <w:style w:type="character" w:customStyle="1" w:styleId="PlainTextChar1">
    <w:name w:val="Plain Text Char1"/>
    <w:basedOn w:val="DefaultParagraphFont"/>
    <w:link w:val="PlainText"/>
    <w:rsid w:val="00595354"/>
    <w:rPr>
      <w:rFonts w:ascii="Consolas" w:hAnsi="Consolas" w:cs="Consolas"/>
      <w:sz w:val="21"/>
      <w:szCs w:val="21"/>
    </w:rPr>
  </w:style>
  <w:style w:type="numbering" w:customStyle="1" w:styleId="NoList2">
    <w:name w:val="No List2"/>
    <w:next w:val="NoList"/>
    <w:uiPriority w:val="99"/>
    <w:semiHidden/>
    <w:unhideWhenUsed/>
    <w:rsid w:val="00F43118"/>
  </w:style>
  <w:style w:type="numbering" w:customStyle="1" w:styleId="NoList12">
    <w:name w:val="No List12"/>
    <w:next w:val="NoList"/>
    <w:uiPriority w:val="99"/>
    <w:semiHidden/>
    <w:unhideWhenUsed/>
    <w:rsid w:val="00F43118"/>
  </w:style>
  <w:style w:type="numbering" w:customStyle="1" w:styleId="List511">
    <w:name w:val="List 511"/>
    <w:basedOn w:val="NoList"/>
    <w:rsid w:val="00F43118"/>
  </w:style>
  <w:style w:type="table" w:customStyle="1" w:styleId="TableGrid2">
    <w:name w:val="Table Grid2"/>
    <w:basedOn w:val="TableNormal"/>
    <w:next w:val="TableGrid"/>
    <w:uiPriority w:val="59"/>
    <w:rsid w:val="00F43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F43118"/>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F43118"/>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F4311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WA-FOOTER">
    <w:name w:val="SWA - FOOTER"/>
    <w:basedOn w:val="Normal"/>
    <w:qFormat/>
    <w:rsid w:val="00DF04D3"/>
    <w:pPr>
      <w:tabs>
        <w:tab w:val="left" w:pos="425"/>
        <w:tab w:val="right" w:pos="9072"/>
      </w:tabs>
      <w:spacing w:after="120"/>
      <w:ind w:left="425" w:hanging="425"/>
      <w:contextualSpacing/>
    </w:pPr>
    <w:rPr>
      <w:rFonts w:eastAsiaTheme="minorHAnsi" w:cstheme="minorBidi"/>
      <w:sz w:val="18"/>
      <w:lang w:eastAsia="en-US"/>
    </w:rPr>
  </w:style>
  <w:style w:type="paragraph" w:customStyle="1" w:styleId="Style1">
    <w:name w:val="Style1"/>
    <w:basedOn w:val="Normal"/>
    <w:link w:val="Style1Char"/>
    <w:qFormat/>
    <w:rsid w:val="005F2060"/>
    <w:pPr>
      <w:numPr>
        <w:numId w:val="35"/>
      </w:numPr>
      <w:suppressAutoHyphens/>
      <w:autoSpaceDE w:val="0"/>
      <w:autoSpaceDN w:val="0"/>
      <w:adjustRightInd w:val="0"/>
      <w:spacing w:after="57" w:line="264" w:lineRule="atLeast"/>
      <w:ind w:right="-1045"/>
      <w:textAlignment w:val="center"/>
    </w:pPr>
    <w:rPr>
      <w:rFonts w:eastAsia="Calibri" w:cs="Arial"/>
      <w:color w:val="000000"/>
      <w:szCs w:val="22"/>
      <w:lang w:val="en-US" w:eastAsia="en-US"/>
    </w:rPr>
  </w:style>
  <w:style w:type="paragraph" w:styleId="EndnoteText">
    <w:name w:val="endnote text"/>
    <w:basedOn w:val="Normal"/>
    <w:link w:val="EndnoteTextChar"/>
    <w:semiHidden/>
    <w:unhideWhenUsed/>
    <w:rsid w:val="00C36F2F"/>
    <w:rPr>
      <w:sz w:val="20"/>
      <w:szCs w:val="20"/>
    </w:rPr>
  </w:style>
  <w:style w:type="character" w:customStyle="1" w:styleId="Style1Char">
    <w:name w:val="Style1 Char"/>
    <w:basedOn w:val="DefaultParagraphFont"/>
    <w:link w:val="Style1"/>
    <w:rsid w:val="005F2060"/>
    <w:rPr>
      <w:rFonts w:ascii="Arial" w:eastAsia="Calibri" w:hAnsi="Arial" w:cs="Arial"/>
      <w:color w:val="000000"/>
      <w:sz w:val="22"/>
      <w:szCs w:val="22"/>
      <w:lang w:val="en-US" w:eastAsia="en-US"/>
    </w:rPr>
  </w:style>
  <w:style w:type="character" w:customStyle="1" w:styleId="EndnoteTextChar">
    <w:name w:val="Endnote Text Char"/>
    <w:basedOn w:val="DefaultParagraphFont"/>
    <w:link w:val="EndnoteText"/>
    <w:semiHidden/>
    <w:rsid w:val="00C36F2F"/>
    <w:rPr>
      <w:rFonts w:ascii="Arial" w:hAnsi="Arial"/>
    </w:rPr>
  </w:style>
  <w:style w:type="character" w:styleId="EndnoteReference">
    <w:name w:val="endnote reference"/>
    <w:basedOn w:val="DefaultParagraphFont"/>
    <w:semiHidden/>
    <w:unhideWhenUsed/>
    <w:rsid w:val="00C36F2F"/>
    <w:rPr>
      <w:vertAlign w:val="superscript"/>
    </w:rPr>
  </w:style>
  <w:style w:type="paragraph" w:customStyle="1" w:styleId="Style2">
    <w:name w:val="Style2"/>
    <w:basedOn w:val="Normal"/>
    <w:link w:val="Style2Char"/>
    <w:qFormat/>
    <w:rsid w:val="003F754F"/>
    <w:pPr>
      <w:pBdr>
        <w:top w:val="nil"/>
        <w:left w:val="nil"/>
        <w:bottom w:val="nil"/>
        <w:right w:val="nil"/>
        <w:between w:val="nil"/>
        <w:bar w:val="nil"/>
      </w:pBdr>
      <w:spacing w:before="120" w:after="120" w:line="276" w:lineRule="auto"/>
      <w:jc w:val="both"/>
    </w:pPr>
    <w:rPr>
      <w:rFonts w:ascii="Calibri" w:eastAsia="Calibri" w:hAnsi="Calibri"/>
      <w:szCs w:val="22"/>
      <w:lang w:eastAsia="en-US"/>
    </w:rPr>
  </w:style>
  <w:style w:type="paragraph" w:customStyle="1" w:styleId="StyleHeading9Heading9Char2Heading9Char1CharTahomaBefo">
    <w:name w:val="Style Heading 9Heading 9 Char2Heading 9 Char1 Char + Tahoma Befo..."/>
    <w:basedOn w:val="Heading9"/>
    <w:rsid w:val="009B39EA"/>
    <w:pPr>
      <w:numPr>
        <w:ilvl w:val="8"/>
      </w:numPr>
      <w:tabs>
        <w:tab w:val="left" w:pos="567"/>
        <w:tab w:val="num" w:pos="862"/>
      </w:tabs>
      <w:overflowPunct/>
      <w:autoSpaceDE/>
      <w:autoSpaceDN/>
      <w:adjustRightInd/>
      <w:spacing w:before="48" w:after="48"/>
      <w:ind w:left="142"/>
      <w:textAlignment w:val="auto"/>
    </w:pPr>
    <w:rPr>
      <w:rFonts w:eastAsia="Times New Roman" w:cs="Times New Roman"/>
      <w:b/>
      <w:bCs/>
      <w:sz w:val="20"/>
      <w:szCs w:val="20"/>
      <w:lang w:val="en-GB"/>
    </w:rPr>
  </w:style>
  <w:style w:type="character" w:customStyle="1" w:styleId="Style2Char">
    <w:name w:val="Style2 Char"/>
    <w:basedOn w:val="DefaultParagraphFont"/>
    <w:link w:val="Style2"/>
    <w:rsid w:val="003F754F"/>
    <w:rPr>
      <w:rFonts w:ascii="Calibri" w:eastAsia="Calibri" w:hAnsi="Calibri"/>
      <w:sz w:val="22"/>
      <w:szCs w:val="22"/>
      <w:lang w:eastAsia="en-US"/>
    </w:rPr>
  </w:style>
  <w:style w:type="paragraph" w:customStyle="1" w:styleId="Style4">
    <w:name w:val="Style4"/>
    <w:basedOn w:val="Normal"/>
    <w:qFormat/>
    <w:rsid w:val="009B39EA"/>
    <w:pPr>
      <w:spacing w:after="60"/>
      <w:ind w:left="710" w:right="-68"/>
      <w:outlineLvl w:val="7"/>
    </w:pPr>
    <w:rPr>
      <w:rFonts w:cs="Arial"/>
      <w:b/>
      <w:bCs/>
      <w:sz w:val="28"/>
      <w:szCs w:val="28"/>
      <w:lang w:eastAsia="en-US"/>
    </w:rPr>
  </w:style>
  <w:style w:type="paragraph" w:customStyle="1" w:styleId="Style3">
    <w:name w:val="Style3"/>
    <w:basedOn w:val="ListParagraph"/>
    <w:link w:val="Style3Char"/>
    <w:qFormat/>
    <w:rsid w:val="003F754F"/>
    <w:pPr>
      <w:numPr>
        <w:numId w:val="47"/>
      </w:numPr>
      <w:tabs>
        <w:tab w:val="left" w:pos="709"/>
      </w:tabs>
      <w:suppressAutoHyphens/>
      <w:spacing w:after="57" w:line="264" w:lineRule="atLeast"/>
      <w:ind w:right="89"/>
      <w:jc w:val="both"/>
      <w:textAlignment w:val="center"/>
    </w:pPr>
    <w:rPr>
      <w:rFonts w:asciiTheme="minorHAnsi" w:eastAsia="Calibri" w:hAnsiTheme="minorHAnsi" w:cstheme="minorHAnsi"/>
      <w:color w:val="000000"/>
      <w:szCs w:val="22"/>
      <w:lang w:val="en-US" w:eastAsia="en-US"/>
    </w:rPr>
  </w:style>
  <w:style w:type="character" w:customStyle="1" w:styleId="Style3Char">
    <w:name w:val="Style3 Char"/>
    <w:basedOn w:val="ListParagraphChar"/>
    <w:link w:val="Style3"/>
    <w:rsid w:val="003F754F"/>
    <w:rPr>
      <w:rFonts w:asciiTheme="minorHAnsi" w:eastAsia="Calibri" w:hAnsiTheme="minorHAnsi" w:cstheme="minorHAnsi"/>
      <w:color w:val="000000"/>
      <w:sz w:val="22"/>
      <w:szCs w:val="22"/>
      <w:lang w:val="en-US" w:eastAsia="en-US"/>
    </w:rPr>
  </w:style>
  <w:style w:type="paragraph" w:customStyle="1" w:styleId="Style5">
    <w:name w:val="Style5"/>
    <w:basedOn w:val="Normal"/>
    <w:link w:val="Style5Char"/>
    <w:qFormat/>
    <w:rsid w:val="00260052"/>
    <w:pPr>
      <w:pBdr>
        <w:top w:val="nil"/>
        <w:left w:val="nil"/>
        <w:bottom w:val="nil"/>
        <w:right w:val="nil"/>
        <w:between w:val="nil"/>
        <w:bar w:val="nil"/>
      </w:pBdr>
      <w:spacing w:before="120" w:after="120" w:line="276" w:lineRule="auto"/>
      <w:jc w:val="both"/>
    </w:pPr>
    <w:rPr>
      <w:rFonts w:ascii="Calibri" w:eastAsia="Cambria" w:hAnsi="Calibri" w:cs="Calibri"/>
      <w:color w:val="000000"/>
      <w:szCs w:val="22"/>
      <w:u w:color="000000"/>
      <w:bdr w:val="nil"/>
      <w:lang w:val="en-US"/>
    </w:rPr>
  </w:style>
  <w:style w:type="character" w:customStyle="1" w:styleId="Style5Char">
    <w:name w:val="Style5 Char"/>
    <w:basedOn w:val="DefaultParagraphFont"/>
    <w:link w:val="Style5"/>
    <w:rsid w:val="00260052"/>
    <w:rPr>
      <w:rFonts w:ascii="Calibri" w:eastAsia="Cambria" w:hAnsi="Calibri" w:cs="Calibri"/>
      <w:color w:val="000000"/>
      <w:sz w:val="22"/>
      <w:szCs w:val="22"/>
      <w:u w:color="000000"/>
      <w:bdr w:val="nil"/>
      <w:lang w:val="en-US"/>
    </w:rPr>
  </w:style>
  <w:style w:type="paragraph" w:styleId="NormalWeb">
    <w:name w:val="Normal (Web)"/>
    <w:basedOn w:val="Normal"/>
    <w:uiPriority w:val="99"/>
    <w:semiHidden/>
    <w:unhideWhenUsed/>
    <w:rsid w:val="00B7440A"/>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321">
      <w:bodyDiv w:val="1"/>
      <w:marLeft w:val="0"/>
      <w:marRight w:val="0"/>
      <w:marTop w:val="0"/>
      <w:marBottom w:val="0"/>
      <w:divBdr>
        <w:top w:val="none" w:sz="0" w:space="0" w:color="auto"/>
        <w:left w:val="none" w:sz="0" w:space="0" w:color="auto"/>
        <w:bottom w:val="none" w:sz="0" w:space="0" w:color="auto"/>
        <w:right w:val="none" w:sz="0" w:space="0" w:color="auto"/>
      </w:divBdr>
    </w:div>
    <w:div w:id="45837584">
      <w:bodyDiv w:val="1"/>
      <w:marLeft w:val="0"/>
      <w:marRight w:val="0"/>
      <w:marTop w:val="0"/>
      <w:marBottom w:val="0"/>
      <w:divBdr>
        <w:top w:val="none" w:sz="0" w:space="0" w:color="auto"/>
        <w:left w:val="none" w:sz="0" w:space="0" w:color="auto"/>
        <w:bottom w:val="none" w:sz="0" w:space="0" w:color="auto"/>
        <w:right w:val="none" w:sz="0" w:space="0" w:color="auto"/>
      </w:divBdr>
    </w:div>
    <w:div w:id="156043637">
      <w:bodyDiv w:val="1"/>
      <w:marLeft w:val="0"/>
      <w:marRight w:val="0"/>
      <w:marTop w:val="0"/>
      <w:marBottom w:val="0"/>
      <w:divBdr>
        <w:top w:val="none" w:sz="0" w:space="0" w:color="auto"/>
        <w:left w:val="none" w:sz="0" w:space="0" w:color="auto"/>
        <w:bottom w:val="none" w:sz="0" w:space="0" w:color="auto"/>
        <w:right w:val="none" w:sz="0" w:space="0" w:color="auto"/>
      </w:divBdr>
    </w:div>
    <w:div w:id="208761032">
      <w:bodyDiv w:val="1"/>
      <w:marLeft w:val="0"/>
      <w:marRight w:val="0"/>
      <w:marTop w:val="0"/>
      <w:marBottom w:val="0"/>
      <w:divBdr>
        <w:top w:val="none" w:sz="0" w:space="0" w:color="auto"/>
        <w:left w:val="none" w:sz="0" w:space="0" w:color="auto"/>
        <w:bottom w:val="none" w:sz="0" w:space="0" w:color="auto"/>
        <w:right w:val="none" w:sz="0" w:space="0" w:color="auto"/>
      </w:divBdr>
    </w:div>
    <w:div w:id="237912107">
      <w:bodyDiv w:val="1"/>
      <w:marLeft w:val="0"/>
      <w:marRight w:val="0"/>
      <w:marTop w:val="0"/>
      <w:marBottom w:val="0"/>
      <w:divBdr>
        <w:top w:val="none" w:sz="0" w:space="0" w:color="auto"/>
        <w:left w:val="none" w:sz="0" w:space="0" w:color="auto"/>
        <w:bottom w:val="none" w:sz="0" w:space="0" w:color="auto"/>
        <w:right w:val="none" w:sz="0" w:space="0" w:color="auto"/>
      </w:divBdr>
    </w:div>
    <w:div w:id="339503032">
      <w:bodyDiv w:val="1"/>
      <w:marLeft w:val="0"/>
      <w:marRight w:val="0"/>
      <w:marTop w:val="0"/>
      <w:marBottom w:val="0"/>
      <w:divBdr>
        <w:top w:val="none" w:sz="0" w:space="0" w:color="auto"/>
        <w:left w:val="none" w:sz="0" w:space="0" w:color="auto"/>
        <w:bottom w:val="none" w:sz="0" w:space="0" w:color="auto"/>
        <w:right w:val="none" w:sz="0" w:space="0" w:color="auto"/>
      </w:divBdr>
    </w:div>
    <w:div w:id="370544060">
      <w:bodyDiv w:val="1"/>
      <w:marLeft w:val="0"/>
      <w:marRight w:val="0"/>
      <w:marTop w:val="0"/>
      <w:marBottom w:val="0"/>
      <w:divBdr>
        <w:top w:val="none" w:sz="0" w:space="0" w:color="auto"/>
        <w:left w:val="none" w:sz="0" w:space="0" w:color="auto"/>
        <w:bottom w:val="none" w:sz="0" w:space="0" w:color="auto"/>
        <w:right w:val="none" w:sz="0" w:space="0" w:color="auto"/>
      </w:divBdr>
    </w:div>
    <w:div w:id="425812730">
      <w:bodyDiv w:val="1"/>
      <w:marLeft w:val="0"/>
      <w:marRight w:val="0"/>
      <w:marTop w:val="0"/>
      <w:marBottom w:val="0"/>
      <w:divBdr>
        <w:top w:val="none" w:sz="0" w:space="0" w:color="auto"/>
        <w:left w:val="none" w:sz="0" w:space="0" w:color="auto"/>
        <w:bottom w:val="none" w:sz="0" w:space="0" w:color="auto"/>
        <w:right w:val="none" w:sz="0" w:space="0" w:color="auto"/>
      </w:divBdr>
    </w:div>
    <w:div w:id="552810484">
      <w:bodyDiv w:val="1"/>
      <w:marLeft w:val="0"/>
      <w:marRight w:val="0"/>
      <w:marTop w:val="0"/>
      <w:marBottom w:val="0"/>
      <w:divBdr>
        <w:top w:val="none" w:sz="0" w:space="0" w:color="auto"/>
        <w:left w:val="none" w:sz="0" w:space="0" w:color="auto"/>
        <w:bottom w:val="none" w:sz="0" w:space="0" w:color="auto"/>
        <w:right w:val="none" w:sz="0" w:space="0" w:color="auto"/>
      </w:divBdr>
    </w:div>
    <w:div w:id="732117486">
      <w:bodyDiv w:val="1"/>
      <w:marLeft w:val="0"/>
      <w:marRight w:val="0"/>
      <w:marTop w:val="0"/>
      <w:marBottom w:val="0"/>
      <w:divBdr>
        <w:top w:val="none" w:sz="0" w:space="0" w:color="auto"/>
        <w:left w:val="none" w:sz="0" w:space="0" w:color="auto"/>
        <w:bottom w:val="none" w:sz="0" w:space="0" w:color="auto"/>
        <w:right w:val="none" w:sz="0" w:space="0" w:color="auto"/>
      </w:divBdr>
    </w:div>
    <w:div w:id="1251357163">
      <w:bodyDiv w:val="1"/>
      <w:marLeft w:val="0"/>
      <w:marRight w:val="0"/>
      <w:marTop w:val="0"/>
      <w:marBottom w:val="0"/>
      <w:divBdr>
        <w:top w:val="none" w:sz="0" w:space="0" w:color="auto"/>
        <w:left w:val="none" w:sz="0" w:space="0" w:color="auto"/>
        <w:bottom w:val="none" w:sz="0" w:space="0" w:color="auto"/>
        <w:right w:val="none" w:sz="0" w:space="0" w:color="auto"/>
      </w:divBdr>
    </w:div>
    <w:div w:id="1435705373">
      <w:bodyDiv w:val="1"/>
      <w:marLeft w:val="0"/>
      <w:marRight w:val="0"/>
      <w:marTop w:val="0"/>
      <w:marBottom w:val="0"/>
      <w:divBdr>
        <w:top w:val="none" w:sz="0" w:space="0" w:color="auto"/>
        <w:left w:val="none" w:sz="0" w:space="0" w:color="auto"/>
        <w:bottom w:val="none" w:sz="0" w:space="0" w:color="auto"/>
        <w:right w:val="none" w:sz="0" w:space="0" w:color="auto"/>
      </w:divBdr>
    </w:div>
    <w:div w:id="1462457012">
      <w:bodyDiv w:val="1"/>
      <w:marLeft w:val="0"/>
      <w:marRight w:val="0"/>
      <w:marTop w:val="0"/>
      <w:marBottom w:val="0"/>
      <w:divBdr>
        <w:top w:val="none" w:sz="0" w:space="0" w:color="auto"/>
        <w:left w:val="none" w:sz="0" w:space="0" w:color="auto"/>
        <w:bottom w:val="none" w:sz="0" w:space="0" w:color="auto"/>
        <w:right w:val="none" w:sz="0" w:space="0" w:color="auto"/>
      </w:divBdr>
    </w:div>
    <w:div w:id="1522552420">
      <w:bodyDiv w:val="1"/>
      <w:marLeft w:val="0"/>
      <w:marRight w:val="0"/>
      <w:marTop w:val="0"/>
      <w:marBottom w:val="0"/>
      <w:divBdr>
        <w:top w:val="none" w:sz="0" w:space="0" w:color="auto"/>
        <w:left w:val="none" w:sz="0" w:space="0" w:color="auto"/>
        <w:bottom w:val="none" w:sz="0" w:space="0" w:color="auto"/>
        <w:right w:val="none" w:sz="0" w:space="0" w:color="auto"/>
      </w:divBdr>
    </w:div>
    <w:div w:id="1566179451">
      <w:bodyDiv w:val="1"/>
      <w:marLeft w:val="0"/>
      <w:marRight w:val="0"/>
      <w:marTop w:val="0"/>
      <w:marBottom w:val="0"/>
      <w:divBdr>
        <w:top w:val="none" w:sz="0" w:space="0" w:color="auto"/>
        <w:left w:val="none" w:sz="0" w:space="0" w:color="auto"/>
        <w:bottom w:val="none" w:sz="0" w:space="0" w:color="auto"/>
        <w:right w:val="none" w:sz="0" w:space="0" w:color="auto"/>
      </w:divBdr>
    </w:div>
    <w:div w:id="17854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unitetheunion.org/resources/equalities_2011/equalities_-_legacy_content/equalities_campaigns/dignity_at_work/downloads.aspx"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pyrightrequests@swa.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afeworkaustralia.gov.au/sites/SWA/about/Publications/Documents/766/Compendium%202010-11.pdf" TargetMode="External"/><Relationship Id="rId10" Type="http://schemas.openxmlformats.org/officeDocument/2006/relationships/hyperlink" Target="http://creativecommons.org/licenses/by/3.0/au/deed.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hyperlink" Target="http://safeworkaustralia.gov.au/AboutSafeWorkAustralia/WhatWeDo/Publications/Documents/661/Compendium%25202009_10%2520report.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endParaRPr lang="en-AU"/>
          </a:p>
        </c:rich>
      </c:tx>
      <c:overlay val="1"/>
    </c:title>
    <c:autoTitleDeleted val="0"/>
    <c:plotArea>
      <c:layout>
        <c:manualLayout>
          <c:layoutTarget val="inner"/>
          <c:xMode val="edge"/>
          <c:yMode val="edge"/>
          <c:x val="0.3403708298520563"/>
          <c:y val="0.11130935660069519"/>
          <c:w val="0.63427900000000026"/>
          <c:h val="0.79042699999999977"/>
        </c:manualLayout>
      </c:layout>
      <c:barChart>
        <c:barDir val="bar"/>
        <c:grouping val="clustered"/>
        <c:varyColors val="0"/>
        <c:ser>
          <c:idx val="0"/>
          <c:order val="0"/>
          <c:tx>
            <c:strRef>
              <c:f>Sheet1!$B$1</c:f>
              <c:strCache>
                <c:ptCount val="1"/>
                <c:pt idx="0">
                  <c:v>Percentage </c:v>
                </c:pt>
              </c:strCache>
            </c:strRef>
          </c:tx>
          <c:spPr>
            <a:gradFill flip="none" rotWithShape="1">
              <a:gsLst>
                <a:gs pos="0">
                  <a:srgbClr val="3F80CE"/>
                </a:gs>
                <a:gs pos="100000">
                  <a:srgbClr val="A2C3FF"/>
                </a:gs>
              </a:gsLst>
              <a:lin ang="16200000" scaled="0"/>
            </a:gradFill>
            <a:ln w="12700" cap="flat">
              <a:noFill/>
              <a:miter lim="400000"/>
            </a:ln>
            <a:effectLst>
              <a:outerShdw blurRad="38100" dist="23000" dir="5400000" algn="tl">
                <a:srgbClr val="000000">
                  <a:alpha val="35000"/>
                </a:srgbClr>
              </a:outerShdw>
            </a:effectLst>
          </c:spPr>
          <c:invertIfNegative val="0"/>
          <c:dLbls>
            <c:dLbl>
              <c:idx val="0"/>
              <c:tx>
                <c:rich>
                  <a:bodyPr/>
                  <a:lstStyle/>
                  <a:p>
                    <a:r>
                      <a:rPr lang="en-US" sz="1000"/>
                      <a:t>12.2%</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1349932609775129E-6"/>
                </c:manualLayout>
              </c:layout>
              <c:tx>
                <c:rich>
                  <a:bodyPr/>
                  <a:lstStyle/>
                  <a:p>
                    <a:pPr>
                      <a:defRPr sz="950"/>
                    </a:pPr>
                    <a:r>
                      <a:rPr lang="en-US" sz="950"/>
                      <a:t>     32.6%</a:t>
                    </a:r>
                  </a:p>
                </c:rich>
              </c:tx>
              <c:numFmt formatCode="0.#" sourceLinked="0"/>
              <c:spPr>
                <a:noFill/>
                <a:ln>
                  <a:noFill/>
                </a:ln>
                <a:effectLst/>
              </c:spPr>
              <c:dLblPos val="outEnd"/>
              <c:showLegendKey val="0"/>
              <c:showVal val="1"/>
              <c:showCatName val="0"/>
              <c:showSerName val="0"/>
              <c:showPercent val="0"/>
              <c:showBubbleSize val="0"/>
            </c:dLbl>
            <c:dLbl>
              <c:idx val="2"/>
              <c:tx>
                <c:rich>
                  <a:bodyPr/>
                  <a:lstStyle/>
                  <a:p>
                    <a:r>
                      <a:rPr lang="en-US" sz="1000"/>
                      <a:t>27.9%</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1000"/>
                      <a:t>26.8%</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0.5%</a:t>
                    </a:r>
                  </a:p>
                </c:rich>
              </c:tx>
              <c:dLblPos val="outEnd"/>
              <c:showLegendKey val="0"/>
              <c:showVal val="1"/>
              <c:showCatName val="0"/>
              <c:showSerName val="0"/>
              <c:showPercent val="0"/>
              <c:showBubbleSize val="0"/>
            </c:dLbl>
            <c:numFmt formatCode="0.#" sourceLinked="0"/>
            <c:spPr>
              <a:noFill/>
              <a:ln>
                <a:noFill/>
              </a:ln>
              <a:effectLst/>
            </c:spPr>
            <c:txPr>
              <a:bodyPr/>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Daily </c:v>
                </c:pt>
                <c:pt idx="1">
                  <c:v>At least once per week</c:v>
                </c:pt>
                <c:pt idx="2">
                  <c:v>At least once per month</c:v>
                </c:pt>
                <c:pt idx="3">
                  <c:v>Rarely </c:v>
                </c:pt>
                <c:pt idx="4">
                  <c:v>Very Rarely </c:v>
                </c:pt>
              </c:strCache>
            </c:strRef>
          </c:cat>
          <c:val>
            <c:numRef>
              <c:f>Sheet1!$B$2:$B$6</c:f>
              <c:numCache>
                <c:formatCode>General</c:formatCode>
                <c:ptCount val="5"/>
                <c:pt idx="0">
                  <c:v>12.2</c:v>
                </c:pt>
                <c:pt idx="1">
                  <c:v>37.5</c:v>
                </c:pt>
                <c:pt idx="2">
                  <c:v>27.9</c:v>
                </c:pt>
                <c:pt idx="3">
                  <c:v>26.8</c:v>
                </c:pt>
                <c:pt idx="4">
                  <c:v>0.5</c:v>
                </c:pt>
              </c:numCache>
            </c:numRef>
          </c:val>
        </c:ser>
        <c:dLbls>
          <c:showLegendKey val="0"/>
          <c:showVal val="0"/>
          <c:showCatName val="0"/>
          <c:showSerName val="0"/>
          <c:showPercent val="0"/>
          <c:showBubbleSize val="0"/>
        </c:dLbls>
        <c:gapWidth val="150"/>
        <c:axId val="109671168"/>
        <c:axId val="110870912"/>
      </c:barChart>
      <c:catAx>
        <c:axId val="109671168"/>
        <c:scaling>
          <c:orientation val="maxMin"/>
        </c:scaling>
        <c:delete val="0"/>
        <c:axPos val="l"/>
        <c:title>
          <c:tx>
            <c:rich>
              <a:bodyPr rot="-5400000"/>
              <a:lstStyle/>
              <a:p>
                <a:pPr>
                  <a:defRPr/>
                </a:pPr>
                <a:r>
                  <a:rPr lang="en-AU"/>
                  <a:t>Frequency of Bullying</a:t>
                </a:r>
              </a:p>
            </c:rich>
          </c:tx>
          <c:layout>
            <c:manualLayout>
              <c:xMode val="edge"/>
              <c:yMode val="edge"/>
              <c:x val="3.8688170409566978E-2"/>
              <c:y val="0.17799475065616799"/>
            </c:manualLayout>
          </c:layout>
          <c:overlay val="1"/>
        </c:title>
        <c:numFmt formatCode="General" sourceLinked="1"/>
        <c:majorTickMark val="out"/>
        <c:minorTickMark val="none"/>
        <c:tickLblPos val="nextTo"/>
        <c:spPr>
          <a:ln w="12700" cap="flat">
            <a:solidFill>
              <a:srgbClr val="000000"/>
            </a:solidFill>
            <a:prstDash val="solid"/>
            <a:miter lim="400000"/>
          </a:ln>
        </c:spPr>
        <c:txPr>
          <a:bodyPr rot="0"/>
          <a:lstStyle/>
          <a:p>
            <a:pPr>
              <a:defRPr sz="1000"/>
            </a:pPr>
            <a:endParaRPr lang="en-US"/>
          </a:p>
        </c:txPr>
        <c:crossAx val="110870912"/>
        <c:crosses val="autoZero"/>
        <c:auto val="1"/>
        <c:lblAlgn val="ctr"/>
        <c:lblOffset val="100"/>
        <c:noMultiLvlLbl val="1"/>
      </c:catAx>
      <c:valAx>
        <c:axId val="110870912"/>
        <c:scaling>
          <c:orientation val="minMax"/>
        </c:scaling>
        <c:delete val="0"/>
        <c:axPos val="t"/>
        <c:numFmt formatCode="0.#" sourceLinked="0"/>
        <c:majorTickMark val="none"/>
        <c:minorTickMark val="none"/>
        <c:tickLblPos val="none"/>
        <c:spPr>
          <a:ln w="12700" cap="flat">
            <a:noFill/>
            <a:prstDash val="solid"/>
            <a:miter lim="400000"/>
          </a:ln>
        </c:spPr>
        <c:txPr>
          <a:bodyPr rot="0"/>
          <a:lstStyle/>
          <a:p>
            <a:pPr>
              <a:defRPr/>
            </a:pPr>
            <a:endParaRPr lang="en-US"/>
          </a:p>
        </c:txPr>
        <c:crossAx val="109671168"/>
        <c:crosses val="autoZero"/>
        <c:crossBetween val="between"/>
        <c:majorUnit val="10"/>
        <c:minorUnit val="5"/>
      </c:valAx>
      <c:spPr>
        <a:solidFill>
          <a:srgbClr val="FFFFFF"/>
        </a:solidFill>
        <a:ln w="12700" cap="flat">
          <a:noFill/>
          <a:miter lim="400000"/>
        </a:ln>
        <a:effectLst/>
      </c:spPr>
    </c:plotArea>
    <c:plotVisOnly val="1"/>
    <c:dispBlanksAs val="gap"/>
    <c:showDLblsOverMax val="1"/>
  </c:chart>
  <c:spPr>
    <a:solidFill>
      <a:srgbClr val="FFFFFF"/>
    </a:solidFill>
    <a:ln w="9525" cap="flat">
      <a:solidFill>
        <a:schemeClr val="bg1"/>
      </a:solidFill>
      <a:prstDash val="solid"/>
      <a:bevel/>
    </a:ln>
    <a:effectLst/>
  </c:spPr>
  <c:txPr>
    <a:bodyPr/>
    <a:lstStyle/>
    <a:p>
      <a:pPr>
        <a:defRPr sz="105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endParaRPr lang="en-AU"/>
          </a:p>
        </c:rich>
      </c:tx>
      <c:overlay val="1"/>
    </c:title>
    <c:autoTitleDeleted val="0"/>
    <c:plotArea>
      <c:layout>
        <c:manualLayout>
          <c:layoutTarget val="inner"/>
          <c:xMode val="edge"/>
          <c:yMode val="edge"/>
          <c:x val="0.31749700000000008"/>
          <c:y val="0.13938500000000001"/>
          <c:w val="0.62288800000000022"/>
          <c:h val="0.7914859999999998"/>
        </c:manualLayout>
      </c:layout>
      <c:barChart>
        <c:barDir val="bar"/>
        <c:grouping val="clustered"/>
        <c:varyColors val="0"/>
        <c:ser>
          <c:idx val="0"/>
          <c:order val="0"/>
          <c:tx>
            <c:strRef>
              <c:f>Sheet1!$B$1</c:f>
              <c:strCache>
                <c:ptCount val="1"/>
                <c:pt idx="0">
                  <c:v>Percentage of Bullied Sample</c:v>
                </c:pt>
              </c:strCache>
            </c:strRef>
          </c:tx>
          <c:spPr>
            <a:gradFill flip="none" rotWithShape="1">
              <a:gsLst>
                <a:gs pos="0">
                  <a:srgbClr val="3F80CE"/>
                </a:gs>
                <a:gs pos="100000">
                  <a:srgbClr val="A2C3FF"/>
                </a:gs>
              </a:gsLst>
              <a:lin ang="16200000" scaled="0"/>
            </a:gradFill>
            <a:ln w="12700" cap="flat">
              <a:noFill/>
              <a:miter lim="400000"/>
            </a:ln>
            <a:effectLst>
              <a:outerShdw blurRad="38100" dist="23000" dir="5400000" algn="tl">
                <a:srgbClr val="000000">
                  <a:alpha val="35000"/>
                </a:srgbClr>
              </a:outerShdw>
            </a:effectLst>
          </c:spPr>
          <c:invertIfNegative val="0"/>
          <c:dLbls>
            <c:dLbl>
              <c:idx val="0"/>
              <c:tx>
                <c:rich>
                  <a:bodyPr/>
                  <a:lstStyle/>
                  <a:p>
                    <a:r>
                      <a:rPr lang="en-US"/>
                      <a:t>16.3%</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17.7%</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12.9%</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38.6%</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13.6%</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More than 2 years </c:v>
                </c:pt>
                <c:pt idx="1">
                  <c:v>1-2 years</c:v>
                </c:pt>
                <c:pt idx="2">
                  <c:v>7-12 months</c:v>
                </c:pt>
                <c:pt idx="3">
                  <c:v>1-6 months</c:v>
                </c:pt>
                <c:pt idx="4">
                  <c:v>Less than one month </c:v>
                </c:pt>
              </c:strCache>
            </c:strRef>
          </c:cat>
          <c:val>
            <c:numRef>
              <c:f>Sheet1!$B$2:$B$6</c:f>
              <c:numCache>
                <c:formatCode>General</c:formatCode>
                <c:ptCount val="5"/>
                <c:pt idx="0">
                  <c:v>0.16300000000000001</c:v>
                </c:pt>
                <c:pt idx="1">
                  <c:v>0.17700000000000005</c:v>
                </c:pt>
                <c:pt idx="2">
                  <c:v>0.129</c:v>
                </c:pt>
                <c:pt idx="3">
                  <c:v>0.38600000000000012</c:v>
                </c:pt>
                <c:pt idx="4">
                  <c:v>0.13600000000000001</c:v>
                </c:pt>
              </c:numCache>
            </c:numRef>
          </c:val>
        </c:ser>
        <c:dLbls>
          <c:showLegendKey val="0"/>
          <c:showVal val="0"/>
          <c:showCatName val="0"/>
          <c:showSerName val="0"/>
          <c:showPercent val="0"/>
          <c:showBubbleSize val="0"/>
        </c:dLbls>
        <c:gapWidth val="150"/>
        <c:axId val="127853696"/>
        <c:axId val="127856640"/>
      </c:barChart>
      <c:catAx>
        <c:axId val="127853696"/>
        <c:scaling>
          <c:orientation val="maxMin"/>
        </c:scaling>
        <c:delete val="0"/>
        <c:axPos val="l"/>
        <c:title>
          <c:tx>
            <c:rich>
              <a:bodyPr rot="-5400000"/>
              <a:lstStyle/>
              <a:p>
                <a:pPr>
                  <a:defRPr/>
                </a:pPr>
                <a:r>
                  <a:rPr lang="en-AU"/>
                  <a:t>Duration of Bullying</a:t>
                </a:r>
              </a:p>
            </c:rich>
          </c:tx>
          <c:layout>
            <c:manualLayout>
              <c:xMode val="edge"/>
              <c:yMode val="edge"/>
              <c:x val="4.8735627019518474E-2"/>
              <c:y val="0.23292216799896209"/>
            </c:manualLayout>
          </c:layout>
          <c:overlay val="1"/>
        </c:title>
        <c:numFmt formatCode="General" sourceLinked="1"/>
        <c:majorTickMark val="out"/>
        <c:minorTickMark val="none"/>
        <c:tickLblPos val="nextTo"/>
        <c:spPr>
          <a:ln w="12700" cap="flat">
            <a:solidFill>
              <a:srgbClr val="000000"/>
            </a:solidFill>
            <a:prstDash val="solid"/>
            <a:miter lim="400000"/>
          </a:ln>
        </c:spPr>
        <c:txPr>
          <a:bodyPr rot="0"/>
          <a:lstStyle/>
          <a:p>
            <a:pPr>
              <a:defRPr/>
            </a:pPr>
            <a:endParaRPr lang="en-US"/>
          </a:p>
        </c:txPr>
        <c:crossAx val="127856640"/>
        <c:crosses val="autoZero"/>
        <c:auto val="1"/>
        <c:lblAlgn val="ctr"/>
        <c:lblOffset val="100"/>
        <c:noMultiLvlLbl val="1"/>
      </c:catAx>
      <c:valAx>
        <c:axId val="127856640"/>
        <c:scaling>
          <c:orientation val="minMax"/>
        </c:scaling>
        <c:delete val="0"/>
        <c:axPos val="t"/>
        <c:numFmt formatCode="0.00%" sourceLinked="0"/>
        <c:majorTickMark val="none"/>
        <c:minorTickMark val="none"/>
        <c:tickLblPos val="none"/>
        <c:spPr>
          <a:ln w="12700" cap="flat">
            <a:noFill/>
            <a:prstDash val="solid"/>
            <a:miter lim="400000"/>
          </a:ln>
        </c:spPr>
        <c:txPr>
          <a:bodyPr rot="0"/>
          <a:lstStyle/>
          <a:p>
            <a:pPr>
              <a:defRPr/>
            </a:pPr>
            <a:endParaRPr lang="en-US"/>
          </a:p>
        </c:txPr>
        <c:crossAx val="127853696"/>
        <c:crosses val="autoZero"/>
        <c:crossBetween val="between"/>
        <c:majorUnit val="0.1"/>
        <c:minorUnit val="0.05"/>
      </c:valAx>
      <c:spPr>
        <a:solidFill>
          <a:srgbClr val="FFFFFF"/>
        </a:solidFill>
        <a:ln w="12700" cap="flat">
          <a:noFill/>
          <a:miter lim="400000"/>
        </a:ln>
        <a:effectLst/>
      </c:spPr>
    </c:plotArea>
    <c:plotVisOnly val="1"/>
    <c:dispBlanksAs val="gap"/>
    <c:showDLblsOverMax val="1"/>
  </c:chart>
  <c:spPr>
    <a:solidFill>
      <a:srgbClr val="FFFFFF"/>
    </a:solidFill>
    <a:ln w="9525" cap="flat">
      <a:solidFill>
        <a:schemeClr val="bg1"/>
      </a:solidFill>
      <a:prstDash val="solid"/>
      <a:bevel/>
    </a:ln>
    <a:effectLst/>
  </c:spPr>
  <c:txPr>
    <a:bodyPr/>
    <a:lstStyle/>
    <a:p>
      <a:pPr>
        <a:defRPr sz="10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588030099341795"/>
          <c:y val="5.335920446276983E-2"/>
          <c:w val="0.50544612871810324"/>
          <c:h val="0.89333333333333331"/>
        </c:manualLayout>
      </c:layout>
      <c:barChart>
        <c:barDir val="bar"/>
        <c:grouping val="clustered"/>
        <c:varyColors val="0"/>
        <c:ser>
          <c:idx val="0"/>
          <c:order val="0"/>
          <c:invertIfNegative val="0"/>
          <c:dLbls>
            <c:dLbl>
              <c:idx val="0"/>
              <c:layout>
                <c:manualLayout>
                  <c:x val="0"/>
                  <c:y val="-4.6296296296296294E-3"/>
                </c:manualLayout>
              </c:layout>
              <c:showLegendKey val="0"/>
              <c:showVal val="1"/>
              <c:showCatName val="0"/>
              <c:showSerName val="0"/>
              <c:showPercent val="0"/>
              <c:showBubbleSize val="0"/>
            </c:dLbl>
            <c:txPr>
              <a:bodyPr/>
              <a:lstStyle/>
              <a:p>
                <a:pPr>
                  <a:defRPr baseline="0">
                    <a:solidFill>
                      <a:schemeClr val="tx1">
                        <a:lumMod val="65000"/>
                        <a:lumOff val="35000"/>
                      </a:schemeClr>
                    </a:solidFill>
                  </a:defRPr>
                </a:pPr>
                <a:endParaRPr lang="en-US"/>
              </a:p>
            </c:txPr>
            <c:showLegendKey val="0"/>
            <c:showVal val="1"/>
            <c:showCatName val="0"/>
            <c:showSerName val="0"/>
            <c:showPercent val="0"/>
            <c:showBubbleSize val="0"/>
            <c:showLeaderLines val="0"/>
          </c:dLbls>
          <c:cat>
            <c:strRef>
              <c:f>Sheet1!$B$11:$B$18</c:f>
              <c:strCache>
                <c:ptCount val="8"/>
                <c:pt idx="0">
                  <c:v>Sworn at or yelled at</c:v>
                </c:pt>
                <c:pt idx="1">
                  <c:v>Humiliated in front of others</c:v>
                </c:pt>
                <c:pt idx="2">
                  <c:v>Physically assaulted/ threatened by clients or patients</c:v>
                </c:pt>
                <c:pt idx="3">
                  <c:v>Discomfort listening to sexual humour</c:v>
                </c:pt>
                <c:pt idx="4">
                  <c:v>Unfair treatment due to gender</c:v>
                </c:pt>
                <c:pt idx="5">
                  <c:v>Received negative ethnic or racial comments</c:v>
                </c:pt>
                <c:pt idx="6">
                  <c:v>Received unwanted sexual advances</c:v>
                </c:pt>
                <c:pt idx="7">
                  <c:v>Physically assaulted/ threatened by members of their organisation</c:v>
                </c:pt>
              </c:strCache>
            </c:strRef>
          </c:cat>
          <c:val>
            <c:numRef>
              <c:f>Sheet1!$C$11:$C$18</c:f>
              <c:numCache>
                <c:formatCode>0.0%</c:formatCode>
                <c:ptCount val="8"/>
                <c:pt idx="0">
                  <c:v>0.372</c:v>
                </c:pt>
                <c:pt idx="1">
                  <c:v>0.23200000000000001</c:v>
                </c:pt>
                <c:pt idx="2">
                  <c:v>0.218</c:v>
                </c:pt>
                <c:pt idx="3">
                  <c:v>0.17899999999999999</c:v>
                </c:pt>
                <c:pt idx="4">
                  <c:v>0.109</c:v>
                </c:pt>
                <c:pt idx="5">
                  <c:v>7.3999999999999996E-2</c:v>
                </c:pt>
                <c:pt idx="6">
                  <c:v>4.5999999999999999E-2</c:v>
                </c:pt>
                <c:pt idx="7">
                  <c:v>3.4000000000000002E-2</c:v>
                </c:pt>
              </c:numCache>
            </c:numRef>
          </c:val>
        </c:ser>
        <c:dLbls>
          <c:showLegendKey val="0"/>
          <c:showVal val="0"/>
          <c:showCatName val="0"/>
          <c:showSerName val="0"/>
          <c:showPercent val="0"/>
          <c:showBubbleSize val="0"/>
        </c:dLbls>
        <c:gapWidth val="150"/>
        <c:axId val="110639744"/>
        <c:axId val="110641536"/>
      </c:barChart>
      <c:catAx>
        <c:axId val="110639744"/>
        <c:scaling>
          <c:orientation val="minMax"/>
        </c:scaling>
        <c:delete val="0"/>
        <c:axPos val="l"/>
        <c:majorTickMark val="out"/>
        <c:minorTickMark val="none"/>
        <c:tickLblPos val="nextTo"/>
        <c:txPr>
          <a:bodyPr/>
          <a:lstStyle/>
          <a:p>
            <a:pPr>
              <a:defRPr sz="900" baseline="0">
                <a:solidFill>
                  <a:schemeClr val="tx1">
                    <a:lumMod val="65000"/>
                    <a:lumOff val="35000"/>
                  </a:schemeClr>
                </a:solidFill>
              </a:defRPr>
            </a:pPr>
            <a:endParaRPr lang="en-US"/>
          </a:p>
        </c:txPr>
        <c:crossAx val="110641536"/>
        <c:crosses val="autoZero"/>
        <c:auto val="1"/>
        <c:lblAlgn val="ctr"/>
        <c:lblOffset val="100"/>
        <c:noMultiLvlLbl val="0"/>
      </c:catAx>
      <c:valAx>
        <c:axId val="110641536"/>
        <c:scaling>
          <c:orientation val="minMax"/>
        </c:scaling>
        <c:delete val="1"/>
        <c:axPos val="b"/>
        <c:majorGridlines>
          <c:spPr>
            <a:ln>
              <a:noFill/>
            </a:ln>
          </c:spPr>
        </c:majorGridlines>
        <c:numFmt formatCode="0.0%" sourceLinked="1"/>
        <c:majorTickMark val="out"/>
        <c:minorTickMark val="none"/>
        <c:tickLblPos val="nextTo"/>
        <c:crossAx val="11063974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90F67998.dotm</Template>
  <TotalTime>0</TotalTime>
  <Pages>44</Pages>
  <Words>18712</Words>
  <Characters>106659</Characters>
  <Application>Microsoft Office Word</Application>
  <DocSecurity>4</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2016-11-22T00:14:00Z</dcterms:created>
  <dcterms:modified xsi:type="dcterms:W3CDTF">2016-11-22T00:14:00Z</dcterms:modified>
</cp:coreProperties>
</file>