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47717" w14:textId="3325687A" w:rsidR="00E90436" w:rsidRDefault="00E90436" w:rsidP="00E90436">
      <w:pPr>
        <w:rPr>
          <w:rFonts w:eastAsiaTheme="majorEastAsia"/>
        </w:rPr>
      </w:pPr>
      <w:r w:rsidRPr="00E90436">
        <w:rPr>
          <w:noProof/>
        </w:rPr>
        <w:drawing>
          <wp:anchor distT="0" distB="0" distL="114300" distR="114300" simplePos="0" relativeHeight="251658240" behindDoc="1" locked="0" layoutInCell="0" allowOverlap="0" wp14:anchorId="13B87AED" wp14:editId="0D9E30A8">
            <wp:simplePos x="0" y="0"/>
            <wp:positionH relativeFrom="page">
              <wp:align>center</wp:align>
            </wp:positionH>
            <wp:positionV relativeFrom="page">
              <wp:align>center</wp:align>
            </wp:positionV>
            <wp:extent cx="7542000" cy="10666800"/>
            <wp:effectExtent l="0" t="0" r="1905" b="1270"/>
            <wp:wrapNone/>
            <wp:docPr id="1" name="Picture 1" descr="This is the cover of the document and includes the names of the authors as follow:&#10;&#10;Harry Becher&#10;Maureen Dollard&#10;Asia Pacific Centre for Work Health and Safety, &#10;WHO Collaborating Centre in Occupational Health&#10;University of South Australia&#10;" title="Psychosocial Safety Climate and Better Productivity in Australian Workplaces, Novemb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ychosocial Safety Climate and Better Productivity in Australian Workp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br w:type="page"/>
      </w:r>
    </w:p>
    <w:p w14:paraId="41E26ECF" w14:textId="4AC5E2EB" w:rsidR="00A65E70" w:rsidRPr="001D755E" w:rsidRDefault="00A65E70" w:rsidP="005E71B7">
      <w:pPr>
        <w:rPr>
          <w:rFonts w:eastAsia="Calibri"/>
          <w:lang w:eastAsia="en-US"/>
        </w:rPr>
      </w:pPr>
      <w:r w:rsidRPr="001D755E">
        <w:rPr>
          <w:rFonts w:eastAsia="Calibri"/>
          <w:lang w:eastAsia="en-US"/>
        </w:rPr>
        <w:lastRenderedPageBreak/>
        <w:t>T</w:t>
      </w:r>
      <w:r w:rsidRPr="001D755E">
        <w:rPr>
          <w:lang w:eastAsia="en-US"/>
        </w:rPr>
        <w:t>his project was supported by funding from the Commonwealth Government Agency Safe Work Australia, SafeWork SA, Australian Research Council Discovery Grants [DP0879007 &amp; DP140103429] and an Australian Research Council Linkage Grant [LP100100449].</w:t>
      </w:r>
      <w:r w:rsidR="001D755E" w:rsidRPr="001D755E">
        <w:rPr>
          <w:lang w:eastAsia="en-US"/>
        </w:rPr>
        <w:t xml:space="preserve"> </w:t>
      </w:r>
      <w:r w:rsidR="001D755E" w:rsidRPr="001D755E">
        <w:rPr>
          <w:color w:val="000000"/>
          <w:u w:color="000000"/>
          <w:bdr w:val="nil"/>
          <w:lang w:val="en-US"/>
        </w:rPr>
        <w:t>Harry Becher is Research Assistant, and Maureen Dollard is Professor of Work and Organisational Psychology, at the University of South Australia.</w:t>
      </w:r>
    </w:p>
    <w:p w14:paraId="78A123C6" w14:textId="3D4AF179" w:rsidR="00EE707B" w:rsidRDefault="00A65E70" w:rsidP="005E71B7">
      <w:pPr>
        <w:rPr>
          <w:rFonts w:eastAsia="Calibri"/>
          <w:lang w:eastAsia="en-US"/>
        </w:rPr>
      </w:pPr>
      <w:r w:rsidRPr="001D755E">
        <w:rPr>
          <w:rFonts w:eastAsia="Calibri"/>
          <w:lang w:eastAsia="en-US"/>
        </w:rPr>
        <w:t xml:space="preserve">Correspondence regarding this report may be sent to Maureen Dollard at </w:t>
      </w:r>
      <w:hyperlink r:id="rId10" w:history="1">
        <w:r w:rsidR="00192787" w:rsidRPr="00413C16">
          <w:rPr>
            <w:rStyle w:val="Hyperlink"/>
            <w:rFonts w:eastAsia="Calibri"/>
            <w:lang w:eastAsia="en-US"/>
          </w:rPr>
          <w:t>maureen.dollard@unisa.edu.au</w:t>
        </w:r>
      </w:hyperlink>
      <w:r w:rsidR="00192787">
        <w:rPr>
          <w:rFonts w:eastAsia="Calibri"/>
          <w:lang w:eastAsia="en-US"/>
        </w:rPr>
        <w:t xml:space="preserve"> </w:t>
      </w:r>
    </w:p>
    <w:p w14:paraId="24305EC6" w14:textId="614D96DA" w:rsidR="00A65E70" w:rsidRDefault="00A65E70" w:rsidP="00A65E70">
      <w:pPr>
        <w:spacing w:after="160" w:line="259" w:lineRule="auto"/>
        <w:rPr>
          <w:rFonts w:ascii="Adobe Garamond Pro" w:eastAsia="Calibri" w:hAnsi="Adobe Garamond Pro"/>
          <w:sz w:val="24"/>
          <w:szCs w:val="22"/>
          <w:lang w:eastAsia="en-US"/>
        </w:rPr>
      </w:pPr>
    </w:p>
    <w:p w14:paraId="16E131F2" w14:textId="77777777" w:rsidR="005D70D6" w:rsidRPr="00A65E70" w:rsidRDefault="005D70D6" w:rsidP="00A65E70">
      <w:pPr>
        <w:spacing w:after="160" w:line="259" w:lineRule="auto"/>
        <w:rPr>
          <w:rFonts w:ascii="Adobe Garamond Pro" w:eastAsia="Calibri" w:hAnsi="Adobe Garamond Pro"/>
          <w:sz w:val="24"/>
          <w:szCs w:val="22"/>
          <w:lang w:eastAsia="en-US"/>
        </w:rPr>
        <w:sectPr w:rsidR="005D70D6" w:rsidRPr="00A65E70" w:rsidSect="00545206">
          <w:footerReference w:type="default" r:id="rId11"/>
          <w:pgSz w:w="11906" w:h="16838"/>
          <w:pgMar w:top="1440" w:right="1440" w:bottom="1440" w:left="1440" w:header="708" w:footer="708" w:gutter="0"/>
          <w:cols w:space="708"/>
          <w:docGrid w:linePitch="360"/>
        </w:sectPr>
      </w:pPr>
    </w:p>
    <w:p w14:paraId="30CC250C" w14:textId="77777777" w:rsidR="006C64C6" w:rsidRPr="006C64C6" w:rsidRDefault="006C64C6" w:rsidP="006C64C6">
      <w:pPr>
        <w:spacing w:before="240" w:after="100" w:afterAutospacing="1"/>
        <w:rPr>
          <w:rFonts w:eastAsia="SimSun" w:cs="Arial"/>
          <w:color w:val="000000" w:themeColor="text1"/>
          <w:szCs w:val="22"/>
          <w:lang w:val="en-GB"/>
        </w:rPr>
      </w:pPr>
      <w:r w:rsidRPr="006C64C6">
        <w:rPr>
          <w:rFonts w:eastAsia="SimSun" w:cs="Arial"/>
          <w:color w:val="000000" w:themeColor="text1"/>
          <w:szCs w:val="22"/>
          <w:lang w:val="en-GB"/>
        </w:rPr>
        <w:lastRenderedPageBreak/>
        <w:t>Creative Commons</w:t>
      </w:r>
    </w:p>
    <w:p w14:paraId="22B6084A" w14:textId="77777777" w:rsidR="006C64C6" w:rsidRPr="006C64C6" w:rsidRDefault="006C64C6" w:rsidP="006C64C6">
      <w:pPr>
        <w:spacing w:before="240" w:after="100" w:afterAutospacing="1"/>
        <w:rPr>
          <w:rFonts w:eastAsia="SimSun" w:cs="Arial"/>
          <w:color w:val="000000" w:themeColor="text1"/>
          <w:szCs w:val="22"/>
          <w:lang w:val="en-GB"/>
        </w:rPr>
      </w:pPr>
      <w:r w:rsidRPr="006C64C6">
        <w:rPr>
          <w:rFonts w:eastAsia="SimSun" w:cs="Arial"/>
          <w:noProof/>
          <w:color w:val="000000" w:themeColor="text1"/>
          <w:szCs w:val="22"/>
        </w:rPr>
        <w:drawing>
          <wp:inline distT="0" distB="0" distL="0" distR="0" wp14:anchorId="33B60789" wp14:editId="694BD095">
            <wp:extent cx="1524000" cy="533400"/>
            <wp:effectExtent l="0" t="0" r="0" b="0"/>
            <wp:docPr id="2" name="Picture 2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reative Comm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533400"/>
                    </a:xfrm>
                    <a:prstGeom prst="rect">
                      <a:avLst/>
                    </a:prstGeom>
                    <a:noFill/>
                    <a:ln>
                      <a:noFill/>
                    </a:ln>
                  </pic:spPr>
                </pic:pic>
              </a:graphicData>
            </a:graphic>
          </wp:inline>
        </w:drawing>
      </w:r>
    </w:p>
    <w:p w14:paraId="3C68CAF0" w14:textId="7B0CB50D" w:rsidR="006C64C6" w:rsidRPr="006C64C6" w:rsidRDefault="006C64C6" w:rsidP="006C64C6">
      <w:pPr>
        <w:spacing w:before="240" w:after="100" w:afterAutospacing="1"/>
        <w:ind w:left="567" w:hanging="567"/>
        <w:rPr>
          <w:rFonts w:eastAsia="SimSun" w:cs="Arial"/>
          <w:szCs w:val="22"/>
          <w:lang w:val="en-GB"/>
        </w:rPr>
      </w:pPr>
      <w:r w:rsidRPr="006C64C6">
        <w:rPr>
          <w:rFonts w:eastAsia="SimSun" w:cs="Arial"/>
          <w:szCs w:val="22"/>
          <w:lang w:val="en-GB"/>
        </w:rPr>
        <w:t xml:space="preserve">ISBN </w:t>
      </w:r>
      <w:r w:rsidR="00B934C3" w:rsidRPr="00B934C3">
        <w:rPr>
          <w:rFonts w:eastAsia="SimSun" w:cs="Arial"/>
          <w:szCs w:val="22"/>
          <w:lang w:val="en-GB"/>
        </w:rPr>
        <w:t>978-1-76028-921-8</w:t>
      </w:r>
      <w:r w:rsidR="00B934C3">
        <w:rPr>
          <w:rFonts w:eastAsia="SimSun" w:cs="Arial"/>
          <w:szCs w:val="22"/>
          <w:lang w:val="en-GB"/>
        </w:rPr>
        <w:t xml:space="preserve"> (PDF</w:t>
      </w:r>
      <w:r w:rsidRPr="006C64C6">
        <w:rPr>
          <w:rFonts w:eastAsia="SimSun" w:cs="Arial"/>
          <w:szCs w:val="22"/>
          <w:lang w:val="en-GB"/>
        </w:rPr>
        <w:t xml:space="preserve">) </w:t>
      </w:r>
      <w:r w:rsidRPr="006C64C6">
        <w:rPr>
          <w:rFonts w:eastAsia="SimSun" w:cs="Arial"/>
          <w:szCs w:val="22"/>
          <w:lang w:val="en-GB"/>
        </w:rPr>
        <w:br/>
      </w:r>
      <w:r w:rsidR="00B934C3" w:rsidRPr="00B934C3">
        <w:rPr>
          <w:rFonts w:eastAsia="SimSun" w:cs="Arial"/>
          <w:szCs w:val="22"/>
          <w:lang w:val="en-GB"/>
        </w:rPr>
        <w:t>978-1-76028-922-5</w:t>
      </w:r>
      <w:r w:rsidR="00B934C3">
        <w:rPr>
          <w:rFonts w:eastAsia="SimSun" w:cs="Arial"/>
          <w:szCs w:val="22"/>
          <w:lang w:val="en-GB"/>
        </w:rPr>
        <w:t xml:space="preserve"> (DOCX</w:t>
      </w:r>
      <w:r w:rsidRPr="006C64C6">
        <w:rPr>
          <w:rFonts w:eastAsia="SimSun" w:cs="Arial"/>
          <w:szCs w:val="22"/>
          <w:lang w:val="en-GB"/>
        </w:rPr>
        <w:t>)</w:t>
      </w:r>
      <w:r w:rsidRPr="006C64C6">
        <w:rPr>
          <w:rFonts w:eastAsia="SimSun" w:cs="Arial"/>
          <w:szCs w:val="22"/>
          <w:lang w:val="en-GB"/>
        </w:rPr>
        <w:br/>
      </w:r>
    </w:p>
    <w:p w14:paraId="1B3E1AAD" w14:textId="159948E9" w:rsidR="006C64C6" w:rsidRPr="006C64C6" w:rsidRDefault="006C64C6" w:rsidP="006C64C6">
      <w:pPr>
        <w:spacing w:before="240" w:after="100" w:afterAutospacing="1"/>
        <w:rPr>
          <w:rFonts w:cs="Arial"/>
          <w:color w:val="00456B"/>
          <w:szCs w:val="22"/>
          <w:lang w:val="en-US"/>
        </w:rPr>
      </w:pPr>
      <w:r w:rsidRPr="006C64C6">
        <w:rPr>
          <w:rFonts w:cs="Arial"/>
          <w:color w:val="000000" w:themeColor="text1"/>
          <w:szCs w:val="22"/>
          <w:lang w:val="en-US"/>
        </w:rPr>
        <w:t xml:space="preserve">With the exception of the Safe Work Australia logo, this report is licensed by Safe Work Australia under a Creative Commons 3.0 Australia Licence. To view a copy of this licence, visit </w:t>
      </w:r>
      <w:hyperlink r:id="rId13" w:history="1">
        <w:r w:rsidR="00935E78" w:rsidRPr="00254107">
          <w:rPr>
            <w:rStyle w:val="Hyperlink"/>
            <w:rFonts w:cs="Arial"/>
            <w:szCs w:val="22"/>
            <w:lang w:val="en-US"/>
          </w:rPr>
          <w:t>https://creativecommons.org/licenses/by/3.0/au/deed.en</w:t>
        </w:r>
      </w:hyperlink>
      <w:r w:rsidR="00935E78">
        <w:rPr>
          <w:rFonts w:cs="Arial"/>
          <w:color w:val="00456B"/>
          <w:szCs w:val="22"/>
          <w:lang w:val="en-US"/>
        </w:rPr>
        <w:t>.</w:t>
      </w:r>
    </w:p>
    <w:p w14:paraId="38922F3F" w14:textId="1B8E9F40" w:rsidR="006C64C6" w:rsidRPr="006C64C6" w:rsidRDefault="006C64C6" w:rsidP="006C64C6">
      <w:pPr>
        <w:spacing w:before="240" w:after="100" w:afterAutospacing="1"/>
        <w:rPr>
          <w:rFonts w:eastAsia="SimSun" w:cs="Arial"/>
          <w:color w:val="000000" w:themeColor="text1"/>
          <w:szCs w:val="22"/>
          <w:lang w:val="en-GB"/>
        </w:rPr>
      </w:pPr>
      <w:r w:rsidRPr="006C64C6">
        <w:rPr>
          <w:rFonts w:eastAsia="SimSun" w:cs="Arial"/>
          <w:color w:val="000000" w:themeColor="text1"/>
          <w:szCs w:val="22"/>
          <w:lang w:val="en-GB"/>
        </w:rPr>
        <w:t xml:space="preserve">In essence, you are free to copy, communicate and adapt the work, as long as you attribute the work to Safe Work Australia and abide by the other licensing terms. The report should be attributed as </w:t>
      </w:r>
      <w:r>
        <w:rPr>
          <w:rFonts w:eastAsia="SimSun" w:cs="Arial"/>
          <w:color w:val="000000" w:themeColor="text1"/>
          <w:szCs w:val="22"/>
          <w:lang w:val="en-GB"/>
        </w:rPr>
        <w:t>P</w:t>
      </w:r>
      <w:r w:rsidR="00B934C3">
        <w:rPr>
          <w:rFonts w:eastAsia="SimSun" w:cs="Arial"/>
          <w:color w:val="000000" w:themeColor="text1"/>
          <w:szCs w:val="22"/>
          <w:lang w:val="en-GB"/>
        </w:rPr>
        <w:t>sychosocial Safety Climate and Better P</w:t>
      </w:r>
      <w:r>
        <w:rPr>
          <w:rFonts w:eastAsia="SimSun" w:cs="Arial"/>
          <w:color w:val="000000" w:themeColor="text1"/>
          <w:szCs w:val="22"/>
          <w:lang w:val="en-GB"/>
        </w:rPr>
        <w:t>roductivity in</w:t>
      </w:r>
      <w:r w:rsidR="00B934C3">
        <w:rPr>
          <w:rFonts w:eastAsia="SimSun" w:cs="Arial"/>
          <w:color w:val="000000" w:themeColor="text1"/>
          <w:szCs w:val="22"/>
          <w:lang w:val="en-GB"/>
        </w:rPr>
        <w:t xml:space="preserve"> Australian Workplaces: Costs, Productivity, Presenteeism, A</w:t>
      </w:r>
      <w:r>
        <w:rPr>
          <w:rFonts w:eastAsia="SimSun" w:cs="Arial"/>
          <w:color w:val="000000" w:themeColor="text1"/>
          <w:szCs w:val="22"/>
          <w:lang w:val="en-GB"/>
        </w:rPr>
        <w:t>bsenteeism.</w:t>
      </w:r>
    </w:p>
    <w:p w14:paraId="5B2B59E7" w14:textId="77777777" w:rsidR="006C64C6" w:rsidRPr="006C64C6" w:rsidRDefault="006C64C6" w:rsidP="006C64C6">
      <w:pPr>
        <w:spacing w:before="240" w:after="100" w:afterAutospacing="1"/>
        <w:rPr>
          <w:rFonts w:eastAsia="SimSun" w:cs="Arial"/>
          <w:color w:val="000000" w:themeColor="text1"/>
          <w:szCs w:val="22"/>
          <w:lang w:val="en-GB"/>
        </w:rPr>
      </w:pPr>
      <w:r w:rsidRPr="006C64C6">
        <w:rPr>
          <w:rFonts w:eastAsia="SimSun" w:cs="Arial"/>
          <w:color w:val="000000" w:themeColor="text1"/>
          <w:szCs w:val="22"/>
          <w:lang w:val="en-GB"/>
        </w:rPr>
        <w:t>Enquiries regarding the licence and any use of the report are welcome at:</w:t>
      </w:r>
    </w:p>
    <w:p w14:paraId="2924E0D7" w14:textId="77777777" w:rsidR="006C64C6" w:rsidRPr="006C64C6" w:rsidRDefault="006C64C6" w:rsidP="006C64C6">
      <w:pPr>
        <w:spacing w:before="240" w:after="100" w:afterAutospacing="1"/>
        <w:rPr>
          <w:rFonts w:eastAsia="SimSun" w:cs="Arial"/>
          <w:color w:val="000000" w:themeColor="text1"/>
          <w:szCs w:val="22"/>
          <w:lang w:val="en-GB"/>
        </w:rPr>
      </w:pPr>
      <w:r w:rsidRPr="006C64C6">
        <w:rPr>
          <w:rFonts w:eastAsia="SimSun" w:cs="Arial"/>
          <w:color w:val="000000" w:themeColor="text1"/>
          <w:szCs w:val="22"/>
          <w:lang w:val="en-GB"/>
        </w:rPr>
        <w:t xml:space="preserve">Safe Work Australia </w:t>
      </w:r>
    </w:p>
    <w:p w14:paraId="06D25D7E" w14:textId="77777777" w:rsidR="006C64C6" w:rsidRPr="006C64C6" w:rsidRDefault="006C64C6" w:rsidP="006C64C6">
      <w:pPr>
        <w:spacing w:before="240" w:after="100" w:afterAutospacing="1"/>
        <w:rPr>
          <w:rFonts w:eastAsia="SimSun" w:cs="Arial"/>
          <w:color w:val="000000" w:themeColor="text1"/>
          <w:szCs w:val="22"/>
          <w:lang w:val="en-GB"/>
        </w:rPr>
      </w:pPr>
      <w:r w:rsidRPr="006C64C6">
        <w:rPr>
          <w:rFonts w:eastAsia="SimSun" w:cs="Arial"/>
          <w:color w:val="000000" w:themeColor="text1"/>
          <w:szCs w:val="22"/>
          <w:lang w:val="en-GB"/>
        </w:rPr>
        <w:t>GPO Box 641 Canberra ACT 2601</w:t>
      </w:r>
    </w:p>
    <w:p w14:paraId="4F5965E4" w14:textId="77777777" w:rsidR="006C64C6" w:rsidRPr="006C64C6" w:rsidRDefault="006C64C6" w:rsidP="006C64C6">
      <w:pPr>
        <w:spacing w:before="240" w:after="100" w:afterAutospacing="1"/>
        <w:rPr>
          <w:rFonts w:eastAsia="SimSun" w:cs="Arial"/>
          <w:color w:val="000000" w:themeColor="text1"/>
          <w:szCs w:val="22"/>
          <w:lang w:val="en-GB"/>
        </w:rPr>
      </w:pPr>
      <w:r w:rsidRPr="006C64C6">
        <w:rPr>
          <w:rFonts w:eastAsia="SimSun" w:cs="Arial"/>
          <w:color w:val="000000" w:themeColor="text1"/>
          <w:szCs w:val="22"/>
          <w:lang w:val="en-GB"/>
        </w:rPr>
        <w:t xml:space="preserve">Email: </w:t>
      </w:r>
      <w:hyperlink r:id="rId14" w:history="1">
        <w:r w:rsidRPr="006C64C6">
          <w:rPr>
            <w:rFonts w:eastAsia="SimSun" w:cs="Arial"/>
            <w:color w:val="0000FF"/>
            <w:szCs w:val="22"/>
            <w:u w:val="single"/>
            <w:lang w:val="en-GB"/>
          </w:rPr>
          <w:t>copyrightrequests@swa.gov.au</w:t>
        </w:r>
      </w:hyperlink>
      <w:r w:rsidRPr="006C64C6">
        <w:rPr>
          <w:rFonts w:eastAsia="SimSun" w:cs="Arial"/>
          <w:color w:val="0000FF"/>
          <w:szCs w:val="22"/>
          <w:u w:val="thick"/>
          <w:lang w:val="en-GB"/>
        </w:rPr>
        <w:t xml:space="preserve"> </w:t>
      </w:r>
    </w:p>
    <w:p w14:paraId="33A6C1BB" w14:textId="77777777" w:rsidR="006C64C6" w:rsidRPr="006C64C6" w:rsidRDefault="006C64C6" w:rsidP="006C64C6">
      <w:pPr>
        <w:spacing w:before="240" w:after="100" w:afterAutospacing="1"/>
        <w:rPr>
          <w:rFonts w:eastAsia="SimSun" w:cs="Arial"/>
          <w:color w:val="000000" w:themeColor="text1"/>
          <w:szCs w:val="22"/>
          <w:lang w:val="en-GB"/>
        </w:rPr>
      </w:pPr>
      <w:r w:rsidRPr="006C64C6">
        <w:rPr>
          <w:rFonts w:eastAsia="SimSun" w:cs="Arial"/>
          <w:color w:val="000000" w:themeColor="text1"/>
          <w:szCs w:val="22"/>
          <w:lang w:val="en-GB"/>
        </w:rPr>
        <w:t>Disclaimer</w:t>
      </w:r>
    </w:p>
    <w:p w14:paraId="1F62FDF9" w14:textId="77777777" w:rsidR="006C64C6" w:rsidRPr="006C64C6" w:rsidRDefault="006C64C6" w:rsidP="006C64C6">
      <w:pPr>
        <w:spacing w:before="240" w:after="100" w:afterAutospacing="1"/>
        <w:rPr>
          <w:rFonts w:eastAsia="SimSun" w:cs="Arial"/>
          <w:color w:val="000000" w:themeColor="text1"/>
          <w:szCs w:val="22"/>
          <w:lang w:val="en-GB"/>
        </w:rPr>
      </w:pPr>
      <w:r w:rsidRPr="006C64C6">
        <w:rPr>
          <w:rFonts w:eastAsia="SimSun" w:cs="Arial"/>
          <w:color w:val="000000" w:themeColor="text1"/>
          <w:szCs w:val="22"/>
          <w:lang w:val="en-GB"/>
        </w:rPr>
        <w:t>The information provided in this document can only assist you in the most general way. This document does not replace any statutory requirements under any relevant state and territory legislation. Safe Work Australia is not liable for any loss resulting from any action taken or reliance made by you on the information or material contained on this document. Before relying on the material, users should carefully make their own assessment as to its accuracy, currency, completeness and relevance for their purposes, and should obtain any appropriate professional advice relevant to their particular circumstances. The views in this report should not be taken to represent the views of Safe Work Australia unless otherwise expressly stated.</w:t>
      </w:r>
    </w:p>
    <w:p w14:paraId="4055F3FB" w14:textId="77777777" w:rsidR="006C64C6" w:rsidRDefault="006C64C6">
      <w:pPr>
        <w:spacing w:after="0"/>
        <w:rPr>
          <w:rFonts w:ascii="Arial Bold" w:eastAsiaTheme="majorEastAsia" w:hAnsi="Arial Bold" w:cs="Arial"/>
          <w:b/>
          <w:color w:val="1F497D" w:themeColor="text2"/>
          <w:kern w:val="32"/>
          <w:sz w:val="48"/>
          <w:szCs w:val="22"/>
          <w:lang w:eastAsia="en-US"/>
        </w:rPr>
      </w:pPr>
      <w:r>
        <w:rPr>
          <w:rFonts w:hint="eastAsia"/>
          <w:lang w:eastAsia="en-US"/>
        </w:rPr>
        <w:br w:type="page"/>
      </w:r>
    </w:p>
    <w:p w14:paraId="6EB0AA45" w14:textId="697B7575" w:rsidR="00A65E70" w:rsidRPr="00A65E70" w:rsidRDefault="00A65E70" w:rsidP="005E71B7">
      <w:pPr>
        <w:pStyle w:val="Heading1"/>
        <w:rPr>
          <w:lang w:eastAsia="en-US"/>
        </w:rPr>
      </w:pPr>
      <w:r w:rsidRPr="00A65E70">
        <w:rPr>
          <w:lang w:eastAsia="en-US"/>
        </w:rPr>
        <w:lastRenderedPageBreak/>
        <w:t>Glossary and abbreviations</w:t>
      </w:r>
    </w:p>
    <w:p w14:paraId="0A80F8D4" w14:textId="77777777" w:rsidR="00A65E70" w:rsidRDefault="00A65E70" w:rsidP="00EE707B">
      <w:pPr>
        <w:rPr>
          <w:rFonts w:eastAsia="Calibri"/>
          <w:lang w:eastAsia="en-US"/>
        </w:rPr>
      </w:pPr>
      <w:r w:rsidRPr="00F92113">
        <w:rPr>
          <w:rStyle w:val="Heading4Char"/>
        </w:rPr>
        <w:t>Absenteeism:</w:t>
      </w:r>
      <w:r w:rsidRPr="00A65E70">
        <w:rPr>
          <w:rFonts w:eastAsia="Calibri"/>
          <w:lang w:eastAsia="en-US"/>
        </w:rPr>
        <w:t xml:space="preserve"> Absence from work.</w:t>
      </w:r>
    </w:p>
    <w:p w14:paraId="10D695E4" w14:textId="77777777" w:rsidR="00A65E70" w:rsidRDefault="00A65E70" w:rsidP="00EE707B">
      <w:pPr>
        <w:rPr>
          <w:rFonts w:eastAsia="Calibri"/>
          <w:lang w:eastAsia="en-US"/>
        </w:rPr>
      </w:pPr>
      <w:r w:rsidRPr="00F92113">
        <w:rPr>
          <w:rStyle w:val="Heading4Char"/>
        </w:rPr>
        <w:t>Depression:</w:t>
      </w:r>
      <w:r w:rsidRPr="00A65E70">
        <w:rPr>
          <w:rFonts w:eastAsia="Calibri"/>
          <w:lang w:eastAsia="en-US"/>
        </w:rPr>
        <w:t xml:space="preserve"> Mental health condition characterised by pervasive low mood.</w:t>
      </w:r>
    </w:p>
    <w:p w14:paraId="1340FA23" w14:textId="07D4CAE6" w:rsidR="00A65E70" w:rsidRDefault="00A65E70" w:rsidP="00EE707B">
      <w:pPr>
        <w:rPr>
          <w:rFonts w:eastAsia="Calibri"/>
          <w:lang w:eastAsia="en-US"/>
        </w:rPr>
      </w:pPr>
      <w:r w:rsidRPr="00F92113">
        <w:rPr>
          <w:rStyle w:val="Heading4Char"/>
        </w:rPr>
        <w:t>Engagement (work):</w:t>
      </w:r>
      <w:r w:rsidRPr="00A65E70">
        <w:rPr>
          <w:rFonts w:eastAsia="Calibri"/>
          <w:lang w:eastAsia="en-US"/>
        </w:rPr>
        <w:t xml:space="preserve"> Fulfilment from work, characterised by </w:t>
      </w:r>
      <w:r w:rsidR="00BA458E" w:rsidRPr="00A65E70">
        <w:rPr>
          <w:rFonts w:eastAsia="Calibri"/>
          <w:lang w:eastAsia="en-US"/>
        </w:rPr>
        <w:t>vigour</w:t>
      </w:r>
      <w:r w:rsidRPr="00A65E70">
        <w:rPr>
          <w:rFonts w:eastAsia="Calibri"/>
          <w:lang w:eastAsia="en-US"/>
        </w:rPr>
        <w:t>, dedication, and absorption.</w:t>
      </w:r>
    </w:p>
    <w:p w14:paraId="0E46CF31" w14:textId="77777777" w:rsidR="00EE707B" w:rsidRDefault="00A65E70" w:rsidP="00EE707B">
      <w:pPr>
        <w:rPr>
          <w:rFonts w:eastAsia="Calibri"/>
          <w:lang w:eastAsia="en-US"/>
        </w:rPr>
      </w:pPr>
      <w:r w:rsidRPr="00F92113">
        <w:rPr>
          <w:rStyle w:val="Heading4Char"/>
        </w:rPr>
        <w:t>GDP:</w:t>
      </w:r>
      <w:r w:rsidRPr="00A65E70">
        <w:rPr>
          <w:rFonts w:eastAsia="Calibri"/>
          <w:lang w:eastAsia="en-US"/>
        </w:rPr>
        <w:t xml:space="preserve"> Gross Domestic Product, i.e. the value of a country’s net output per year.</w:t>
      </w:r>
    </w:p>
    <w:p w14:paraId="5A446641" w14:textId="77777777" w:rsidR="00EE707B" w:rsidRDefault="00A65E70" w:rsidP="00EE707B">
      <w:pPr>
        <w:rPr>
          <w:rFonts w:eastAsia="Calibri"/>
          <w:lang w:eastAsia="en-US"/>
        </w:rPr>
      </w:pPr>
      <w:r w:rsidRPr="00F92113">
        <w:rPr>
          <w:rStyle w:val="Heading4Char"/>
        </w:rPr>
        <w:t>Human Capital:</w:t>
      </w:r>
      <w:r w:rsidRPr="00A65E70">
        <w:rPr>
          <w:rFonts w:eastAsia="Calibri"/>
          <w:lang w:eastAsia="en-US"/>
        </w:rPr>
        <w:t xml:space="preserve"> The economic value of labour, including knowledge and skills.</w:t>
      </w:r>
    </w:p>
    <w:p w14:paraId="47E14C3E" w14:textId="77777777" w:rsidR="00EE707B" w:rsidRDefault="00A65E70" w:rsidP="00EE707B">
      <w:pPr>
        <w:rPr>
          <w:rFonts w:eastAsia="Calibri"/>
          <w:lang w:eastAsia="en-US"/>
        </w:rPr>
      </w:pPr>
      <w:r w:rsidRPr="00F92113">
        <w:rPr>
          <w:rStyle w:val="Heading4Char"/>
        </w:rPr>
        <w:t>Intervention (primary/secondary):</w:t>
      </w:r>
      <w:r w:rsidRPr="00A65E70">
        <w:rPr>
          <w:rFonts w:eastAsia="Calibri"/>
          <w:lang w:eastAsia="en-US"/>
        </w:rPr>
        <w:t xml:space="preserve"> Primary interventions aim to prevent disease, secondary interventions aim to reduce the influence of the disease after it has occurred.</w:t>
      </w:r>
    </w:p>
    <w:p w14:paraId="32119D64" w14:textId="77777777" w:rsidR="00EE707B" w:rsidRDefault="00A65E70" w:rsidP="00EE707B">
      <w:pPr>
        <w:rPr>
          <w:rFonts w:eastAsia="Calibri"/>
          <w:lang w:eastAsia="en-US"/>
        </w:rPr>
      </w:pPr>
      <w:r w:rsidRPr="00F92113">
        <w:rPr>
          <w:rStyle w:val="Heading4Char"/>
        </w:rPr>
        <w:t>Knowledge Application:</w:t>
      </w:r>
      <w:r w:rsidRPr="00A65E70">
        <w:rPr>
          <w:rFonts w:eastAsia="Calibri"/>
          <w:lang w:eastAsia="en-US"/>
        </w:rPr>
        <w:t xml:space="preserve"> The ability of employees to translate their knowledge into economic output.</w:t>
      </w:r>
    </w:p>
    <w:p w14:paraId="0ACAF99F" w14:textId="77777777" w:rsidR="00EE707B" w:rsidRDefault="00A65E70" w:rsidP="00EE707B">
      <w:pPr>
        <w:rPr>
          <w:rFonts w:eastAsia="Calibri"/>
          <w:lang w:eastAsia="en-US"/>
        </w:rPr>
      </w:pPr>
      <w:r w:rsidRPr="00F92113">
        <w:rPr>
          <w:rStyle w:val="Heading4Char"/>
        </w:rPr>
        <w:t>Organisational Climate:</w:t>
      </w:r>
      <w:r w:rsidRPr="00A65E70">
        <w:rPr>
          <w:rFonts w:eastAsia="Calibri"/>
          <w:lang w:eastAsia="en-US"/>
        </w:rPr>
        <w:t xml:space="preserve"> Properties of the work environment as perceived by employees.</w:t>
      </w:r>
    </w:p>
    <w:p w14:paraId="003DE351" w14:textId="77777777" w:rsidR="00EE707B" w:rsidRDefault="00A65E70" w:rsidP="00EE707B">
      <w:pPr>
        <w:rPr>
          <w:rFonts w:eastAsia="Calibri"/>
          <w:lang w:eastAsia="en-US"/>
        </w:rPr>
      </w:pPr>
      <w:r w:rsidRPr="00F92113">
        <w:rPr>
          <w:rStyle w:val="Heading4Char"/>
        </w:rPr>
        <w:t>Quality of Life:</w:t>
      </w:r>
      <w:r w:rsidRPr="00A65E70">
        <w:rPr>
          <w:rFonts w:eastAsia="Calibri"/>
          <w:lang w:eastAsia="en-US"/>
        </w:rPr>
        <w:t xml:space="preserve"> General well-being of individuals and society.</w:t>
      </w:r>
    </w:p>
    <w:p w14:paraId="5F10C0A5" w14:textId="77777777" w:rsidR="00EE707B" w:rsidRDefault="00A65E70" w:rsidP="00EE707B">
      <w:pPr>
        <w:rPr>
          <w:rFonts w:eastAsia="Calibri"/>
          <w:lang w:eastAsia="en-US"/>
        </w:rPr>
      </w:pPr>
      <w:r w:rsidRPr="00F92113">
        <w:rPr>
          <w:rStyle w:val="Heading4Char"/>
        </w:rPr>
        <w:t>Performance (loss):</w:t>
      </w:r>
      <w:r w:rsidRPr="00A65E70">
        <w:rPr>
          <w:rFonts w:eastAsia="Calibri"/>
          <w:lang w:eastAsia="en-US"/>
        </w:rPr>
        <w:t xml:space="preserve"> The degree to which the individual achieves their maximum possible productivity. Performance loss refers to the difference between their achieved and possible performance.</w:t>
      </w:r>
    </w:p>
    <w:p w14:paraId="4F83DA91" w14:textId="77777777" w:rsidR="00EE707B" w:rsidRDefault="00A65E70" w:rsidP="00EE707B">
      <w:pPr>
        <w:rPr>
          <w:rFonts w:eastAsia="Calibri"/>
          <w:lang w:eastAsia="en-US"/>
        </w:rPr>
      </w:pPr>
      <w:r w:rsidRPr="00F92113">
        <w:rPr>
          <w:rStyle w:val="Heading4Char"/>
        </w:rPr>
        <w:t>Presenteeism:</w:t>
      </w:r>
      <w:r w:rsidRPr="00A65E70">
        <w:rPr>
          <w:rFonts w:eastAsia="Calibri"/>
          <w:lang w:eastAsia="en-US"/>
        </w:rPr>
        <w:t xml:space="preserve"> Being present at work but with reduced output.</w:t>
      </w:r>
    </w:p>
    <w:p w14:paraId="05994232" w14:textId="77777777" w:rsidR="00EE707B" w:rsidRDefault="00A65E70" w:rsidP="00EE707B">
      <w:pPr>
        <w:rPr>
          <w:rFonts w:eastAsia="Calibri"/>
          <w:lang w:eastAsia="en-US"/>
        </w:rPr>
      </w:pPr>
      <w:r w:rsidRPr="00F92113">
        <w:rPr>
          <w:rStyle w:val="Heading4Char"/>
        </w:rPr>
        <w:t>Productivity:</w:t>
      </w:r>
      <w:r w:rsidRPr="00A65E70">
        <w:rPr>
          <w:rFonts w:eastAsia="Calibri"/>
          <w:b/>
          <w:lang w:eastAsia="en-US"/>
        </w:rPr>
        <w:t xml:space="preserve"> </w:t>
      </w:r>
      <w:r w:rsidRPr="00A65E70">
        <w:rPr>
          <w:rFonts w:eastAsia="Calibri"/>
          <w:lang w:eastAsia="en-US"/>
        </w:rPr>
        <w:t>The effectiveness of converting effort into output.</w:t>
      </w:r>
    </w:p>
    <w:p w14:paraId="3C8D64B2" w14:textId="77777777" w:rsidR="00EE707B" w:rsidRDefault="00A65E70" w:rsidP="00EE707B">
      <w:pPr>
        <w:rPr>
          <w:rFonts w:eastAsia="Calibri"/>
          <w:lang w:eastAsia="en-US"/>
        </w:rPr>
      </w:pPr>
      <w:r w:rsidRPr="00F92113">
        <w:rPr>
          <w:rStyle w:val="Heading4Char"/>
        </w:rPr>
        <w:t>Productivity Commission:</w:t>
      </w:r>
      <w:r w:rsidRPr="00A65E70">
        <w:rPr>
          <w:rFonts w:eastAsia="Calibri"/>
          <w:lang w:eastAsia="en-US"/>
        </w:rPr>
        <w:t xml:space="preserve"> Commonwealth Agency that advises the government on microeconomic policy and regulation.</w:t>
      </w:r>
    </w:p>
    <w:p w14:paraId="5EEFA747" w14:textId="77777777" w:rsidR="00EE707B" w:rsidRDefault="00A65E70" w:rsidP="00EE707B">
      <w:pPr>
        <w:rPr>
          <w:rFonts w:eastAsia="Calibri"/>
          <w:lang w:eastAsia="en-US"/>
        </w:rPr>
      </w:pPr>
      <w:r w:rsidRPr="00F92113">
        <w:rPr>
          <w:rStyle w:val="Heading4Char"/>
        </w:rPr>
        <w:t>Productivity Growth:</w:t>
      </w:r>
      <w:r w:rsidRPr="00A65E70">
        <w:rPr>
          <w:rFonts w:eastAsia="Calibri"/>
          <w:lang w:eastAsia="en-US"/>
        </w:rPr>
        <w:t xml:space="preserve"> Producing more output (e.g., goods and services) without any additional input (e.g., labour, capital). </w:t>
      </w:r>
    </w:p>
    <w:p w14:paraId="02099102" w14:textId="77777777" w:rsidR="00EE707B" w:rsidRDefault="00A65E70" w:rsidP="00EE707B">
      <w:pPr>
        <w:rPr>
          <w:rFonts w:eastAsia="Calibri"/>
          <w:lang w:eastAsia="en-US"/>
        </w:rPr>
      </w:pPr>
      <w:r w:rsidRPr="00F92113">
        <w:rPr>
          <w:rStyle w:val="Heading4Char"/>
        </w:rPr>
        <w:t>Psychological Distress:</w:t>
      </w:r>
      <w:r w:rsidRPr="00A65E70">
        <w:rPr>
          <w:rFonts w:eastAsia="Calibri"/>
          <w:lang w:eastAsia="en-US"/>
        </w:rPr>
        <w:t xml:space="preserve"> Negative emotional state including anxiety, sadness, and depression.</w:t>
      </w:r>
    </w:p>
    <w:p w14:paraId="35ED2F19" w14:textId="77777777" w:rsidR="00EE707B" w:rsidRDefault="00A65E70" w:rsidP="00EE707B">
      <w:pPr>
        <w:rPr>
          <w:rFonts w:eastAsia="Calibri"/>
          <w:lang w:eastAsia="en-US"/>
        </w:rPr>
      </w:pPr>
      <w:r w:rsidRPr="00F92113">
        <w:rPr>
          <w:rStyle w:val="Heading4Char"/>
        </w:rPr>
        <w:t>Psychosocial Safety Climate:</w:t>
      </w:r>
      <w:r w:rsidRPr="00A65E70">
        <w:rPr>
          <w:rFonts w:eastAsia="Calibri"/>
          <w:lang w:eastAsia="en-US"/>
        </w:rPr>
        <w:t xml:space="preserve"> Type of organisational climate, characterised by prioritising employee psychological health.</w:t>
      </w:r>
    </w:p>
    <w:p w14:paraId="6BF3600C" w14:textId="77777777" w:rsidR="00EE707B" w:rsidRDefault="00A65E70" w:rsidP="00EE707B">
      <w:pPr>
        <w:rPr>
          <w:rFonts w:eastAsia="Calibri"/>
          <w:lang w:eastAsia="en-US"/>
        </w:rPr>
      </w:pPr>
      <w:r w:rsidRPr="00F92113">
        <w:rPr>
          <w:rStyle w:val="Heading4Char"/>
        </w:rPr>
        <w:t>Resources:</w:t>
      </w:r>
      <w:r w:rsidRPr="00A65E70">
        <w:rPr>
          <w:rFonts w:eastAsia="Calibri"/>
          <w:lang w:eastAsia="en-US"/>
        </w:rPr>
        <w:t xml:space="preserve"> Resources are aspects of a job that assist in meeting demands.</w:t>
      </w:r>
    </w:p>
    <w:p w14:paraId="7A1457F6" w14:textId="6734B43C" w:rsidR="00545206" w:rsidRDefault="00A65E70" w:rsidP="00EE707B">
      <w:pPr>
        <w:rPr>
          <w:rFonts w:eastAsia="Calibri"/>
          <w:lang w:eastAsia="en-US"/>
        </w:rPr>
      </w:pPr>
      <w:r w:rsidRPr="00F92113">
        <w:rPr>
          <w:rStyle w:val="Heading4Char"/>
        </w:rPr>
        <w:t>Sickness Absence:</w:t>
      </w:r>
      <w:r w:rsidRPr="00A65E70">
        <w:rPr>
          <w:rFonts w:eastAsia="Calibri"/>
          <w:lang w:eastAsia="en-US"/>
        </w:rPr>
        <w:t xml:space="preserve"> Absence from work due to sickness.</w:t>
      </w:r>
      <w:r w:rsidR="00545206" w:rsidRPr="00A65E70">
        <w:rPr>
          <w:rFonts w:eastAsia="Calibri"/>
          <w:lang w:eastAsia="en-US"/>
        </w:rPr>
        <w:t xml:space="preserve"> </w:t>
      </w:r>
    </w:p>
    <w:p w14:paraId="797F5F17" w14:textId="77777777" w:rsidR="00545206" w:rsidRDefault="00545206">
      <w:pPr>
        <w:rPr>
          <w:rFonts w:ascii="Adobe Garamond Pro" w:eastAsia="Calibri" w:hAnsi="Adobe Garamond Pro"/>
          <w:sz w:val="24"/>
          <w:szCs w:val="22"/>
          <w:lang w:eastAsia="en-US"/>
        </w:rPr>
      </w:pPr>
      <w:r>
        <w:rPr>
          <w:rFonts w:ascii="Adobe Garamond Pro" w:eastAsia="Calibri" w:hAnsi="Adobe Garamond Pro"/>
          <w:sz w:val="24"/>
          <w:szCs w:val="22"/>
          <w:lang w:eastAsia="en-US"/>
        </w:rPr>
        <w:br w:type="page"/>
      </w:r>
    </w:p>
    <w:p w14:paraId="23E23380" w14:textId="6D7ECD2F" w:rsidR="008B24E1" w:rsidRPr="008B24E1" w:rsidRDefault="008B24E1" w:rsidP="008B24E1">
      <w:pPr>
        <w:pStyle w:val="Heading1"/>
        <w:rPr>
          <w:lang w:val="en-US"/>
        </w:rPr>
      </w:pPr>
      <w:r w:rsidRPr="006A7EC0">
        <w:rPr>
          <w:lang w:val="en-US"/>
        </w:rPr>
        <w:lastRenderedPageBreak/>
        <w:t>Summary</w:t>
      </w:r>
    </w:p>
    <w:p w14:paraId="266FF6C2" w14:textId="77777777" w:rsidR="00A65E70" w:rsidRPr="00A65E70" w:rsidRDefault="00A65E70" w:rsidP="005E71B7">
      <w:pPr>
        <w:pStyle w:val="Heading2"/>
        <w:rPr>
          <w:lang w:val="en-GB" w:eastAsia="en-US"/>
        </w:rPr>
      </w:pPr>
      <w:r w:rsidRPr="00A65E70">
        <w:rPr>
          <w:lang w:val="en-GB" w:eastAsia="en-US"/>
        </w:rPr>
        <w:t>Why has this research been done?</w:t>
      </w:r>
    </w:p>
    <w:p w14:paraId="305A3EA1" w14:textId="77777777" w:rsidR="00A65E70" w:rsidRPr="00EE707B" w:rsidRDefault="00A65E70" w:rsidP="00EE707B">
      <w:pPr>
        <w:pStyle w:val="ListParagraph"/>
        <w:numPr>
          <w:ilvl w:val="0"/>
          <w:numId w:val="45"/>
        </w:numPr>
        <w:rPr>
          <w:rFonts w:eastAsia="Calibri"/>
          <w:lang w:val="en-US" w:eastAsia="en-US"/>
        </w:rPr>
      </w:pPr>
      <w:r w:rsidRPr="00EE707B">
        <w:rPr>
          <w:rFonts w:eastAsia="Calibri"/>
          <w:lang w:val="en-US" w:eastAsia="en-US"/>
        </w:rPr>
        <w:t>Previous research has indicated that</w:t>
      </w:r>
      <w:r w:rsidR="004B4AEB" w:rsidRPr="00EE707B">
        <w:rPr>
          <w:rFonts w:eastAsia="Calibri"/>
          <w:lang w:val="en-US" w:eastAsia="en-US"/>
        </w:rPr>
        <w:t xml:space="preserve"> </w:t>
      </w:r>
      <w:r w:rsidR="001B33D8" w:rsidRPr="00EE707B">
        <w:rPr>
          <w:rFonts w:eastAsia="Calibri"/>
          <w:lang w:val="en-US" w:eastAsia="en-US"/>
        </w:rPr>
        <w:t>addressing</w:t>
      </w:r>
      <w:r w:rsidRPr="00EE707B">
        <w:rPr>
          <w:rFonts w:eastAsia="Calibri"/>
          <w:lang w:val="en-US" w:eastAsia="en-US"/>
        </w:rPr>
        <w:t xml:space="preserve"> psychosocial </w:t>
      </w:r>
      <w:r w:rsidR="00793AA5" w:rsidRPr="00EE707B">
        <w:rPr>
          <w:rFonts w:eastAsia="Calibri"/>
          <w:lang w:val="en-US" w:eastAsia="en-US"/>
        </w:rPr>
        <w:t>hazards</w:t>
      </w:r>
      <w:r w:rsidR="00CE5476" w:rsidRPr="00EE707B">
        <w:rPr>
          <w:rFonts w:eastAsia="Calibri"/>
          <w:lang w:val="en-US" w:eastAsia="en-US"/>
        </w:rPr>
        <w:t xml:space="preserve"> by improving</w:t>
      </w:r>
      <w:r w:rsidRPr="00EE707B">
        <w:rPr>
          <w:rFonts w:eastAsia="Calibri"/>
          <w:lang w:val="en-US" w:eastAsia="en-US"/>
        </w:rPr>
        <w:t xml:space="preserve"> Psychosocial Safety Climate (PSC)</w:t>
      </w:r>
      <w:r w:rsidR="001B33D8" w:rsidRPr="00EE707B">
        <w:rPr>
          <w:rFonts w:eastAsia="Calibri"/>
          <w:lang w:val="en-US" w:eastAsia="en-US"/>
        </w:rPr>
        <w:t xml:space="preserve"> and</w:t>
      </w:r>
      <w:r w:rsidR="00793AA5" w:rsidRPr="00EE707B">
        <w:rPr>
          <w:rFonts w:eastAsia="Calibri"/>
          <w:lang w:val="en-US" w:eastAsia="en-US"/>
        </w:rPr>
        <w:t xml:space="preserve"> also</w:t>
      </w:r>
      <w:r w:rsidR="006C3C81" w:rsidRPr="00EE707B">
        <w:rPr>
          <w:rFonts w:eastAsia="Calibri"/>
          <w:lang w:val="en-US" w:eastAsia="en-US"/>
        </w:rPr>
        <w:t xml:space="preserve"> </w:t>
      </w:r>
      <w:r w:rsidR="00793AA5" w:rsidRPr="00EE707B">
        <w:rPr>
          <w:rFonts w:eastAsia="Calibri"/>
          <w:lang w:val="en-US" w:eastAsia="en-US"/>
        </w:rPr>
        <w:t>improving</w:t>
      </w:r>
      <w:r w:rsidR="001B33D8" w:rsidRPr="00EE707B">
        <w:rPr>
          <w:rFonts w:eastAsia="Calibri"/>
          <w:lang w:val="en-US" w:eastAsia="en-US"/>
        </w:rPr>
        <w:t xml:space="preserve"> three</w:t>
      </w:r>
      <w:r w:rsidR="006C3C81" w:rsidRPr="00EE707B">
        <w:rPr>
          <w:rFonts w:eastAsia="Calibri"/>
          <w:lang w:val="en-US" w:eastAsia="en-US"/>
        </w:rPr>
        <w:t xml:space="preserve"> psychological</w:t>
      </w:r>
      <w:r w:rsidR="001B33D8" w:rsidRPr="00EE707B">
        <w:rPr>
          <w:rFonts w:eastAsia="Calibri"/>
          <w:lang w:val="en-US" w:eastAsia="en-US"/>
        </w:rPr>
        <w:t xml:space="preserve"> health outcomes:</w:t>
      </w:r>
      <w:r w:rsidRPr="00EE707B">
        <w:rPr>
          <w:rFonts w:eastAsia="Calibri"/>
          <w:lang w:val="en-US" w:eastAsia="en-US"/>
        </w:rPr>
        <w:t xml:space="preserve"> depression</w:t>
      </w:r>
      <w:r w:rsidR="0009109F" w:rsidRPr="00EE707B">
        <w:rPr>
          <w:rFonts w:eastAsia="Calibri"/>
          <w:lang w:val="en-US" w:eastAsia="en-US"/>
        </w:rPr>
        <w:t>,</w:t>
      </w:r>
      <w:r w:rsidRPr="00EE707B">
        <w:rPr>
          <w:rFonts w:eastAsia="Calibri"/>
          <w:lang w:val="en-US" w:eastAsia="en-US"/>
        </w:rPr>
        <w:t xml:space="preserve"> psychological distress</w:t>
      </w:r>
      <w:r w:rsidR="0009109F" w:rsidRPr="00EE707B">
        <w:rPr>
          <w:rFonts w:eastAsia="Calibri"/>
          <w:lang w:val="en-US" w:eastAsia="en-US"/>
        </w:rPr>
        <w:t>,</w:t>
      </w:r>
      <w:r w:rsidRPr="00EE707B">
        <w:rPr>
          <w:rFonts w:eastAsia="Calibri"/>
          <w:lang w:val="en-US" w:eastAsia="en-US"/>
        </w:rPr>
        <w:t xml:space="preserve"> and engagement may be effective in reducing sickness absence and presenteeism.</w:t>
      </w:r>
    </w:p>
    <w:p w14:paraId="11216B47" w14:textId="77777777" w:rsidR="00A65E70" w:rsidRPr="001D755E" w:rsidRDefault="00A65E70" w:rsidP="00EE707B">
      <w:pPr>
        <w:pStyle w:val="ListParagraph"/>
        <w:numPr>
          <w:ilvl w:val="0"/>
          <w:numId w:val="45"/>
        </w:numPr>
        <w:rPr>
          <w:rStyle w:val="Style6Char"/>
        </w:rPr>
      </w:pPr>
      <w:r w:rsidRPr="00EE707B">
        <w:rPr>
          <w:rFonts w:eastAsia="Calibri"/>
          <w:lang w:val="en-US" w:eastAsia="en-US"/>
        </w:rPr>
        <w:t xml:space="preserve">Addressing psychosocial </w:t>
      </w:r>
      <w:r w:rsidR="00793AA5" w:rsidRPr="00EE707B">
        <w:rPr>
          <w:rFonts w:eastAsia="Calibri"/>
          <w:lang w:val="en-US" w:eastAsia="en-US"/>
        </w:rPr>
        <w:t xml:space="preserve">hazards </w:t>
      </w:r>
      <w:r w:rsidRPr="00EE707B">
        <w:rPr>
          <w:rFonts w:eastAsia="Calibri"/>
          <w:lang w:val="en-US" w:eastAsia="en-US"/>
        </w:rPr>
        <w:t xml:space="preserve">that contribute to human capital costs is an innovative strategy that could improve productivity while also making substantial </w:t>
      </w:r>
      <w:r w:rsidRPr="001D755E">
        <w:rPr>
          <w:rStyle w:val="Style6Char"/>
        </w:rPr>
        <w:t>improvements to the well-being of workers.</w:t>
      </w:r>
    </w:p>
    <w:p w14:paraId="4A1D2C87" w14:textId="77777777" w:rsidR="00A65E70" w:rsidRPr="00A65E70" w:rsidRDefault="00A65E70" w:rsidP="005E71B7">
      <w:pPr>
        <w:pStyle w:val="Heading2"/>
        <w:rPr>
          <w:lang w:val="en-GB" w:eastAsia="en-US"/>
        </w:rPr>
      </w:pPr>
      <w:r w:rsidRPr="00A65E70">
        <w:rPr>
          <w:lang w:val="en-GB" w:eastAsia="en-US"/>
        </w:rPr>
        <w:t>Who did we study?</w:t>
      </w:r>
    </w:p>
    <w:p w14:paraId="5C42178D" w14:textId="77777777" w:rsidR="00A65E70" w:rsidRPr="001D755E" w:rsidRDefault="00A65E70" w:rsidP="005E71B7">
      <w:pPr>
        <w:pStyle w:val="ListParagraph"/>
        <w:rPr>
          <w:rStyle w:val="Style6Char"/>
        </w:rPr>
      </w:pPr>
      <w:r w:rsidRPr="00A65E70">
        <w:rPr>
          <w:rFonts w:eastAsia="Calibri"/>
          <w:lang w:val="en-US" w:eastAsia="en-US"/>
        </w:rPr>
        <w:t>Data from the 2014</w:t>
      </w:r>
      <w:r w:rsidR="004B4AEB">
        <w:rPr>
          <w:rFonts w:eastAsia="Calibri"/>
          <w:lang w:val="en-US" w:eastAsia="en-US"/>
        </w:rPr>
        <w:t>─</w:t>
      </w:r>
      <w:r w:rsidRPr="00A65E70">
        <w:rPr>
          <w:rFonts w:eastAsia="Calibri"/>
          <w:lang w:val="en-US" w:eastAsia="en-US"/>
        </w:rPr>
        <w:t xml:space="preserve">15 Australian Workplace Barometer (AWB) project were used in this report. Participants were randomly selected across all states and territories and the data were weighted to ensure the sample was representative </w:t>
      </w:r>
      <w:r w:rsidRPr="001D755E">
        <w:rPr>
          <w:rStyle w:val="Style6Char"/>
        </w:rPr>
        <w:t>of</w:t>
      </w:r>
      <w:r w:rsidR="004B4AEB" w:rsidRPr="001D755E">
        <w:rPr>
          <w:rStyle w:val="Style6Char"/>
        </w:rPr>
        <w:t xml:space="preserve"> the</w:t>
      </w:r>
      <w:r w:rsidRPr="001D755E">
        <w:rPr>
          <w:rStyle w:val="Style6Char"/>
        </w:rPr>
        <w:t xml:space="preserve"> working population in respective states and territories. </w:t>
      </w:r>
    </w:p>
    <w:p w14:paraId="6E8E5443" w14:textId="77777777" w:rsidR="00A65E70" w:rsidRPr="00A65E70" w:rsidRDefault="00A65E70" w:rsidP="005E71B7">
      <w:pPr>
        <w:pStyle w:val="Heading2"/>
      </w:pPr>
      <w:r w:rsidRPr="00A65E70">
        <w:t>What did we find?</w:t>
      </w:r>
    </w:p>
    <w:p w14:paraId="65437896" w14:textId="77777777" w:rsidR="00A65E70" w:rsidRPr="00A65E70" w:rsidRDefault="00A65E70" w:rsidP="005E71B7">
      <w:pPr>
        <w:pStyle w:val="ListParagraph"/>
        <w:rPr>
          <w:rFonts w:eastAsia="Calibri"/>
          <w:lang w:eastAsia="en-US"/>
        </w:rPr>
      </w:pPr>
      <w:r w:rsidRPr="00A65E70">
        <w:rPr>
          <w:rFonts w:eastAsia="Calibri"/>
          <w:lang w:eastAsia="en-US"/>
        </w:rPr>
        <w:t>The total cost of low levels of PSC to Australian employers is estimated to be approximately $6 billion per annum.</w:t>
      </w:r>
    </w:p>
    <w:p w14:paraId="68760235" w14:textId="77777777" w:rsidR="00A65E70" w:rsidRPr="00A65E70" w:rsidRDefault="00A65E70" w:rsidP="005E71B7">
      <w:pPr>
        <w:pStyle w:val="ListParagraph"/>
        <w:rPr>
          <w:rFonts w:eastAsia="Calibri"/>
          <w:lang w:eastAsia="en-US"/>
        </w:rPr>
      </w:pPr>
      <w:r w:rsidRPr="00A65E70">
        <w:rPr>
          <w:rFonts w:eastAsia="Calibri"/>
          <w:lang w:eastAsia="en-US"/>
        </w:rPr>
        <w:t>Workers in low PSC workplaces had significantly higher sickness absence and presenteeism than those in high PSC environments: they took 43 per cent more sick days per month and had a 72 per cent higher performance loss at work, equating to $1887 per employee per year in cost to employers.</w:t>
      </w:r>
    </w:p>
    <w:p w14:paraId="123FA4CA" w14:textId="77777777" w:rsidR="00A65E70" w:rsidRPr="00A65E70" w:rsidRDefault="00A65E70" w:rsidP="005E71B7">
      <w:pPr>
        <w:pStyle w:val="ListParagraph"/>
        <w:rPr>
          <w:rFonts w:eastAsia="Calibri"/>
          <w:lang w:eastAsia="en-US"/>
        </w:rPr>
      </w:pPr>
      <w:r w:rsidRPr="00A65E70">
        <w:rPr>
          <w:rFonts w:eastAsia="Calibri"/>
          <w:lang w:eastAsia="en-US"/>
        </w:rPr>
        <w:t>The total cost of depression to Australian employers through presenteeism and absenteeism is estimated to be approximately $6.3 billion per annum.</w:t>
      </w:r>
    </w:p>
    <w:p w14:paraId="2EA1A4B0" w14:textId="77777777" w:rsidR="00A65E70" w:rsidRPr="00A65E70" w:rsidRDefault="00A65E70" w:rsidP="005E71B7">
      <w:pPr>
        <w:pStyle w:val="ListParagraph"/>
        <w:rPr>
          <w:rFonts w:eastAsia="Calibri"/>
          <w:lang w:eastAsia="en-US"/>
        </w:rPr>
      </w:pPr>
      <w:r w:rsidRPr="00A65E70">
        <w:rPr>
          <w:rFonts w:eastAsia="Calibri"/>
          <w:lang w:eastAsia="en-US"/>
        </w:rPr>
        <w:t>Workers with severe depression took 20 times more sick days per month and had a 270 per cent higher performance loss than those without depression.</w:t>
      </w:r>
    </w:p>
    <w:p w14:paraId="0A37BC79" w14:textId="69AA854C" w:rsidR="00A65E70" w:rsidRPr="00A65E70" w:rsidRDefault="00A65E70" w:rsidP="005E71B7">
      <w:pPr>
        <w:pStyle w:val="ListParagraph"/>
        <w:rPr>
          <w:rFonts w:eastAsia="Calibri"/>
          <w:lang w:eastAsia="en-US"/>
        </w:rPr>
      </w:pPr>
      <w:r w:rsidRPr="00A65E70">
        <w:rPr>
          <w:rFonts w:eastAsia="Calibri"/>
          <w:lang w:eastAsia="en-US"/>
        </w:rPr>
        <w:t>Depressed workers cost employers, on average, between $2791 per year (mild depression) to $23</w:t>
      </w:r>
      <w:r w:rsidR="002E48B5">
        <w:rPr>
          <w:rFonts w:eastAsia="Calibri"/>
          <w:lang w:eastAsia="en-US"/>
        </w:rPr>
        <w:t xml:space="preserve"> </w:t>
      </w:r>
      <w:r w:rsidRPr="00A65E70">
        <w:rPr>
          <w:rFonts w:eastAsia="Calibri"/>
          <w:lang w:eastAsia="en-US"/>
        </w:rPr>
        <w:t>143 per year (severe depression).</w:t>
      </w:r>
    </w:p>
    <w:p w14:paraId="17461AD8" w14:textId="77777777" w:rsidR="00A65E70" w:rsidRPr="00A65E70" w:rsidRDefault="00A65E70" w:rsidP="005E71B7">
      <w:pPr>
        <w:pStyle w:val="ListParagraph"/>
        <w:rPr>
          <w:rFonts w:eastAsia="Calibri"/>
          <w:lang w:eastAsia="en-US"/>
        </w:rPr>
      </w:pPr>
      <w:r w:rsidRPr="00A65E70">
        <w:rPr>
          <w:rFonts w:eastAsia="Calibri"/>
          <w:lang w:eastAsia="en-US"/>
        </w:rPr>
        <w:t>Workers with psychological distress took four times as many sick days per month and had a 154 per cent higher performance loss at work than those not experiencing psychological distress. This equates to an average cost of $6309 per annum in comparison with those not experiencing psychological distress.</w:t>
      </w:r>
    </w:p>
    <w:p w14:paraId="77807C60" w14:textId="77777777" w:rsidR="00A65E70" w:rsidRPr="001D755E" w:rsidRDefault="00A65E70" w:rsidP="005E71B7">
      <w:pPr>
        <w:pStyle w:val="ListParagraph"/>
        <w:rPr>
          <w:rStyle w:val="Style6Char"/>
        </w:rPr>
      </w:pPr>
      <w:r w:rsidRPr="00A65E70">
        <w:rPr>
          <w:rFonts w:eastAsia="Calibri"/>
          <w:lang w:eastAsia="en-US"/>
        </w:rPr>
        <w:t xml:space="preserve">Relative to workers with high engagement, workers with low engagement have approximately 12 per cent more sick days per month and an average </w:t>
      </w:r>
      <w:r w:rsidRPr="001D755E">
        <w:rPr>
          <w:rStyle w:val="Style6Char"/>
        </w:rPr>
        <w:t>performance loss of 8 per cent, costing employers $4796 per annum.</w:t>
      </w:r>
    </w:p>
    <w:p w14:paraId="173059A7" w14:textId="77777777" w:rsidR="00A65E70" w:rsidRPr="00A65E70" w:rsidRDefault="00A65E70" w:rsidP="005E71B7">
      <w:pPr>
        <w:pStyle w:val="Heading2"/>
      </w:pPr>
      <w:r w:rsidRPr="00A65E70">
        <w:t>What do the findings suggest?</w:t>
      </w:r>
    </w:p>
    <w:p w14:paraId="34EC0900" w14:textId="77777777" w:rsidR="00A65E70" w:rsidRPr="00A65E70" w:rsidRDefault="00A65E70" w:rsidP="005E71B7">
      <w:pPr>
        <w:pStyle w:val="ListParagraph"/>
        <w:rPr>
          <w:rFonts w:eastAsia="Calibri"/>
          <w:lang w:val="en-US" w:eastAsia="en-US"/>
        </w:rPr>
      </w:pPr>
      <w:r w:rsidRPr="00A65E70">
        <w:rPr>
          <w:rFonts w:eastAsia="Calibri"/>
          <w:lang w:val="en-US" w:eastAsia="en-US"/>
        </w:rPr>
        <w:t xml:space="preserve">The results of this study demonstrate a financial impetus for action on employee </w:t>
      </w:r>
      <w:r w:rsidRPr="001D755E">
        <w:rPr>
          <w:rStyle w:val="Style6Char"/>
        </w:rPr>
        <w:t>psychological health.</w:t>
      </w:r>
    </w:p>
    <w:p w14:paraId="5E221AB7" w14:textId="77777777" w:rsidR="00A65E70" w:rsidRPr="00A65E70" w:rsidRDefault="00A65E70" w:rsidP="005E71B7">
      <w:pPr>
        <w:pStyle w:val="Heading2"/>
      </w:pPr>
      <w:r w:rsidRPr="00A65E70">
        <w:t>What can be done?</w:t>
      </w:r>
    </w:p>
    <w:p w14:paraId="5D67D6E4" w14:textId="77777777" w:rsidR="00A65E70" w:rsidRPr="00AD796C" w:rsidRDefault="00A65E70" w:rsidP="005E71B7">
      <w:pPr>
        <w:pStyle w:val="ListParagraph"/>
      </w:pPr>
      <w:r w:rsidRPr="00AD796C">
        <w:t>The productivity of organisations and the health of workers could be improved by improving the PSC of organisations.</w:t>
      </w:r>
    </w:p>
    <w:p w14:paraId="1D2E38C8" w14:textId="4FE83913" w:rsidR="0033029E" w:rsidRPr="00AD796C" w:rsidRDefault="0033029E" w:rsidP="00AD796C">
      <w:pPr>
        <w:pStyle w:val="ListParagraph"/>
        <w:rPr>
          <w:rFonts w:eastAsia="Calibri"/>
        </w:rPr>
      </w:pPr>
      <w:r w:rsidRPr="00AD796C">
        <w:rPr>
          <w:rFonts w:eastAsia="Calibri"/>
        </w:rPr>
        <w:t>To improve PSC in their organisation, employers can:</w:t>
      </w:r>
    </w:p>
    <w:p w14:paraId="7967AA84" w14:textId="593FFF41" w:rsidR="0033029E" w:rsidRPr="00AD796C" w:rsidRDefault="0033029E" w:rsidP="00BA458E">
      <w:pPr>
        <w:pStyle w:val="ListParagraph"/>
        <w:numPr>
          <w:ilvl w:val="1"/>
          <w:numId w:val="41"/>
        </w:numPr>
        <w:rPr>
          <w:rFonts w:eastAsia="Calibri"/>
        </w:rPr>
      </w:pPr>
      <w:r w:rsidRPr="00AD796C">
        <w:rPr>
          <w:rFonts w:eastAsia="Calibri"/>
        </w:rPr>
        <w:lastRenderedPageBreak/>
        <w:t>Prioritise measures designed to foster and protect the psychological health of their employees – improving PSC may be an efficient way to start this process.</w:t>
      </w:r>
    </w:p>
    <w:p w14:paraId="1905872A" w14:textId="07304133" w:rsidR="0033029E" w:rsidRPr="00AD796C" w:rsidRDefault="0033029E" w:rsidP="00BA458E">
      <w:pPr>
        <w:pStyle w:val="ListParagraph"/>
        <w:numPr>
          <w:ilvl w:val="1"/>
          <w:numId w:val="41"/>
        </w:numPr>
        <w:rPr>
          <w:rFonts w:eastAsia="Calibri"/>
        </w:rPr>
      </w:pPr>
      <w:r w:rsidRPr="00AD796C">
        <w:rPr>
          <w:rFonts w:eastAsia="Calibri"/>
        </w:rPr>
        <w:t xml:space="preserve">Reduce work conditions that predispose poor psychological health, such as excessive demands and work pressure, and insufficient </w:t>
      </w:r>
      <w:r w:rsidRPr="00AD796C">
        <w:rPr>
          <w:rStyle w:val="Style6Char"/>
          <w:rFonts w:cs="Times New Roman"/>
          <w:color w:val="auto"/>
          <w:szCs w:val="20"/>
          <w:lang w:val="en-AU" w:eastAsia="en-AU"/>
        </w:rPr>
        <w:t>support and job control.</w:t>
      </w:r>
    </w:p>
    <w:p w14:paraId="041F05D7" w14:textId="5271756A" w:rsidR="0033029E" w:rsidRPr="00AD796C" w:rsidRDefault="0033029E" w:rsidP="00BA458E">
      <w:pPr>
        <w:pStyle w:val="ListParagraph"/>
        <w:numPr>
          <w:ilvl w:val="1"/>
          <w:numId w:val="41"/>
        </w:numPr>
        <w:rPr>
          <w:rFonts w:eastAsia="Calibri"/>
        </w:rPr>
      </w:pPr>
      <w:r w:rsidRPr="00AD796C">
        <w:rPr>
          <w:rFonts w:eastAsia="Calibri"/>
        </w:rPr>
        <w:t>Monitor PSC, as PSC provides early indications of risks for poor psychological health outcomes</w:t>
      </w:r>
      <w:r w:rsidR="00BA458E">
        <w:rPr>
          <w:rFonts w:eastAsia="Calibri"/>
        </w:rPr>
        <w:t xml:space="preserve"> - e</w:t>
      </w:r>
      <w:r w:rsidR="001D755E" w:rsidRPr="00AD796C">
        <w:rPr>
          <w:rFonts w:eastAsia="Calibri"/>
        </w:rPr>
        <w:t>stablish PSC as an organisational KPI</w:t>
      </w:r>
      <w:r w:rsidRPr="00AD796C">
        <w:rPr>
          <w:rFonts w:eastAsia="Calibri"/>
        </w:rPr>
        <w:t>.</w:t>
      </w:r>
    </w:p>
    <w:p w14:paraId="48C139C3" w14:textId="65B23E18" w:rsidR="0033029E" w:rsidRPr="00AD796C" w:rsidRDefault="0033029E" w:rsidP="00BA458E">
      <w:pPr>
        <w:pStyle w:val="ListParagraph"/>
        <w:numPr>
          <w:ilvl w:val="1"/>
          <w:numId w:val="41"/>
        </w:numPr>
        <w:rPr>
          <w:rFonts w:eastAsia="Calibri"/>
        </w:rPr>
      </w:pPr>
      <w:r w:rsidRPr="00AD796C">
        <w:rPr>
          <w:rFonts w:eastAsia="Calibri"/>
        </w:rPr>
        <w:t>E</w:t>
      </w:r>
      <w:r w:rsidR="00A65E70" w:rsidRPr="00AD796C">
        <w:rPr>
          <w:rFonts w:eastAsia="Calibri"/>
        </w:rPr>
        <w:t>ncourag</w:t>
      </w:r>
      <w:r w:rsidRPr="00AD796C">
        <w:rPr>
          <w:rFonts w:eastAsia="Calibri"/>
        </w:rPr>
        <w:t>e</w:t>
      </w:r>
      <w:r w:rsidR="00A65E70" w:rsidRPr="00AD796C">
        <w:rPr>
          <w:rFonts w:eastAsia="Calibri"/>
        </w:rPr>
        <w:t xml:space="preserve"> employee involvement</w:t>
      </w:r>
      <w:r w:rsidRPr="00AD796C">
        <w:rPr>
          <w:rFonts w:eastAsia="Calibri"/>
        </w:rPr>
        <w:t xml:space="preserve"> in developing systems and work conditions </w:t>
      </w:r>
      <w:r w:rsidR="002E48B5" w:rsidRPr="00AD796C">
        <w:rPr>
          <w:rFonts w:eastAsia="Calibri"/>
        </w:rPr>
        <w:t xml:space="preserve">that are </w:t>
      </w:r>
      <w:r w:rsidRPr="00AD796C">
        <w:rPr>
          <w:rFonts w:eastAsia="Calibri"/>
        </w:rPr>
        <w:t>safe for psychological health</w:t>
      </w:r>
      <w:r w:rsidR="00BA458E">
        <w:rPr>
          <w:rFonts w:eastAsia="Calibri"/>
        </w:rPr>
        <w:t>.</w:t>
      </w:r>
    </w:p>
    <w:p w14:paraId="73ABBEB1" w14:textId="234279A0" w:rsidR="00A65E70" w:rsidRPr="00AD796C" w:rsidRDefault="0033029E" w:rsidP="00BA458E">
      <w:pPr>
        <w:pStyle w:val="ListParagraph"/>
        <w:numPr>
          <w:ilvl w:val="1"/>
          <w:numId w:val="41"/>
        </w:numPr>
        <w:rPr>
          <w:rFonts w:eastAsia="Calibri"/>
        </w:rPr>
      </w:pPr>
      <w:r w:rsidRPr="00AD796C">
        <w:rPr>
          <w:rFonts w:eastAsia="Calibri"/>
        </w:rPr>
        <w:t xml:space="preserve">Develop communication systems around psychosocial risks and psychological health in order to prevent and manage risks and </w:t>
      </w:r>
      <w:r w:rsidRPr="00AD796C">
        <w:rPr>
          <w:rStyle w:val="Style6Char"/>
          <w:rFonts w:cs="Times New Roman"/>
          <w:color w:val="auto"/>
          <w:szCs w:val="20"/>
          <w:lang w:val="en-AU" w:eastAsia="en-AU"/>
        </w:rPr>
        <w:t>outcomes.</w:t>
      </w:r>
    </w:p>
    <w:p w14:paraId="1A67563D" w14:textId="77777777" w:rsidR="00EE707B" w:rsidRDefault="00B0130E" w:rsidP="005E71B7">
      <w:pPr>
        <w:pStyle w:val="ListParagraph"/>
      </w:pPr>
      <w:r w:rsidRPr="00AD796C">
        <w:t>These findings suggest that e</w:t>
      </w:r>
      <w:r w:rsidR="004C4F3E" w:rsidRPr="00AD796C">
        <w:t xml:space="preserve">stablishing and maintaining good PSC </w:t>
      </w:r>
      <w:r w:rsidRPr="00AD796C">
        <w:t xml:space="preserve">in organisations </w:t>
      </w:r>
      <w:r w:rsidR="004C4F3E" w:rsidRPr="00AD796C">
        <w:t xml:space="preserve">mitigates psychosocial hazards that can result in poor </w:t>
      </w:r>
      <w:r w:rsidRPr="00AD796C">
        <w:t>psychological health</w:t>
      </w:r>
      <w:r w:rsidR="004C4F3E" w:rsidRPr="00AD796C">
        <w:t xml:space="preserve"> outcomes.</w:t>
      </w:r>
      <w:r w:rsidRPr="00AD796C">
        <w:t xml:space="preserve"> The outcomes of this report are designed to support employers to ensure psychologically healthy workplace for their workers</w:t>
      </w:r>
      <w:r w:rsidR="002E48B5" w:rsidRPr="00AD796C">
        <w:t xml:space="preserve">. They do not provide a justification for </w:t>
      </w:r>
      <w:r w:rsidR="00637F37" w:rsidRPr="00AD796C">
        <w:t>not</w:t>
      </w:r>
      <w:r w:rsidRPr="00AD796C">
        <w:t xml:space="preserve"> employing workers with mental illnesses.</w:t>
      </w:r>
    </w:p>
    <w:p w14:paraId="57AF3779" w14:textId="58E6696D" w:rsidR="004C4F3E" w:rsidRPr="00A65E70" w:rsidRDefault="004C4F3E" w:rsidP="00A65E70">
      <w:pPr>
        <w:spacing w:after="160" w:line="259" w:lineRule="auto"/>
        <w:rPr>
          <w:rFonts w:ascii="Adobe Garamond Pro" w:eastAsia="Calibri" w:hAnsi="Adobe Garamond Pro"/>
          <w:sz w:val="24"/>
          <w:szCs w:val="22"/>
          <w:lang w:eastAsia="en-US"/>
        </w:rPr>
        <w:sectPr w:rsidR="004C4F3E" w:rsidRPr="00A65E70" w:rsidSect="00AA5A3C">
          <w:headerReference w:type="default" r:id="rId15"/>
          <w:footerReference w:type="first" r:id="rId16"/>
          <w:pgSz w:w="11906" w:h="16838"/>
          <w:pgMar w:top="1440" w:right="1440" w:bottom="1418" w:left="1440" w:header="708" w:footer="708" w:gutter="0"/>
          <w:cols w:space="708"/>
          <w:titlePg/>
          <w:docGrid w:linePitch="360"/>
        </w:sectPr>
      </w:pPr>
    </w:p>
    <w:p w14:paraId="77F00A46" w14:textId="77777777" w:rsidR="00A65E70" w:rsidRPr="00A65E70" w:rsidRDefault="00A65E70" w:rsidP="00AD796C">
      <w:pPr>
        <w:pStyle w:val="Heading1"/>
        <w:rPr>
          <w:lang w:eastAsia="en-US"/>
        </w:rPr>
      </w:pPr>
      <w:r w:rsidRPr="00A65E70">
        <w:rPr>
          <w:lang w:eastAsia="en-US"/>
        </w:rPr>
        <w:lastRenderedPageBreak/>
        <w:t>Executive Summary</w:t>
      </w:r>
    </w:p>
    <w:p w14:paraId="4EC72028" w14:textId="17388FAA" w:rsidR="00A65E70" w:rsidRPr="00A65E70" w:rsidRDefault="00A65E70" w:rsidP="00AD796C">
      <w:pPr>
        <w:rPr>
          <w:rFonts w:eastAsia="Calibri"/>
          <w:lang w:eastAsia="en-US"/>
        </w:rPr>
      </w:pPr>
      <w:r w:rsidRPr="00A65E70">
        <w:rPr>
          <w:rFonts w:eastAsia="Calibri"/>
          <w:lang w:eastAsia="en-US"/>
        </w:rPr>
        <w:t>This report explores the productivity growth decline problem in Australia and presents an</w:t>
      </w:r>
      <w:r w:rsidR="00BA458E">
        <w:rPr>
          <w:rFonts w:eastAsia="Calibri"/>
          <w:lang w:eastAsia="en-US"/>
        </w:rPr>
        <w:t xml:space="preserve"> analysis of human capital focu</w:t>
      </w:r>
      <w:r w:rsidRPr="00A65E70">
        <w:rPr>
          <w:rFonts w:eastAsia="Calibri"/>
          <w:lang w:eastAsia="en-US"/>
        </w:rPr>
        <w:t>sed solutions for improving productivity. A boom in productivity growth from the early nineties to the turn of the millennium has been followed by stalled progress in the past decade. The Productivity Commission considers this a matter of high priority, as improving productivity standards is a key component of improving quality of life in society. Improving productivity allows for increased outputs (i.e. goods and services) without the need for additional inputs (e.g., labour, capital). Addressing the psychosocial</w:t>
      </w:r>
      <w:r w:rsidR="00793AA5">
        <w:rPr>
          <w:rFonts w:eastAsia="Calibri"/>
          <w:lang w:eastAsia="en-US"/>
        </w:rPr>
        <w:t xml:space="preserve"> hazards</w:t>
      </w:r>
      <w:r w:rsidRPr="00A65E70">
        <w:rPr>
          <w:rFonts w:eastAsia="Calibri"/>
          <w:lang w:eastAsia="en-US"/>
        </w:rPr>
        <w:t xml:space="preserve"> that contribute to human capital costs is an innovative strategy that can improve productivity while also making substantial improvements to the well-being of workers. </w:t>
      </w:r>
    </w:p>
    <w:p w14:paraId="60767630" w14:textId="77777777" w:rsidR="00EE707B" w:rsidRDefault="00A65E70" w:rsidP="00AD796C">
      <w:pPr>
        <w:rPr>
          <w:rFonts w:eastAsia="Calibri"/>
          <w:lang w:eastAsia="en-US"/>
        </w:rPr>
      </w:pPr>
      <w:r w:rsidRPr="00A65E70">
        <w:rPr>
          <w:rFonts w:eastAsia="Calibri"/>
          <w:lang w:eastAsia="en-US"/>
        </w:rPr>
        <w:t xml:space="preserve">Most Australian workers believe that a psychologically healthy workplace is important. Given that most Australian workers also believe that their workplace is not psychologically healthy, this presents a critical societal issue that the majority want addressed. Poor psychological health leads to reduced productivity as it inhibits workers’ ability to apply their knowledge and skills to their work. In other words, they are unable to convert human capital into output effectively. The primary mechanisms involved in this problem are absence (e.g., sickness absence) and sub-par performance (e.g., presenteeism). Workers with compromised psychological health have more sickness absence and are less productive at work; these issues contribute to productivity loss. </w:t>
      </w:r>
    </w:p>
    <w:p w14:paraId="6B75F288" w14:textId="09641B42" w:rsidR="00EE707B" w:rsidRDefault="00A65E70" w:rsidP="00AD796C">
      <w:pPr>
        <w:rPr>
          <w:rFonts w:eastAsia="Calibri"/>
          <w:lang w:eastAsia="en-US"/>
        </w:rPr>
      </w:pPr>
      <w:r w:rsidRPr="00A65E70">
        <w:rPr>
          <w:rFonts w:eastAsia="Calibri"/>
          <w:lang w:eastAsia="en-US"/>
        </w:rPr>
        <w:t xml:space="preserve">Not addressing psychosocial issues places a burden on society and organisations. The cost of untreated psychological health problems on Australian organisations was recently suggested to be approximately $10.9 billion per year, through absenteeism, presenteeism and workers’ compensation. Psychosocial Safety Climate (PSC) is a recently identified aspect of organisational climate that supports psychological health through policies and practices within an organisation that arise from feedback from listening to workers’ concerns and prioritising and protecting their mental health over production demands. Previous research has suggested that PSC reduces the likelihood of developing psychological health problems that are associated with reduced productivity and increased human capital costs. </w:t>
      </w:r>
    </w:p>
    <w:p w14:paraId="6B14FB3F" w14:textId="77777777" w:rsidR="00EE707B" w:rsidRDefault="00A65E70" w:rsidP="00AD796C">
      <w:pPr>
        <w:rPr>
          <w:rFonts w:eastAsia="Calibri"/>
          <w:lang w:eastAsia="en-US"/>
        </w:rPr>
      </w:pPr>
      <w:r w:rsidRPr="00A65E70">
        <w:rPr>
          <w:rFonts w:eastAsia="Calibri"/>
          <w:lang w:eastAsia="en-US"/>
        </w:rPr>
        <w:t xml:space="preserve">Potential </w:t>
      </w:r>
      <w:r w:rsidR="006C3C81">
        <w:rPr>
          <w:rFonts w:eastAsia="Calibri"/>
          <w:lang w:eastAsia="en-US"/>
        </w:rPr>
        <w:t>psychological health outcomes</w:t>
      </w:r>
      <w:r w:rsidRPr="00A65E70">
        <w:rPr>
          <w:rFonts w:eastAsia="Calibri"/>
          <w:lang w:eastAsia="en-US"/>
        </w:rPr>
        <w:t xml:space="preserve"> that PSC may influence include depression, psychological distress, and engagement. A recent estimate of the cost burden of depression on Australian businesses via presenteeism and sickness absence suggested that it costs employers $8 billion per annum. Depression is associated with a 220</w:t>
      </w:r>
      <w:r w:rsidR="005355BD">
        <w:rPr>
          <w:rFonts w:eastAsia="Calibri"/>
          <w:lang w:eastAsia="en-US"/>
        </w:rPr>
        <w:t xml:space="preserve"> per cent</w:t>
      </w:r>
      <w:r w:rsidRPr="00A65E70">
        <w:rPr>
          <w:rFonts w:eastAsia="Calibri"/>
          <w:lang w:eastAsia="en-US"/>
        </w:rPr>
        <w:t xml:space="preserve"> higher rate of sickness absence from work, leading to many non-productive days for affected workers. The majority of associated costs emerge from those with mild depression, due to the widespread nature of the disorder. The role of psychological distress (a combination of anxiety, sadness and depression), and engagement (fulfilment from work with vigour, dedication, and absorption) in the prevalence of sickness absence and presenteeism is less well understood.</w:t>
      </w:r>
    </w:p>
    <w:p w14:paraId="18F13021" w14:textId="77777777" w:rsidR="00EE707B" w:rsidRDefault="00A65E70" w:rsidP="00AD796C">
      <w:pPr>
        <w:rPr>
          <w:rFonts w:eastAsia="Calibri"/>
          <w:lang w:eastAsia="en-US"/>
        </w:rPr>
      </w:pPr>
      <w:r w:rsidRPr="00A65E70">
        <w:rPr>
          <w:rFonts w:eastAsia="Calibri"/>
          <w:lang w:eastAsia="en-US"/>
        </w:rPr>
        <w:t>PSC is essentially the shared perception of employees that senior management have prioritised their mental wellbeing by creating a psychologically healthy workplace. Previous research into creating psychologically healthy workplaces suggests that there is a lucrative Return on Investment (ROI) of $2.30 for every $1 spent on improving individual skills and resilience; supporting employees with mental health conditions, and improving workplace climate to that end. This is due to reduced sick days, presenteeism, and workers</w:t>
      </w:r>
      <w:r w:rsidR="004B4AEB">
        <w:rPr>
          <w:rFonts w:eastAsia="Calibri"/>
          <w:lang w:eastAsia="en-US"/>
        </w:rPr>
        <w:t>’</w:t>
      </w:r>
      <w:r w:rsidRPr="00A65E70">
        <w:rPr>
          <w:rFonts w:eastAsia="Calibri"/>
          <w:lang w:eastAsia="en-US"/>
        </w:rPr>
        <w:t xml:space="preserve"> compensation claims. This suggests that </w:t>
      </w:r>
      <w:r w:rsidR="00793AA5">
        <w:rPr>
          <w:rFonts w:eastAsia="Calibri"/>
          <w:lang w:eastAsia="en-US"/>
        </w:rPr>
        <w:t>mitigating</w:t>
      </w:r>
      <w:r w:rsidR="00793AA5" w:rsidRPr="00A65E70">
        <w:rPr>
          <w:rFonts w:eastAsia="Calibri"/>
          <w:lang w:eastAsia="en-US"/>
        </w:rPr>
        <w:t xml:space="preserve"> </w:t>
      </w:r>
      <w:r w:rsidRPr="00A65E70">
        <w:rPr>
          <w:rFonts w:eastAsia="Calibri"/>
          <w:lang w:eastAsia="en-US"/>
        </w:rPr>
        <w:t xml:space="preserve">psychosocial </w:t>
      </w:r>
      <w:r w:rsidR="00793AA5">
        <w:rPr>
          <w:rFonts w:eastAsia="Calibri"/>
          <w:lang w:eastAsia="en-US"/>
        </w:rPr>
        <w:t xml:space="preserve">hazards </w:t>
      </w:r>
      <w:r w:rsidR="0059439B">
        <w:rPr>
          <w:rFonts w:eastAsia="Calibri"/>
          <w:lang w:eastAsia="en-US"/>
        </w:rPr>
        <w:t>and</w:t>
      </w:r>
      <w:r w:rsidR="006C3C81">
        <w:rPr>
          <w:rFonts w:eastAsia="Calibri"/>
          <w:lang w:eastAsia="en-US"/>
        </w:rPr>
        <w:t xml:space="preserve"> improving</w:t>
      </w:r>
      <w:r w:rsidR="0059439B">
        <w:rPr>
          <w:rFonts w:eastAsia="Calibri"/>
          <w:lang w:eastAsia="en-US"/>
        </w:rPr>
        <w:t xml:space="preserve"> psychological health outcomes</w:t>
      </w:r>
      <w:r w:rsidRPr="00A65E70">
        <w:rPr>
          <w:rFonts w:eastAsia="Calibri"/>
          <w:lang w:eastAsia="en-US"/>
        </w:rPr>
        <w:t xml:space="preserve"> is a strong potential target for reducing lost productivity.</w:t>
      </w:r>
    </w:p>
    <w:p w14:paraId="08637EE9" w14:textId="77777777" w:rsidR="00EE707B" w:rsidRDefault="00A65E70" w:rsidP="00AD796C">
      <w:pPr>
        <w:rPr>
          <w:rFonts w:eastAsia="Calibri"/>
          <w:lang w:eastAsia="en-US"/>
        </w:rPr>
      </w:pPr>
      <w:r w:rsidRPr="00A65E70">
        <w:rPr>
          <w:rFonts w:eastAsia="Calibri"/>
          <w:lang w:eastAsia="en-US"/>
        </w:rPr>
        <w:t xml:space="preserve">Some organisations attempt to improve productivity via increasing pressure on their workers, reducing their workers’ job control and reducing available job rewards. These methods are typically counterproductive, as any short-term productivity increases are more than counteracted by the physical and psychological health problems known to be associated with increased demands and reduced resources (e.g. job strain). These health problems lead to significantly reduced productivity. Providing a psychologically healthy workplace </w:t>
      </w:r>
      <w:r w:rsidRPr="00A65E70">
        <w:rPr>
          <w:rFonts w:eastAsia="Calibri"/>
          <w:lang w:eastAsia="en-US"/>
        </w:rPr>
        <w:lastRenderedPageBreak/>
        <w:t>requires consultation with all key stakeholders, workers and their representatives, employers, and policy makers in order to understand psychosocial issues and methods to address them.</w:t>
      </w:r>
    </w:p>
    <w:p w14:paraId="1899CF13" w14:textId="77777777" w:rsidR="00EE707B" w:rsidRDefault="00A65E70" w:rsidP="00AD796C">
      <w:pPr>
        <w:rPr>
          <w:rFonts w:eastAsia="Calibri"/>
          <w:lang w:eastAsia="en-US"/>
        </w:rPr>
      </w:pPr>
      <w:r w:rsidRPr="00A65E70">
        <w:rPr>
          <w:rFonts w:eastAsia="Calibri"/>
          <w:lang w:eastAsia="en-US"/>
        </w:rPr>
        <w:t xml:space="preserve">In this study we focus on </w:t>
      </w:r>
      <w:r w:rsidR="00793AA5">
        <w:rPr>
          <w:rFonts w:eastAsia="Calibri"/>
          <w:lang w:eastAsia="en-US"/>
        </w:rPr>
        <w:t>one psychosocial hazard mitigator and three</w:t>
      </w:r>
      <w:r w:rsidR="006C3C81">
        <w:rPr>
          <w:rFonts w:eastAsia="Calibri"/>
          <w:lang w:eastAsia="en-US"/>
        </w:rPr>
        <w:t xml:space="preserve"> psychological</w:t>
      </w:r>
      <w:r w:rsidR="00793AA5">
        <w:rPr>
          <w:rFonts w:eastAsia="Calibri"/>
          <w:lang w:eastAsia="en-US"/>
        </w:rPr>
        <w:t xml:space="preserve"> health outcomes</w:t>
      </w:r>
      <w:r w:rsidRPr="00A65E70">
        <w:rPr>
          <w:rFonts w:eastAsia="Calibri"/>
          <w:lang w:eastAsia="en-US"/>
        </w:rPr>
        <w:t xml:space="preserve"> that can potentially reduce human capital costs, improve psychological health and increase productivity growth: PSC; depression; psychological distress; and engagement. Previous research has indicated that </w:t>
      </w:r>
      <w:r w:rsidR="00793AA5">
        <w:rPr>
          <w:rFonts w:eastAsia="Calibri"/>
          <w:lang w:eastAsia="en-US"/>
        </w:rPr>
        <w:t>addressing PSC and these</w:t>
      </w:r>
      <w:r w:rsidR="006C3C81">
        <w:rPr>
          <w:rFonts w:eastAsia="Calibri"/>
          <w:lang w:eastAsia="en-US"/>
        </w:rPr>
        <w:t xml:space="preserve"> psychological</w:t>
      </w:r>
      <w:r w:rsidR="00793AA5">
        <w:rPr>
          <w:rFonts w:eastAsia="Calibri"/>
          <w:lang w:eastAsia="en-US"/>
        </w:rPr>
        <w:t xml:space="preserve"> health outcomes</w:t>
      </w:r>
      <w:r w:rsidRPr="00A65E70">
        <w:rPr>
          <w:rFonts w:eastAsia="Calibri"/>
          <w:lang w:eastAsia="en-US"/>
        </w:rPr>
        <w:t xml:space="preserve"> may be effective in reducing sickness absence and presenteeism and therefore, theoretically improving productivity. </w:t>
      </w:r>
    </w:p>
    <w:p w14:paraId="109261B8" w14:textId="77777777" w:rsidR="00EE707B" w:rsidRDefault="00A65E70" w:rsidP="00AD796C">
      <w:pPr>
        <w:rPr>
          <w:rFonts w:eastAsia="Calibri"/>
          <w:lang w:eastAsia="en-US"/>
        </w:rPr>
      </w:pPr>
      <w:r w:rsidRPr="00A65E70">
        <w:rPr>
          <w:rFonts w:eastAsia="Calibri"/>
          <w:lang w:eastAsia="en-US"/>
        </w:rPr>
        <w:t>The present study interviewed 4242 people (2404 women, 1838 men) in the third round of data collection in the Australian Workplace Barometer project, in 2014-15. These data were weighted to accurately reflect the demographics of the Australian population as per ABS statistics.</w:t>
      </w:r>
    </w:p>
    <w:p w14:paraId="69F10CB2" w14:textId="77777777" w:rsidR="00EE707B" w:rsidRDefault="00A65E70" w:rsidP="00AD796C">
      <w:pPr>
        <w:rPr>
          <w:rFonts w:eastAsia="Calibri"/>
          <w:lang w:eastAsia="en-US"/>
        </w:rPr>
      </w:pPr>
      <w:r w:rsidRPr="00A65E70">
        <w:rPr>
          <w:rFonts w:eastAsia="Calibri"/>
          <w:lang w:eastAsia="en-US"/>
        </w:rPr>
        <w:t>We found support for the following hypotheses:</w:t>
      </w:r>
    </w:p>
    <w:p w14:paraId="7BB99C9B" w14:textId="5ABB9932" w:rsidR="00A65E70" w:rsidRPr="00AD796C" w:rsidRDefault="00A65E70" w:rsidP="00AD796C">
      <w:pPr>
        <w:pStyle w:val="ListParagraph"/>
        <w:numPr>
          <w:ilvl w:val="0"/>
          <w:numId w:val="42"/>
        </w:numPr>
        <w:rPr>
          <w:rFonts w:eastAsia="Calibri"/>
          <w:lang w:eastAsia="en-US"/>
        </w:rPr>
      </w:pPr>
      <w:r w:rsidRPr="00AD796C">
        <w:rPr>
          <w:rFonts w:eastAsia="Calibri"/>
          <w:lang w:eastAsia="en-US"/>
        </w:rPr>
        <w:t>Low PSC is related to higher sickness absence and presenteeism</w:t>
      </w:r>
    </w:p>
    <w:p w14:paraId="1AB9D26F" w14:textId="4FE54704" w:rsidR="00A65E70" w:rsidRPr="00AD796C" w:rsidRDefault="00A65E70" w:rsidP="00AD796C">
      <w:pPr>
        <w:pStyle w:val="ListParagraph"/>
        <w:numPr>
          <w:ilvl w:val="0"/>
          <w:numId w:val="42"/>
        </w:numPr>
        <w:rPr>
          <w:rFonts w:eastAsia="Calibri"/>
          <w:lang w:eastAsia="en-US"/>
        </w:rPr>
      </w:pPr>
      <w:r w:rsidRPr="00AD796C">
        <w:rPr>
          <w:rFonts w:eastAsia="Calibri"/>
          <w:lang w:eastAsia="en-US"/>
        </w:rPr>
        <w:t>Depression is related to higher sickness absence and presenteeism</w:t>
      </w:r>
    </w:p>
    <w:p w14:paraId="65CAA3FE" w14:textId="7655C78B" w:rsidR="00A65E70" w:rsidRPr="00AD796C" w:rsidRDefault="00A65E70" w:rsidP="00AD796C">
      <w:pPr>
        <w:pStyle w:val="ListParagraph"/>
        <w:numPr>
          <w:ilvl w:val="0"/>
          <w:numId w:val="42"/>
        </w:numPr>
        <w:rPr>
          <w:rFonts w:eastAsia="Calibri"/>
          <w:lang w:eastAsia="en-US"/>
        </w:rPr>
      </w:pPr>
      <w:r w:rsidRPr="00AD796C">
        <w:rPr>
          <w:rFonts w:eastAsia="Calibri"/>
          <w:lang w:eastAsia="en-US"/>
        </w:rPr>
        <w:t xml:space="preserve">Psychological distress is related to higher sickness absence and presenteeism </w:t>
      </w:r>
    </w:p>
    <w:p w14:paraId="72105768" w14:textId="77777777" w:rsidR="00EE707B" w:rsidRDefault="00A65E70" w:rsidP="00AD796C">
      <w:pPr>
        <w:pStyle w:val="ListParagraph"/>
        <w:numPr>
          <w:ilvl w:val="0"/>
          <w:numId w:val="42"/>
        </w:numPr>
        <w:rPr>
          <w:rFonts w:eastAsia="Calibri"/>
          <w:lang w:eastAsia="en-US"/>
        </w:rPr>
      </w:pPr>
      <w:r w:rsidRPr="00AD796C">
        <w:rPr>
          <w:rFonts w:eastAsia="Calibri"/>
          <w:lang w:eastAsia="en-US"/>
        </w:rPr>
        <w:t>Higher engagement is related to lower sickness absence and presenteeism (partially supported).</w:t>
      </w:r>
    </w:p>
    <w:p w14:paraId="39C510AD" w14:textId="485AB1A8" w:rsidR="00EE707B" w:rsidRDefault="00A65E70" w:rsidP="00AD796C">
      <w:pPr>
        <w:rPr>
          <w:rFonts w:eastAsia="Calibri"/>
          <w:lang w:eastAsia="en-US"/>
        </w:rPr>
      </w:pPr>
      <w:r w:rsidRPr="00A65E70">
        <w:rPr>
          <w:rFonts w:eastAsia="Calibri"/>
          <w:lang w:eastAsia="en-US"/>
        </w:rPr>
        <w:t>In relation to Hypothesis 1, we found that those in low PSC environments had significantly higher sickness absence and presenteeism than those in high PSC environments. Low PSC workers take 43</w:t>
      </w:r>
      <w:r w:rsidR="005355BD">
        <w:rPr>
          <w:rFonts w:eastAsia="Calibri"/>
          <w:lang w:eastAsia="en-US"/>
        </w:rPr>
        <w:t xml:space="preserve"> per cent</w:t>
      </w:r>
      <w:r w:rsidR="00BA458E">
        <w:rPr>
          <w:rFonts w:eastAsia="Calibri"/>
          <w:lang w:eastAsia="en-US"/>
        </w:rPr>
        <w:t xml:space="preserve"> more sickness hours</w:t>
      </w:r>
      <w:r w:rsidRPr="00A65E70">
        <w:rPr>
          <w:rFonts w:eastAsia="Calibri"/>
          <w:lang w:eastAsia="en-US"/>
        </w:rPr>
        <w:t xml:space="preserve"> per month and have 72</w:t>
      </w:r>
      <w:r w:rsidR="005355BD">
        <w:rPr>
          <w:rFonts w:eastAsia="Calibri"/>
          <w:lang w:eastAsia="en-US"/>
        </w:rPr>
        <w:t xml:space="preserve"> per cent</w:t>
      </w:r>
      <w:r w:rsidRPr="00A65E70">
        <w:rPr>
          <w:rFonts w:eastAsia="Calibri"/>
          <w:lang w:eastAsia="en-US"/>
        </w:rPr>
        <w:t xml:space="preserve"> higher performance loss at work. They cost an average of $1887 more per year due to sickness absence and presenteeism than those in high PSC environments. The total cost of low PSC to Australian employers is estimated to be approximately $6 billion per annum.</w:t>
      </w:r>
    </w:p>
    <w:p w14:paraId="0002C872" w14:textId="77777777" w:rsidR="00EE707B" w:rsidRDefault="00A65E70" w:rsidP="00AD796C">
      <w:pPr>
        <w:rPr>
          <w:rFonts w:eastAsia="Calibri"/>
          <w:lang w:eastAsia="en-US"/>
        </w:rPr>
      </w:pPr>
      <w:r w:rsidRPr="00A65E70">
        <w:rPr>
          <w:rFonts w:eastAsia="Calibri"/>
          <w:lang w:eastAsia="en-US"/>
        </w:rPr>
        <w:t>In relation to Hypothesis 2, we found that those with depression had significantly higher sickness absence and presenteeism than those without depression. Those with severe depression take 20 times more sick days per month and had 270</w:t>
      </w:r>
      <w:r w:rsidR="005355BD">
        <w:rPr>
          <w:rFonts w:eastAsia="Calibri"/>
          <w:lang w:eastAsia="en-US"/>
        </w:rPr>
        <w:t xml:space="preserve"> per cent</w:t>
      </w:r>
      <w:r w:rsidRPr="00A65E70">
        <w:rPr>
          <w:rFonts w:eastAsia="Calibri"/>
          <w:lang w:eastAsia="en-US"/>
        </w:rPr>
        <w:t xml:space="preserve"> higher performance loss than those without depression. These workers cost an average of between $2791 per year (for mild depression) to $23</w:t>
      </w:r>
      <w:r w:rsidR="002F2F94">
        <w:rPr>
          <w:rFonts w:eastAsia="Calibri"/>
          <w:lang w:eastAsia="en-US"/>
        </w:rPr>
        <w:t xml:space="preserve"> </w:t>
      </w:r>
      <w:r w:rsidRPr="00A65E70">
        <w:rPr>
          <w:rFonts w:eastAsia="Calibri"/>
          <w:lang w:eastAsia="en-US"/>
        </w:rPr>
        <w:t>143 per year (for severe depression) more in sickness absence and presenteeism than those without depression. The total cost of depression to Australian employers is estimated to be approximately $6.3 billion per annum.</w:t>
      </w:r>
    </w:p>
    <w:p w14:paraId="264E861C" w14:textId="6560DB8C" w:rsidR="00EE707B" w:rsidRDefault="00A65E70" w:rsidP="00AD796C">
      <w:pPr>
        <w:rPr>
          <w:rFonts w:eastAsia="Calibri"/>
          <w:lang w:eastAsia="en-US"/>
        </w:rPr>
      </w:pPr>
      <w:r w:rsidRPr="00A65E70">
        <w:rPr>
          <w:rFonts w:eastAsia="Calibri"/>
          <w:lang w:eastAsia="en-US"/>
        </w:rPr>
        <w:t>In relation to Hypothesis 3, we found that those with psychological distress were: taking four times as many sick days per month; have 154</w:t>
      </w:r>
      <w:r w:rsidR="005355BD">
        <w:rPr>
          <w:rFonts w:eastAsia="Calibri"/>
          <w:lang w:eastAsia="en-US"/>
        </w:rPr>
        <w:t xml:space="preserve"> per cent</w:t>
      </w:r>
      <w:r w:rsidRPr="00A65E70">
        <w:rPr>
          <w:rFonts w:eastAsia="Calibri"/>
          <w:lang w:eastAsia="en-US"/>
        </w:rPr>
        <w:t xml:space="preserve"> </w:t>
      </w:r>
      <w:r w:rsidR="004B4AEB">
        <w:rPr>
          <w:rFonts w:eastAsia="Calibri"/>
          <w:lang w:eastAsia="en-US"/>
        </w:rPr>
        <w:t>higher performance loss at work; and</w:t>
      </w:r>
      <w:r w:rsidRPr="00A65E70">
        <w:rPr>
          <w:rFonts w:eastAsia="Calibri"/>
          <w:lang w:eastAsia="en-US"/>
        </w:rPr>
        <w:t xml:space="preserve"> cost an average of $6309 per year (for mild to severe psychological distress) more in sickness absence and presenteeism than those without psychological distress. The total cost of psychological distress to Australian employers is estimated to be approximately</w:t>
      </w:r>
      <w:r w:rsidR="00A93B61">
        <w:rPr>
          <w:rFonts w:eastAsia="Calibri"/>
          <w:lang w:eastAsia="en-US"/>
        </w:rPr>
        <w:br/>
      </w:r>
      <w:r w:rsidRPr="00A65E70">
        <w:rPr>
          <w:rFonts w:eastAsia="Calibri"/>
          <w:lang w:eastAsia="en-US"/>
        </w:rPr>
        <w:t>$1 billion per annum.</w:t>
      </w:r>
    </w:p>
    <w:p w14:paraId="6801148C" w14:textId="05D0620F" w:rsidR="00A65E70" w:rsidRPr="00A65E70" w:rsidRDefault="00A65E70" w:rsidP="00AD796C">
      <w:pPr>
        <w:rPr>
          <w:rFonts w:eastAsia="Calibri"/>
          <w:lang w:eastAsia="en-US"/>
        </w:rPr>
      </w:pPr>
      <w:r w:rsidRPr="00A65E70">
        <w:rPr>
          <w:rFonts w:eastAsia="Calibri"/>
          <w:lang w:eastAsia="en-US"/>
        </w:rPr>
        <w:t>In relation to Hypothesis 4, we found that those with low engagement were taking 12</w:t>
      </w:r>
      <w:r w:rsidR="005355BD">
        <w:rPr>
          <w:rFonts w:eastAsia="Calibri"/>
          <w:lang w:eastAsia="en-US"/>
        </w:rPr>
        <w:t xml:space="preserve"> per cent</w:t>
      </w:r>
      <w:r w:rsidRPr="00A65E70">
        <w:rPr>
          <w:rFonts w:eastAsia="Calibri"/>
          <w:lang w:eastAsia="en-US"/>
        </w:rPr>
        <w:t xml:space="preserve"> more sick days than those with high engagement (and 46</w:t>
      </w:r>
      <w:r w:rsidR="005355BD">
        <w:rPr>
          <w:rFonts w:eastAsia="Calibri"/>
          <w:lang w:eastAsia="en-US"/>
        </w:rPr>
        <w:t xml:space="preserve"> per cent</w:t>
      </w:r>
      <w:r w:rsidRPr="00A65E70">
        <w:rPr>
          <w:rFonts w:eastAsia="Calibri"/>
          <w:lang w:eastAsia="en-US"/>
        </w:rPr>
        <w:t xml:space="preserve"> more than those with medium-high engagement). Also, the average performance loss for those with low engagement was 8.1</w:t>
      </w:r>
      <w:r w:rsidR="005355BD">
        <w:rPr>
          <w:rFonts w:eastAsia="Calibri"/>
          <w:lang w:eastAsia="en-US"/>
        </w:rPr>
        <w:t xml:space="preserve"> per cent</w:t>
      </w:r>
      <w:r w:rsidRPr="00A65E70">
        <w:rPr>
          <w:rFonts w:eastAsia="Calibri"/>
          <w:lang w:eastAsia="en-US"/>
        </w:rPr>
        <w:t>, costing an average of $4594 per year. Conversely, those with high engagement had no detectable performance loss. The total cost of low engagement to Australian employers is estimated to be approximately $5.4 billion per annum.</w:t>
      </w:r>
    </w:p>
    <w:p w14:paraId="7C6A3C04" w14:textId="77777777" w:rsidR="00EE707B" w:rsidRDefault="00A65E70" w:rsidP="00AD796C">
      <w:pPr>
        <w:rPr>
          <w:rFonts w:eastAsia="Calibri"/>
          <w:lang w:eastAsia="en-US"/>
        </w:rPr>
      </w:pPr>
      <w:r w:rsidRPr="00A65E70">
        <w:rPr>
          <w:rFonts w:eastAsia="Calibri"/>
          <w:lang w:eastAsia="en-US"/>
        </w:rPr>
        <w:t>We estimate that a medium-sized business with 100 employees and poor PSC could expect to save over $180</w:t>
      </w:r>
      <w:r w:rsidR="00BE6B4F">
        <w:rPr>
          <w:rFonts w:eastAsia="Calibri"/>
          <w:lang w:eastAsia="en-US"/>
        </w:rPr>
        <w:t xml:space="preserve"> </w:t>
      </w:r>
      <w:r w:rsidRPr="00A65E70">
        <w:rPr>
          <w:rFonts w:eastAsia="Calibri"/>
          <w:lang w:eastAsia="en-US"/>
        </w:rPr>
        <w:t>000 per year in lost productivity by improving their organisation to meet high PSC benchmarks. Large cost savings are plausible through addressing depression, psychological distress, and engagement, although employers have less direct control over these than PSC. Given that PricewaterhouseCoopers estimates a ROI of 130</w:t>
      </w:r>
      <w:r w:rsidR="005355BD">
        <w:rPr>
          <w:rFonts w:eastAsia="Calibri"/>
          <w:lang w:eastAsia="en-US"/>
        </w:rPr>
        <w:t xml:space="preserve"> per cent</w:t>
      </w:r>
      <w:r w:rsidRPr="00A65E70">
        <w:rPr>
          <w:rFonts w:eastAsia="Calibri"/>
          <w:lang w:eastAsia="en-US"/>
        </w:rPr>
        <w:t xml:space="preserve"> when investing in improving psychological health in the workplace and since PSC increases </w:t>
      </w:r>
      <w:r w:rsidRPr="00A65E70">
        <w:rPr>
          <w:rFonts w:eastAsia="Calibri"/>
          <w:lang w:eastAsia="en-US"/>
        </w:rPr>
        <w:lastRenderedPageBreak/>
        <w:t>psychological health, improving PSC has the potential to also improve productivity and worker wellbeing.</w:t>
      </w:r>
    </w:p>
    <w:p w14:paraId="553CB2E2" w14:textId="41160CA8" w:rsidR="00EE707B" w:rsidRDefault="00A65E70" w:rsidP="00AD796C">
      <w:pPr>
        <w:rPr>
          <w:rFonts w:eastAsia="Calibri"/>
          <w:lang w:eastAsia="en-US"/>
        </w:rPr>
      </w:pPr>
      <w:r w:rsidRPr="00A65E70">
        <w:rPr>
          <w:rFonts w:eastAsia="Calibri"/>
          <w:lang w:eastAsia="en-US"/>
        </w:rPr>
        <w:t>The Productivity Commission has outlined potential improvements in technical efficiency via improving labour outputs; we counter with potential obstacles and alternative methods to overcome them. Policy</w:t>
      </w:r>
      <w:r w:rsidR="00BA458E">
        <w:rPr>
          <w:rFonts w:eastAsia="Calibri"/>
          <w:lang w:eastAsia="en-US"/>
        </w:rPr>
        <w:t xml:space="preserve"> makers are encouraged to utilis</w:t>
      </w:r>
      <w:r w:rsidRPr="00A65E70">
        <w:rPr>
          <w:rFonts w:eastAsia="Calibri"/>
          <w:lang w:eastAsia="en-US"/>
        </w:rPr>
        <w:t xml:space="preserve">e this knowledge to set a policy agenda that improves national productivity growth via enhanced organisational standards for </w:t>
      </w:r>
      <w:r w:rsidR="00BE6B4F">
        <w:rPr>
          <w:rFonts w:eastAsia="Calibri"/>
          <w:lang w:eastAsia="en-US"/>
        </w:rPr>
        <w:t>PSC</w:t>
      </w:r>
      <w:r w:rsidRPr="00A65E70">
        <w:rPr>
          <w:rFonts w:eastAsia="Calibri"/>
          <w:lang w:eastAsia="en-US"/>
        </w:rPr>
        <w:t>.</w:t>
      </w:r>
      <w:r w:rsidR="00A44B46">
        <w:rPr>
          <w:rFonts w:eastAsia="Calibri"/>
          <w:lang w:eastAsia="en-US"/>
        </w:rPr>
        <w:t xml:space="preserve"> </w:t>
      </w:r>
    </w:p>
    <w:p w14:paraId="72F25CE7" w14:textId="212C4F77" w:rsidR="00EE707B" w:rsidRDefault="00A44B46" w:rsidP="00AD796C">
      <w:pPr>
        <w:rPr>
          <w:rFonts w:eastAsia="Calibri"/>
          <w:lang w:eastAsia="en-US"/>
        </w:rPr>
      </w:pPr>
      <w:r w:rsidRPr="002F2F94">
        <w:rPr>
          <w:rFonts w:eastAsia="Calibri"/>
          <w:lang w:eastAsia="en-US"/>
        </w:rPr>
        <w:t xml:space="preserve">To improve PSC in their </w:t>
      </w:r>
      <w:r w:rsidR="00D87AC6" w:rsidRPr="002F2F94">
        <w:rPr>
          <w:rFonts w:eastAsia="Calibri"/>
          <w:lang w:eastAsia="en-US"/>
        </w:rPr>
        <w:t>organis</w:t>
      </w:r>
      <w:r w:rsidRPr="002F2F94">
        <w:rPr>
          <w:rFonts w:eastAsia="Calibri"/>
          <w:lang w:eastAsia="en-US"/>
        </w:rPr>
        <w:t>ation</w:t>
      </w:r>
      <w:r w:rsidR="001D755E" w:rsidRPr="002F2F94">
        <w:rPr>
          <w:rFonts w:eastAsia="Calibri"/>
          <w:lang w:eastAsia="en-US"/>
        </w:rPr>
        <w:t>s</w:t>
      </w:r>
      <w:r w:rsidRPr="002F2F94">
        <w:rPr>
          <w:rFonts w:eastAsia="Calibri"/>
          <w:lang w:eastAsia="en-US"/>
        </w:rPr>
        <w:t xml:space="preserve">, employers should conduct monitoring of PSC and psychosocial risk levels. This strategy is considered best practice and has been recently adopted by the Australian Public Service Commission as part of </w:t>
      </w:r>
      <w:r w:rsidR="00BA458E">
        <w:rPr>
          <w:rFonts w:eastAsia="Calibri"/>
          <w:lang w:eastAsia="en-US"/>
        </w:rPr>
        <w:t>its</w:t>
      </w:r>
      <w:r w:rsidRPr="002F2F94">
        <w:rPr>
          <w:rFonts w:eastAsia="Calibri"/>
          <w:lang w:eastAsia="en-US"/>
        </w:rPr>
        <w:t xml:space="preserve"> annual census (APSC, 2015). We recommend that employers allow and encourage employees at all levels of the organi</w:t>
      </w:r>
      <w:r w:rsidR="00D87AC6" w:rsidRPr="002F2F94">
        <w:rPr>
          <w:rFonts w:eastAsia="Calibri"/>
          <w:lang w:eastAsia="en-US"/>
        </w:rPr>
        <w:t>s</w:t>
      </w:r>
      <w:r w:rsidRPr="002F2F94">
        <w:rPr>
          <w:rFonts w:eastAsia="Calibri"/>
          <w:lang w:eastAsia="en-US"/>
        </w:rPr>
        <w:t xml:space="preserve">ation to monitor, establish controls, raise awareness, and participate in education and training, </w:t>
      </w:r>
      <w:r w:rsidR="00B602D2" w:rsidRPr="002F2F94">
        <w:rPr>
          <w:rFonts w:eastAsia="Calibri"/>
          <w:lang w:eastAsia="en-US"/>
        </w:rPr>
        <w:t>regarding factors that affect psychological health.</w:t>
      </w:r>
      <w:r w:rsidR="00BA458E">
        <w:rPr>
          <w:rFonts w:eastAsia="Calibri"/>
          <w:lang w:eastAsia="en-US"/>
        </w:rPr>
        <w:t xml:space="preserve"> Finally, utilis</w:t>
      </w:r>
      <w:r w:rsidRPr="002F2F94">
        <w:rPr>
          <w:rFonts w:eastAsia="Calibri"/>
          <w:lang w:eastAsia="en-US"/>
        </w:rPr>
        <w:t>ing job redesign interventions by reducing work conditions that predispose poor psychological health, such as excessive demands and work pressure, and insufficient control and power, will have a positive effect on PSC in the organi</w:t>
      </w:r>
      <w:r w:rsidR="00D87AC6" w:rsidRPr="002F2F94">
        <w:rPr>
          <w:rFonts w:eastAsia="Calibri"/>
          <w:lang w:eastAsia="en-US"/>
        </w:rPr>
        <w:t>s</w:t>
      </w:r>
      <w:r w:rsidRPr="002F2F94">
        <w:rPr>
          <w:rFonts w:eastAsia="Calibri"/>
          <w:lang w:eastAsia="en-US"/>
        </w:rPr>
        <w:t>ation.</w:t>
      </w:r>
    </w:p>
    <w:p w14:paraId="7261E542" w14:textId="14A75847" w:rsidR="00A65E70" w:rsidRPr="00A65E70" w:rsidRDefault="00A65E70" w:rsidP="00A65E70">
      <w:pPr>
        <w:spacing w:after="160" w:line="259" w:lineRule="auto"/>
        <w:rPr>
          <w:rFonts w:ascii="Adobe Garamond Pro" w:eastAsia="Calibri" w:hAnsi="Adobe Garamond Pro"/>
          <w:b/>
          <w:sz w:val="24"/>
          <w:szCs w:val="22"/>
          <w:lang w:eastAsia="en-US"/>
        </w:rPr>
        <w:sectPr w:rsidR="00A65E70" w:rsidRPr="00A65E70" w:rsidSect="00D8244B">
          <w:headerReference w:type="default" r:id="rId17"/>
          <w:pgSz w:w="11906" w:h="16838"/>
          <w:pgMar w:top="1276" w:right="1440" w:bottom="1440" w:left="1440" w:header="708" w:footer="708" w:gutter="0"/>
          <w:cols w:space="708"/>
          <w:docGrid w:linePitch="360"/>
        </w:sectPr>
      </w:pPr>
    </w:p>
    <w:p w14:paraId="30A51CBF" w14:textId="77777777" w:rsidR="00A65E70" w:rsidRPr="00A65E70" w:rsidRDefault="00A65E70" w:rsidP="00AD796C">
      <w:pPr>
        <w:pStyle w:val="Heading1"/>
        <w:rPr>
          <w:lang w:eastAsia="en-US"/>
        </w:rPr>
      </w:pPr>
      <w:r w:rsidRPr="00A65E70">
        <w:rPr>
          <w:lang w:eastAsia="en-US"/>
        </w:rPr>
        <w:lastRenderedPageBreak/>
        <w:t>Introduction</w:t>
      </w:r>
    </w:p>
    <w:p w14:paraId="4CF6B4DA" w14:textId="77777777" w:rsidR="00EE707B" w:rsidRDefault="00A65E70" w:rsidP="00AD796C">
      <w:pPr>
        <w:rPr>
          <w:rFonts w:eastAsia="Calibri"/>
          <w:lang w:eastAsia="en-US"/>
        </w:rPr>
      </w:pPr>
      <w:r w:rsidRPr="00A65E70">
        <w:rPr>
          <w:rFonts w:eastAsia="Calibri"/>
          <w:lang w:eastAsia="en-US"/>
        </w:rPr>
        <w:t xml:space="preserve">Workplace productivity is important for quality of life and standard of living in Australia. Yet concerns have been raised in recent times that national productivity has stalled. In response, economically-focused solutions have been posed such as seeking greater performance from employees without additional resources </w:t>
      </w:r>
      <w:r w:rsidRPr="00A65E70">
        <w:rPr>
          <w:rFonts w:eastAsia="Calibri"/>
          <w:noProof/>
          <w:lang w:eastAsia="en-US"/>
        </w:rPr>
        <w:t>(e.g., salary, job security; Blinder, 2011)</w:t>
      </w:r>
      <w:r w:rsidRPr="00A65E70">
        <w:rPr>
          <w:rFonts w:eastAsia="Calibri"/>
          <w:lang w:eastAsia="en-US"/>
        </w:rPr>
        <w:t>. What is not yet generally understood by policy makers and employers is that improving the human capital of the workforce has potential economic benefits for the organisation (</w:t>
      </w:r>
      <w:r w:rsidR="002F2F94">
        <w:rPr>
          <w:rFonts w:eastAsia="Calibri"/>
          <w:lang w:eastAsia="en-US"/>
        </w:rPr>
        <w:t>e.g. through</w:t>
      </w:r>
      <w:r w:rsidRPr="00A65E70">
        <w:rPr>
          <w:rFonts w:eastAsia="Calibri"/>
          <w:lang w:eastAsia="en-US"/>
        </w:rPr>
        <w:t xml:space="preserve"> reduced sickness absence and presenteeism) and society (GDP), in addition to improving the health and wellbeing of workers, and is an important area of future development and further exploration </w:t>
      </w:r>
      <w:r w:rsidRPr="00A65E70">
        <w:rPr>
          <w:rFonts w:eastAsia="Calibri"/>
          <w:noProof/>
          <w:lang w:eastAsia="en-US"/>
        </w:rPr>
        <w:t>(PricewaterhouseCoopers, 2014)</w:t>
      </w:r>
      <w:r w:rsidRPr="00A65E70">
        <w:rPr>
          <w:rFonts w:eastAsia="Calibri"/>
          <w:lang w:eastAsia="en-US"/>
        </w:rPr>
        <w:t>.</w:t>
      </w:r>
    </w:p>
    <w:p w14:paraId="187F94DC" w14:textId="77777777" w:rsidR="00EE707B" w:rsidRDefault="00A65E70" w:rsidP="00AD796C">
      <w:pPr>
        <w:rPr>
          <w:rFonts w:eastAsia="Calibri"/>
          <w:lang w:eastAsia="en-US"/>
        </w:rPr>
      </w:pPr>
      <w:r w:rsidRPr="00A65E70">
        <w:rPr>
          <w:rFonts w:eastAsia="Calibri"/>
          <w:lang w:eastAsia="en-US"/>
        </w:rPr>
        <w:t xml:space="preserve">A very recent survey of 1126 Australian workers (including senior leaders, a mix of lower management, and other employees) revealed that most – over nine out of ten Australian workers – consider it important to safeguard psychological health in the workplace </w:t>
      </w:r>
      <w:r w:rsidRPr="00A65E70">
        <w:rPr>
          <w:rFonts w:eastAsia="Calibri"/>
          <w:noProof/>
          <w:lang w:eastAsia="en-US"/>
        </w:rPr>
        <w:t>(</w:t>
      </w:r>
      <w:r w:rsidRPr="000E3FEB">
        <w:rPr>
          <w:rFonts w:eastAsia="Calibri"/>
          <w:i/>
          <w:noProof/>
          <w:lang w:eastAsia="en-US"/>
        </w:rPr>
        <w:t>beyondblue</w:t>
      </w:r>
      <w:r w:rsidRPr="00A65E70">
        <w:rPr>
          <w:rFonts w:eastAsia="Calibri"/>
          <w:noProof/>
          <w:lang w:eastAsia="en-US"/>
        </w:rPr>
        <w:t>, 2015)</w:t>
      </w:r>
      <w:r w:rsidRPr="00A65E70">
        <w:rPr>
          <w:rFonts w:eastAsia="Calibri"/>
          <w:lang w:eastAsia="en-US"/>
        </w:rPr>
        <w:t xml:space="preserve">. Yet approximately half the workers surveyed believed that their workplace is not mentally healthy </w:t>
      </w:r>
      <w:r w:rsidRPr="00A65E70">
        <w:rPr>
          <w:rFonts w:eastAsia="Calibri"/>
          <w:noProof/>
          <w:lang w:eastAsia="en-US"/>
        </w:rPr>
        <w:t>(</w:t>
      </w:r>
      <w:r w:rsidRPr="000E3FEB">
        <w:rPr>
          <w:rFonts w:eastAsia="Calibri"/>
          <w:i/>
          <w:noProof/>
          <w:lang w:eastAsia="en-US"/>
        </w:rPr>
        <w:t>beyondblue</w:t>
      </w:r>
      <w:r w:rsidRPr="00A65E70">
        <w:rPr>
          <w:rFonts w:eastAsia="Calibri"/>
          <w:noProof/>
          <w:lang w:eastAsia="en-US"/>
        </w:rPr>
        <w:t>, 2015)</w:t>
      </w:r>
      <w:r w:rsidRPr="00A65E70">
        <w:rPr>
          <w:rFonts w:eastAsia="Calibri"/>
          <w:lang w:eastAsia="en-US"/>
        </w:rPr>
        <w:t xml:space="preserve">. A psychologically healthy workplace is an organisation where the psychological health of employees is valued and support is provided for those with psychological health problems – in other words these organisations have a strong Psychosocial Safety Climate (PSC; Dollard &amp; Bakker, 2010). These workplaces have leaders that prioritise psychological health and establish policies and procedures that support psychological health. High PSC workplaces have manageable demands and working hours, adequate resources and are usually physically safe too. Given that 20 per cent of Australians experience a mental health condition each year </w:t>
      </w:r>
      <w:r w:rsidRPr="00A65E70">
        <w:rPr>
          <w:rFonts w:eastAsia="Calibri"/>
          <w:noProof/>
          <w:lang w:eastAsia="en-US"/>
        </w:rPr>
        <w:t>(incidence rate; Australian Bureau of Statistics, 2008)</w:t>
      </w:r>
      <w:r w:rsidRPr="00A65E70">
        <w:rPr>
          <w:rFonts w:eastAsia="Calibri"/>
          <w:lang w:eastAsia="en-US"/>
        </w:rPr>
        <w:t xml:space="preserve"> with potentially serious outcomes associated with these conditions, tackling work conditions that negatively affect worker psychological health and providing support for these people is a critical area to address in order to improve their health, productivity at work, and the overall wellbeing, quality of life, and productivity of society. </w:t>
      </w:r>
    </w:p>
    <w:p w14:paraId="1AEBE913" w14:textId="77777777" w:rsidR="00EE707B" w:rsidRDefault="00A65E70" w:rsidP="00AD796C">
      <w:pPr>
        <w:rPr>
          <w:rFonts w:eastAsia="Calibri"/>
          <w:lang w:eastAsia="en-US"/>
        </w:rPr>
      </w:pPr>
      <w:r w:rsidRPr="00A65E70">
        <w:rPr>
          <w:rFonts w:eastAsia="Calibri"/>
          <w:lang w:eastAsia="en-US"/>
        </w:rPr>
        <w:t xml:space="preserve">This report focuses on human capital and organisational climate as a means to influence productivity through reducing sickness absence and presenteeism. Human capital is made up of the knowledge-based capabilities of the organisation (e.g., organisational, market knowledge), health, and any other attributes </w:t>
      </w:r>
      <w:r w:rsidR="00026D65">
        <w:rPr>
          <w:rFonts w:eastAsia="Calibri"/>
          <w:lang w:eastAsia="en-US"/>
        </w:rPr>
        <w:t>that</w:t>
      </w:r>
      <w:r w:rsidRPr="00A65E70">
        <w:rPr>
          <w:rFonts w:eastAsia="Calibri"/>
          <w:lang w:eastAsia="en-US"/>
        </w:rPr>
        <w:t xml:space="preserve"> enhance worker productivity </w:t>
      </w:r>
      <w:r w:rsidRPr="00A65E70">
        <w:rPr>
          <w:rFonts w:eastAsia="Calibri"/>
          <w:noProof/>
          <w:lang w:eastAsia="en-US"/>
        </w:rPr>
        <w:t>(Gordon, Zhao, &amp; Gretton, 2015)</w:t>
      </w:r>
      <w:r w:rsidRPr="00A65E70">
        <w:rPr>
          <w:rFonts w:eastAsia="Calibri"/>
          <w:lang w:eastAsia="en-US"/>
        </w:rPr>
        <w:t xml:space="preserve">, such as worker psychological health, and worker engagement. Loss to productivity occurs when workers are absent, or when they are at work but not performing at their usual capacity (i.e., presenteeism). In this report we consider </w:t>
      </w:r>
      <w:r w:rsidR="00793AA5">
        <w:rPr>
          <w:rFonts w:eastAsia="Calibri"/>
          <w:lang w:eastAsia="en-US"/>
        </w:rPr>
        <w:t>PSC and three psyc</w:t>
      </w:r>
      <w:r w:rsidR="00AD2FA6">
        <w:rPr>
          <w:rFonts w:eastAsia="Calibri"/>
          <w:lang w:eastAsia="en-US"/>
        </w:rPr>
        <w:t>h</w:t>
      </w:r>
      <w:r w:rsidR="00793AA5">
        <w:rPr>
          <w:rFonts w:eastAsia="Calibri"/>
          <w:lang w:eastAsia="en-US"/>
        </w:rPr>
        <w:t>osocial health outcomes</w:t>
      </w:r>
      <w:r w:rsidRPr="00A65E70">
        <w:rPr>
          <w:rFonts w:eastAsia="Calibri"/>
          <w:lang w:eastAsia="en-US"/>
        </w:rPr>
        <w:t xml:space="preserve"> that could be targeted within Australian organisations to improve human capital, particularly the psychological health of workers, in relation to workplace productivity. First we consider PSC, the workplace climate for psychological health and safety, a climate that is largely driven by senior management; we estimate the dollar improvements that could be made when PSC levels in organisations are raised above evidence-based national benchmarks of poor PSC levels (Bailey, Dollard, &amp; Richards, 2015). Next, we consider worker depression and psychological distress that may arise from any cause, and estimate the cost of depression and psychological distress to Australian employers. Finally, we examine worker engagement in Australia and its influence on sickness absence and presenteeism. We use data from the Australian Workplace Barometer project to estimate these productivity costs.</w:t>
      </w:r>
    </w:p>
    <w:p w14:paraId="2BF839FB" w14:textId="717E7218" w:rsidR="00A65E70" w:rsidRPr="00A65E70" w:rsidRDefault="00A65E70" w:rsidP="00AD796C">
      <w:pPr>
        <w:pStyle w:val="Heading2"/>
        <w:rPr>
          <w:lang w:eastAsia="en-US"/>
        </w:rPr>
      </w:pPr>
      <w:r w:rsidRPr="00A65E70">
        <w:rPr>
          <w:lang w:eastAsia="en-US"/>
        </w:rPr>
        <w:t>Productivity in Australia – Growth, Decline in growth</w:t>
      </w:r>
    </w:p>
    <w:p w14:paraId="647A5FE4" w14:textId="77777777" w:rsidR="00EE707B" w:rsidRDefault="00A65E70" w:rsidP="00AD796C">
      <w:pPr>
        <w:rPr>
          <w:rFonts w:eastAsia="Calibri"/>
          <w:lang w:eastAsia="en-US"/>
        </w:rPr>
      </w:pPr>
      <w:r w:rsidRPr="00A65E70">
        <w:rPr>
          <w:rFonts w:eastAsia="Calibri"/>
          <w:lang w:eastAsia="en-US"/>
        </w:rPr>
        <w:t xml:space="preserve">Productivity growth is considered the solution to improving living standards in society according to many members of the business community, media commentators, and politicians </w:t>
      </w:r>
      <w:r w:rsidRPr="00A65E70">
        <w:rPr>
          <w:rFonts w:eastAsia="Calibri"/>
          <w:noProof/>
          <w:lang w:eastAsia="en-US"/>
        </w:rPr>
        <w:t>(Gordon et al., 2015)</w:t>
      </w:r>
      <w:r w:rsidRPr="00A65E70">
        <w:rPr>
          <w:rFonts w:eastAsia="Calibri"/>
          <w:lang w:eastAsia="en-US"/>
        </w:rPr>
        <w:t xml:space="preserve">. Productivity improvements provide increased output without additional input costs </w:t>
      </w:r>
      <w:r w:rsidRPr="00A65E70">
        <w:rPr>
          <w:rFonts w:eastAsia="Calibri"/>
          <w:noProof/>
          <w:lang w:eastAsia="en-US"/>
        </w:rPr>
        <w:t>(Blinder, 2011)</w:t>
      </w:r>
      <w:r w:rsidRPr="00A65E70">
        <w:rPr>
          <w:rFonts w:eastAsia="Calibri"/>
          <w:lang w:eastAsia="en-US"/>
        </w:rPr>
        <w:t xml:space="preserve">. From an economic and business perspective, improvements in worker productivity contribute towards a business’s economic </w:t>
      </w:r>
      <w:r w:rsidRPr="00A65E70">
        <w:rPr>
          <w:rFonts w:eastAsia="Calibri"/>
          <w:lang w:eastAsia="en-US"/>
        </w:rPr>
        <w:lastRenderedPageBreak/>
        <w:t xml:space="preserve">competitiveness and potential profits. In turn productivity growth leads to an increase in Gross Domestic Product (GDP) or per capita income </w:t>
      </w:r>
      <w:r w:rsidRPr="00A65E70">
        <w:rPr>
          <w:rFonts w:eastAsia="Calibri"/>
          <w:noProof/>
          <w:lang w:eastAsia="en-US"/>
        </w:rPr>
        <w:t>(Productivity Commission, 2008)</w:t>
      </w:r>
      <w:r w:rsidRPr="00A65E70">
        <w:rPr>
          <w:rFonts w:eastAsia="Calibri"/>
          <w:lang w:eastAsia="en-US"/>
        </w:rPr>
        <w:t>. From a social perspective, this increased income means increased consumption and saving, funding of social activities, and funding of society’s institutions.</w:t>
      </w:r>
    </w:p>
    <w:p w14:paraId="14ED6712" w14:textId="77777777" w:rsidR="00EE707B" w:rsidRDefault="00A65E70" w:rsidP="00AD796C">
      <w:pPr>
        <w:rPr>
          <w:rFonts w:eastAsia="Calibri"/>
          <w:lang w:eastAsia="en-US"/>
        </w:rPr>
      </w:pPr>
      <w:r w:rsidRPr="00A65E70">
        <w:rPr>
          <w:rFonts w:eastAsia="Calibri"/>
          <w:lang w:eastAsia="en-US"/>
        </w:rPr>
        <w:t xml:space="preserve">Australian productivity growth has stalled in recent years (Figure 1), prompting examination of potential methods to boost the figure. There are multiple factors contributing towards the plateauing productivity growth. Two of the most pertinent factors are the drought, which reduced productivity in the agricultural sector; and the export boom, which reduced productivity in the mining sector </w:t>
      </w:r>
      <w:r w:rsidRPr="00A65E70">
        <w:rPr>
          <w:rFonts w:eastAsia="Calibri"/>
          <w:noProof/>
          <w:lang w:eastAsia="en-US"/>
        </w:rPr>
        <w:t>(Productivity Commission, 2008)</w:t>
      </w:r>
      <w:r w:rsidRPr="00A65E70">
        <w:rPr>
          <w:rFonts w:eastAsia="Calibri"/>
          <w:lang w:eastAsia="en-US"/>
        </w:rPr>
        <w:t xml:space="preserve">. </w:t>
      </w:r>
    </w:p>
    <w:p w14:paraId="453D496A" w14:textId="45BD9441" w:rsidR="00A65E70" w:rsidRPr="00A65E70" w:rsidRDefault="00A65E70" w:rsidP="00A65E70">
      <w:pPr>
        <w:spacing w:after="200"/>
        <w:rPr>
          <w:rFonts w:ascii="Adobe Garamond Pro" w:eastAsia="Calibri" w:hAnsi="Adobe Garamond Pro"/>
          <w:iCs/>
          <w:sz w:val="20"/>
          <w:szCs w:val="18"/>
          <w:lang w:eastAsia="en-US"/>
        </w:rPr>
      </w:pPr>
      <w:r w:rsidRPr="00A65E70">
        <w:rPr>
          <w:rFonts w:ascii="Adobe Garamond Pro" w:eastAsia="Calibri" w:hAnsi="Adobe Garamond Pro"/>
          <w:iCs/>
          <w:noProof/>
          <w:sz w:val="24"/>
          <w:szCs w:val="18"/>
        </w:rPr>
        <w:drawing>
          <wp:inline distT="0" distB="0" distL="0" distR="0" wp14:anchorId="3BF6E4DF" wp14:editId="40A1D184">
            <wp:extent cx="5731510" cy="3658235"/>
            <wp:effectExtent l="0" t="0" r="2540" b="0"/>
            <wp:docPr id="7" name="Picture 7" descr="Graph showing Australian productivity growth" title="Figure 1: Australian productivity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clrChange>
                        <a:clrFrom>
                          <a:srgbClr val="F1F1F1"/>
                        </a:clrFrom>
                        <a:clrTo>
                          <a:srgbClr val="F1F1F1">
                            <a:alpha val="0"/>
                          </a:srgbClr>
                        </a:clrTo>
                      </a:clrChange>
                    </a:blip>
                    <a:stretch>
                      <a:fillRect/>
                    </a:stretch>
                  </pic:blipFill>
                  <pic:spPr>
                    <a:xfrm>
                      <a:off x="0" y="0"/>
                      <a:ext cx="5731510" cy="3658235"/>
                    </a:xfrm>
                    <a:prstGeom prst="rect">
                      <a:avLst/>
                    </a:prstGeom>
                    <a:noFill/>
                  </pic:spPr>
                </pic:pic>
              </a:graphicData>
            </a:graphic>
          </wp:inline>
        </w:drawing>
      </w:r>
    </w:p>
    <w:p w14:paraId="44E41C01" w14:textId="77777777" w:rsidR="00EE707B" w:rsidRDefault="00A65E70" w:rsidP="00D8244B">
      <w:pPr>
        <w:pStyle w:val="Subtitle"/>
        <w:jc w:val="left"/>
      </w:pPr>
      <w:bookmarkStart w:id="0" w:name="_Toc430701903"/>
      <w:r w:rsidRPr="00A65E70">
        <w:t xml:space="preserve">Figure </w:t>
      </w:r>
      <w:fldSimple w:instr=" SEQ Figure \* ARABIC ">
        <w:r w:rsidR="009D7474">
          <w:rPr>
            <w:noProof/>
          </w:rPr>
          <w:t>1</w:t>
        </w:r>
      </w:fldSimple>
      <w:r w:rsidRPr="00A65E70">
        <w:t>. Australian productivity growth</w:t>
      </w:r>
      <w:bookmarkEnd w:id="0"/>
    </w:p>
    <w:p w14:paraId="41CA0A98" w14:textId="77777777" w:rsidR="00EE707B" w:rsidRDefault="00A65E70" w:rsidP="00AD796C">
      <w:pPr>
        <w:rPr>
          <w:rFonts w:eastAsia="Calibri"/>
          <w:lang w:eastAsia="en-US"/>
        </w:rPr>
      </w:pPr>
      <w:r w:rsidRPr="00A65E70">
        <w:rPr>
          <w:rFonts w:eastAsia="Calibri"/>
          <w:lang w:eastAsia="en-US"/>
        </w:rPr>
        <w:t xml:space="preserve">The Productivity Commission’s report </w:t>
      </w:r>
      <w:r w:rsidRPr="00A65E70">
        <w:rPr>
          <w:rFonts w:eastAsia="Calibri"/>
          <w:i/>
          <w:lang w:eastAsia="en-US"/>
        </w:rPr>
        <w:t xml:space="preserve">On productivity: concepts and measurement </w:t>
      </w:r>
      <w:r w:rsidRPr="00A65E70">
        <w:rPr>
          <w:rFonts w:eastAsia="Calibri"/>
          <w:noProof/>
          <w:lang w:eastAsia="en-US"/>
        </w:rPr>
        <w:t>(Gordon et al., 2015)</w:t>
      </w:r>
      <w:r w:rsidRPr="00A65E70">
        <w:rPr>
          <w:rFonts w:eastAsia="Calibri"/>
          <w:lang w:eastAsia="en-US"/>
        </w:rPr>
        <w:t xml:space="preserve"> describes three methods by which a business can improve its productive efficiency. First, improvements in technical efficiency are achieved through more efficient resource use with existing technologies. Second, technological progress and organisational change involves the use of new, more efficient technologies and improving labour or capital outputs through changes to organisational structure or strategy. Third, increasing returns to scale refers to the increased efficiency when producing goods at scale. Often, the per unit production costs are lower when mass-producing due to improvements in technology in larger markets.</w:t>
      </w:r>
    </w:p>
    <w:p w14:paraId="25CAF85C" w14:textId="7E13344B" w:rsidR="00A65E70" w:rsidRPr="00A65E70" w:rsidRDefault="00A65E70" w:rsidP="00AD796C">
      <w:pPr>
        <w:rPr>
          <w:rFonts w:eastAsia="Calibri"/>
          <w:lang w:eastAsia="en-US"/>
        </w:rPr>
      </w:pPr>
      <w:r w:rsidRPr="00A65E70">
        <w:rPr>
          <w:rFonts w:eastAsia="Calibri"/>
          <w:lang w:eastAsia="en-US"/>
        </w:rPr>
        <w:t xml:space="preserve">However, improving production in economic terms to improve living standards, depending on the approach, may be at odds with national goals of improving the </w:t>
      </w:r>
      <w:r w:rsidRPr="00A65E70">
        <w:rPr>
          <w:rFonts w:eastAsia="Calibri"/>
          <w:i/>
          <w:lang w:eastAsia="en-US"/>
        </w:rPr>
        <w:t>quality</w:t>
      </w:r>
      <w:r w:rsidRPr="00A65E70">
        <w:rPr>
          <w:rFonts w:eastAsia="Calibri"/>
          <w:lang w:eastAsia="en-US"/>
        </w:rPr>
        <w:t xml:space="preserve"> of life in society. Since workers constitute 64.8</w:t>
      </w:r>
      <w:r w:rsidR="005355BD">
        <w:rPr>
          <w:rFonts w:eastAsia="Calibri"/>
          <w:lang w:eastAsia="en-US"/>
        </w:rPr>
        <w:t xml:space="preserve"> per cent</w:t>
      </w:r>
      <w:r w:rsidRPr="00A65E70">
        <w:rPr>
          <w:rFonts w:eastAsia="Calibri"/>
          <w:lang w:eastAsia="en-US"/>
        </w:rPr>
        <w:t xml:space="preserve"> of the national population </w:t>
      </w:r>
      <w:r w:rsidRPr="00A65E70">
        <w:rPr>
          <w:rFonts w:eastAsia="Calibri"/>
          <w:noProof/>
          <w:lang w:eastAsia="en-US"/>
        </w:rPr>
        <w:t>(Australian Bureau of Statistics, 2015a)</w:t>
      </w:r>
      <w:r w:rsidRPr="00A65E70">
        <w:rPr>
          <w:rFonts w:eastAsia="Calibri"/>
          <w:lang w:eastAsia="en-US"/>
        </w:rPr>
        <w:t xml:space="preserve">, the quality of their life makes a significant contribution to the gross national quality of life in its own right – and governments worldwide are concerned about their nations’ quality of life as is evident in the World Happiness Report 2015 (Helliwell, Layard, &amp; Sachs, 2015). </w:t>
      </w:r>
    </w:p>
    <w:p w14:paraId="0A238E85" w14:textId="6921F5FC" w:rsidR="00EE707B" w:rsidRDefault="00A65E70" w:rsidP="00AD796C">
      <w:pPr>
        <w:rPr>
          <w:rFonts w:eastAsia="Calibri"/>
          <w:lang w:eastAsia="en-US"/>
        </w:rPr>
      </w:pPr>
      <w:r w:rsidRPr="00A65E70">
        <w:rPr>
          <w:rFonts w:eastAsia="Calibri"/>
          <w:lang w:eastAsia="en-US"/>
        </w:rPr>
        <w:t>In contrast to economic focu</w:t>
      </w:r>
      <w:r w:rsidR="00D54C52">
        <w:rPr>
          <w:rFonts w:eastAsia="Calibri"/>
          <w:lang w:eastAsia="en-US"/>
        </w:rPr>
        <w:t>sed solutions, this report focu</w:t>
      </w:r>
      <w:r w:rsidRPr="00A65E70">
        <w:rPr>
          <w:rFonts w:eastAsia="Calibri"/>
          <w:lang w:eastAsia="en-US"/>
        </w:rPr>
        <w:t xml:space="preserve">ses on human capital and the organisational climate as a means to influence productivity, through a stronger focus on worker psychological health. As human capital encompasses attributes that may enhance productivity, they are a priority in addressing productivity in Australia. </w:t>
      </w:r>
    </w:p>
    <w:p w14:paraId="740E4B0A" w14:textId="01D7055B" w:rsidR="00EE707B" w:rsidRDefault="00A65E70" w:rsidP="00AD796C">
      <w:pPr>
        <w:rPr>
          <w:rFonts w:eastAsia="Calibri"/>
          <w:lang w:eastAsia="en-US"/>
        </w:rPr>
      </w:pPr>
      <w:r w:rsidRPr="00A65E70">
        <w:rPr>
          <w:rFonts w:eastAsia="Calibri"/>
          <w:lang w:eastAsia="en-US"/>
        </w:rPr>
        <w:lastRenderedPageBreak/>
        <w:t xml:space="preserve">Here we are concerned with workplace factors and health-related quality of life, that may affect workplace performance (e.g., the application of knowledge capabilities), and reduce productivity – in particular deficits that relate to sickness absence and presenteeism. Psychological health problems compromise human capital by diminishing an employee’s ability to apply their knowledge and skills at work. In the context of this study, those suffering from mental health conditions may need to take more sick days to preserve their psychological state, and may be less productive at work due to being disabled by their condition </w:t>
      </w:r>
      <w:r w:rsidRPr="00A65E70">
        <w:rPr>
          <w:rFonts w:eastAsia="Calibri"/>
          <w:noProof/>
          <w:lang w:eastAsia="en-US"/>
        </w:rPr>
        <w:t>(Lerner &amp; Henke, 2008; Merrill et al., 2013)</w:t>
      </w:r>
      <w:r w:rsidRPr="00A65E70">
        <w:rPr>
          <w:rFonts w:eastAsia="Calibri"/>
          <w:lang w:eastAsia="en-US"/>
        </w:rPr>
        <w:t>. A recent study concluded that untreated mental health conditions cost Australian organisations $4.7 billion in absenteeism, $6.1 billion in presenteeism, and $146 million in workers</w:t>
      </w:r>
      <w:r w:rsidR="00D54C52">
        <w:rPr>
          <w:rFonts w:eastAsia="Calibri"/>
          <w:lang w:eastAsia="en-US"/>
        </w:rPr>
        <w:t>’</w:t>
      </w:r>
      <w:r w:rsidRPr="00A65E70">
        <w:rPr>
          <w:rFonts w:eastAsia="Calibri"/>
          <w:lang w:eastAsia="en-US"/>
        </w:rPr>
        <w:t xml:space="preserve"> compensation claims; the total cost to productivity is estimated to be $10.9 billion per year </w:t>
      </w:r>
      <w:r w:rsidRPr="00A65E70">
        <w:rPr>
          <w:rFonts w:eastAsia="Calibri"/>
          <w:noProof/>
          <w:lang w:eastAsia="en-US"/>
        </w:rPr>
        <w:t>(</w:t>
      </w:r>
      <w:r w:rsidRPr="000E3FEB">
        <w:rPr>
          <w:rFonts w:eastAsia="Calibri"/>
          <w:i/>
          <w:noProof/>
          <w:lang w:eastAsia="en-US"/>
        </w:rPr>
        <w:t>beyondblue</w:t>
      </w:r>
      <w:r w:rsidRPr="00A65E70">
        <w:rPr>
          <w:rFonts w:eastAsia="Calibri"/>
          <w:noProof/>
          <w:lang w:eastAsia="en-US"/>
        </w:rPr>
        <w:t>, 2015)</w:t>
      </w:r>
      <w:r w:rsidRPr="00A65E70">
        <w:rPr>
          <w:rFonts w:eastAsia="Calibri"/>
          <w:lang w:eastAsia="en-US"/>
        </w:rPr>
        <w:t>.</w:t>
      </w:r>
    </w:p>
    <w:p w14:paraId="21C1BC9D" w14:textId="111F2D01" w:rsidR="00A65E70" w:rsidRPr="00A65E70" w:rsidRDefault="00A65E70" w:rsidP="00AD796C">
      <w:pPr>
        <w:pStyle w:val="Heading2"/>
        <w:rPr>
          <w:lang w:eastAsia="en-US"/>
        </w:rPr>
      </w:pPr>
      <w:r w:rsidRPr="00A65E70">
        <w:rPr>
          <w:lang w:eastAsia="en-US"/>
        </w:rPr>
        <w:t>Psychosocial Safety Climate</w:t>
      </w:r>
    </w:p>
    <w:p w14:paraId="34C3CD71" w14:textId="77777777" w:rsidR="00EE707B" w:rsidRDefault="00A65E70" w:rsidP="00AD796C">
      <w:pPr>
        <w:rPr>
          <w:rFonts w:eastAsia="Calibri"/>
          <w:lang w:eastAsia="en-US"/>
        </w:rPr>
      </w:pPr>
      <w:r w:rsidRPr="00A65E70">
        <w:rPr>
          <w:rFonts w:eastAsia="Calibri"/>
          <w:lang w:eastAsia="en-US"/>
        </w:rPr>
        <w:t xml:space="preserve">PSC is “the shared belief held by workers that their psychological safety and well-being is protected and supported by senior management” </w:t>
      </w:r>
      <w:r w:rsidRPr="00A65E70">
        <w:rPr>
          <w:rFonts w:eastAsia="Calibri"/>
          <w:noProof/>
          <w:lang w:eastAsia="en-US"/>
        </w:rPr>
        <w:t>(Bond, Tuckey, &amp; Dollard, 2010, p. 41)</w:t>
      </w:r>
      <w:r w:rsidRPr="00A65E70">
        <w:rPr>
          <w:rFonts w:eastAsia="Calibri"/>
          <w:lang w:eastAsia="en-US"/>
        </w:rPr>
        <w:t xml:space="preserve">. PSC is evident from organisational practices, policies and procedures that promote the psychological safety and wellbeing of workers </w:t>
      </w:r>
      <w:r w:rsidRPr="00A65E70">
        <w:rPr>
          <w:rFonts w:eastAsia="Calibri"/>
          <w:noProof/>
          <w:lang w:eastAsia="en-US"/>
        </w:rPr>
        <w:t>(Flin &amp; Yule, 2004)</w:t>
      </w:r>
      <w:r w:rsidRPr="00A65E70">
        <w:rPr>
          <w:rFonts w:eastAsia="Calibri"/>
          <w:lang w:eastAsia="en-US"/>
        </w:rPr>
        <w:t xml:space="preserve">. By creating a psychologically safe environment, the risk of psychological and social harm for workers is minimised </w:t>
      </w:r>
      <w:r w:rsidRPr="00A65E70">
        <w:rPr>
          <w:rFonts w:eastAsia="Calibri"/>
          <w:noProof/>
          <w:lang w:eastAsia="en-US"/>
        </w:rPr>
        <w:t>(Dollard &amp; Bakker, 2010)</w:t>
      </w:r>
      <w:r w:rsidRPr="00A65E70">
        <w:rPr>
          <w:rFonts w:eastAsia="Calibri"/>
          <w:lang w:eastAsia="en-US"/>
        </w:rPr>
        <w:t xml:space="preserve">. This requires commitment and involvement from senior management to prioritise psychological health to enable workers to utilize resources available to help them cope with their demands </w:t>
      </w:r>
      <w:r w:rsidRPr="00A65E70">
        <w:rPr>
          <w:rFonts w:eastAsia="Calibri"/>
          <w:noProof/>
          <w:lang w:eastAsia="en-US"/>
        </w:rPr>
        <w:t>(Law, Dollard, Tuckey, &amp; Dormann, 2011)</w:t>
      </w:r>
      <w:r w:rsidRPr="00A65E70">
        <w:rPr>
          <w:rFonts w:eastAsia="Calibri"/>
          <w:lang w:eastAsia="en-US"/>
        </w:rPr>
        <w:t>.</w:t>
      </w:r>
    </w:p>
    <w:p w14:paraId="4FF6774D" w14:textId="77777777" w:rsidR="00EE707B" w:rsidRDefault="00A65E70" w:rsidP="00AD796C">
      <w:pPr>
        <w:rPr>
          <w:rFonts w:eastAsia="Calibri"/>
          <w:lang w:eastAsia="en-US"/>
        </w:rPr>
      </w:pPr>
      <w:r w:rsidRPr="00A65E70">
        <w:rPr>
          <w:rFonts w:eastAsia="Calibri"/>
          <w:lang w:eastAsia="en-US"/>
        </w:rPr>
        <w:t>The state of PSC in Australia is highlighted in a recent report, which found that only 56</w:t>
      </w:r>
      <w:r w:rsidR="005355BD">
        <w:rPr>
          <w:rFonts w:eastAsia="Calibri"/>
          <w:lang w:eastAsia="en-US"/>
        </w:rPr>
        <w:t xml:space="preserve"> per cent</w:t>
      </w:r>
      <w:r w:rsidRPr="00A65E70">
        <w:rPr>
          <w:rFonts w:eastAsia="Calibri"/>
          <w:lang w:eastAsia="en-US"/>
        </w:rPr>
        <w:t xml:space="preserve"> of workers believe that their most senior manager considers psychological health important </w:t>
      </w:r>
      <w:r w:rsidRPr="00A65E70">
        <w:rPr>
          <w:rFonts w:eastAsia="Calibri"/>
          <w:noProof/>
          <w:lang w:eastAsia="en-US"/>
        </w:rPr>
        <w:t>(</w:t>
      </w:r>
      <w:r w:rsidRPr="000E3FEB">
        <w:rPr>
          <w:rFonts w:eastAsia="Calibri"/>
          <w:i/>
          <w:noProof/>
          <w:lang w:eastAsia="en-US"/>
        </w:rPr>
        <w:t>beyondblue</w:t>
      </w:r>
      <w:r w:rsidRPr="00A65E70">
        <w:rPr>
          <w:rFonts w:eastAsia="Calibri"/>
          <w:noProof/>
          <w:lang w:eastAsia="en-US"/>
        </w:rPr>
        <w:t>, 2015)</w:t>
      </w:r>
      <w:r w:rsidRPr="00A65E70">
        <w:rPr>
          <w:rFonts w:eastAsia="Calibri"/>
          <w:lang w:eastAsia="en-US"/>
        </w:rPr>
        <w:t xml:space="preserve">. While PSC was not measured directly, a psychologically safe workplace is indicative of strong PSC. It is critical that senior management drive the organisational change required to promote the psychological health of their employees. Senior management are in a position to establish positive workplace climate and management practices, and influence the experience of their employees </w:t>
      </w:r>
      <w:r w:rsidRPr="00A65E70">
        <w:rPr>
          <w:rFonts w:eastAsia="Calibri"/>
          <w:noProof/>
          <w:lang w:eastAsia="en-US"/>
        </w:rPr>
        <w:t>(</w:t>
      </w:r>
      <w:r w:rsidRPr="000E3FEB">
        <w:rPr>
          <w:rFonts w:eastAsia="Calibri"/>
          <w:i/>
          <w:noProof/>
          <w:lang w:eastAsia="en-US"/>
        </w:rPr>
        <w:t>beyondblue</w:t>
      </w:r>
      <w:r w:rsidRPr="00A65E70">
        <w:rPr>
          <w:rFonts w:eastAsia="Calibri"/>
          <w:noProof/>
          <w:lang w:eastAsia="en-US"/>
        </w:rPr>
        <w:t>, 2015)</w:t>
      </w:r>
      <w:r w:rsidRPr="00A65E70">
        <w:rPr>
          <w:rFonts w:eastAsia="Calibri"/>
          <w:lang w:eastAsia="en-US"/>
        </w:rPr>
        <w:t xml:space="preserve">. </w:t>
      </w:r>
    </w:p>
    <w:p w14:paraId="33B07A3E" w14:textId="56AD432A" w:rsidR="00A65E70" w:rsidRPr="00A65E70" w:rsidRDefault="00A65E70" w:rsidP="00AD796C">
      <w:pPr>
        <w:pStyle w:val="Heading2"/>
        <w:rPr>
          <w:lang w:eastAsia="en-US"/>
        </w:rPr>
      </w:pPr>
      <w:r w:rsidRPr="00A65E70">
        <w:rPr>
          <w:lang w:eastAsia="en-US"/>
        </w:rPr>
        <w:t>Psychosocial Safety Climate and Job Design</w:t>
      </w:r>
    </w:p>
    <w:p w14:paraId="1A06F881" w14:textId="77777777" w:rsidR="00EE707B" w:rsidRDefault="00A65E70" w:rsidP="00AD796C">
      <w:pPr>
        <w:rPr>
          <w:rFonts w:eastAsia="Calibri"/>
          <w:lang w:eastAsia="en-US"/>
        </w:rPr>
      </w:pPr>
      <w:r w:rsidRPr="00A65E70">
        <w:rPr>
          <w:rFonts w:eastAsia="Calibri"/>
          <w:lang w:eastAsia="en-US"/>
        </w:rPr>
        <w:t xml:space="preserve">Managers set the tone of an organisation, and have a primary role to play in how jobs are designed. PSC is argued to proceed and inform the way jobs are designed, how demanding jobs will be, and the nature and extent of resources provided to employees to manage the demands (Dollard &amp; McTernan, 2012). Managers who value worker psychological health will design work that is not too demanding, and provide the opportunity for worker autonomy, and social support. PSC has been theorised as an extension of the Job Demand Resources model, and two of its main theoretical pathways. The extended health erosion path predicts that PSC negatively relates to job demands; high demands in turn lead to health erosion, and a reduction in productivity due to sickness absence and presenteeism. The extended motivational pathway predicts that PSC positively relates to resources that in turn positively relate to work engagement, increased productivity because of performance increases and less absence. </w:t>
      </w:r>
    </w:p>
    <w:p w14:paraId="53E7D67E" w14:textId="77777777" w:rsidR="00EE707B" w:rsidRDefault="00A65E70" w:rsidP="00AD796C">
      <w:r w:rsidRPr="00A65E70">
        <w:rPr>
          <w:rFonts w:eastAsia="Calibri"/>
          <w:lang w:eastAsia="en-US"/>
        </w:rPr>
        <w:t>There are a number of studies that show that PSC negatively predicts work demands, and positively predicts work resources (Dollard &amp; Bakker, 2010). R</w:t>
      </w:r>
      <w:r w:rsidRPr="00A65E70">
        <w:t xml:space="preserve">esearch has shown that </w:t>
      </w:r>
      <w:r w:rsidRPr="00A65E70">
        <w:rPr>
          <w:rFonts w:eastAsia="Calibri"/>
          <w:lang w:eastAsia="en-US"/>
        </w:rPr>
        <w:t xml:space="preserve">PSC is a pre-eminent predictor of psychosocial work conditions including job design (i.e., job demands, job resources) and social relational aspects of work (i.e., bullying/harassment), along with employee health and motivational outcomes, such as engagement </w:t>
      </w:r>
      <w:r w:rsidRPr="00A65E70">
        <w:rPr>
          <w:rFonts w:eastAsia="Calibri"/>
          <w:noProof/>
          <w:lang w:eastAsia="en-US"/>
        </w:rPr>
        <w:t>(Dollard &amp; Bakker, 2010; Law et al., 2011)</w:t>
      </w:r>
      <w:r w:rsidRPr="00A65E70">
        <w:rPr>
          <w:rFonts w:eastAsia="Calibri"/>
          <w:lang w:eastAsia="en-US"/>
        </w:rPr>
        <w:t xml:space="preserve">. </w:t>
      </w:r>
      <w:r w:rsidRPr="00A65E70">
        <w:t xml:space="preserve">Evidence from hundreds of studies show </w:t>
      </w:r>
      <w:r w:rsidRPr="00A65E70">
        <w:rPr>
          <w:rFonts w:eastAsia="Calibri"/>
          <w:lang w:eastAsia="en-US"/>
        </w:rPr>
        <w:t xml:space="preserve">that high-strain jobs (jobs that have high demands and low control; e.g., Häusser, Mojzisch, Niesel, &amp; Schulz-Hardt, 2010) and jobs with high effort-reward imbalance (rewards do not match the demands of the job) have a negative impact on psychological and physical health (e.g., increased </w:t>
      </w:r>
      <w:r w:rsidRPr="00A65E70">
        <w:t>cardiovascular disease)</w:t>
      </w:r>
      <w:r w:rsidRPr="00A65E70">
        <w:rPr>
          <w:rFonts w:eastAsia="Calibri"/>
          <w:lang w:eastAsia="en-US"/>
        </w:rPr>
        <w:t xml:space="preserve"> and health-related quality of life </w:t>
      </w:r>
      <w:r w:rsidRPr="00A65E70">
        <w:rPr>
          <w:rFonts w:eastAsia="Calibri"/>
          <w:noProof/>
          <w:lang w:eastAsia="en-US"/>
        </w:rPr>
        <w:t xml:space="preserve">(Silva, Souza, Borges, &amp; </w:t>
      </w:r>
      <w:r w:rsidRPr="00A65E70">
        <w:rPr>
          <w:rFonts w:eastAsia="Calibri"/>
          <w:noProof/>
          <w:lang w:eastAsia="en-US"/>
        </w:rPr>
        <w:lastRenderedPageBreak/>
        <w:t>Fischer, 2010)</w:t>
      </w:r>
      <w:r w:rsidRPr="00A65E70">
        <w:rPr>
          <w:rFonts w:eastAsia="Calibri"/>
          <w:lang w:eastAsia="en-US"/>
        </w:rPr>
        <w:t>.</w:t>
      </w:r>
      <w:r w:rsidRPr="00A65E70">
        <w:t xml:space="preserve"> Research shows that PSC predicts both job strain (Bailey, Dollard, &amp; Richards, 2015) and effort-reward imbalance (Owen, Bailey &amp; Dollard, 2016).</w:t>
      </w:r>
    </w:p>
    <w:p w14:paraId="0E2FAF5A" w14:textId="1878231D" w:rsidR="00A65E70" w:rsidRPr="00A65E70" w:rsidRDefault="00A65E70" w:rsidP="00AD796C">
      <w:pPr>
        <w:pStyle w:val="Heading2"/>
      </w:pPr>
      <w:r w:rsidRPr="00A65E70">
        <w:t>PSC and Productivity</w:t>
      </w:r>
    </w:p>
    <w:p w14:paraId="5F866CCD" w14:textId="77777777" w:rsidR="00EE707B" w:rsidRDefault="00A65E70" w:rsidP="00AD796C">
      <w:pPr>
        <w:rPr>
          <w:rFonts w:eastAsia="Calibri"/>
          <w:lang w:eastAsia="en-US"/>
        </w:rPr>
      </w:pPr>
      <w:r w:rsidRPr="00A65E70">
        <w:t xml:space="preserve">Since PSC is a precursor to work quality and productivity enhancing states (positive psychological health, engagement), significant and efficient improvements in productivity could be achieved via PSC and the extended health erosion and extended motivational paths. Results from this research (e.g. </w:t>
      </w:r>
      <w:r w:rsidRPr="00A65E70">
        <w:rPr>
          <w:rFonts w:eastAsia="Calibri"/>
          <w:noProof/>
          <w:lang w:eastAsia="en-US"/>
        </w:rPr>
        <w:t>Dollard &amp; Bakker, 2010)</w:t>
      </w:r>
      <w:r w:rsidRPr="00A65E70">
        <w:t xml:space="preserve"> imply that trying to improve productivity via increasing work pressure, or by reducing job control (job strain) or the level of rewards (i.e., effort-reward imbalance), will in all likelihood lead to psychological health conditions, physical health problems, and productivity decrement. </w:t>
      </w:r>
    </w:p>
    <w:p w14:paraId="417C6816" w14:textId="001C7A24" w:rsidR="00A65E70" w:rsidRPr="00A65E70" w:rsidRDefault="00A65E70" w:rsidP="00AD796C">
      <w:pPr>
        <w:rPr>
          <w:rFonts w:eastAsia="Calibri"/>
          <w:lang w:eastAsia="en-US"/>
        </w:rPr>
      </w:pPr>
      <w:r w:rsidRPr="00A65E70">
        <w:rPr>
          <w:rFonts w:eastAsia="Calibri"/>
          <w:lang w:eastAsia="en-US"/>
        </w:rPr>
        <w:t>Yet, in considering how to improve productivity at work, there is often a focus on change and efficiencies, doing more with less (increasing demands, reducing resources). Scaling up and mass production can reduce meaningfulness of work and control at work. The work that humans</w:t>
      </w:r>
      <w:r w:rsidR="00026D65">
        <w:rPr>
          <w:rFonts w:eastAsia="Calibri"/>
          <w:lang w:eastAsia="en-US"/>
        </w:rPr>
        <w:t xml:space="preserve"> perform must remain meaningful</w:t>
      </w:r>
      <w:r w:rsidRPr="00A65E70">
        <w:rPr>
          <w:rFonts w:eastAsia="Calibri"/>
          <w:lang w:eastAsia="en-US"/>
        </w:rPr>
        <w:t xml:space="preserve"> for basic human psychological needs (e.g., the need for autonomy and competence) to be met, </w:t>
      </w:r>
      <w:r w:rsidR="00026D65">
        <w:rPr>
          <w:rFonts w:eastAsia="Calibri"/>
          <w:lang w:eastAsia="en-US"/>
        </w:rPr>
        <w:t xml:space="preserve">and </w:t>
      </w:r>
      <w:r w:rsidRPr="00A65E70">
        <w:rPr>
          <w:rFonts w:eastAsia="Calibri"/>
          <w:lang w:eastAsia="en-US"/>
        </w:rPr>
        <w:t xml:space="preserve">for workers to maintain their health and keep motivated and engaged at work </w:t>
      </w:r>
      <w:r w:rsidRPr="00A65E70">
        <w:rPr>
          <w:rFonts w:eastAsia="Calibri"/>
          <w:noProof/>
          <w:lang w:eastAsia="en-US"/>
        </w:rPr>
        <w:t>(Arnold, Turner, Barling, Kelloway, &amp; McKee, 2007)</w:t>
      </w:r>
      <w:r w:rsidRPr="00A65E70">
        <w:rPr>
          <w:rFonts w:eastAsia="Calibri"/>
          <w:lang w:eastAsia="en-US"/>
        </w:rPr>
        <w:t xml:space="preserve">. </w:t>
      </w:r>
    </w:p>
    <w:p w14:paraId="453B8379" w14:textId="77777777" w:rsidR="00EE707B" w:rsidRDefault="00A65E70" w:rsidP="00AD796C">
      <w:pPr>
        <w:rPr>
          <w:rFonts w:eastAsia="Calibri"/>
          <w:lang w:eastAsia="en-US"/>
        </w:rPr>
      </w:pPr>
      <w:r w:rsidRPr="00A65E70">
        <w:rPr>
          <w:rFonts w:eastAsia="Calibri"/>
          <w:lang w:eastAsia="en-US"/>
        </w:rPr>
        <w:t xml:space="preserve">Knowledge is considered to be the primary competitive advantage in modern firms </w:t>
      </w:r>
      <w:r w:rsidRPr="00A65E70">
        <w:rPr>
          <w:rFonts w:eastAsia="Calibri"/>
          <w:noProof/>
          <w:lang w:eastAsia="en-US"/>
        </w:rPr>
        <w:t>(Chen, 2004; Matusik &amp; Hill, 1998; Spender &amp; Grant, 1996)</w:t>
      </w:r>
      <w:r w:rsidRPr="00A65E70">
        <w:rPr>
          <w:rFonts w:eastAsia="Calibri"/>
          <w:lang w:eastAsia="en-US"/>
        </w:rPr>
        <w:t xml:space="preserve">. Social interaction in the workplace leads to improved knowledge application capabilities </w:t>
      </w:r>
      <w:r w:rsidRPr="00A65E70">
        <w:rPr>
          <w:rFonts w:eastAsia="Calibri"/>
          <w:noProof/>
          <w:lang w:eastAsia="en-US"/>
        </w:rPr>
        <w:t>(Chen &amp; Huang, 2007)</w:t>
      </w:r>
      <w:r w:rsidRPr="00A65E70">
        <w:rPr>
          <w:rFonts w:eastAsia="Calibri"/>
          <w:lang w:eastAsia="en-US"/>
        </w:rPr>
        <w:t xml:space="preserve">. Social interaction acts as a mediator between organisational climate and knowledge management. Psychologically healthy workplaces have employees who are more likely to provide social support for each other, reinforcing the role that senior management play setting the tone for a supportive environment </w:t>
      </w:r>
      <w:r w:rsidRPr="00A65E70">
        <w:rPr>
          <w:rFonts w:eastAsia="Calibri"/>
          <w:noProof/>
          <w:lang w:eastAsia="en-US"/>
        </w:rPr>
        <w:t>(</w:t>
      </w:r>
      <w:r w:rsidRPr="000E3FEB">
        <w:rPr>
          <w:rFonts w:eastAsia="Calibri"/>
          <w:i/>
          <w:noProof/>
          <w:lang w:eastAsia="en-US"/>
        </w:rPr>
        <w:t>beyondblue</w:t>
      </w:r>
      <w:r w:rsidRPr="00A65E70">
        <w:rPr>
          <w:rFonts w:eastAsia="Calibri"/>
          <w:noProof/>
          <w:lang w:eastAsia="en-US"/>
        </w:rPr>
        <w:t>, 2015)</w:t>
      </w:r>
      <w:r w:rsidRPr="00A65E70">
        <w:rPr>
          <w:rFonts w:eastAsia="Calibri"/>
          <w:lang w:eastAsia="en-US"/>
        </w:rPr>
        <w:t>. Creating a supportive environment in a psychologically healthy workplace improves workers’ abilities to function productively.</w:t>
      </w:r>
    </w:p>
    <w:p w14:paraId="2E90F1FD" w14:textId="4308D761" w:rsidR="00A65E70" w:rsidRPr="00A65E70" w:rsidRDefault="00A65E70" w:rsidP="00AD796C">
      <w:pPr>
        <w:pStyle w:val="Heading2"/>
        <w:rPr>
          <w:lang w:eastAsia="en-US"/>
        </w:rPr>
      </w:pPr>
      <w:r w:rsidRPr="00A65E70">
        <w:rPr>
          <w:lang w:eastAsia="en-US"/>
        </w:rPr>
        <w:t>Interventions to improve PSC</w:t>
      </w:r>
    </w:p>
    <w:p w14:paraId="165916B5" w14:textId="77777777" w:rsidR="00EE707B" w:rsidRDefault="00A65E70" w:rsidP="00AD796C">
      <w:pPr>
        <w:rPr>
          <w:rFonts w:eastAsia="Calibri"/>
          <w:lang w:eastAsia="en-US"/>
        </w:rPr>
      </w:pPr>
      <w:r w:rsidRPr="00A65E70">
        <w:rPr>
          <w:rFonts w:eastAsia="Calibri"/>
          <w:lang w:eastAsia="en-US"/>
        </w:rPr>
        <w:t xml:space="preserve">A primary intervention approach to improve productivity via PSC would focus on reducing stressors at their source and improving work conditions. This would include improving communication between management and employees, providing conflict management skills training to management, and job redesign to eliminate unnecessary stressors (Lamontagne, Keegel, Louie, Ostry, &amp; Landsbergis, 2007; Parker, 2015). At a policy level, progress has been made in some countries toward a legislative platform for managing psychosocial risks. For example, the UK has adopted the Management Standards for work-related stress by requiring organisations to meet specific thresholds for the level of psychosocial risks (HSE, 2007; Iavicoli et al., 2014). A secondary intervention approach to improve productivity via PSC would be to target employee psychological and physical reactions to work.  Australian </w:t>
      </w:r>
      <w:r w:rsidR="004B4AEB">
        <w:rPr>
          <w:rFonts w:eastAsia="Calibri"/>
          <w:lang w:eastAsia="en-US"/>
        </w:rPr>
        <w:t>r</w:t>
      </w:r>
      <w:r w:rsidRPr="00A65E70">
        <w:rPr>
          <w:rFonts w:eastAsia="Calibri"/>
          <w:lang w:eastAsia="en-US"/>
        </w:rPr>
        <w:t>eturn on investment research shows that in addition to direct benefits to psychological wellbeing, creating psychologically healthy workplaces via helping employees resist or manage demands, or unfavourable reactions, has a positive financial/economic return of 130</w:t>
      </w:r>
      <w:r w:rsidR="005355BD">
        <w:rPr>
          <w:rFonts w:eastAsia="Calibri"/>
          <w:lang w:eastAsia="en-US"/>
        </w:rPr>
        <w:t xml:space="preserve"> per cent</w:t>
      </w:r>
      <w:r w:rsidRPr="00A65E70">
        <w:rPr>
          <w:rFonts w:eastAsia="Calibri"/>
          <w:lang w:eastAsia="en-US"/>
        </w:rPr>
        <w:t xml:space="preserve"> </w:t>
      </w:r>
      <w:r w:rsidRPr="00A65E70">
        <w:rPr>
          <w:rFonts w:eastAsia="Calibri"/>
          <w:noProof/>
          <w:lang w:eastAsia="en-US"/>
        </w:rPr>
        <w:t>(PricewaterhouseCoopers, 2014)</w:t>
      </w:r>
      <w:r w:rsidRPr="00A65E70">
        <w:rPr>
          <w:rFonts w:eastAsia="Calibri"/>
          <w:lang w:eastAsia="en-US"/>
        </w:rPr>
        <w:t xml:space="preserve">. That is, for every dollar spent on creating psychologically healthy workplaces, the organisation reaps $2.30 in return from reduced lost productivity due to absenteeism and presenteeism and from reduced workers’ compensation claims. Examples of investments that improve the psychological health of an organisation focusing on workers, include: </w:t>
      </w:r>
    </w:p>
    <w:p w14:paraId="61A09CF6" w14:textId="172F8DA1" w:rsidR="00A65E70" w:rsidRPr="00A65E70" w:rsidRDefault="00A65E70" w:rsidP="00AD796C">
      <w:pPr>
        <w:pStyle w:val="ListParagraph"/>
        <w:rPr>
          <w:rFonts w:eastAsia="Calibri"/>
          <w:lang w:eastAsia="en-US"/>
        </w:rPr>
      </w:pPr>
      <w:r w:rsidRPr="00A65E70">
        <w:rPr>
          <w:rFonts w:eastAsia="Calibri"/>
          <w:lang w:eastAsia="en-US"/>
        </w:rPr>
        <w:t>Worksite physical activity programs</w:t>
      </w:r>
    </w:p>
    <w:p w14:paraId="69B274E3" w14:textId="77777777" w:rsidR="00A65E70" w:rsidRPr="00A65E70" w:rsidRDefault="00A65E70" w:rsidP="00AD796C">
      <w:pPr>
        <w:pStyle w:val="ListParagraph"/>
        <w:rPr>
          <w:rFonts w:eastAsia="Calibri"/>
          <w:lang w:eastAsia="en-US"/>
        </w:rPr>
      </w:pPr>
      <w:r w:rsidRPr="00A65E70">
        <w:rPr>
          <w:rFonts w:eastAsia="Calibri"/>
          <w:lang w:eastAsia="en-US"/>
        </w:rPr>
        <w:t>Coaching and mentoring programs</w:t>
      </w:r>
    </w:p>
    <w:p w14:paraId="7E3B1B67" w14:textId="77777777" w:rsidR="00A65E70" w:rsidRPr="00A65E70" w:rsidRDefault="00A65E70" w:rsidP="00AD796C">
      <w:pPr>
        <w:pStyle w:val="ListParagraph"/>
        <w:rPr>
          <w:rFonts w:eastAsia="Calibri"/>
          <w:lang w:eastAsia="en-US"/>
        </w:rPr>
      </w:pPr>
      <w:r w:rsidRPr="00A65E70">
        <w:rPr>
          <w:rFonts w:eastAsia="Calibri"/>
          <w:lang w:eastAsia="en-US"/>
        </w:rPr>
        <w:t>Mental health first aid and education</w:t>
      </w:r>
    </w:p>
    <w:p w14:paraId="3C9730AF" w14:textId="77777777" w:rsidR="00A65E70" w:rsidRPr="00A65E70" w:rsidRDefault="00A65E70" w:rsidP="00AD796C">
      <w:pPr>
        <w:pStyle w:val="ListParagraph"/>
        <w:rPr>
          <w:rFonts w:eastAsia="Calibri"/>
          <w:lang w:eastAsia="en-US"/>
        </w:rPr>
      </w:pPr>
      <w:r w:rsidRPr="00A65E70">
        <w:rPr>
          <w:rFonts w:eastAsia="Calibri"/>
          <w:lang w:eastAsia="en-US"/>
        </w:rPr>
        <w:t>Resilience training</w:t>
      </w:r>
    </w:p>
    <w:p w14:paraId="0F338391" w14:textId="77777777" w:rsidR="00A65E70" w:rsidRPr="00A65E70" w:rsidRDefault="00A65E70" w:rsidP="00AD796C">
      <w:pPr>
        <w:pStyle w:val="ListParagraph"/>
        <w:rPr>
          <w:rFonts w:eastAsia="Calibri"/>
          <w:lang w:eastAsia="en-US"/>
        </w:rPr>
      </w:pPr>
      <w:r w:rsidRPr="00A65E70">
        <w:rPr>
          <w:rFonts w:eastAsia="Calibri"/>
          <w:lang w:eastAsia="en-US"/>
        </w:rPr>
        <w:t>Cognitive Behaviour Therapy based return-to-work programs</w:t>
      </w:r>
    </w:p>
    <w:p w14:paraId="464B0AEC" w14:textId="77777777" w:rsidR="00A65E70" w:rsidRPr="00A65E70" w:rsidRDefault="00A65E70" w:rsidP="00AD796C">
      <w:pPr>
        <w:pStyle w:val="ListParagraph"/>
        <w:rPr>
          <w:rFonts w:eastAsia="Calibri"/>
          <w:lang w:eastAsia="en-US"/>
        </w:rPr>
      </w:pPr>
      <w:r w:rsidRPr="00A65E70">
        <w:rPr>
          <w:rFonts w:eastAsia="Calibri"/>
          <w:lang w:eastAsia="en-US"/>
        </w:rPr>
        <w:lastRenderedPageBreak/>
        <w:t>Well-being checks or health screenings</w:t>
      </w:r>
    </w:p>
    <w:p w14:paraId="1F5CDB99" w14:textId="77777777" w:rsidR="00EE707B" w:rsidRDefault="00A65E70" w:rsidP="00AD796C">
      <w:pPr>
        <w:pStyle w:val="ListParagraph"/>
        <w:rPr>
          <w:rFonts w:eastAsia="Calibri"/>
          <w:lang w:eastAsia="en-US"/>
        </w:rPr>
      </w:pPr>
      <w:r w:rsidRPr="00A65E70">
        <w:rPr>
          <w:rFonts w:eastAsia="Calibri"/>
          <w:lang w:eastAsia="en-US"/>
        </w:rPr>
        <w:t xml:space="preserve">Encouraging employee involvement </w:t>
      </w:r>
      <w:r w:rsidRPr="00A65E70">
        <w:rPr>
          <w:rFonts w:eastAsia="Calibri"/>
          <w:noProof/>
          <w:lang w:eastAsia="en-US"/>
        </w:rPr>
        <w:t>(PricewaterhouseCoopers, 2014, p. 4)</w:t>
      </w:r>
      <w:r w:rsidRPr="00A65E70">
        <w:rPr>
          <w:rFonts w:eastAsia="Calibri"/>
          <w:lang w:eastAsia="en-US"/>
        </w:rPr>
        <w:t>.</w:t>
      </w:r>
    </w:p>
    <w:p w14:paraId="534F8330" w14:textId="77777777" w:rsidR="00EE707B" w:rsidRDefault="00A65E70" w:rsidP="00AD796C">
      <w:pPr>
        <w:rPr>
          <w:rFonts w:eastAsia="Calibri"/>
          <w:lang w:eastAsia="en-US"/>
        </w:rPr>
      </w:pPr>
      <w:r w:rsidRPr="00A65E70">
        <w:rPr>
          <w:rFonts w:eastAsia="Calibri"/>
          <w:lang w:eastAsia="en-US"/>
        </w:rPr>
        <w:t xml:space="preserve">Given the utility of PSC as both a primary and secondary target for productivity improvements we expect to find a substantial reduced cost associated with productivity loss as PSC increases. Next we explore the link between depression, psychological distress, engagement and productivity loss. </w:t>
      </w:r>
    </w:p>
    <w:p w14:paraId="1166FBF4" w14:textId="48612EDC" w:rsidR="00A65E70" w:rsidRPr="00A65E70" w:rsidRDefault="00A65E70" w:rsidP="00AD796C">
      <w:pPr>
        <w:pStyle w:val="Heading2"/>
        <w:rPr>
          <w:lang w:eastAsia="en-US"/>
        </w:rPr>
      </w:pPr>
      <w:r w:rsidRPr="00A65E70">
        <w:rPr>
          <w:lang w:eastAsia="en-US"/>
        </w:rPr>
        <w:t>Employee productivity loss</w:t>
      </w:r>
    </w:p>
    <w:p w14:paraId="36DC7DE8" w14:textId="77777777" w:rsidR="00A65E70" w:rsidRPr="00A65E70" w:rsidRDefault="00A65E70" w:rsidP="00AD796C">
      <w:pPr>
        <w:pStyle w:val="Heading3"/>
      </w:pPr>
      <w:r w:rsidRPr="00A65E70">
        <w:t>Depression</w:t>
      </w:r>
    </w:p>
    <w:p w14:paraId="4936E0A6" w14:textId="77777777" w:rsidR="00EE707B" w:rsidRDefault="00A65E70" w:rsidP="00AD796C">
      <w:pPr>
        <w:rPr>
          <w:rFonts w:eastAsia="Calibri"/>
          <w:lang w:eastAsia="en-US"/>
        </w:rPr>
      </w:pPr>
      <w:r w:rsidRPr="00A65E70">
        <w:rPr>
          <w:rFonts w:eastAsia="Calibri"/>
          <w:lang w:eastAsia="en-US"/>
        </w:rPr>
        <w:t xml:space="preserve">Poor worker health and work stress are detrimental to productivity </w:t>
      </w:r>
      <w:r w:rsidRPr="00A65E70">
        <w:rPr>
          <w:rFonts w:eastAsia="Calibri"/>
          <w:noProof/>
          <w:lang w:eastAsia="en-US"/>
        </w:rPr>
        <w:t>(LaMontagne, Keegel, Vallance, Ostry, &amp; Wolfe, 2008; McTernan, Dollard, &amp; LaMontagne, 2013)</w:t>
      </w:r>
      <w:r w:rsidRPr="00A65E70">
        <w:rPr>
          <w:rFonts w:eastAsia="Calibri"/>
          <w:lang w:eastAsia="en-US"/>
        </w:rPr>
        <w:t xml:space="preserve">. Prior evidence from the AWB project showed that depression costs the Australian economy approximately $8 billion per year through lost productivity at work </w:t>
      </w:r>
      <w:r w:rsidRPr="00A65E70">
        <w:rPr>
          <w:rFonts w:eastAsia="Calibri"/>
          <w:noProof/>
          <w:lang w:eastAsia="en-US"/>
        </w:rPr>
        <w:t>(McTernan et al., 2013)</w:t>
      </w:r>
      <w:r w:rsidRPr="00A65E70">
        <w:rPr>
          <w:rFonts w:eastAsia="Calibri"/>
          <w:lang w:eastAsia="en-US"/>
        </w:rPr>
        <w:t>. Furthermore, approximately $693 million of this lost productivity was attributable to workplace bullying and job strain; considering that these social-relational and job design aspects of work are modifiable, we consider that this cost is preventable.</w:t>
      </w:r>
    </w:p>
    <w:p w14:paraId="316E4864" w14:textId="77777777" w:rsidR="00EE707B" w:rsidRDefault="00A65E70" w:rsidP="00AD796C">
      <w:pPr>
        <w:rPr>
          <w:rFonts w:eastAsia="Calibri"/>
          <w:lang w:eastAsia="en-US"/>
        </w:rPr>
      </w:pPr>
      <w:r w:rsidRPr="00A65E70">
        <w:rPr>
          <w:rFonts w:eastAsia="Calibri"/>
          <w:lang w:eastAsia="en-US"/>
        </w:rPr>
        <w:t xml:space="preserve">Depression is linked to productivity loss via increased absenteeism rates </w:t>
      </w:r>
      <w:r w:rsidRPr="00A65E70">
        <w:rPr>
          <w:rFonts w:eastAsia="Calibri"/>
          <w:noProof/>
          <w:lang w:eastAsia="en-US"/>
        </w:rPr>
        <w:t>(Laitinen-Krispijn &amp; Bijl, 2000; Lim, Sanderson, &amp; Andrews, 2000)</w:t>
      </w:r>
      <w:r w:rsidRPr="00A65E70">
        <w:rPr>
          <w:rFonts w:eastAsia="Calibri"/>
          <w:lang w:eastAsia="en-US"/>
        </w:rPr>
        <w:t>. Depression can lead to an absence rate 220</w:t>
      </w:r>
      <w:r w:rsidR="005355BD">
        <w:rPr>
          <w:rFonts w:eastAsia="Calibri"/>
          <w:lang w:eastAsia="en-US"/>
        </w:rPr>
        <w:t xml:space="preserve"> per cent</w:t>
      </w:r>
      <w:r w:rsidRPr="00A65E70">
        <w:rPr>
          <w:rFonts w:eastAsia="Calibri"/>
          <w:lang w:eastAsia="en-US"/>
        </w:rPr>
        <w:t xml:space="preserve"> higher than average </w:t>
      </w:r>
      <w:r w:rsidRPr="00A65E70">
        <w:rPr>
          <w:rFonts w:eastAsia="Calibri"/>
          <w:noProof/>
          <w:lang w:eastAsia="en-US"/>
        </w:rPr>
        <w:t>(Kessler et al., 1999)</w:t>
      </w:r>
      <w:r w:rsidRPr="00A65E70">
        <w:rPr>
          <w:rFonts w:eastAsia="Calibri"/>
          <w:lang w:eastAsia="en-US"/>
        </w:rPr>
        <w:t>, costing potentially billions of dollars per year in lost productivity, in addition to the harm caused to individual wellbeing. The hidden cost of even mild depression is becoming more evident, with a recent study suggesting that it makes up the bulk (61</w:t>
      </w:r>
      <w:r w:rsidR="005355BD">
        <w:rPr>
          <w:rFonts w:eastAsia="Calibri"/>
          <w:lang w:eastAsia="en-US"/>
        </w:rPr>
        <w:t xml:space="preserve"> per cent</w:t>
      </w:r>
      <w:r w:rsidRPr="00A65E70">
        <w:rPr>
          <w:rFonts w:eastAsia="Calibri"/>
          <w:lang w:eastAsia="en-US"/>
        </w:rPr>
        <w:t xml:space="preserve">) of depression-linked productivity loss </w:t>
      </w:r>
      <w:r w:rsidRPr="00A65E70">
        <w:rPr>
          <w:rFonts w:eastAsia="Calibri"/>
          <w:noProof/>
          <w:lang w:eastAsia="en-US"/>
        </w:rPr>
        <w:t>(McTernan et al., 2013)</w:t>
      </w:r>
      <w:r w:rsidRPr="00A65E70">
        <w:rPr>
          <w:rFonts w:eastAsia="Calibri"/>
          <w:lang w:eastAsia="en-US"/>
        </w:rPr>
        <w:t xml:space="preserve">. Furthermore, more severe depression is linked to greater productivity deficits. </w:t>
      </w:r>
    </w:p>
    <w:p w14:paraId="0542F0DF" w14:textId="7370599E" w:rsidR="00EE707B" w:rsidRDefault="00A65E70" w:rsidP="00AD796C">
      <w:pPr>
        <w:rPr>
          <w:rFonts w:eastAsia="Calibri"/>
          <w:lang w:eastAsia="en-US"/>
        </w:rPr>
      </w:pPr>
      <w:r w:rsidRPr="00A65E70">
        <w:rPr>
          <w:rFonts w:eastAsia="Calibri"/>
          <w:lang w:eastAsia="en-US"/>
        </w:rPr>
        <w:t xml:space="preserve">Given its link to a serious detriment to productivity, addressing depression is also a key target for improving productivity. Treatments for psychological illness may reduce sick days and improve productivity enough to exceed the cost of treatment </w:t>
      </w:r>
      <w:r w:rsidRPr="00A65E70">
        <w:rPr>
          <w:rFonts w:eastAsia="Calibri"/>
          <w:noProof/>
          <w:lang w:eastAsia="en-US"/>
        </w:rPr>
        <w:t>(Zhang, Rost, Fortney, &amp; Smith, 1999)</w:t>
      </w:r>
      <w:r w:rsidRPr="00A65E70">
        <w:rPr>
          <w:rFonts w:eastAsia="Calibri"/>
          <w:lang w:eastAsia="en-US"/>
        </w:rPr>
        <w:t>. However, Lim et al. (2000) note the lack of representative samples supporting the e</w:t>
      </w:r>
      <w:r w:rsidR="00F4458D">
        <w:rPr>
          <w:rFonts w:eastAsia="Calibri"/>
          <w:lang w:eastAsia="en-US"/>
        </w:rPr>
        <w:t>fficacy of this individual focu</w:t>
      </w:r>
      <w:r w:rsidRPr="00A65E70">
        <w:rPr>
          <w:rFonts w:eastAsia="Calibri"/>
          <w:lang w:eastAsia="en-US"/>
        </w:rPr>
        <w:t>sed strategy, and identify it as an area in need of closer examination. The present study uses a population-based sampl</w:t>
      </w:r>
      <w:r w:rsidR="00F4458D">
        <w:rPr>
          <w:rFonts w:eastAsia="Calibri"/>
          <w:lang w:eastAsia="en-US"/>
        </w:rPr>
        <w:t>e to fill the need for generalis</w:t>
      </w:r>
      <w:r w:rsidRPr="00A65E70">
        <w:rPr>
          <w:rFonts w:eastAsia="Calibri"/>
          <w:lang w:eastAsia="en-US"/>
        </w:rPr>
        <w:t xml:space="preserve">able analyses between work-related impairment and </w:t>
      </w:r>
      <w:r w:rsidR="00793AA5">
        <w:rPr>
          <w:rFonts w:eastAsia="Calibri"/>
          <w:lang w:eastAsia="en-US"/>
        </w:rPr>
        <w:t>psychological health outcomes</w:t>
      </w:r>
      <w:r w:rsidRPr="00A65E70">
        <w:rPr>
          <w:rFonts w:eastAsia="Calibri"/>
          <w:lang w:eastAsia="en-US"/>
        </w:rPr>
        <w:t>.</w:t>
      </w:r>
    </w:p>
    <w:p w14:paraId="19D88154" w14:textId="6EDBE73D" w:rsidR="00A65E70" w:rsidRPr="00A65E70" w:rsidRDefault="00A65E70" w:rsidP="00AD796C">
      <w:pPr>
        <w:rPr>
          <w:rFonts w:eastAsia="Calibri"/>
          <w:lang w:eastAsia="en-US"/>
        </w:rPr>
      </w:pPr>
      <w:r w:rsidRPr="00A65E70">
        <w:rPr>
          <w:rFonts w:eastAsia="Calibri"/>
          <w:lang w:eastAsia="en-US"/>
        </w:rPr>
        <w:t xml:space="preserve">Greater insight into the depression to sickness absence pathway provides researchers and policy makers with the necessary detail to allow for the development of effective strategies to prevent sickness absence </w:t>
      </w:r>
      <w:r w:rsidRPr="00A65E70">
        <w:rPr>
          <w:rFonts w:eastAsia="Calibri"/>
          <w:noProof/>
          <w:lang w:eastAsia="en-US"/>
        </w:rPr>
        <w:t>(Laitinen-Krispijn &amp; Bijl, 2000)</w:t>
      </w:r>
      <w:r w:rsidRPr="00A65E70">
        <w:rPr>
          <w:rFonts w:eastAsia="Calibri"/>
          <w:lang w:eastAsia="en-US"/>
        </w:rPr>
        <w:t xml:space="preserve">. </w:t>
      </w:r>
    </w:p>
    <w:p w14:paraId="21E6324F" w14:textId="77777777" w:rsidR="00A65E70" w:rsidRPr="00A65E70" w:rsidRDefault="00A65E70" w:rsidP="00AD796C">
      <w:pPr>
        <w:pStyle w:val="Heading3"/>
      </w:pPr>
      <w:r w:rsidRPr="00A65E70">
        <w:t>Psychological Distress</w:t>
      </w:r>
    </w:p>
    <w:p w14:paraId="6F43EC64" w14:textId="77777777" w:rsidR="00EE707B" w:rsidRDefault="00A65E70" w:rsidP="00AD796C">
      <w:pPr>
        <w:rPr>
          <w:rFonts w:eastAsia="Calibri"/>
          <w:lang w:eastAsia="en-US"/>
        </w:rPr>
      </w:pPr>
      <w:r w:rsidRPr="00A65E70">
        <w:rPr>
          <w:rFonts w:eastAsia="Calibri"/>
          <w:lang w:eastAsia="en-US"/>
        </w:rPr>
        <w:t xml:space="preserve">Psychological Distress refers to a collection of related negative emotional states, consisting of anxiety, sadness, and depression </w:t>
      </w:r>
      <w:r w:rsidRPr="00A65E70">
        <w:rPr>
          <w:rFonts w:eastAsia="Calibri"/>
          <w:noProof/>
          <w:lang w:eastAsia="en-US"/>
        </w:rPr>
        <w:t>(Kessler &amp; Mroczek, 1994)</w:t>
      </w:r>
      <w:r w:rsidRPr="00A65E70">
        <w:rPr>
          <w:rFonts w:eastAsia="Calibri"/>
          <w:lang w:eastAsia="en-US"/>
        </w:rPr>
        <w:t xml:space="preserve">. Psychological distress is affected by job design. For example, structural equation modelling analysis has shown a lack of skill discretion and excessive job demands are linked to increased psychological distress </w:t>
      </w:r>
      <w:r w:rsidRPr="00A65E70">
        <w:rPr>
          <w:rFonts w:eastAsia="Calibri"/>
          <w:noProof/>
          <w:lang w:eastAsia="en-US"/>
        </w:rPr>
        <w:t>(Barnett &amp; Brennan, 1995)</w:t>
      </w:r>
      <w:r w:rsidRPr="00A65E70">
        <w:rPr>
          <w:rFonts w:eastAsia="Calibri"/>
          <w:lang w:eastAsia="en-US"/>
        </w:rPr>
        <w:t xml:space="preserve">. Psychological distress has already been shown to lead to increased absenteeism in a sample (n = 323) of UK employees </w:t>
      </w:r>
      <w:r w:rsidRPr="00A65E70">
        <w:rPr>
          <w:rFonts w:eastAsia="Calibri"/>
          <w:noProof/>
          <w:lang w:eastAsia="en-US"/>
        </w:rPr>
        <w:t>(Hardy, Woods, &amp; Wall, 2003)</w:t>
      </w:r>
      <w:r w:rsidRPr="00A65E70">
        <w:rPr>
          <w:rFonts w:eastAsia="Calibri"/>
          <w:lang w:eastAsia="en-US"/>
        </w:rPr>
        <w:t xml:space="preserve">. Researchers also found that the effect is bidirectional; increases in absenteeism are linked to subsequent increases in psychological distress. Other studies have also provided evidence for the causal effect of psychological distress on employee absenteeism and presenteeism </w:t>
      </w:r>
      <w:r w:rsidRPr="00A65E70">
        <w:rPr>
          <w:rFonts w:eastAsia="Calibri"/>
          <w:noProof/>
          <w:lang w:eastAsia="en-US"/>
        </w:rPr>
        <w:t>(Hardy et al., 2003; Laitinen-Krispijn &amp; Bijl, 2000)</w:t>
      </w:r>
      <w:r w:rsidRPr="00A65E70">
        <w:rPr>
          <w:rFonts w:eastAsia="Calibri"/>
          <w:lang w:eastAsia="en-US"/>
        </w:rPr>
        <w:t xml:space="preserve">. </w:t>
      </w:r>
    </w:p>
    <w:p w14:paraId="775D25CA" w14:textId="741F4917" w:rsidR="00A65E70" w:rsidRPr="00A65E70" w:rsidRDefault="00A65E70" w:rsidP="00AD796C">
      <w:pPr>
        <w:rPr>
          <w:rFonts w:eastAsia="Calibri"/>
          <w:lang w:eastAsia="en-US"/>
        </w:rPr>
      </w:pPr>
      <w:r w:rsidRPr="00A65E70">
        <w:rPr>
          <w:rFonts w:eastAsia="Calibri"/>
          <w:lang w:eastAsia="en-US"/>
        </w:rPr>
        <w:t xml:space="preserve">Mental health care training for employees has the effect of improving their own psychological health outcomes as well as improving their ability to support those with psychological health problems around them </w:t>
      </w:r>
      <w:r w:rsidRPr="00A65E70">
        <w:rPr>
          <w:rFonts w:eastAsia="Calibri"/>
          <w:noProof/>
          <w:lang w:eastAsia="en-US"/>
        </w:rPr>
        <w:t>(beyondblue, 2015)</w:t>
      </w:r>
      <w:r w:rsidRPr="00A65E70">
        <w:rPr>
          <w:rFonts w:eastAsia="Calibri"/>
          <w:lang w:eastAsia="en-US"/>
        </w:rPr>
        <w:t xml:space="preserve">. </w:t>
      </w:r>
    </w:p>
    <w:p w14:paraId="4B7FBD2E" w14:textId="77777777" w:rsidR="00A65E70" w:rsidRPr="00A65E70" w:rsidRDefault="00A65E70" w:rsidP="00AD796C">
      <w:pPr>
        <w:pStyle w:val="Heading3"/>
      </w:pPr>
      <w:r w:rsidRPr="00A65E70">
        <w:lastRenderedPageBreak/>
        <w:t>Engagement</w:t>
      </w:r>
    </w:p>
    <w:p w14:paraId="2FABDD85" w14:textId="28C1968A" w:rsidR="00EE707B" w:rsidRDefault="00A65E70" w:rsidP="00AD796C">
      <w:pPr>
        <w:rPr>
          <w:rFonts w:eastAsia="Calibri"/>
          <w:lang w:eastAsia="en-US"/>
        </w:rPr>
      </w:pPr>
      <w:r w:rsidRPr="00A65E70">
        <w:rPr>
          <w:rFonts w:eastAsia="Calibri"/>
          <w:lang w:eastAsia="en-US"/>
        </w:rPr>
        <w:t xml:space="preserve">Engagement is the opposite of burnout </w:t>
      </w:r>
      <w:r w:rsidRPr="00A65E70">
        <w:rPr>
          <w:rFonts w:eastAsia="Calibri"/>
          <w:noProof/>
          <w:lang w:eastAsia="en-US"/>
        </w:rPr>
        <w:t>(Schaufeli, Salanova, González-Romá, &amp; Bakker, 2002)</w:t>
      </w:r>
      <w:r w:rsidRPr="00A65E70">
        <w:rPr>
          <w:rFonts w:eastAsia="Calibri"/>
          <w:lang w:eastAsia="en-US"/>
        </w:rPr>
        <w:t xml:space="preserve">, and refers to directing one’s energy into physical, cognitive, and emotional </w:t>
      </w:r>
      <w:r w:rsidR="00455338" w:rsidRPr="00A65E70">
        <w:rPr>
          <w:rFonts w:eastAsia="Calibri"/>
          <w:lang w:eastAsia="en-US"/>
        </w:rPr>
        <w:t>labour</w:t>
      </w:r>
      <w:r w:rsidRPr="00A65E70">
        <w:rPr>
          <w:rFonts w:eastAsia="Calibri"/>
          <w:lang w:eastAsia="en-US"/>
        </w:rPr>
        <w:t xml:space="preserve"> at work </w:t>
      </w:r>
      <w:r w:rsidRPr="00A65E70">
        <w:rPr>
          <w:rFonts w:eastAsia="Calibri"/>
          <w:noProof/>
          <w:lang w:eastAsia="en-US"/>
        </w:rPr>
        <w:t>(R. L. Kahn &amp; Byosserie, 1992; W. A. Kahn, 1992)</w:t>
      </w:r>
      <w:r w:rsidR="00F4458D">
        <w:rPr>
          <w:rFonts w:eastAsia="Calibri"/>
          <w:lang w:eastAsia="en-US"/>
        </w:rPr>
        <w:t>. Engagement is characteris</w:t>
      </w:r>
      <w:r w:rsidRPr="00A65E70">
        <w:rPr>
          <w:rFonts w:eastAsia="Calibri"/>
          <w:lang w:eastAsia="en-US"/>
        </w:rPr>
        <w:t xml:space="preserve">ed by three sets of behaviour: vigour, dedication, and absorption. </w:t>
      </w:r>
      <w:r w:rsidR="00F4458D" w:rsidRPr="00A65E70">
        <w:rPr>
          <w:rFonts w:eastAsia="Calibri"/>
          <w:lang w:eastAsia="en-US"/>
        </w:rPr>
        <w:t>Vigour</w:t>
      </w:r>
      <w:r w:rsidRPr="00A65E70">
        <w:rPr>
          <w:rFonts w:eastAsia="Calibri"/>
          <w:lang w:eastAsia="en-US"/>
        </w:rPr>
        <w:t xml:space="preserve"> is characterised as an energetic and mentally resilient mindset while working. Dedication is reflective of an enthusiastic, proud, and inspired mindset. Finally, absorption is reflective of deep concentration and focus on one’s work. Higher levels of engagement are linked to better job performance and less sickness absence </w:t>
      </w:r>
      <w:r w:rsidRPr="00A65E70">
        <w:rPr>
          <w:rFonts w:eastAsia="Calibri"/>
          <w:noProof/>
          <w:lang w:eastAsia="en-US"/>
        </w:rPr>
        <w:t>(Merrill et al., 2013)</w:t>
      </w:r>
      <w:r w:rsidRPr="00A65E70">
        <w:rPr>
          <w:rFonts w:eastAsia="Calibri"/>
          <w:lang w:eastAsia="en-US"/>
        </w:rPr>
        <w:t xml:space="preserve">. According to </w:t>
      </w:r>
      <w:r w:rsidRPr="00A65E70">
        <w:rPr>
          <w:rFonts w:eastAsia="Calibri"/>
          <w:noProof/>
          <w:lang w:eastAsia="en-US"/>
        </w:rPr>
        <w:t>Merrill et al. (2013)</w:t>
      </w:r>
      <w:r w:rsidRPr="00A65E70">
        <w:rPr>
          <w:rFonts w:eastAsia="Calibri"/>
          <w:lang w:eastAsia="en-US"/>
        </w:rPr>
        <w:t>, those who scored highly on one measure of engagement were 70</w:t>
      </w:r>
      <w:r w:rsidR="005355BD">
        <w:rPr>
          <w:rFonts w:eastAsia="Calibri"/>
          <w:lang w:eastAsia="en-US"/>
        </w:rPr>
        <w:t xml:space="preserve"> per cent</w:t>
      </w:r>
      <w:r w:rsidRPr="00A65E70">
        <w:rPr>
          <w:rFonts w:eastAsia="Calibri"/>
          <w:lang w:eastAsia="en-US"/>
        </w:rPr>
        <w:t xml:space="preserve"> more likely to rate their job performance as “high” and 35</w:t>
      </w:r>
      <w:r w:rsidR="005355BD">
        <w:rPr>
          <w:rFonts w:eastAsia="Calibri"/>
          <w:lang w:eastAsia="en-US"/>
        </w:rPr>
        <w:t xml:space="preserve"> per cent</w:t>
      </w:r>
      <w:r w:rsidRPr="00A65E70">
        <w:rPr>
          <w:rFonts w:eastAsia="Calibri"/>
          <w:lang w:eastAsia="en-US"/>
        </w:rPr>
        <w:t xml:space="preserve"> less likely to have recent absenteeism. They go on to recommend that efforts to improve worker productivity should include employee health improvement and engagement strategies.</w:t>
      </w:r>
    </w:p>
    <w:p w14:paraId="7708ECE5" w14:textId="1BD0ADE5" w:rsidR="00A65E70" w:rsidRPr="00A65E70" w:rsidRDefault="00A65E70" w:rsidP="00AD796C">
      <w:pPr>
        <w:pStyle w:val="Heading2"/>
        <w:rPr>
          <w:lang w:eastAsia="en-US"/>
        </w:rPr>
      </w:pPr>
      <w:r w:rsidRPr="00A65E70">
        <w:rPr>
          <w:lang w:eastAsia="en-US"/>
        </w:rPr>
        <w:t>Costs</w:t>
      </w:r>
    </w:p>
    <w:p w14:paraId="2C74F86A" w14:textId="77777777" w:rsidR="00A65E70" w:rsidRPr="00A65E70" w:rsidRDefault="00A65E70" w:rsidP="00AD796C">
      <w:pPr>
        <w:pStyle w:val="Heading3"/>
      </w:pPr>
      <w:r w:rsidRPr="00A65E70">
        <w:t>Absenteeism</w:t>
      </w:r>
    </w:p>
    <w:p w14:paraId="1E6AD1A7" w14:textId="59BE069E" w:rsidR="00A65E70" w:rsidRPr="00A65E70" w:rsidRDefault="00A65E70" w:rsidP="00AD796C">
      <w:pPr>
        <w:rPr>
          <w:rFonts w:eastAsia="Calibri"/>
          <w:lang w:eastAsia="en-US"/>
        </w:rPr>
      </w:pPr>
      <w:r w:rsidRPr="00A65E70">
        <w:rPr>
          <w:rFonts w:eastAsia="Calibri"/>
          <w:lang w:eastAsia="en-US"/>
        </w:rPr>
        <w:t xml:space="preserve">Absenteeism is the commonly used “hard” measure of productivity loss often used by employers </w:t>
      </w:r>
      <w:r w:rsidRPr="00A65E70">
        <w:rPr>
          <w:rFonts w:eastAsia="Calibri"/>
          <w:noProof/>
          <w:lang w:eastAsia="en-US"/>
        </w:rPr>
        <w:t>(McLinton &amp; Dollard, 2014)</w:t>
      </w:r>
      <w:r w:rsidRPr="00A65E70">
        <w:rPr>
          <w:rFonts w:eastAsia="Calibri"/>
          <w:lang w:eastAsia="en-US"/>
        </w:rPr>
        <w:t xml:space="preserve">. </w:t>
      </w:r>
      <w:r w:rsidRPr="00A65E70">
        <w:rPr>
          <w:rFonts w:eastAsia="Calibri"/>
          <w:lang w:eastAsia="en-US"/>
        </w:rPr>
        <w:softHyphen/>
      </w:r>
      <w:r w:rsidRPr="00A65E70">
        <w:rPr>
          <w:rFonts w:eastAsia="Calibri"/>
          <w:lang w:eastAsia="en-US"/>
        </w:rPr>
        <w:softHyphen/>
        <w:t xml:space="preserve">Employees take more time off work when they are stressed, anxious, depressed or psychologically unhealthy; one in five Australian workers report taking time off work for these reasons each year </w:t>
      </w:r>
      <w:r w:rsidRPr="00A65E70">
        <w:rPr>
          <w:rFonts w:eastAsia="Calibri"/>
          <w:noProof/>
          <w:lang w:eastAsia="en-US"/>
        </w:rPr>
        <w:t>(</w:t>
      </w:r>
      <w:r w:rsidRPr="000E3FEB">
        <w:rPr>
          <w:rFonts w:eastAsia="Calibri"/>
          <w:i/>
          <w:noProof/>
          <w:lang w:eastAsia="en-US"/>
        </w:rPr>
        <w:t>beyondblue</w:t>
      </w:r>
      <w:r w:rsidRPr="00A65E70">
        <w:rPr>
          <w:rFonts w:eastAsia="Calibri"/>
          <w:noProof/>
          <w:lang w:eastAsia="en-US"/>
        </w:rPr>
        <w:t>, 2015)</w:t>
      </w:r>
      <w:r w:rsidRPr="00A65E70">
        <w:rPr>
          <w:rFonts w:eastAsia="Calibri"/>
          <w:lang w:eastAsia="en-US"/>
        </w:rPr>
        <w:t>. This problem is more noticeable in workplaces that employees don’t consider psychologically healthy; 46</w:t>
      </w:r>
      <w:r w:rsidR="005355BD">
        <w:rPr>
          <w:rFonts w:eastAsia="Calibri"/>
          <w:lang w:eastAsia="en-US"/>
        </w:rPr>
        <w:t xml:space="preserve"> per cent</w:t>
      </w:r>
      <w:r w:rsidRPr="00A65E70">
        <w:rPr>
          <w:rFonts w:eastAsia="Calibri"/>
          <w:lang w:eastAsia="en-US"/>
        </w:rPr>
        <w:t xml:space="preserve"> of employees take time off for these issues in psychologically unhealthy workplaces. Conversely, in perceived psychologically healthy workplaces, this figure is just 13</w:t>
      </w:r>
      <w:r w:rsidR="005355BD">
        <w:rPr>
          <w:rFonts w:eastAsia="Calibri"/>
          <w:lang w:eastAsia="en-US"/>
        </w:rPr>
        <w:t xml:space="preserve"> per cent</w:t>
      </w:r>
      <w:r w:rsidRPr="00A65E70">
        <w:rPr>
          <w:rFonts w:eastAsia="Calibri"/>
          <w:lang w:eastAsia="en-US"/>
        </w:rPr>
        <w:t xml:space="preserve">. Therefore, workers in perceived psychologically unhealthy workplaces are almost four times more likely to take “mental health days” off work. This again highlights the importance of creating and maintaining a strong PSC in order to preserve well-being and reduce lost productivity. Previous research by PricewaterhouseCoopers estimated the cost of absenteeism caused by psychological health conditions to be approximately $10.8 billion per year in Australia </w:t>
      </w:r>
      <w:r w:rsidRPr="00A65E70">
        <w:rPr>
          <w:rFonts w:eastAsia="Calibri"/>
          <w:noProof/>
          <w:lang w:eastAsia="en-US"/>
        </w:rPr>
        <w:t>(PricewaterhouseCoopers, 2014)</w:t>
      </w:r>
      <w:r w:rsidRPr="00A65E70">
        <w:rPr>
          <w:rFonts w:eastAsia="Calibri"/>
          <w:lang w:eastAsia="en-US"/>
        </w:rPr>
        <w:t>.</w:t>
      </w:r>
    </w:p>
    <w:p w14:paraId="02F9B0AA" w14:textId="77777777" w:rsidR="00A65E70" w:rsidRPr="00A65E70" w:rsidRDefault="00A65E70" w:rsidP="00AD796C">
      <w:pPr>
        <w:pStyle w:val="Heading3"/>
      </w:pPr>
      <w:r w:rsidRPr="00A65E70">
        <w:t>Presenteeism</w:t>
      </w:r>
    </w:p>
    <w:p w14:paraId="0375035C" w14:textId="77777777" w:rsidR="00EE707B" w:rsidRDefault="00A65E70" w:rsidP="00AD796C">
      <w:pPr>
        <w:rPr>
          <w:rFonts w:eastAsia="Calibri"/>
          <w:lang w:eastAsia="en-US"/>
        </w:rPr>
      </w:pPr>
      <w:r w:rsidRPr="00A65E70">
        <w:rPr>
          <w:rFonts w:eastAsia="Calibri"/>
          <w:lang w:eastAsia="en-US"/>
        </w:rPr>
        <w:t xml:space="preserve">Presenteeism is a more nuanced form of productivity loss which occurs when employees are at work but do not engage with their work productively due to health problems </w:t>
      </w:r>
      <w:r w:rsidRPr="00A65E70">
        <w:rPr>
          <w:rFonts w:eastAsia="Calibri"/>
          <w:noProof/>
          <w:lang w:eastAsia="en-US"/>
        </w:rPr>
        <w:t>(McLinton &amp; Dollard, 2014)</w:t>
      </w:r>
      <w:r w:rsidRPr="00A65E70">
        <w:rPr>
          <w:rFonts w:eastAsia="Calibri"/>
          <w:lang w:eastAsia="en-US"/>
        </w:rPr>
        <w:t xml:space="preserve">. </w:t>
      </w:r>
    </w:p>
    <w:p w14:paraId="37754570" w14:textId="25B8F14B" w:rsidR="00EE707B" w:rsidRDefault="00A65E70" w:rsidP="00AD796C">
      <w:pPr>
        <w:rPr>
          <w:rFonts w:eastAsia="Calibri"/>
          <w:lang w:eastAsia="en-US"/>
        </w:rPr>
      </w:pPr>
      <w:r w:rsidRPr="00A65E70">
        <w:rPr>
          <w:rFonts w:eastAsia="Calibri"/>
          <w:lang w:eastAsia="en-US"/>
        </w:rPr>
        <w:t>In order to make a positive financial return on investment, changes to the psychological health of</w:t>
      </w:r>
      <w:r w:rsidR="00F4458D">
        <w:rPr>
          <w:rFonts w:eastAsia="Calibri"/>
          <w:lang w:eastAsia="en-US"/>
        </w:rPr>
        <w:t xml:space="preserve"> the</w:t>
      </w:r>
      <w:r w:rsidRPr="00A65E70">
        <w:rPr>
          <w:rFonts w:eastAsia="Calibri"/>
          <w:lang w:eastAsia="en-US"/>
        </w:rPr>
        <w:t xml:space="preserve"> workplace made by an organisation should achieve at least a 33</w:t>
      </w:r>
      <w:r w:rsidR="005355BD">
        <w:rPr>
          <w:rFonts w:eastAsia="Calibri"/>
          <w:lang w:eastAsia="en-US"/>
        </w:rPr>
        <w:t xml:space="preserve"> per cent</w:t>
      </w:r>
      <w:r w:rsidRPr="00A65E70">
        <w:rPr>
          <w:rFonts w:eastAsia="Calibri"/>
          <w:lang w:eastAsia="en-US"/>
        </w:rPr>
        <w:t xml:space="preserve"> reduction in presenteeism, absenteeism, and workers’ compensation claims </w:t>
      </w:r>
      <w:r w:rsidRPr="00A65E70">
        <w:rPr>
          <w:rFonts w:eastAsia="Calibri"/>
          <w:noProof/>
          <w:lang w:eastAsia="en-US"/>
        </w:rPr>
        <w:t>(PricewaterhouseCoopers, 2014)</w:t>
      </w:r>
      <w:r w:rsidRPr="00A65E70">
        <w:rPr>
          <w:rFonts w:eastAsia="Calibri"/>
          <w:lang w:eastAsia="en-US"/>
        </w:rPr>
        <w:t>. At this point, employees will experience the following changes to productivity:</w:t>
      </w:r>
    </w:p>
    <w:p w14:paraId="11FD4815" w14:textId="3B0E879C" w:rsidR="00A65E70" w:rsidRPr="00A65E70" w:rsidRDefault="00A65E70" w:rsidP="00DF442A">
      <w:pPr>
        <w:pStyle w:val="ListParagraph"/>
        <w:rPr>
          <w:rFonts w:eastAsia="Calibri"/>
          <w:lang w:eastAsia="en-US"/>
        </w:rPr>
      </w:pPr>
      <w:r w:rsidRPr="00A65E70">
        <w:rPr>
          <w:rFonts w:eastAsia="Calibri"/>
          <w:lang w:eastAsia="en-US"/>
        </w:rPr>
        <w:t>Mild psychological health condition:</w:t>
      </w:r>
    </w:p>
    <w:p w14:paraId="3CC2F711" w14:textId="599EBFCA" w:rsidR="00A65E70" w:rsidRPr="00A65E70" w:rsidRDefault="00A65E70" w:rsidP="00DF442A">
      <w:pPr>
        <w:pStyle w:val="ListParagraph"/>
        <w:numPr>
          <w:ilvl w:val="1"/>
          <w:numId w:val="41"/>
        </w:numPr>
        <w:rPr>
          <w:rFonts w:eastAsia="Calibri"/>
          <w:lang w:eastAsia="en-US"/>
        </w:rPr>
      </w:pPr>
      <w:r w:rsidRPr="00A65E70">
        <w:rPr>
          <w:rFonts w:eastAsia="Calibri"/>
          <w:lang w:eastAsia="en-US"/>
        </w:rPr>
        <w:t>10 more productive work hours per year</w:t>
      </w:r>
    </w:p>
    <w:p w14:paraId="1E8D0BD0" w14:textId="77777777" w:rsidR="00A65E70" w:rsidRPr="00A65E70" w:rsidRDefault="00A65E70" w:rsidP="00DF442A">
      <w:pPr>
        <w:pStyle w:val="ListParagraph"/>
        <w:rPr>
          <w:rFonts w:eastAsia="Calibri"/>
          <w:lang w:eastAsia="en-US"/>
        </w:rPr>
      </w:pPr>
      <w:r w:rsidRPr="00A65E70">
        <w:rPr>
          <w:rFonts w:eastAsia="Calibri"/>
          <w:lang w:eastAsia="en-US"/>
        </w:rPr>
        <w:t>Moderate psychological health condition:</w:t>
      </w:r>
    </w:p>
    <w:p w14:paraId="240AECBA" w14:textId="77777777" w:rsidR="00A65E70" w:rsidRPr="00A65E70" w:rsidRDefault="00A65E70" w:rsidP="00DF442A">
      <w:pPr>
        <w:pStyle w:val="ListParagraph"/>
        <w:numPr>
          <w:ilvl w:val="1"/>
          <w:numId w:val="41"/>
        </w:numPr>
        <w:rPr>
          <w:rFonts w:eastAsia="Calibri"/>
          <w:lang w:eastAsia="en-US"/>
        </w:rPr>
      </w:pPr>
      <w:r w:rsidRPr="00A65E70">
        <w:rPr>
          <w:rFonts w:eastAsia="Calibri"/>
          <w:lang w:eastAsia="en-US"/>
        </w:rPr>
        <w:t>52 more productive work hours per year</w:t>
      </w:r>
    </w:p>
    <w:p w14:paraId="52285DF5" w14:textId="77777777" w:rsidR="00A65E70" w:rsidRPr="00A65E70" w:rsidRDefault="00A65E70" w:rsidP="00DF442A">
      <w:pPr>
        <w:pStyle w:val="ListParagraph"/>
        <w:numPr>
          <w:ilvl w:val="1"/>
          <w:numId w:val="41"/>
        </w:numPr>
        <w:rPr>
          <w:rFonts w:eastAsia="Calibri"/>
          <w:lang w:eastAsia="en-US"/>
        </w:rPr>
      </w:pPr>
      <w:r w:rsidRPr="00A65E70">
        <w:rPr>
          <w:rFonts w:eastAsia="Calibri"/>
          <w:lang w:eastAsia="en-US"/>
        </w:rPr>
        <w:t>2 fewer days absent</w:t>
      </w:r>
    </w:p>
    <w:p w14:paraId="71A9574B" w14:textId="77777777" w:rsidR="00A65E70" w:rsidRPr="00A65E70" w:rsidRDefault="00A65E70" w:rsidP="00DF442A">
      <w:pPr>
        <w:pStyle w:val="ListParagraph"/>
        <w:rPr>
          <w:rFonts w:eastAsia="Calibri"/>
          <w:lang w:eastAsia="en-US"/>
        </w:rPr>
      </w:pPr>
      <w:r w:rsidRPr="00A65E70">
        <w:rPr>
          <w:rFonts w:eastAsia="Calibri"/>
          <w:lang w:eastAsia="en-US"/>
        </w:rPr>
        <w:t>Severe psychological health condition:</w:t>
      </w:r>
    </w:p>
    <w:p w14:paraId="0886C98B" w14:textId="77777777" w:rsidR="00A65E70" w:rsidRPr="00A65E70" w:rsidRDefault="00A65E70" w:rsidP="00DF442A">
      <w:pPr>
        <w:pStyle w:val="ListParagraph"/>
        <w:numPr>
          <w:ilvl w:val="1"/>
          <w:numId w:val="41"/>
        </w:numPr>
        <w:rPr>
          <w:rFonts w:eastAsia="Calibri"/>
          <w:lang w:eastAsia="en-US"/>
        </w:rPr>
      </w:pPr>
      <w:r w:rsidRPr="00A65E70">
        <w:rPr>
          <w:rFonts w:eastAsia="Calibri"/>
          <w:lang w:eastAsia="en-US"/>
        </w:rPr>
        <w:t>127 more productive work hours per year</w:t>
      </w:r>
    </w:p>
    <w:p w14:paraId="72B06DD6" w14:textId="77777777" w:rsidR="00EE707B" w:rsidRDefault="00A65E70" w:rsidP="00DF442A">
      <w:pPr>
        <w:pStyle w:val="ListParagraph"/>
        <w:numPr>
          <w:ilvl w:val="1"/>
          <w:numId w:val="41"/>
        </w:numPr>
        <w:rPr>
          <w:rFonts w:eastAsia="Calibri"/>
          <w:lang w:eastAsia="en-US"/>
        </w:rPr>
      </w:pPr>
      <w:r w:rsidRPr="00A65E70">
        <w:rPr>
          <w:rFonts w:eastAsia="Calibri"/>
          <w:lang w:eastAsia="en-US"/>
        </w:rPr>
        <w:t xml:space="preserve">13 fewer days absent </w:t>
      </w:r>
      <w:r w:rsidRPr="00A65E70">
        <w:rPr>
          <w:rFonts w:eastAsia="Calibri"/>
          <w:noProof/>
          <w:lang w:eastAsia="en-US"/>
        </w:rPr>
        <w:t>(PricewaterhouseCoopers, 2014)</w:t>
      </w:r>
      <w:r w:rsidRPr="00A65E70">
        <w:rPr>
          <w:rFonts w:eastAsia="Calibri"/>
          <w:lang w:eastAsia="en-US"/>
        </w:rPr>
        <w:t>.</w:t>
      </w:r>
    </w:p>
    <w:p w14:paraId="199215ED" w14:textId="28F5A465" w:rsidR="00A65E70" w:rsidRPr="00A65E70" w:rsidRDefault="00A65E70" w:rsidP="00DF442A">
      <w:pPr>
        <w:pStyle w:val="Heading2"/>
        <w:rPr>
          <w:lang w:eastAsia="en-US"/>
        </w:rPr>
      </w:pPr>
      <w:r w:rsidRPr="00A65E70">
        <w:rPr>
          <w:lang w:eastAsia="en-US"/>
        </w:rPr>
        <w:lastRenderedPageBreak/>
        <w:t>Hypotheses</w:t>
      </w:r>
    </w:p>
    <w:p w14:paraId="4948EC5A" w14:textId="77777777" w:rsidR="00EE707B" w:rsidRDefault="00A65E70" w:rsidP="00DF442A">
      <w:pPr>
        <w:rPr>
          <w:rFonts w:eastAsia="Calibri"/>
          <w:lang w:eastAsia="en-US"/>
        </w:rPr>
      </w:pPr>
      <w:r w:rsidRPr="00A65E70">
        <w:rPr>
          <w:rFonts w:eastAsia="Calibri"/>
          <w:lang w:eastAsia="en-US"/>
        </w:rPr>
        <w:t>We predict the following:</w:t>
      </w:r>
    </w:p>
    <w:p w14:paraId="4059DF28" w14:textId="75729EF4" w:rsidR="00A65E70" w:rsidRPr="00DF442A" w:rsidRDefault="00A65E70" w:rsidP="00DF442A">
      <w:pPr>
        <w:pStyle w:val="ListParagraph"/>
        <w:numPr>
          <w:ilvl w:val="0"/>
          <w:numId w:val="43"/>
        </w:numPr>
        <w:rPr>
          <w:rFonts w:eastAsia="Calibri"/>
          <w:lang w:eastAsia="en-US"/>
        </w:rPr>
      </w:pPr>
      <w:r w:rsidRPr="00DF442A">
        <w:rPr>
          <w:rFonts w:eastAsia="Calibri"/>
          <w:lang w:eastAsia="en-US"/>
        </w:rPr>
        <w:t>PSC is significantly negatively related to sickness absence and presenteeism.</w:t>
      </w:r>
    </w:p>
    <w:p w14:paraId="52D2C916" w14:textId="42D81304" w:rsidR="00A65E70" w:rsidRPr="00DF442A" w:rsidRDefault="00A65E70" w:rsidP="00DF442A">
      <w:pPr>
        <w:pStyle w:val="ListParagraph"/>
        <w:numPr>
          <w:ilvl w:val="0"/>
          <w:numId w:val="43"/>
        </w:numPr>
        <w:rPr>
          <w:rFonts w:eastAsia="Calibri"/>
          <w:lang w:eastAsia="en-US"/>
        </w:rPr>
      </w:pPr>
      <w:r w:rsidRPr="00DF442A">
        <w:rPr>
          <w:rFonts w:eastAsia="Calibri"/>
          <w:lang w:eastAsia="en-US"/>
        </w:rPr>
        <w:t>Depression is significantly positively related to sickness absence and presenteeism.</w:t>
      </w:r>
    </w:p>
    <w:p w14:paraId="7B793CBC" w14:textId="1C2B7971" w:rsidR="00A65E70" w:rsidRPr="00DF442A" w:rsidRDefault="00A65E70" w:rsidP="00DF442A">
      <w:pPr>
        <w:pStyle w:val="ListParagraph"/>
        <w:numPr>
          <w:ilvl w:val="0"/>
          <w:numId w:val="43"/>
        </w:numPr>
        <w:rPr>
          <w:rFonts w:eastAsia="Calibri"/>
          <w:lang w:eastAsia="en-US"/>
        </w:rPr>
      </w:pPr>
      <w:r w:rsidRPr="00DF442A">
        <w:rPr>
          <w:rFonts w:eastAsia="Calibri"/>
          <w:lang w:eastAsia="en-US"/>
        </w:rPr>
        <w:t>Psychological Distress is significantly positively related to sickness absence and presenteeism.</w:t>
      </w:r>
    </w:p>
    <w:p w14:paraId="751C0024" w14:textId="799A331B" w:rsidR="00A65E70" w:rsidRDefault="00A65E70" w:rsidP="00DF442A">
      <w:pPr>
        <w:pStyle w:val="ListParagraph"/>
        <w:numPr>
          <w:ilvl w:val="0"/>
          <w:numId w:val="43"/>
        </w:numPr>
        <w:rPr>
          <w:rFonts w:eastAsia="Calibri"/>
          <w:lang w:eastAsia="en-US"/>
        </w:rPr>
      </w:pPr>
      <w:r w:rsidRPr="00DF442A">
        <w:rPr>
          <w:rFonts w:eastAsia="Calibri"/>
          <w:lang w:eastAsia="en-US"/>
        </w:rPr>
        <w:t>Engagement is significantly negatively related to sickness absence and presenteeism.</w:t>
      </w:r>
    </w:p>
    <w:p w14:paraId="3D4D1F49" w14:textId="5C0086DE" w:rsidR="00401B92" w:rsidRPr="00401B92" w:rsidRDefault="00401B92" w:rsidP="00401B92">
      <w:pPr>
        <w:rPr>
          <w:rFonts w:eastAsia="Calibri"/>
          <w:szCs w:val="20"/>
          <w:lang w:eastAsia="en-US"/>
        </w:rPr>
      </w:pPr>
      <w:r>
        <w:rPr>
          <w:rFonts w:eastAsia="Calibri"/>
          <w:lang w:eastAsia="en-US"/>
        </w:rPr>
        <w:br w:type="page"/>
      </w:r>
    </w:p>
    <w:p w14:paraId="4E3E4B0E" w14:textId="77777777" w:rsidR="00A65E70" w:rsidRPr="00A65E70" w:rsidRDefault="00A65E70" w:rsidP="00DF442A">
      <w:pPr>
        <w:pStyle w:val="Heading1"/>
        <w:rPr>
          <w:rFonts w:eastAsia="Calibri"/>
          <w:lang w:eastAsia="en-US"/>
        </w:rPr>
      </w:pPr>
      <w:r w:rsidRPr="00A65E70">
        <w:rPr>
          <w:lang w:eastAsia="en-US"/>
        </w:rPr>
        <w:lastRenderedPageBreak/>
        <w:t>Method</w:t>
      </w:r>
    </w:p>
    <w:p w14:paraId="46D23A2B" w14:textId="77777777" w:rsidR="00A65E70" w:rsidRPr="00A65E70" w:rsidRDefault="00A65E70" w:rsidP="00DF442A">
      <w:pPr>
        <w:pStyle w:val="Heading2"/>
        <w:rPr>
          <w:lang w:eastAsia="en-US"/>
        </w:rPr>
      </w:pPr>
      <w:r w:rsidRPr="00A65E70">
        <w:rPr>
          <w:lang w:eastAsia="en-US"/>
        </w:rPr>
        <w:t>Procedure</w:t>
      </w:r>
    </w:p>
    <w:p w14:paraId="5304CBA5" w14:textId="77777777" w:rsidR="00EE707B" w:rsidRDefault="00A65E70" w:rsidP="00DF442A">
      <w:pPr>
        <w:rPr>
          <w:rFonts w:eastAsia="Calibri"/>
          <w:lang w:eastAsia="en-US"/>
        </w:rPr>
      </w:pPr>
      <w:r w:rsidRPr="00A65E70">
        <w:rPr>
          <w:rFonts w:eastAsia="Calibri"/>
          <w:lang w:eastAsia="en-US"/>
        </w:rPr>
        <w:t xml:space="preserve">This study employs a cross-sectional survey design. The data were collected as part of the Australian Workplace Barometer </w:t>
      </w:r>
      <w:r w:rsidRPr="00A65E70">
        <w:rPr>
          <w:rFonts w:eastAsia="Calibri"/>
          <w:noProof/>
          <w:lang w:eastAsia="en-US"/>
        </w:rPr>
        <w:t>(AWB; Dollard et al., 2009)</w:t>
      </w:r>
      <w:r w:rsidRPr="00A65E70">
        <w:rPr>
          <w:rFonts w:eastAsia="Calibri"/>
          <w:lang w:eastAsia="en-US"/>
        </w:rPr>
        <w:t>, a national project for surveillance of workplace trends in psychological health. The AWB is a longitudinal study consisting of representative data from 2009, 2010, 2011, and 2014</w:t>
      </w:r>
      <w:r w:rsidRPr="00A65E70">
        <w:rPr>
          <w:rFonts w:ascii="Times New Roman" w:eastAsia="Calibri" w:hAnsi="Times New Roman"/>
          <w:noProof/>
          <w:lang w:eastAsia="en-US"/>
        </w:rPr>
        <w:t>–</w:t>
      </w:r>
      <w:r w:rsidRPr="00A65E70">
        <w:rPr>
          <w:rFonts w:eastAsia="Calibri"/>
          <w:lang w:eastAsia="en-US"/>
        </w:rPr>
        <w:t>2015. The current study used data from all Australian States and Territories from 2014</w:t>
      </w:r>
      <w:r w:rsidRPr="00A65E70">
        <w:rPr>
          <w:rFonts w:ascii="Times New Roman" w:eastAsia="Calibri" w:hAnsi="Times New Roman"/>
          <w:noProof/>
          <w:lang w:eastAsia="en-US"/>
        </w:rPr>
        <w:t>–</w:t>
      </w:r>
      <w:r w:rsidRPr="00A65E70">
        <w:rPr>
          <w:rFonts w:eastAsia="Calibri"/>
          <w:lang w:eastAsia="en-US"/>
        </w:rPr>
        <w:t>2015. Participants were randomly chosen from the Australian Electronic White Pages [AEWP]. Continuing and new participants were sent information letters about the study to inform them of its purpose and the intent to contact them by telephone over the coming weeks.</w:t>
      </w:r>
    </w:p>
    <w:p w14:paraId="62CE38ED" w14:textId="0DA02053" w:rsidR="00A65E70" w:rsidRPr="00A65E70" w:rsidRDefault="00A65E70" w:rsidP="00DF442A">
      <w:pPr>
        <w:pStyle w:val="Heading2"/>
        <w:rPr>
          <w:lang w:eastAsia="en-US"/>
        </w:rPr>
      </w:pPr>
      <w:r w:rsidRPr="00A65E70">
        <w:rPr>
          <w:lang w:eastAsia="en-US"/>
        </w:rPr>
        <w:t>Participants</w:t>
      </w:r>
    </w:p>
    <w:p w14:paraId="3A8D4596" w14:textId="77777777" w:rsidR="00EE707B" w:rsidRDefault="00A65E70" w:rsidP="00DF442A">
      <w:pPr>
        <w:rPr>
          <w:rFonts w:eastAsia="Calibri"/>
          <w:lang w:eastAsia="en-US"/>
        </w:rPr>
      </w:pPr>
      <w:r w:rsidRPr="00A65E70">
        <w:rPr>
          <w:rFonts w:eastAsia="Calibri"/>
          <w:lang w:eastAsia="en-US"/>
        </w:rPr>
        <w:t>An initial sample of 20</w:t>
      </w:r>
      <w:r w:rsidR="003811F8">
        <w:rPr>
          <w:rFonts w:eastAsia="Calibri"/>
          <w:lang w:eastAsia="en-US"/>
        </w:rPr>
        <w:t xml:space="preserve"> </w:t>
      </w:r>
      <w:r w:rsidRPr="00A65E70">
        <w:rPr>
          <w:rFonts w:eastAsia="Calibri"/>
          <w:lang w:eastAsia="en-US"/>
        </w:rPr>
        <w:t>000 phone numbers from the AEWP were retrieved and 10</w:t>
      </w:r>
      <w:r w:rsidR="003811F8">
        <w:rPr>
          <w:rFonts w:eastAsia="Calibri"/>
          <w:lang w:eastAsia="en-US"/>
        </w:rPr>
        <w:t xml:space="preserve"> </w:t>
      </w:r>
      <w:r w:rsidRPr="00A65E70">
        <w:rPr>
          <w:rFonts w:eastAsia="Calibri"/>
          <w:lang w:eastAsia="en-US"/>
        </w:rPr>
        <w:t xml:space="preserve">908 were excluded due to being unsuitable for the study or unable to be contacted. Only one participant per household could be chosen. Participants were eligible if they were currently employed, over 18 years old, and their birthday was the most recent in the household. This resulted in a sample of 2790 participants for the first study (2009). This method was repeated for all subsequent states and territories. </w:t>
      </w:r>
    </w:p>
    <w:p w14:paraId="73C7D09E" w14:textId="77777777" w:rsidR="00EE707B" w:rsidRDefault="00A65E70" w:rsidP="00DF442A">
      <w:pPr>
        <w:rPr>
          <w:rFonts w:eastAsia="Calibri"/>
          <w:lang w:eastAsia="en-US"/>
        </w:rPr>
      </w:pPr>
      <w:r w:rsidRPr="00A65E70">
        <w:rPr>
          <w:rFonts w:eastAsia="Calibri"/>
          <w:lang w:eastAsia="en-US"/>
        </w:rPr>
        <w:t>For follow up surveys (Wave 2, 2010–11, and Wave 3, 2014–15), the same participants were contacted via letter and followed up with a telephone interview. Where participants were no longer available or willing to participate, new participants were recruited to ensure an adequate sample size and representation of the study population. Additional participants were recruited through random mobile phone sampling in addition to the AEWP. There were 2404 females (Mean age = 49.2 years, SD = 11.8) and 1838 males (Mean age = 47.7 years, SD = 12.7). Participants were from NSW (n = 697), WA (n = 700), SA (n = 723), ACT (n = 242), Tasmania (n = 307), NT (n = 164), Queensland (n = 708), and Victoria (n = 701). Weighting was applied to the data to ensure the sample was representative of the populations of the respective States and Territories using the latest Australian Bureau of Statistics (ABS) Labour Force Survey. The weighting changes the distribution of participants in each state as follows: NSW (n = 1482), WA (n = 541), SA (n = 374), ACT (n = 34), Tasmania (n = 45), NT (n = 11), Queensland (n = 786), and Victoria (n = 969).</w:t>
      </w:r>
    </w:p>
    <w:p w14:paraId="02A4F921" w14:textId="58B35B71" w:rsidR="00A65E70" w:rsidRPr="00A65E70" w:rsidRDefault="00A65E70" w:rsidP="00DF442A">
      <w:pPr>
        <w:pStyle w:val="Heading2"/>
        <w:rPr>
          <w:lang w:eastAsia="en-US"/>
        </w:rPr>
      </w:pPr>
      <w:r w:rsidRPr="00A65E70">
        <w:rPr>
          <w:lang w:eastAsia="en-US"/>
        </w:rPr>
        <w:t>Measures</w:t>
      </w:r>
    </w:p>
    <w:p w14:paraId="0DF60962" w14:textId="77777777" w:rsidR="00A65E70" w:rsidRPr="00A65E70" w:rsidRDefault="00A65E70" w:rsidP="00DF442A">
      <w:pPr>
        <w:pStyle w:val="Heading3"/>
      </w:pPr>
      <w:r w:rsidRPr="00A65E70">
        <w:t>Absenteeism (sickness absence)</w:t>
      </w:r>
    </w:p>
    <w:p w14:paraId="79588CB9" w14:textId="551B7C4F" w:rsidR="00DF442A" w:rsidRPr="00DF442A" w:rsidRDefault="00A65E70" w:rsidP="00DF442A">
      <w:pPr>
        <w:rPr>
          <w:rFonts w:eastAsia="Calibri"/>
          <w:lang w:eastAsia="en-US"/>
        </w:rPr>
      </w:pPr>
      <w:r w:rsidRPr="00A65E70">
        <w:rPr>
          <w:rFonts w:eastAsia="Calibri"/>
          <w:lang w:eastAsia="en-US"/>
        </w:rPr>
        <w:t xml:space="preserve">We measured sickness absenteeism and presenteeism using questions from the World Health Organization Health and Work Performance Questionnaire </w:t>
      </w:r>
      <w:r w:rsidRPr="00A65E70">
        <w:rPr>
          <w:rFonts w:eastAsia="Calibri"/>
          <w:noProof/>
          <w:lang w:eastAsia="en-US"/>
        </w:rPr>
        <w:t>(HPQ; Kessler et al., 2003)</w:t>
      </w:r>
      <w:r w:rsidRPr="00A65E70">
        <w:rPr>
          <w:rFonts w:eastAsia="Calibri"/>
          <w:lang w:eastAsia="en-US"/>
        </w:rPr>
        <w:t xml:space="preserve">. The sickness absence measure consists of one item, asking “In the past 4 weeks (28 days), how many days did you miss an entire work day because of problems with your physical or mental health?” </w:t>
      </w:r>
    </w:p>
    <w:p w14:paraId="58ABF73D" w14:textId="77777777" w:rsidR="00A65E70" w:rsidRPr="00A65E70" w:rsidRDefault="00A65E70" w:rsidP="00DF442A">
      <w:pPr>
        <w:pStyle w:val="Heading3"/>
      </w:pPr>
      <w:r w:rsidRPr="00A65E70">
        <w:t>Presenteeism (performance loss)</w:t>
      </w:r>
    </w:p>
    <w:p w14:paraId="5838C1FD" w14:textId="77777777" w:rsidR="00A65E70" w:rsidRPr="00A65E70" w:rsidRDefault="00A65E70" w:rsidP="00DF442A">
      <w:pPr>
        <w:rPr>
          <w:rFonts w:eastAsia="Calibri"/>
          <w:lang w:eastAsia="en-US"/>
        </w:rPr>
      </w:pPr>
      <w:r w:rsidRPr="00A65E70">
        <w:rPr>
          <w:rFonts w:eastAsia="Calibri"/>
          <w:lang w:eastAsia="en-US"/>
        </w:rPr>
        <w:t xml:space="preserve">Presenteeism was based on the participant’s self-reported performance over the past four weeks (e.g., 60/100; </w:t>
      </w:r>
      <w:r w:rsidRPr="00A65E70">
        <w:rPr>
          <w:rFonts w:eastAsia="Calibri"/>
          <w:noProof/>
          <w:lang w:eastAsia="en-US"/>
        </w:rPr>
        <w:t>Kessler et al., 2004; Kessler et al., 2003)</w:t>
      </w:r>
      <w:r w:rsidRPr="00A65E70">
        <w:rPr>
          <w:rFonts w:eastAsia="Calibri"/>
          <w:lang w:eastAsia="en-US"/>
        </w:rPr>
        <w:t xml:space="preserve">. This was reversed coded and divided by 10, so that scores represented the participant’s shortfall of full productivity (i.e., 4/10). Higher numbers indicate a greater severity of performance loss. We can compare the difference in performance loss across different high-risk groups, e.g., the difference in typical presenteeism between those low in psychological distress and those high in psychological distress. This allows us to determine the influence of </w:t>
      </w:r>
      <w:r w:rsidR="004C6E58">
        <w:rPr>
          <w:rFonts w:eastAsia="Calibri"/>
          <w:lang w:eastAsia="en-US"/>
        </w:rPr>
        <w:t>PSC and the three psychological health outcomes</w:t>
      </w:r>
      <w:r w:rsidRPr="00A65E70">
        <w:rPr>
          <w:rFonts w:eastAsia="Calibri"/>
          <w:lang w:eastAsia="en-US"/>
        </w:rPr>
        <w:t xml:space="preserve"> in the prevalence of presenteeism, and therefore derive their cost burden to </w:t>
      </w:r>
      <w:r w:rsidRPr="00A65E70">
        <w:rPr>
          <w:rFonts w:eastAsia="Calibri"/>
          <w:lang w:eastAsia="en-US"/>
        </w:rPr>
        <w:lastRenderedPageBreak/>
        <w:t xml:space="preserve">productivity. Absenteeism and presenteeism are commonly measured in this way, e.g., Pricewaterhouse Coopers </w:t>
      </w:r>
      <w:r w:rsidRPr="00A65E70">
        <w:rPr>
          <w:rFonts w:eastAsia="Calibri"/>
          <w:noProof/>
          <w:lang w:eastAsia="en-US"/>
        </w:rPr>
        <w:t>(2014)</w:t>
      </w:r>
      <w:r w:rsidRPr="00A65E70">
        <w:rPr>
          <w:rFonts w:eastAsia="Calibri"/>
          <w:lang w:eastAsia="en-US"/>
        </w:rPr>
        <w:t>.</w:t>
      </w:r>
    </w:p>
    <w:p w14:paraId="1476F728" w14:textId="77777777" w:rsidR="00A65E70" w:rsidRPr="00A65E70" w:rsidRDefault="00A65E70" w:rsidP="00DF442A">
      <w:pPr>
        <w:pStyle w:val="Heading3"/>
      </w:pPr>
      <w:r w:rsidRPr="00A65E70">
        <w:t>Psychosocial Safety Climate</w:t>
      </w:r>
    </w:p>
    <w:p w14:paraId="32F470C1" w14:textId="77777777" w:rsidR="00A65E70" w:rsidRPr="00A65E70" w:rsidRDefault="00A65E70" w:rsidP="00DF442A">
      <w:pPr>
        <w:rPr>
          <w:rFonts w:eastAsia="Calibri"/>
          <w:lang w:eastAsia="en-US"/>
        </w:rPr>
      </w:pPr>
      <w:r w:rsidRPr="00A65E70">
        <w:rPr>
          <w:rFonts w:eastAsia="Calibri"/>
          <w:lang w:eastAsia="en-US"/>
        </w:rPr>
        <w:t xml:space="preserve">PSC was measured using the PSC-12, a 12 item questionnaire consisting of four sub-scales </w:t>
      </w:r>
      <w:r w:rsidRPr="00A65E70">
        <w:rPr>
          <w:rFonts w:eastAsia="Calibri"/>
          <w:noProof/>
          <w:lang w:eastAsia="en-US"/>
        </w:rPr>
        <w:t>(Dollard &amp; Kang, 2007), each with three items</w:t>
      </w:r>
      <w:r w:rsidRPr="00A65E70">
        <w:rPr>
          <w:rFonts w:eastAsia="Calibri"/>
          <w:lang w:eastAsia="en-US"/>
        </w:rPr>
        <w:t>. These sub-scales are Management Commitment (e.g., “Senior management show support for stress prevention through involvement and commitment“), Management Priority (e.g., “Senior management considers psychological health to be as important as productivity”), Organisational Communication (e.g., “There is good communication here about psychological safety issues which affect me”), and Participation (e.g., “Employees are encouraged to become involved in psychological safety and health matters”). Responses are scored on a 5-point Likert scale from 1 (</w:t>
      </w:r>
      <w:r w:rsidRPr="00A65E70">
        <w:rPr>
          <w:rFonts w:eastAsia="Calibri"/>
          <w:i/>
          <w:lang w:eastAsia="en-US"/>
        </w:rPr>
        <w:t>strongly disagree</w:t>
      </w:r>
      <w:r w:rsidRPr="00A65E70">
        <w:rPr>
          <w:rFonts w:eastAsia="Calibri"/>
          <w:lang w:eastAsia="en-US"/>
        </w:rPr>
        <w:t>) to 5 (</w:t>
      </w:r>
      <w:r w:rsidRPr="00A65E70">
        <w:rPr>
          <w:rFonts w:eastAsia="Calibri"/>
          <w:i/>
          <w:lang w:eastAsia="en-US"/>
        </w:rPr>
        <w:t>strongly agree</w:t>
      </w:r>
      <w:r w:rsidRPr="00A65E70">
        <w:rPr>
          <w:rFonts w:eastAsia="Calibri"/>
          <w:lang w:eastAsia="en-US"/>
        </w:rPr>
        <w:t>). PSC benchmarks are derived from Bailey, Dollard, and Richards (2015).</w:t>
      </w:r>
    </w:p>
    <w:p w14:paraId="669670EE" w14:textId="77777777" w:rsidR="00A65E70" w:rsidRPr="00A65E70" w:rsidRDefault="00A65E70" w:rsidP="00DF442A">
      <w:pPr>
        <w:pStyle w:val="Heading3"/>
      </w:pPr>
      <w:r w:rsidRPr="00A65E70">
        <w:t>Depression</w:t>
      </w:r>
    </w:p>
    <w:p w14:paraId="34774BFA" w14:textId="77777777" w:rsidR="00A65E70" w:rsidRPr="00A65E70" w:rsidRDefault="00A65E70" w:rsidP="00DF442A">
      <w:pPr>
        <w:rPr>
          <w:rFonts w:eastAsia="Calibri"/>
          <w:lang w:eastAsia="en-US"/>
        </w:rPr>
      </w:pPr>
      <w:r w:rsidRPr="00A65E70">
        <w:rPr>
          <w:rFonts w:eastAsia="Calibri"/>
          <w:lang w:eastAsia="en-US"/>
        </w:rPr>
        <w:t xml:space="preserve">Depression was measured using nine questions assessing the participant’s mood over the past month using the Patient Health Questionnaire 9 </w:t>
      </w:r>
      <w:r w:rsidRPr="00A65E70">
        <w:rPr>
          <w:rFonts w:eastAsia="Calibri"/>
          <w:noProof/>
          <w:lang w:eastAsia="en-US"/>
        </w:rPr>
        <w:t>(PHQ-9; Kroenke, Spitzer, &amp; Williams, 2001)</w:t>
      </w:r>
      <w:r w:rsidRPr="00A65E70">
        <w:rPr>
          <w:rFonts w:eastAsia="Calibri"/>
          <w:lang w:eastAsia="en-US"/>
        </w:rPr>
        <w:t xml:space="preserve">. Responses are graded based on the frequency of the phenomenon over the past month (e.g., “During the last month, how often were you bothered by </w:t>
      </w:r>
      <w:r w:rsidRPr="00A65E70">
        <w:rPr>
          <w:rFonts w:eastAsia="Calibri" w:cs="Arial"/>
          <w:lang w:eastAsia="en-US"/>
        </w:rPr>
        <w:t>little interest or pleasure in doing things?”) with responses ranging between</w:t>
      </w:r>
      <w:r w:rsidRPr="00A65E70">
        <w:rPr>
          <w:rFonts w:eastAsia="Calibri"/>
          <w:lang w:eastAsia="en-US"/>
        </w:rPr>
        <w:t xml:space="preserve"> 1 (</w:t>
      </w:r>
      <w:r w:rsidRPr="00A65E70">
        <w:rPr>
          <w:rFonts w:eastAsia="Calibri"/>
          <w:i/>
          <w:lang w:eastAsia="en-US"/>
        </w:rPr>
        <w:t>not at all</w:t>
      </w:r>
      <w:r w:rsidRPr="00A65E70">
        <w:rPr>
          <w:rFonts w:eastAsia="Calibri"/>
          <w:lang w:eastAsia="en-US"/>
        </w:rPr>
        <w:t>), 2 (</w:t>
      </w:r>
      <w:r w:rsidRPr="00A65E70">
        <w:rPr>
          <w:rFonts w:eastAsia="Calibri"/>
          <w:i/>
          <w:lang w:eastAsia="en-US"/>
        </w:rPr>
        <w:t>several days</w:t>
      </w:r>
      <w:r w:rsidRPr="00A65E70">
        <w:rPr>
          <w:rFonts w:eastAsia="Calibri"/>
          <w:lang w:eastAsia="en-US"/>
        </w:rPr>
        <w:t>), 3 (</w:t>
      </w:r>
      <w:r w:rsidRPr="00A65E70">
        <w:rPr>
          <w:rFonts w:eastAsia="Calibri"/>
          <w:i/>
          <w:lang w:eastAsia="en-US"/>
        </w:rPr>
        <w:t>more than half the days</w:t>
      </w:r>
      <w:r w:rsidRPr="00A65E70">
        <w:rPr>
          <w:rFonts w:eastAsia="Calibri"/>
          <w:lang w:eastAsia="en-US"/>
        </w:rPr>
        <w:t>), and 4 (</w:t>
      </w:r>
      <w:r w:rsidRPr="00A65E70">
        <w:rPr>
          <w:rFonts w:eastAsia="Calibri"/>
          <w:i/>
          <w:lang w:eastAsia="en-US"/>
        </w:rPr>
        <w:t>nearly every day</w:t>
      </w:r>
      <w:r w:rsidRPr="00A65E70">
        <w:rPr>
          <w:rFonts w:eastAsia="Calibri"/>
          <w:lang w:eastAsia="en-US"/>
        </w:rPr>
        <w:t xml:space="preserve">). Higher scores are indicative of a greater severity of depression. Benchmarks for the presence of depression were based on Kroenke, Spitzer, and Williams (2001). </w:t>
      </w:r>
    </w:p>
    <w:p w14:paraId="5FAA96C7" w14:textId="77777777" w:rsidR="00A65E70" w:rsidRPr="00A65E70" w:rsidRDefault="00A65E70" w:rsidP="00DF442A">
      <w:pPr>
        <w:pStyle w:val="Heading3"/>
      </w:pPr>
      <w:r w:rsidRPr="00A65E70">
        <w:t>Psychological Distress</w:t>
      </w:r>
    </w:p>
    <w:p w14:paraId="2E672BC8" w14:textId="77777777" w:rsidR="00A65E70" w:rsidRPr="00A65E70" w:rsidRDefault="00A65E70" w:rsidP="00DF442A">
      <w:pPr>
        <w:rPr>
          <w:rFonts w:eastAsia="Calibri"/>
          <w:lang w:eastAsia="en-US"/>
        </w:rPr>
      </w:pPr>
      <w:r w:rsidRPr="00A65E70">
        <w:rPr>
          <w:rFonts w:eastAsia="Calibri"/>
          <w:lang w:eastAsia="en-US"/>
        </w:rPr>
        <w:t xml:space="preserve">Psychological Distress measures symptoms of anxiety and depression over the previous four-week period using the Kessler 10 scale </w:t>
      </w:r>
      <w:r w:rsidRPr="00A65E70">
        <w:rPr>
          <w:rFonts w:eastAsia="Calibri"/>
          <w:noProof/>
          <w:lang w:eastAsia="en-US"/>
        </w:rPr>
        <w:t>(Kessler &amp; Mroczek, 1994)</w:t>
      </w:r>
      <w:r w:rsidRPr="00A65E70">
        <w:rPr>
          <w:rFonts w:eastAsia="Calibri"/>
          <w:lang w:eastAsia="en-US"/>
        </w:rPr>
        <w:t>. The tool includes ten questions that require a response on a five-point Likert scale measuring frequency, ranging from 1 (</w:t>
      </w:r>
      <w:r w:rsidRPr="00A65E70">
        <w:rPr>
          <w:rFonts w:eastAsia="Calibri"/>
          <w:i/>
          <w:lang w:eastAsia="en-US"/>
        </w:rPr>
        <w:t>never</w:t>
      </w:r>
      <w:r w:rsidRPr="00A65E70">
        <w:rPr>
          <w:rFonts w:eastAsia="Calibri"/>
          <w:lang w:eastAsia="en-US"/>
        </w:rPr>
        <w:t>) to 5 (</w:t>
      </w:r>
      <w:r w:rsidRPr="00A65E70">
        <w:rPr>
          <w:rFonts w:eastAsia="Calibri"/>
          <w:i/>
          <w:lang w:eastAsia="en-US"/>
        </w:rPr>
        <w:t>all of the time)</w:t>
      </w:r>
      <w:r w:rsidRPr="00A65E70">
        <w:rPr>
          <w:rFonts w:eastAsia="Calibri"/>
          <w:lang w:eastAsia="en-US"/>
        </w:rPr>
        <w:t xml:space="preserve">. An example of a question used is “how often did you feel hopeless?” </w:t>
      </w:r>
      <w:r w:rsidRPr="00A65E70">
        <w:rPr>
          <w:rFonts w:eastAsia="Calibri"/>
          <w:noProof/>
          <w:lang w:eastAsia="en-US"/>
        </w:rPr>
        <w:t>(Kessler &amp; Mroczek, 1994)</w:t>
      </w:r>
      <w:r w:rsidRPr="00A65E70">
        <w:rPr>
          <w:rFonts w:eastAsia="Calibri"/>
          <w:lang w:eastAsia="en-US"/>
        </w:rPr>
        <w:t xml:space="preserve">. Higher scores indicate greater severity of stress.  While there are no universally agreed groupings of psychological distress severity, interpretation of the presence of psychological distress is based on previous work by Pirkis and Callaly (2010), and Andrews and Slade (2001). </w:t>
      </w:r>
    </w:p>
    <w:p w14:paraId="4707692E" w14:textId="77777777" w:rsidR="00A65E70" w:rsidRPr="00A65E70" w:rsidRDefault="00A65E70" w:rsidP="00DF442A">
      <w:pPr>
        <w:pStyle w:val="Heading3"/>
      </w:pPr>
      <w:r w:rsidRPr="00A65E70">
        <w:t>Engagement</w:t>
      </w:r>
    </w:p>
    <w:p w14:paraId="068E4393" w14:textId="430D96D3" w:rsidR="00EE707B" w:rsidRDefault="00A65E70" w:rsidP="00DF442A">
      <w:pPr>
        <w:rPr>
          <w:rFonts w:eastAsia="Calibri"/>
          <w:lang w:eastAsia="en-US"/>
        </w:rPr>
      </w:pPr>
      <w:r w:rsidRPr="00A65E70">
        <w:rPr>
          <w:rFonts w:eastAsia="Calibri"/>
          <w:lang w:eastAsia="en-US"/>
        </w:rPr>
        <w:t xml:space="preserve">Engagement was measured using the nine-item version of the Utrecht Work Engagement Scale </w:t>
      </w:r>
      <w:r w:rsidRPr="00A65E70">
        <w:rPr>
          <w:rFonts w:eastAsia="Calibri"/>
          <w:noProof/>
          <w:lang w:eastAsia="en-US"/>
        </w:rPr>
        <w:t>(UWES-9; Schaufeli, Bakker, &amp; Salanova, 2006)</w:t>
      </w:r>
      <w:r w:rsidRPr="00A65E70">
        <w:rPr>
          <w:rFonts w:eastAsia="Calibri"/>
          <w:lang w:eastAsia="en-US"/>
        </w:rPr>
        <w:t>, encompassing three sub-scales, vigour (e.g., “</w:t>
      </w:r>
      <w:r w:rsidRPr="00A65E70">
        <w:rPr>
          <w:rFonts w:eastAsia="Calibri" w:cs="Arial"/>
          <w:bCs/>
          <w:lang w:val="en-US" w:eastAsia="en-US"/>
        </w:rPr>
        <w:t>At my work,</w:t>
      </w:r>
      <w:r w:rsidRPr="00A65E70">
        <w:rPr>
          <w:rFonts w:eastAsia="Calibri"/>
          <w:sz w:val="16"/>
          <w:szCs w:val="16"/>
          <w:lang w:eastAsia="en-US"/>
        </w:rPr>
        <w:t xml:space="preserve"> </w:t>
      </w:r>
      <w:r w:rsidRPr="00A65E70">
        <w:rPr>
          <w:rFonts w:eastAsia="Calibri" w:cs="Arial"/>
          <w:bCs/>
          <w:lang w:val="en-US" w:eastAsia="en-US"/>
        </w:rPr>
        <w:t>I</w:t>
      </w:r>
      <w:r w:rsidRPr="00A65E70">
        <w:rPr>
          <w:rFonts w:eastAsia="Calibri"/>
          <w:sz w:val="16"/>
          <w:szCs w:val="16"/>
          <w:lang w:eastAsia="en-US"/>
        </w:rPr>
        <w:t xml:space="preserve"> </w:t>
      </w:r>
      <w:r w:rsidRPr="00A65E70">
        <w:rPr>
          <w:rFonts w:eastAsia="Calibri" w:cs="Arial"/>
          <w:bCs/>
          <w:lang w:val="en-US" w:eastAsia="en-US"/>
        </w:rPr>
        <w:t>feel bursting with energy”)</w:t>
      </w:r>
      <w:r w:rsidRPr="00A65E70">
        <w:rPr>
          <w:rFonts w:eastAsia="Calibri"/>
          <w:lang w:eastAsia="en-US"/>
        </w:rPr>
        <w:t>, dedication (e.g., “My job inspires me”), and absorption (e.g., “I am immersed in my work”</w:t>
      </w:r>
      <w:r w:rsidR="00F4458D">
        <w:rPr>
          <w:rFonts w:eastAsia="Calibri"/>
          <w:lang w:eastAsia="en-US"/>
        </w:rPr>
        <w:t>)</w:t>
      </w:r>
      <w:r w:rsidRPr="00A65E70">
        <w:rPr>
          <w:rFonts w:eastAsia="Calibri"/>
          <w:lang w:eastAsia="en-US"/>
        </w:rPr>
        <w:t>. Each sub-scale contains three items. Responses are scored on a seven-point Likert scale, ranging from 1 (</w:t>
      </w:r>
      <w:r w:rsidRPr="00A65E70">
        <w:rPr>
          <w:rFonts w:eastAsia="Calibri"/>
          <w:i/>
          <w:lang w:eastAsia="en-US"/>
        </w:rPr>
        <w:t>never</w:t>
      </w:r>
      <w:r w:rsidRPr="00A65E70">
        <w:rPr>
          <w:rFonts w:eastAsia="Calibri"/>
          <w:lang w:eastAsia="en-US"/>
        </w:rPr>
        <w:t>) to 7 (</w:t>
      </w:r>
      <w:r w:rsidRPr="00A65E70">
        <w:rPr>
          <w:rFonts w:eastAsia="Calibri"/>
          <w:i/>
          <w:lang w:eastAsia="en-US"/>
        </w:rPr>
        <w:t>every day</w:t>
      </w:r>
      <w:r w:rsidRPr="00A65E70">
        <w:rPr>
          <w:rFonts w:eastAsia="Calibri"/>
          <w:lang w:eastAsia="en-US"/>
        </w:rPr>
        <w:t>). As at the time of writing, there does not appear to be published literature detailing benchmarks for work engagement. As such, low and high engagement will be defined using a median split.</w:t>
      </w:r>
    </w:p>
    <w:p w14:paraId="10C2CA9A" w14:textId="539B440B" w:rsidR="005E71B7" w:rsidRPr="00401B92" w:rsidRDefault="00827C66" w:rsidP="00401B92">
      <w:pPr>
        <w:rPr>
          <w:rFonts w:eastAsia="Calibri"/>
          <w:lang w:eastAsia="en-US"/>
        </w:rPr>
      </w:pPr>
      <w:r w:rsidRPr="002F2F94">
        <w:rPr>
          <w:rFonts w:eastAsia="Calibri"/>
          <w:lang w:eastAsia="en-US"/>
        </w:rPr>
        <w:t xml:space="preserve">All measures (including absenteeism and presenteeism) included in this report were based on self-reported data collected by the AWB. As a result, these measures are susceptible to bias caused by individuals’ perceptions. </w:t>
      </w:r>
      <w:r w:rsidR="00700E38" w:rsidRPr="002F2F94">
        <w:rPr>
          <w:rFonts w:eastAsia="Calibri"/>
          <w:lang w:eastAsia="en-US"/>
        </w:rPr>
        <w:t>Those with negative perceptions about their work environment and psychological health may also have negative perceptions about their own performance.</w:t>
      </w:r>
    </w:p>
    <w:p w14:paraId="482D1AF0" w14:textId="77777777" w:rsidR="00EE707B" w:rsidRDefault="00A65E70" w:rsidP="00DF442A">
      <w:pPr>
        <w:pStyle w:val="Heading2"/>
        <w:rPr>
          <w:lang w:eastAsia="en-US"/>
        </w:rPr>
      </w:pPr>
      <w:r w:rsidRPr="00A65E70">
        <w:rPr>
          <w:lang w:eastAsia="en-US"/>
        </w:rPr>
        <w:lastRenderedPageBreak/>
        <w:t>Statistical Analysis</w:t>
      </w:r>
    </w:p>
    <w:p w14:paraId="13B4C56E" w14:textId="1AC30F42" w:rsidR="00A65E70" w:rsidRPr="00A65E70" w:rsidRDefault="00A65E70" w:rsidP="00EE707B">
      <w:pPr>
        <w:keepNext/>
        <w:rPr>
          <w:rFonts w:eastAsia="Calibri"/>
          <w:lang w:eastAsia="en-US"/>
        </w:rPr>
      </w:pPr>
      <w:r w:rsidRPr="00A65E70">
        <w:rPr>
          <w:rFonts w:eastAsia="Calibri"/>
          <w:lang w:eastAsia="en-US"/>
        </w:rPr>
        <w:t>There are two main sets of analysis conducted.</w:t>
      </w:r>
    </w:p>
    <w:p w14:paraId="16F865E7" w14:textId="77777777" w:rsidR="00EE707B" w:rsidRDefault="00A65E70" w:rsidP="00DF442A">
      <w:pPr>
        <w:pStyle w:val="Heading3"/>
      </w:pPr>
      <w:r w:rsidRPr="005E71B7">
        <w:t>1.</w:t>
      </w:r>
      <w:r w:rsidRPr="00A65E70">
        <w:t xml:space="preserve"> Estimate the costs to employers of sickness absence and presenteeism that are associated with </w:t>
      </w:r>
      <w:r w:rsidR="006F2911">
        <w:t>PSC and the three psychological health outcomes</w:t>
      </w:r>
    </w:p>
    <w:p w14:paraId="47079894" w14:textId="77777777" w:rsidR="00EE707B" w:rsidRDefault="00A65E70" w:rsidP="00DF442A">
      <w:pPr>
        <w:rPr>
          <w:rFonts w:eastAsia="Calibri"/>
          <w:lang w:eastAsia="en-US"/>
        </w:rPr>
      </w:pPr>
      <w:r w:rsidRPr="00A65E70">
        <w:rPr>
          <w:rFonts w:eastAsia="Calibri"/>
          <w:lang w:eastAsia="en-US"/>
        </w:rPr>
        <w:t>In preparation, employees were dichotomised into different levels of PSC, psychological distress, depression, and engagement. PSC was dichotomised between those falling within the “low” benchmark (high risk) (≤ 37; prevalence rate [PR] = 32.9</w:t>
      </w:r>
      <w:r w:rsidR="005355BD">
        <w:rPr>
          <w:rFonts w:eastAsia="Calibri"/>
          <w:lang w:eastAsia="en-US"/>
        </w:rPr>
        <w:t xml:space="preserve"> per cent</w:t>
      </w:r>
      <w:r w:rsidRPr="00A65E70">
        <w:rPr>
          <w:rFonts w:eastAsia="Calibri"/>
          <w:lang w:eastAsia="en-US"/>
        </w:rPr>
        <w:t>) and everyone else (&gt; 37). Depression was dichotomised between those with no depression (≤ 4) and those with mild to severe depression (≥ 5; PR = 30.0</w:t>
      </w:r>
      <w:r w:rsidR="005355BD">
        <w:rPr>
          <w:rFonts w:eastAsia="Calibri"/>
          <w:lang w:eastAsia="en-US"/>
        </w:rPr>
        <w:t xml:space="preserve"> per cent</w:t>
      </w:r>
      <w:r w:rsidRPr="00A65E70">
        <w:rPr>
          <w:rFonts w:eastAsia="Calibri"/>
          <w:lang w:eastAsia="en-US"/>
        </w:rPr>
        <w:t>). Psychological distress was dichotomised between those with no psychological distress (≤ 2) and those with mild to severe psychological distress (≥ 2.1; 13.6</w:t>
      </w:r>
      <w:r w:rsidR="005355BD">
        <w:rPr>
          <w:rFonts w:eastAsia="Calibri"/>
          <w:lang w:eastAsia="en-US"/>
        </w:rPr>
        <w:t xml:space="preserve"> per cent</w:t>
      </w:r>
      <w:r w:rsidRPr="00A65E70">
        <w:rPr>
          <w:rFonts w:eastAsia="Calibri"/>
          <w:lang w:eastAsia="en-US"/>
        </w:rPr>
        <w:t xml:space="preserve">). Engagement </w:t>
      </w:r>
      <w:r w:rsidR="004B4AEB">
        <w:rPr>
          <w:rFonts w:eastAsia="Calibri"/>
          <w:lang w:eastAsia="en-US"/>
        </w:rPr>
        <w:t>w</w:t>
      </w:r>
      <w:r w:rsidRPr="00A65E70">
        <w:rPr>
          <w:rFonts w:eastAsia="Calibri"/>
          <w:lang w:eastAsia="en-US"/>
        </w:rPr>
        <w:t>as dichotomised between those with below average (&lt; 53; PR = 44.4</w:t>
      </w:r>
      <w:r w:rsidR="005355BD">
        <w:rPr>
          <w:rFonts w:eastAsia="Calibri"/>
          <w:lang w:eastAsia="en-US"/>
        </w:rPr>
        <w:t xml:space="preserve"> per cent</w:t>
      </w:r>
      <w:r w:rsidRPr="00A65E70">
        <w:rPr>
          <w:rFonts w:eastAsia="Calibri"/>
          <w:lang w:eastAsia="en-US"/>
        </w:rPr>
        <w:t>) and above average (≥ 53) engagement. The outcomes were also dichotomised. Sickness absence was split between those with no sickness absence days in the last month, and those with one or more. Presenteeism was split between those with 0-20</w:t>
      </w:r>
      <w:r w:rsidR="005355BD">
        <w:rPr>
          <w:rFonts w:eastAsia="Calibri"/>
          <w:lang w:eastAsia="en-US"/>
        </w:rPr>
        <w:t xml:space="preserve"> per cent</w:t>
      </w:r>
      <w:r w:rsidRPr="00A65E70">
        <w:rPr>
          <w:rFonts w:eastAsia="Calibri"/>
          <w:lang w:eastAsia="en-US"/>
        </w:rPr>
        <w:t xml:space="preserve"> performance loss in the last month (low presenteeism) and those with 30-90</w:t>
      </w:r>
      <w:r w:rsidR="005355BD">
        <w:rPr>
          <w:rFonts w:eastAsia="Calibri"/>
          <w:lang w:eastAsia="en-US"/>
        </w:rPr>
        <w:t xml:space="preserve"> per cent</w:t>
      </w:r>
      <w:r w:rsidRPr="00A65E70">
        <w:rPr>
          <w:rFonts w:eastAsia="Calibri"/>
          <w:lang w:eastAsia="en-US"/>
        </w:rPr>
        <w:t xml:space="preserve"> performance loss (high presenteeism).</w:t>
      </w:r>
    </w:p>
    <w:p w14:paraId="1A3DF005" w14:textId="5269FC79" w:rsidR="00A65E70" w:rsidRPr="00DF442A" w:rsidRDefault="00A65E70" w:rsidP="00A65E70">
      <w:pPr>
        <w:spacing w:after="160" w:line="259" w:lineRule="auto"/>
        <w:rPr>
          <w:rFonts w:eastAsia="Calibri"/>
        </w:rPr>
      </w:pPr>
      <w:r w:rsidRPr="00DF442A">
        <w:rPr>
          <w:rStyle w:val="Heading4Char"/>
        </w:rPr>
        <w:t>Relative Risk Ratios.</w:t>
      </w:r>
      <w:r w:rsidRPr="00A65E70">
        <w:rPr>
          <w:rFonts w:ascii="Adobe Garamond Pro" w:eastAsia="Calibri" w:hAnsi="Adobe Garamond Pro"/>
          <w:sz w:val="24"/>
          <w:szCs w:val="22"/>
          <w:lang w:eastAsia="en-US"/>
        </w:rPr>
        <w:t xml:space="preserve"> </w:t>
      </w:r>
      <w:r w:rsidRPr="00DF442A">
        <w:rPr>
          <w:rFonts w:eastAsia="Calibri"/>
        </w:rPr>
        <w:t>Logistic binominal regression models with robust variance</w:t>
      </w:r>
      <w:r w:rsidRPr="00DF442A" w:rsidDel="00D66DF1">
        <w:rPr>
          <w:rFonts w:eastAsia="Calibri"/>
        </w:rPr>
        <w:t xml:space="preserve"> </w:t>
      </w:r>
      <w:r w:rsidRPr="00DF442A">
        <w:rPr>
          <w:rFonts w:eastAsia="Calibri"/>
        </w:rPr>
        <w:t xml:space="preserve">were conducted in SPSS to determine whether </w:t>
      </w:r>
      <w:r w:rsidR="006C3C81" w:rsidRPr="00DF442A">
        <w:rPr>
          <w:rFonts w:eastAsia="Calibri"/>
        </w:rPr>
        <w:t>PSC and the three psychological health outcomes</w:t>
      </w:r>
      <w:r w:rsidRPr="00DF442A">
        <w:rPr>
          <w:rFonts w:eastAsia="Calibri"/>
        </w:rPr>
        <w:t xml:space="preserve"> predicted sickness absence and presenteeism. Age, sex, and income were entered as covariates. These demographic variables were controlled as previous studies have suggested that these factors also influence psychological health (LaMontagne et al., 2008; Mirowsky &amp; Ross, 1992; Nolen-Hoeksema, 2001). </w:t>
      </w:r>
      <w:r w:rsidRPr="00DF442A">
        <w:t xml:space="preserve">The logistic regressions were conducted to </w:t>
      </w:r>
      <w:r w:rsidRPr="00DF442A">
        <w:rPr>
          <w:rFonts w:eastAsia="Calibri"/>
        </w:rPr>
        <w:t xml:space="preserve">produce the relative risk ratios of each psychosocial risk factor to sickness absence and presenteeism. Since PSC is known to predict depression, distress and engagement (Dollard &amp; Bakker, 2010), and these are likely mediators between PSC and sickness absence and presenteeism, we first considered the relationship between PSC and these outcomes without the other </w:t>
      </w:r>
      <w:r w:rsidR="004C6E58" w:rsidRPr="00DF442A">
        <w:rPr>
          <w:rFonts w:eastAsia="Calibri"/>
        </w:rPr>
        <w:t>psychological health outcomes</w:t>
      </w:r>
      <w:r w:rsidRPr="00DF442A">
        <w:rPr>
          <w:rFonts w:eastAsia="Calibri"/>
        </w:rPr>
        <w:t xml:space="preserve"> in the model.</w:t>
      </w:r>
    </w:p>
    <w:p w14:paraId="552DBB45" w14:textId="77777777" w:rsidR="00A65E70" w:rsidRPr="00A65E70" w:rsidRDefault="00A65E70" w:rsidP="00A65E70">
      <w:pPr>
        <w:spacing w:after="160" w:line="259" w:lineRule="auto"/>
        <w:rPr>
          <w:rFonts w:ascii="Adobe Garamond Pro" w:eastAsia="Calibri" w:hAnsi="Adobe Garamond Pro"/>
          <w:sz w:val="24"/>
          <w:szCs w:val="22"/>
          <w:lang w:eastAsia="en-US"/>
        </w:rPr>
      </w:pPr>
      <w:r w:rsidRPr="00DF442A">
        <w:rPr>
          <w:rStyle w:val="Heading4Char"/>
        </w:rPr>
        <w:t>Population Attributable Risk (PAR)</w:t>
      </w:r>
      <w:r w:rsidRPr="00DF442A">
        <w:rPr>
          <w:rFonts w:eastAsia="Calibri"/>
        </w:rPr>
        <w:t xml:space="preserve"> analysis was conducted to estimate the proportion of costs associated with sickness absence and presenteeism that could be eliminated by changing levels of PSC, depression, psychological distress, and engagement in the workplace. PAR is calculated using the following formula: PAR</w:t>
      </w:r>
      <m:oMath>
        <m:r>
          <m:rPr>
            <m:sty m:val="p"/>
          </m:rPr>
          <w:rPr>
            <w:rFonts w:ascii="Cambria Math" w:eastAsia="Calibri" w:hAnsi="Cambria Math"/>
          </w:rPr>
          <m:t xml:space="preserve">=100* </m:t>
        </m:r>
        <m:f>
          <m:fPr>
            <m:ctrlPr>
              <w:rPr>
                <w:rFonts w:ascii="Cambria Math" w:eastAsia="Calibri" w:hAnsi="Cambria Math"/>
              </w:rPr>
            </m:ctrlPr>
          </m:fPr>
          <m:num>
            <m:r>
              <m:rPr>
                <m:sty m:val="p"/>
              </m:rPr>
              <w:rPr>
                <w:rFonts w:ascii="Cambria Math" w:eastAsia="Calibri" w:hAnsi="Cambria Math"/>
              </w:rPr>
              <m:t>(P</m:t>
            </m:r>
            <m:r>
              <m:rPr>
                <m:sty m:val="b"/>
              </m:rPr>
              <w:rPr>
                <w:rFonts w:ascii="Cambria Math" w:eastAsia="Calibri" w:hAnsi="Cambria Math"/>
              </w:rPr>
              <m:t>*</m:t>
            </m:r>
            <m:r>
              <m:rPr>
                <m:sty m:val="p"/>
              </m:rPr>
              <w:rPr>
                <w:rFonts w:ascii="Cambria Math" w:eastAsia="Calibri" w:hAnsi="Cambria Math"/>
              </w:rPr>
              <m:t>(RR-1)</m:t>
            </m:r>
          </m:num>
          <m:den>
            <m:r>
              <m:rPr>
                <m:sty m:val="p"/>
              </m:rPr>
              <w:rPr>
                <w:rFonts w:ascii="Cambria Math" w:eastAsia="Calibri" w:hAnsi="Cambria Math"/>
              </w:rPr>
              <m:t>1+(P</m:t>
            </m:r>
            <m:r>
              <m:rPr>
                <m:sty m:val="b"/>
              </m:rPr>
              <w:rPr>
                <w:rFonts w:ascii="Cambria Math" w:eastAsia="Calibri" w:hAnsi="Cambria Math"/>
              </w:rPr>
              <m:t>*</m:t>
            </m:r>
            <m:d>
              <m:dPr>
                <m:ctrlPr>
                  <w:rPr>
                    <w:rFonts w:ascii="Cambria Math" w:eastAsia="Calibri" w:hAnsi="Cambria Math"/>
                  </w:rPr>
                </m:ctrlPr>
              </m:dPr>
              <m:e>
                <m:r>
                  <m:rPr>
                    <m:sty m:val="p"/>
                  </m:rPr>
                  <w:rPr>
                    <w:rFonts w:ascii="Cambria Math" w:eastAsia="Calibri" w:hAnsi="Cambria Math"/>
                  </w:rPr>
                  <m:t>RR-1</m:t>
                </m:r>
              </m:e>
            </m:d>
            <m:r>
              <m:rPr>
                <m:sty m:val="p"/>
              </m:rPr>
              <w:rPr>
                <w:rFonts w:ascii="Cambria Math" w:eastAsia="Calibri" w:hAnsi="Cambria Math"/>
              </w:rPr>
              <m:t>)</m:t>
            </m:r>
          </m:den>
        </m:f>
      </m:oMath>
      <w:r w:rsidRPr="00DF442A">
        <w:t>, where P = prevalence of the psychosocial risk factor in the sample, and RR refers to the relative risk ratio of that factor to the relevant outcome, either sickness absence or presenteeism.</w:t>
      </w:r>
      <w:r w:rsidRPr="00DF442A">
        <w:rPr>
          <w:rFonts w:eastAsia="Calibri"/>
        </w:rPr>
        <w:t xml:space="preserve"> The combined PAR of </w:t>
      </w:r>
      <w:r w:rsidR="004C6E58" w:rsidRPr="00DF442A">
        <w:rPr>
          <w:rFonts w:eastAsia="Calibri"/>
        </w:rPr>
        <w:t xml:space="preserve">PSC and the three psychological health outcomes combined </w:t>
      </w:r>
      <w:r w:rsidRPr="00DF442A">
        <w:rPr>
          <w:rFonts w:eastAsia="Calibri"/>
        </w:rPr>
        <w:t xml:space="preserve">was calculated as </w:t>
      </w:r>
      <m:oMath>
        <m:r>
          <w:rPr>
            <w:rFonts w:ascii="Cambria Math" w:eastAsia="Calibri" w:hAnsi="Cambria Math"/>
          </w:rPr>
          <m:t>1-</m:t>
        </m:r>
        <m:d>
          <m:dPr>
            <m:ctrlPr>
              <w:rPr>
                <w:rFonts w:ascii="Cambria Math" w:eastAsia="Calibri" w:hAnsi="Cambria Math"/>
                <w:i/>
              </w:rPr>
            </m:ctrlPr>
          </m:dPr>
          <m:e>
            <m:r>
              <w:rPr>
                <w:rFonts w:ascii="Cambria Math" w:eastAsia="Calibri" w:hAnsi="Cambria Math"/>
              </w:rPr>
              <m:t>1-</m:t>
            </m:r>
            <m:sSub>
              <m:sSubPr>
                <m:ctrlPr>
                  <w:rPr>
                    <w:rFonts w:ascii="Cambria Math" w:eastAsia="Calibri" w:hAnsi="Cambria Math"/>
                    <w:i/>
                  </w:rPr>
                </m:ctrlPr>
              </m:sSubPr>
              <m:e>
                <m:r>
                  <w:rPr>
                    <w:rFonts w:ascii="Cambria Math" w:eastAsia="Calibri" w:hAnsi="Cambria Math"/>
                  </w:rPr>
                  <m:t>PAR</m:t>
                </m:r>
              </m:e>
              <m:sub>
                <m:r>
                  <w:rPr>
                    <w:rFonts w:ascii="Cambria Math" w:eastAsia="Calibri" w:hAnsi="Cambria Math"/>
                  </w:rPr>
                  <m:t>1</m:t>
                </m:r>
              </m:sub>
            </m:sSub>
          </m:e>
        </m:d>
        <m:d>
          <m:dPr>
            <m:ctrlPr>
              <w:rPr>
                <w:rFonts w:ascii="Cambria Math" w:eastAsia="Calibri" w:hAnsi="Cambria Math"/>
                <w:i/>
              </w:rPr>
            </m:ctrlPr>
          </m:dPr>
          <m:e>
            <m:r>
              <w:rPr>
                <w:rFonts w:ascii="Cambria Math" w:eastAsia="Calibri" w:hAnsi="Cambria Math"/>
              </w:rPr>
              <m:t>1-</m:t>
            </m:r>
            <m:sSub>
              <m:sSubPr>
                <m:ctrlPr>
                  <w:rPr>
                    <w:rFonts w:ascii="Cambria Math" w:eastAsia="Calibri" w:hAnsi="Cambria Math"/>
                    <w:i/>
                  </w:rPr>
                </m:ctrlPr>
              </m:sSubPr>
              <m:e>
                <m:r>
                  <w:rPr>
                    <w:rFonts w:ascii="Cambria Math" w:eastAsia="Calibri" w:hAnsi="Cambria Math"/>
                  </w:rPr>
                  <m:t>PAR</m:t>
                </m:r>
              </m:e>
              <m:sub>
                <m:r>
                  <w:rPr>
                    <w:rFonts w:ascii="Cambria Math" w:eastAsia="Calibri" w:hAnsi="Cambria Math"/>
                  </w:rPr>
                  <m:t>2</m:t>
                </m:r>
              </m:sub>
            </m:sSub>
          </m:e>
        </m:d>
      </m:oMath>
      <w:r w:rsidRPr="00DF442A">
        <w:t xml:space="preserve"> et cetera, with the PAR of each psychosocial risk factor entered into the equation (Nurminem &amp; Karjalainen, 2001).</w:t>
      </w:r>
      <w:r w:rsidRPr="00A65E70">
        <w:rPr>
          <w:rFonts w:ascii="Adobe Garamond Pro" w:hAnsi="Adobe Garamond Pro"/>
          <w:sz w:val="24"/>
          <w:szCs w:val="22"/>
          <w:lang w:eastAsia="en-US"/>
        </w:rPr>
        <w:t xml:space="preserve"> </w:t>
      </w:r>
      <w:r w:rsidRPr="00A65E70">
        <w:rPr>
          <w:rFonts w:ascii="Adobe Garamond Pro" w:eastAsia="Calibri" w:hAnsi="Adobe Garamond Pro"/>
          <w:sz w:val="24"/>
          <w:szCs w:val="22"/>
          <w:lang w:eastAsia="en-US"/>
        </w:rPr>
        <w:t xml:space="preserve"> </w:t>
      </w:r>
    </w:p>
    <w:p w14:paraId="56761C88" w14:textId="77777777" w:rsidR="00A65E70" w:rsidRPr="00A65E70" w:rsidRDefault="00A65E70" w:rsidP="00A65E70">
      <w:pPr>
        <w:spacing w:after="160" w:line="259" w:lineRule="auto"/>
        <w:rPr>
          <w:rFonts w:ascii="Adobe Garamond Pro" w:eastAsia="Calibri" w:hAnsi="Adobe Garamond Pro"/>
          <w:sz w:val="24"/>
          <w:szCs w:val="22"/>
          <w:lang w:eastAsia="en-US"/>
        </w:rPr>
      </w:pPr>
      <w:r w:rsidRPr="00DF442A">
        <w:rPr>
          <w:rStyle w:val="Heading4Char"/>
        </w:rPr>
        <w:t xml:space="preserve">Productivity costs. </w:t>
      </w:r>
      <w:r w:rsidRPr="00DF442A">
        <w:rPr>
          <w:rFonts w:eastAsia="Calibri"/>
        </w:rPr>
        <w:t>For presenteeism we estimated the cost in terms of the annual salary. The average wage is estimated at $58,702 per annum by the Australian Bureau of Statistics (2015b). For absenteeism we estimated costs in terms of the cost of hours lost. We divided the average wage by the average yearly hours worked (1,677) according to AWB data to find the average wage ($34.99 per hour).</w:t>
      </w:r>
      <w:r w:rsidRPr="00A65E70">
        <w:rPr>
          <w:rFonts w:ascii="Adobe Garamond Pro" w:eastAsia="Calibri" w:hAnsi="Adobe Garamond Pro"/>
          <w:sz w:val="24"/>
          <w:szCs w:val="22"/>
          <w:lang w:eastAsia="en-US"/>
        </w:rPr>
        <w:t xml:space="preserve"> </w:t>
      </w:r>
    </w:p>
    <w:p w14:paraId="0C317EC7" w14:textId="77777777" w:rsidR="00A65E70" w:rsidRPr="00A65E70" w:rsidRDefault="00A65E70" w:rsidP="00DF442A">
      <w:pPr>
        <w:rPr>
          <w:rFonts w:eastAsia="Calibri"/>
          <w:lang w:eastAsia="en-US"/>
        </w:rPr>
      </w:pPr>
      <w:r w:rsidRPr="00DF442A">
        <w:rPr>
          <w:rStyle w:val="Heading4Char"/>
        </w:rPr>
        <w:t xml:space="preserve">Performance loss </w:t>
      </w:r>
      <w:r w:rsidRPr="00A65E70">
        <w:rPr>
          <w:rFonts w:eastAsia="Calibri"/>
          <w:lang w:eastAsia="en-US"/>
        </w:rPr>
        <w:t xml:space="preserve">was calculated by taking a worker’s self-assessed productivity over the last month from the average healthy worker’s self-assessed productivity (8.36 out of 10). Healthy workers were those with high PSC and engagement, and low psychological distress and depression. Cost via presenteeism was calculated by taking their annual salary (minus sickness absence cost) and multiplying it by their performance loss. The cost of sickness absence and presenteeism was added to find a combined annual cost. Adjusted costs were then calculated to determine the difference between the two conditions: low PSC vs </w:t>
      </w:r>
      <w:r w:rsidRPr="00A65E70">
        <w:rPr>
          <w:rFonts w:eastAsia="Calibri"/>
          <w:lang w:eastAsia="en-US"/>
        </w:rPr>
        <w:lastRenderedPageBreak/>
        <w:t xml:space="preserve">medium-high PSC, no depression vs depression, no psychological distress vs mild to severe psychological distress, and low engagement vs high engagement. </w:t>
      </w:r>
    </w:p>
    <w:p w14:paraId="74D06F8D" w14:textId="3ADADDD2" w:rsidR="00EE707B" w:rsidRDefault="00A65E70" w:rsidP="00DF442A">
      <w:pPr>
        <w:rPr>
          <w:rFonts w:eastAsia="Calibri"/>
          <w:lang w:eastAsia="en-US"/>
        </w:rPr>
      </w:pPr>
      <w:r w:rsidRPr="00A65E70">
        <w:rPr>
          <w:rFonts w:eastAsia="Calibri"/>
          <w:lang w:eastAsia="en-US"/>
        </w:rPr>
        <w:t>These estimates assume an all-cause burden of presenteeism o</w:t>
      </w:r>
      <w:r w:rsidR="00F4458D">
        <w:rPr>
          <w:rFonts w:eastAsia="Calibri"/>
          <w:lang w:eastAsia="en-US"/>
        </w:rPr>
        <w:t>f approximately $27 billion per annum</w:t>
      </w:r>
      <w:r w:rsidRPr="00A65E70">
        <w:rPr>
          <w:rFonts w:eastAsia="Calibri"/>
          <w:lang w:eastAsia="en-US"/>
        </w:rPr>
        <w:t xml:space="preserve"> based on baseline productivity in healthy workplaces, i.e., those with low levels of depression and psychological distress, and high levels of PSC and engagement.</w:t>
      </w:r>
    </w:p>
    <w:p w14:paraId="7159B2E6" w14:textId="77777777" w:rsidR="00EE707B" w:rsidRDefault="00A65E70" w:rsidP="00DF442A">
      <w:pPr>
        <w:rPr>
          <w:rFonts w:eastAsia="Calibri"/>
          <w:lang w:eastAsia="en-US"/>
        </w:rPr>
      </w:pPr>
      <w:r w:rsidRPr="00A65E70">
        <w:rPr>
          <w:i/>
          <w:lang w:eastAsia="en-US"/>
        </w:rPr>
        <w:t>Presenteeism costs</w:t>
      </w:r>
      <w:r w:rsidRPr="00A65E70">
        <w:rPr>
          <w:lang w:eastAsia="en-US"/>
        </w:rPr>
        <w:t xml:space="preserve"> = ((Average health worker’s productivity 8.36) - (Current Productivity out of 10)) x (average salary $58</w:t>
      </w:r>
      <w:r w:rsidR="00104E09">
        <w:rPr>
          <w:lang w:eastAsia="en-US"/>
        </w:rPr>
        <w:t>,</w:t>
      </w:r>
      <w:r w:rsidRPr="00A65E70">
        <w:rPr>
          <w:lang w:eastAsia="en-US"/>
        </w:rPr>
        <w:t xml:space="preserve">702). </w:t>
      </w:r>
    </w:p>
    <w:p w14:paraId="090C0DB7" w14:textId="77777777" w:rsidR="00EE707B" w:rsidRDefault="00A65E70" w:rsidP="00DF442A">
      <w:pPr>
        <w:rPr>
          <w:rFonts w:eastAsia="Calibri"/>
          <w:lang w:eastAsia="en-US"/>
        </w:rPr>
      </w:pPr>
      <w:r w:rsidRPr="00A65E70">
        <w:rPr>
          <w:rFonts w:eastAsia="Calibri"/>
          <w:i/>
          <w:lang w:eastAsia="en-US"/>
        </w:rPr>
        <w:t>Annual sickness absence</w:t>
      </w:r>
      <w:r w:rsidRPr="00A65E70">
        <w:rPr>
          <w:rFonts w:eastAsia="Calibri"/>
          <w:lang w:eastAsia="en-US"/>
        </w:rPr>
        <w:t xml:space="preserve"> was calculated by multiplying sickness absence (days in the last month) by 90 [7.5 hours per day x 12 months] to find the amount of hours missed due to sickness absence each year. This number was then multiplied by the average wage to calculate the average cost of sickness absence per person per annum. </w:t>
      </w:r>
    </w:p>
    <w:p w14:paraId="05DC1C00" w14:textId="193107FC" w:rsidR="00A65E70" w:rsidRPr="00A65E70" w:rsidRDefault="00A65E70" w:rsidP="00DF442A">
      <w:pPr>
        <w:rPr>
          <w:lang w:eastAsia="en-US"/>
        </w:rPr>
      </w:pPr>
      <w:r w:rsidRPr="00A65E70">
        <w:rPr>
          <w:i/>
          <w:lang w:eastAsia="en-US"/>
        </w:rPr>
        <w:t>Sickness absence costs</w:t>
      </w:r>
      <w:r w:rsidRPr="00A65E70">
        <w:rPr>
          <w:lang w:eastAsia="en-US"/>
        </w:rPr>
        <w:t xml:space="preserve"> = (sickness days missed in past 4 weeks) x (7.5 hours worked per day) x (12 months per year) x (average wage $34.99 per hour); see Appendix 1 for clarification on this calculation.</w:t>
      </w:r>
    </w:p>
    <w:p w14:paraId="682ADEF3" w14:textId="77777777" w:rsidR="00A65E70" w:rsidRPr="00A65E70" w:rsidRDefault="00A65E70" w:rsidP="00DF442A">
      <w:pPr>
        <w:pStyle w:val="Heading3"/>
      </w:pPr>
      <w:r w:rsidRPr="00A65E70">
        <w:t>2. Determine average costs of sickness absence and presenteeism per severity level</w:t>
      </w:r>
    </w:p>
    <w:p w14:paraId="21231888" w14:textId="77777777" w:rsidR="00EE707B" w:rsidRDefault="00A65E70" w:rsidP="00DF442A">
      <w:pPr>
        <w:rPr>
          <w:rFonts w:eastAsia="Calibri"/>
          <w:lang w:eastAsia="en-US"/>
        </w:rPr>
      </w:pPr>
      <w:r w:rsidRPr="00A65E70">
        <w:rPr>
          <w:rFonts w:eastAsia="Calibri"/>
          <w:lang w:eastAsia="en-US"/>
        </w:rPr>
        <w:t xml:space="preserve">To show the average costs of sickness absence and presenteeism for the average worker in different severity levels of a psychosocial risk factor, e.g., low, medium, and high PSC, a compare means analysis was conducted for each of PSC, psychological distress, depression, and engagement, with sickness absence (days of work missed in last 4 weeks for health reasons) and presenteeism (self-reported rating of productivity at work). </w:t>
      </w:r>
    </w:p>
    <w:p w14:paraId="35B59D29" w14:textId="77777777" w:rsidR="00EE707B" w:rsidRDefault="00A65E70" w:rsidP="00DF442A">
      <w:pPr>
        <w:rPr>
          <w:rFonts w:eastAsia="Calibri"/>
          <w:lang w:eastAsia="en-US"/>
        </w:rPr>
      </w:pPr>
      <w:r w:rsidRPr="00A65E70">
        <w:rPr>
          <w:rFonts w:eastAsia="Calibri"/>
          <w:lang w:eastAsia="en-US"/>
        </w:rPr>
        <w:t xml:space="preserve">For </w:t>
      </w:r>
      <w:r w:rsidR="00C33510">
        <w:rPr>
          <w:rFonts w:eastAsia="Calibri"/>
          <w:lang w:eastAsia="en-US"/>
        </w:rPr>
        <w:t>comparing</w:t>
      </w:r>
      <w:r w:rsidRPr="00A65E70">
        <w:rPr>
          <w:rFonts w:eastAsia="Calibri"/>
          <w:lang w:eastAsia="en-US"/>
        </w:rPr>
        <w:t xml:space="preserve"> means, PSC, using national benchmarks (Bailey et al., 2015) was split between low (≤ 37; n = 1281), moderate (&gt; 37 and &lt; 41; n = 277), and high (≥ 41; n = 2178). Depression was split, using clinical cut-points (Kroenke, Spitzer, &amp; Williams, 2001) between: None (0-4; n = 2677); </w:t>
      </w:r>
      <w:r w:rsidRPr="00A65E70">
        <w:rPr>
          <w:rFonts w:eastAsia="Calibri"/>
        </w:rPr>
        <w:t xml:space="preserve">Mild (subclinical; 5-9; n = 877); Moderate (clinical; 10-14; n = 245); Moderately severe (clinical; 15-19; n = 77); and Severe (clinical; 20-27; n = 35). </w:t>
      </w:r>
      <w:r w:rsidRPr="00A65E70">
        <w:rPr>
          <w:rFonts w:eastAsia="Calibri"/>
          <w:lang w:eastAsia="en-US"/>
        </w:rPr>
        <w:t>Psychological Distress was dichotomised between no psychological distress (≤ 2.0; n = 3667) and mild to severe psychological distress (≥ 2.1; n = 575). Engagement was split into four quartiles: low (≤ 46; n= 1170); moderate-low (46.01-51.99; n = 664); moderate-high (52-57.99; n = 1269); and high (≥ 58; n = 1140).</w:t>
      </w:r>
    </w:p>
    <w:p w14:paraId="6B1ACD96" w14:textId="5A70D559" w:rsidR="00D8244B" w:rsidRDefault="00D8244B">
      <w:pPr>
        <w:rPr>
          <w:rFonts w:ascii="Arial Bold" w:eastAsiaTheme="majorEastAsia" w:hAnsi="Arial Bold" w:cs="Arial"/>
          <w:b/>
          <w:color w:val="1F497D" w:themeColor="text2"/>
          <w:kern w:val="32"/>
          <w:sz w:val="48"/>
          <w:szCs w:val="22"/>
          <w:lang w:eastAsia="en-US"/>
        </w:rPr>
      </w:pPr>
      <w:r>
        <w:rPr>
          <w:lang w:eastAsia="en-US"/>
        </w:rPr>
        <w:br w:type="page"/>
      </w:r>
    </w:p>
    <w:p w14:paraId="5918F3B7" w14:textId="1511E8C0" w:rsidR="00A65E70" w:rsidRPr="00A65E70" w:rsidRDefault="00A65E70" w:rsidP="00DF442A">
      <w:pPr>
        <w:pStyle w:val="Heading1"/>
        <w:rPr>
          <w:lang w:eastAsia="en-US"/>
        </w:rPr>
      </w:pPr>
      <w:r w:rsidRPr="00A65E70">
        <w:rPr>
          <w:lang w:eastAsia="en-US"/>
        </w:rPr>
        <w:lastRenderedPageBreak/>
        <w:t>Results</w:t>
      </w:r>
    </w:p>
    <w:p w14:paraId="5BECB675" w14:textId="160139A1" w:rsidR="00DF442A" w:rsidRPr="00401B92" w:rsidRDefault="00A65E70" w:rsidP="00401B92">
      <w:pPr>
        <w:rPr>
          <w:rFonts w:eastAsia="Calibri"/>
          <w:lang w:eastAsia="en-US"/>
        </w:rPr>
      </w:pPr>
      <w:bookmarkStart w:id="1" w:name="_Toc430701924"/>
      <w:r w:rsidRPr="00A65E70">
        <w:rPr>
          <w:rFonts w:eastAsia="Calibri"/>
          <w:lang w:eastAsia="en-US"/>
        </w:rPr>
        <w:t xml:space="preserve">Descriptive results for the study variables are shown in Table 1. </w:t>
      </w:r>
    </w:p>
    <w:p w14:paraId="59FD6DF3" w14:textId="1199FF88" w:rsidR="00A65E70" w:rsidRPr="00A65E70" w:rsidRDefault="00A65E70" w:rsidP="00D8244B">
      <w:pPr>
        <w:pStyle w:val="Caption"/>
        <w:rPr>
          <w:rFonts w:eastAsia="Calibri"/>
        </w:rPr>
      </w:pPr>
      <w:r w:rsidRPr="00A65E70">
        <w:rPr>
          <w:rFonts w:eastAsia="Calibri"/>
        </w:rPr>
        <w:t xml:space="preserve">Table </w:t>
      </w:r>
      <w:r w:rsidRPr="00A65E70">
        <w:rPr>
          <w:rFonts w:eastAsia="Calibri"/>
        </w:rPr>
        <w:fldChar w:fldCharType="begin"/>
      </w:r>
      <w:r w:rsidRPr="00A65E70">
        <w:rPr>
          <w:rFonts w:eastAsia="Calibri"/>
        </w:rPr>
        <w:instrText xml:space="preserve"> SEQ Table \* ARABIC </w:instrText>
      </w:r>
      <w:r w:rsidRPr="00A65E70">
        <w:rPr>
          <w:rFonts w:eastAsia="Calibri"/>
        </w:rPr>
        <w:fldChar w:fldCharType="separate"/>
      </w:r>
      <w:r w:rsidR="009D7474">
        <w:rPr>
          <w:rFonts w:eastAsia="Calibri"/>
          <w:noProof/>
        </w:rPr>
        <w:t>1</w:t>
      </w:r>
      <w:bookmarkEnd w:id="1"/>
      <w:r w:rsidRPr="00A65E70">
        <w:rPr>
          <w:rFonts w:eastAsia="Calibri"/>
        </w:rPr>
        <w:fldChar w:fldCharType="end"/>
      </w:r>
      <w:r w:rsidRPr="00A65E70">
        <w:rPr>
          <w:rFonts w:eastAsia="Calibri"/>
        </w:rPr>
        <w:t xml:space="preserve"> Descriptive statistics of key variables</w:t>
      </w:r>
    </w:p>
    <w:tbl>
      <w:tblPr>
        <w:tblW w:w="8222" w:type="dxa"/>
        <w:tblLook w:val="04A0" w:firstRow="1" w:lastRow="0" w:firstColumn="1" w:lastColumn="0" w:noHBand="0" w:noVBand="1"/>
        <w:tblCaption w:val="Table 1 Descriptive statistics of key variables"/>
        <w:tblDescription w:val="This table shows descriptive statistics of key variables including PSC, depression, psychological distress, engagement, presenteeism and sickness absence."/>
      </w:tblPr>
      <w:tblGrid>
        <w:gridCol w:w="2410"/>
        <w:gridCol w:w="885"/>
        <w:gridCol w:w="1185"/>
        <w:gridCol w:w="1198"/>
        <w:gridCol w:w="1268"/>
        <w:gridCol w:w="1276"/>
      </w:tblGrid>
      <w:tr w:rsidR="00A65E70" w:rsidRPr="00A65E70" w14:paraId="749B0DB3" w14:textId="77777777" w:rsidTr="007032DD">
        <w:trPr>
          <w:trHeight w:val="243"/>
        </w:trPr>
        <w:tc>
          <w:tcPr>
            <w:tcW w:w="2410" w:type="dxa"/>
            <w:tcBorders>
              <w:top w:val="single" w:sz="18" w:space="0" w:color="auto"/>
              <w:left w:val="nil"/>
              <w:bottom w:val="single" w:sz="4" w:space="0" w:color="auto"/>
              <w:right w:val="nil"/>
            </w:tcBorders>
            <w:shd w:val="clear" w:color="auto" w:fill="auto"/>
            <w:noWrap/>
            <w:vAlign w:val="bottom"/>
          </w:tcPr>
          <w:p w14:paraId="6A6FF790" w14:textId="77777777" w:rsidR="00A65E70" w:rsidRPr="00A65E70" w:rsidRDefault="00A65E70" w:rsidP="005E71B7">
            <w:pPr>
              <w:rPr>
                <w:rFonts w:eastAsia="Calibri"/>
              </w:rPr>
            </w:pPr>
            <w:r w:rsidRPr="00A65E70">
              <w:rPr>
                <w:rFonts w:eastAsia="Calibri"/>
              </w:rPr>
              <w:t> </w:t>
            </w:r>
          </w:p>
        </w:tc>
        <w:tc>
          <w:tcPr>
            <w:tcW w:w="885" w:type="dxa"/>
            <w:tcBorders>
              <w:top w:val="single" w:sz="18" w:space="0" w:color="auto"/>
              <w:left w:val="nil"/>
              <w:bottom w:val="single" w:sz="4" w:space="0" w:color="auto"/>
              <w:right w:val="nil"/>
            </w:tcBorders>
            <w:shd w:val="clear" w:color="auto" w:fill="auto"/>
            <w:noWrap/>
            <w:vAlign w:val="bottom"/>
          </w:tcPr>
          <w:p w14:paraId="64794BEB" w14:textId="77777777" w:rsidR="00A65E70" w:rsidRPr="00A65E70" w:rsidRDefault="00A65E70" w:rsidP="005E71B7">
            <w:pPr>
              <w:rPr>
                <w:rFonts w:eastAsia="Calibri"/>
              </w:rPr>
            </w:pPr>
            <w:r w:rsidRPr="00A65E70">
              <w:rPr>
                <w:rFonts w:eastAsia="Calibri"/>
              </w:rPr>
              <w:t>N</w:t>
            </w:r>
          </w:p>
        </w:tc>
        <w:tc>
          <w:tcPr>
            <w:tcW w:w="1185" w:type="dxa"/>
            <w:tcBorders>
              <w:top w:val="single" w:sz="18" w:space="0" w:color="auto"/>
              <w:left w:val="nil"/>
              <w:bottom w:val="single" w:sz="4" w:space="0" w:color="auto"/>
              <w:right w:val="nil"/>
            </w:tcBorders>
            <w:shd w:val="clear" w:color="auto" w:fill="auto"/>
            <w:noWrap/>
            <w:vAlign w:val="bottom"/>
          </w:tcPr>
          <w:p w14:paraId="1C6252D6" w14:textId="77777777" w:rsidR="00A65E70" w:rsidRPr="00A65E70" w:rsidRDefault="00A65E70" w:rsidP="005E71B7">
            <w:pPr>
              <w:rPr>
                <w:rFonts w:eastAsia="Calibri"/>
              </w:rPr>
            </w:pPr>
            <w:r w:rsidRPr="00A65E70">
              <w:rPr>
                <w:rFonts w:eastAsia="Calibri"/>
              </w:rPr>
              <w:t>Minimum</w:t>
            </w:r>
          </w:p>
        </w:tc>
        <w:tc>
          <w:tcPr>
            <w:tcW w:w="1198" w:type="dxa"/>
            <w:tcBorders>
              <w:top w:val="single" w:sz="18" w:space="0" w:color="auto"/>
              <w:left w:val="nil"/>
              <w:bottom w:val="single" w:sz="4" w:space="0" w:color="auto"/>
              <w:right w:val="nil"/>
            </w:tcBorders>
            <w:shd w:val="clear" w:color="auto" w:fill="auto"/>
            <w:noWrap/>
            <w:vAlign w:val="bottom"/>
          </w:tcPr>
          <w:p w14:paraId="031094C4" w14:textId="77777777" w:rsidR="00A65E70" w:rsidRPr="00A65E70" w:rsidRDefault="00A65E70" w:rsidP="005E71B7">
            <w:pPr>
              <w:rPr>
                <w:rFonts w:eastAsia="Calibri"/>
              </w:rPr>
            </w:pPr>
            <w:r w:rsidRPr="00A65E70">
              <w:rPr>
                <w:rFonts w:eastAsia="Calibri"/>
              </w:rPr>
              <w:t>Maximum</w:t>
            </w:r>
          </w:p>
        </w:tc>
        <w:tc>
          <w:tcPr>
            <w:tcW w:w="1268" w:type="dxa"/>
            <w:tcBorders>
              <w:top w:val="single" w:sz="18" w:space="0" w:color="auto"/>
              <w:left w:val="nil"/>
              <w:bottom w:val="single" w:sz="4" w:space="0" w:color="auto"/>
              <w:right w:val="nil"/>
            </w:tcBorders>
            <w:shd w:val="clear" w:color="auto" w:fill="auto"/>
            <w:noWrap/>
            <w:vAlign w:val="bottom"/>
          </w:tcPr>
          <w:p w14:paraId="2E27DF72" w14:textId="77777777" w:rsidR="00A65E70" w:rsidRPr="00A65E70" w:rsidRDefault="00A65E70" w:rsidP="005E71B7">
            <w:pPr>
              <w:rPr>
                <w:rFonts w:eastAsia="Calibri"/>
              </w:rPr>
            </w:pPr>
            <w:r w:rsidRPr="00A65E70">
              <w:rPr>
                <w:rFonts w:eastAsia="Calibri"/>
              </w:rPr>
              <w:t>M</w:t>
            </w:r>
          </w:p>
        </w:tc>
        <w:tc>
          <w:tcPr>
            <w:tcW w:w="1276" w:type="dxa"/>
            <w:tcBorders>
              <w:top w:val="single" w:sz="18" w:space="0" w:color="auto"/>
              <w:left w:val="nil"/>
              <w:bottom w:val="single" w:sz="4" w:space="0" w:color="auto"/>
              <w:right w:val="nil"/>
            </w:tcBorders>
            <w:shd w:val="clear" w:color="auto" w:fill="auto"/>
            <w:noWrap/>
            <w:vAlign w:val="bottom"/>
          </w:tcPr>
          <w:p w14:paraId="4AB3F3C1" w14:textId="77777777" w:rsidR="00A65E70" w:rsidRPr="00A65E70" w:rsidRDefault="00A65E70" w:rsidP="005E71B7">
            <w:pPr>
              <w:rPr>
                <w:rFonts w:eastAsia="Calibri"/>
              </w:rPr>
            </w:pPr>
            <w:r w:rsidRPr="00A65E70">
              <w:rPr>
                <w:rFonts w:eastAsia="Calibri"/>
              </w:rPr>
              <w:t>SD</w:t>
            </w:r>
          </w:p>
        </w:tc>
      </w:tr>
      <w:tr w:rsidR="00A65E70" w:rsidRPr="00A65E70" w14:paraId="2374D5AD" w14:textId="77777777" w:rsidTr="007032DD">
        <w:trPr>
          <w:trHeight w:val="292"/>
        </w:trPr>
        <w:tc>
          <w:tcPr>
            <w:tcW w:w="2410" w:type="dxa"/>
            <w:tcBorders>
              <w:top w:val="nil"/>
              <w:left w:val="nil"/>
              <w:bottom w:val="nil"/>
              <w:right w:val="nil"/>
            </w:tcBorders>
            <w:shd w:val="clear" w:color="auto" w:fill="auto"/>
            <w:noWrap/>
            <w:hideMark/>
          </w:tcPr>
          <w:p w14:paraId="7B697D04" w14:textId="77777777" w:rsidR="00A65E70" w:rsidRPr="00A65E70" w:rsidRDefault="00A65E70" w:rsidP="005E71B7">
            <w:pPr>
              <w:rPr>
                <w:rFonts w:eastAsia="Calibri"/>
              </w:rPr>
            </w:pPr>
            <w:r w:rsidRPr="00A65E70">
              <w:rPr>
                <w:rFonts w:eastAsia="Calibri"/>
              </w:rPr>
              <w:t>PSC</w:t>
            </w:r>
          </w:p>
        </w:tc>
        <w:tc>
          <w:tcPr>
            <w:tcW w:w="885" w:type="dxa"/>
            <w:tcBorders>
              <w:top w:val="nil"/>
              <w:left w:val="nil"/>
              <w:bottom w:val="nil"/>
              <w:right w:val="nil"/>
            </w:tcBorders>
            <w:shd w:val="clear" w:color="auto" w:fill="auto"/>
            <w:noWrap/>
            <w:vAlign w:val="bottom"/>
            <w:hideMark/>
          </w:tcPr>
          <w:p w14:paraId="18EDFF5C" w14:textId="77777777" w:rsidR="00A65E70" w:rsidRPr="00A65E70" w:rsidRDefault="00A65E70" w:rsidP="005E71B7">
            <w:pPr>
              <w:rPr>
                <w:rFonts w:eastAsia="Calibri"/>
              </w:rPr>
            </w:pPr>
            <w:r w:rsidRPr="00A65E70">
              <w:rPr>
                <w:rFonts w:eastAsia="Calibri"/>
              </w:rPr>
              <w:t>3753</w:t>
            </w:r>
          </w:p>
        </w:tc>
        <w:tc>
          <w:tcPr>
            <w:tcW w:w="1185" w:type="dxa"/>
            <w:tcBorders>
              <w:top w:val="nil"/>
              <w:left w:val="nil"/>
              <w:bottom w:val="nil"/>
              <w:right w:val="nil"/>
            </w:tcBorders>
            <w:shd w:val="clear" w:color="auto" w:fill="auto"/>
            <w:noWrap/>
            <w:vAlign w:val="bottom"/>
            <w:hideMark/>
          </w:tcPr>
          <w:p w14:paraId="7D6A3E77" w14:textId="77777777" w:rsidR="00A65E70" w:rsidRPr="00A65E70" w:rsidRDefault="00A65E70" w:rsidP="005E71B7">
            <w:pPr>
              <w:rPr>
                <w:rFonts w:eastAsia="Calibri"/>
              </w:rPr>
            </w:pPr>
            <w:r w:rsidRPr="00A65E70">
              <w:rPr>
                <w:rFonts w:eastAsia="Calibri"/>
              </w:rPr>
              <w:t>12</w:t>
            </w:r>
          </w:p>
        </w:tc>
        <w:tc>
          <w:tcPr>
            <w:tcW w:w="1198" w:type="dxa"/>
            <w:tcBorders>
              <w:top w:val="nil"/>
              <w:left w:val="nil"/>
              <w:bottom w:val="nil"/>
              <w:right w:val="nil"/>
            </w:tcBorders>
            <w:shd w:val="clear" w:color="auto" w:fill="auto"/>
            <w:noWrap/>
            <w:vAlign w:val="bottom"/>
            <w:hideMark/>
          </w:tcPr>
          <w:p w14:paraId="6FEB5776" w14:textId="77777777" w:rsidR="00A65E70" w:rsidRPr="00A65E70" w:rsidRDefault="00A65E70" w:rsidP="005E71B7">
            <w:pPr>
              <w:rPr>
                <w:rFonts w:eastAsia="Calibri"/>
              </w:rPr>
            </w:pPr>
            <w:r w:rsidRPr="00A65E70">
              <w:rPr>
                <w:rFonts w:eastAsia="Calibri"/>
              </w:rPr>
              <w:t>60</w:t>
            </w:r>
          </w:p>
        </w:tc>
        <w:tc>
          <w:tcPr>
            <w:tcW w:w="1268" w:type="dxa"/>
            <w:tcBorders>
              <w:top w:val="nil"/>
              <w:left w:val="nil"/>
              <w:bottom w:val="nil"/>
              <w:right w:val="nil"/>
            </w:tcBorders>
            <w:shd w:val="clear" w:color="auto" w:fill="auto"/>
            <w:noWrap/>
            <w:vAlign w:val="bottom"/>
            <w:hideMark/>
          </w:tcPr>
          <w:p w14:paraId="32872A00" w14:textId="77777777" w:rsidR="00A65E70" w:rsidRPr="00A65E70" w:rsidRDefault="00A65E70" w:rsidP="005E71B7">
            <w:pPr>
              <w:rPr>
                <w:rFonts w:eastAsia="Calibri"/>
              </w:rPr>
            </w:pPr>
            <w:r w:rsidRPr="00A65E70">
              <w:rPr>
                <w:rFonts w:eastAsia="Calibri"/>
              </w:rPr>
              <w:t>40.88</w:t>
            </w:r>
          </w:p>
        </w:tc>
        <w:tc>
          <w:tcPr>
            <w:tcW w:w="1276" w:type="dxa"/>
            <w:tcBorders>
              <w:top w:val="nil"/>
              <w:left w:val="nil"/>
              <w:bottom w:val="nil"/>
              <w:right w:val="nil"/>
            </w:tcBorders>
            <w:shd w:val="clear" w:color="auto" w:fill="auto"/>
            <w:noWrap/>
            <w:vAlign w:val="bottom"/>
            <w:hideMark/>
          </w:tcPr>
          <w:p w14:paraId="06631DA4" w14:textId="77777777" w:rsidR="00A65E70" w:rsidRPr="00A65E70" w:rsidRDefault="00A65E70" w:rsidP="005E71B7">
            <w:pPr>
              <w:rPr>
                <w:rFonts w:eastAsia="Calibri"/>
              </w:rPr>
            </w:pPr>
            <w:r w:rsidRPr="00A65E70">
              <w:rPr>
                <w:rFonts w:eastAsia="Calibri"/>
              </w:rPr>
              <w:t>10.26</w:t>
            </w:r>
          </w:p>
        </w:tc>
      </w:tr>
      <w:tr w:rsidR="00A65E70" w:rsidRPr="00A65E70" w14:paraId="115139CA" w14:textId="77777777" w:rsidTr="007032DD">
        <w:trPr>
          <w:trHeight w:val="279"/>
        </w:trPr>
        <w:tc>
          <w:tcPr>
            <w:tcW w:w="2410" w:type="dxa"/>
            <w:tcBorders>
              <w:top w:val="nil"/>
              <w:left w:val="nil"/>
              <w:bottom w:val="nil"/>
              <w:right w:val="nil"/>
            </w:tcBorders>
            <w:shd w:val="clear" w:color="auto" w:fill="auto"/>
            <w:noWrap/>
            <w:hideMark/>
          </w:tcPr>
          <w:p w14:paraId="5436110F" w14:textId="77777777" w:rsidR="00A65E70" w:rsidRPr="00A65E70" w:rsidRDefault="00A65E70" w:rsidP="005E71B7">
            <w:pPr>
              <w:rPr>
                <w:rFonts w:eastAsia="Calibri"/>
              </w:rPr>
            </w:pPr>
            <w:r w:rsidRPr="00A65E70">
              <w:rPr>
                <w:rFonts w:eastAsia="Calibri"/>
              </w:rPr>
              <w:t>Depression</w:t>
            </w:r>
          </w:p>
        </w:tc>
        <w:tc>
          <w:tcPr>
            <w:tcW w:w="885" w:type="dxa"/>
            <w:tcBorders>
              <w:top w:val="nil"/>
              <w:left w:val="nil"/>
              <w:bottom w:val="nil"/>
              <w:right w:val="nil"/>
            </w:tcBorders>
            <w:shd w:val="clear" w:color="auto" w:fill="auto"/>
            <w:noWrap/>
            <w:vAlign w:val="bottom"/>
            <w:hideMark/>
          </w:tcPr>
          <w:p w14:paraId="393943AB" w14:textId="77777777" w:rsidR="00A65E70" w:rsidRPr="00A65E70" w:rsidRDefault="00A65E70" w:rsidP="005E71B7">
            <w:pPr>
              <w:rPr>
                <w:rFonts w:eastAsia="Calibri"/>
              </w:rPr>
            </w:pPr>
            <w:r w:rsidRPr="00A65E70">
              <w:rPr>
                <w:rFonts w:eastAsia="Calibri"/>
              </w:rPr>
              <w:t>4242</w:t>
            </w:r>
          </w:p>
        </w:tc>
        <w:tc>
          <w:tcPr>
            <w:tcW w:w="1185" w:type="dxa"/>
            <w:tcBorders>
              <w:top w:val="nil"/>
              <w:left w:val="nil"/>
              <w:bottom w:val="nil"/>
              <w:right w:val="nil"/>
            </w:tcBorders>
            <w:shd w:val="clear" w:color="auto" w:fill="auto"/>
            <w:noWrap/>
            <w:vAlign w:val="bottom"/>
            <w:hideMark/>
          </w:tcPr>
          <w:p w14:paraId="64E5BB14" w14:textId="77777777" w:rsidR="00A65E70" w:rsidRPr="00A65E70" w:rsidRDefault="00A65E70" w:rsidP="005E71B7">
            <w:pPr>
              <w:rPr>
                <w:rFonts w:eastAsia="Calibri"/>
              </w:rPr>
            </w:pPr>
            <w:r w:rsidRPr="00A65E70">
              <w:rPr>
                <w:rFonts w:eastAsia="Calibri"/>
              </w:rPr>
              <w:t>0</w:t>
            </w:r>
          </w:p>
        </w:tc>
        <w:tc>
          <w:tcPr>
            <w:tcW w:w="1198" w:type="dxa"/>
            <w:tcBorders>
              <w:top w:val="nil"/>
              <w:left w:val="nil"/>
              <w:bottom w:val="nil"/>
              <w:right w:val="nil"/>
            </w:tcBorders>
            <w:shd w:val="clear" w:color="auto" w:fill="auto"/>
            <w:noWrap/>
            <w:vAlign w:val="bottom"/>
            <w:hideMark/>
          </w:tcPr>
          <w:p w14:paraId="5C46E4CD" w14:textId="77777777" w:rsidR="00A65E70" w:rsidRPr="00A65E70" w:rsidRDefault="00A65E70" w:rsidP="005E71B7">
            <w:pPr>
              <w:rPr>
                <w:rFonts w:eastAsia="Calibri"/>
              </w:rPr>
            </w:pPr>
            <w:r w:rsidRPr="00A65E70">
              <w:rPr>
                <w:rFonts w:eastAsia="Calibri"/>
              </w:rPr>
              <w:t>27</w:t>
            </w:r>
          </w:p>
        </w:tc>
        <w:tc>
          <w:tcPr>
            <w:tcW w:w="1268" w:type="dxa"/>
            <w:tcBorders>
              <w:top w:val="nil"/>
              <w:left w:val="nil"/>
              <w:bottom w:val="nil"/>
              <w:right w:val="nil"/>
            </w:tcBorders>
            <w:shd w:val="clear" w:color="auto" w:fill="auto"/>
            <w:noWrap/>
            <w:vAlign w:val="bottom"/>
            <w:hideMark/>
          </w:tcPr>
          <w:p w14:paraId="26C473F3" w14:textId="77777777" w:rsidR="00A65E70" w:rsidRPr="00A65E70" w:rsidRDefault="00A65E70" w:rsidP="005E71B7">
            <w:pPr>
              <w:rPr>
                <w:rFonts w:eastAsia="Calibri"/>
              </w:rPr>
            </w:pPr>
            <w:r w:rsidRPr="00A65E70">
              <w:rPr>
                <w:rFonts w:eastAsia="Calibri"/>
              </w:rPr>
              <w:t>3.75</w:t>
            </w:r>
          </w:p>
        </w:tc>
        <w:tc>
          <w:tcPr>
            <w:tcW w:w="1276" w:type="dxa"/>
            <w:tcBorders>
              <w:top w:val="nil"/>
              <w:left w:val="nil"/>
              <w:bottom w:val="nil"/>
              <w:right w:val="nil"/>
            </w:tcBorders>
            <w:shd w:val="clear" w:color="auto" w:fill="auto"/>
            <w:noWrap/>
            <w:vAlign w:val="bottom"/>
            <w:hideMark/>
          </w:tcPr>
          <w:p w14:paraId="59A10532" w14:textId="77777777" w:rsidR="00A65E70" w:rsidRPr="00A65E70" w:rsidRDefault="00A65E70" w:rsidP="005E71B7">
            <w:pPr>
              <w:rPr>
                <w:rFonts w:eastAsia="Calibri"/>
              </w:rPr>
            </w:pPr>
            <w:r w:rsidRPr="00A65E70">
              <w:rPr>
                <w:rFonts w:eastAsia="Calibri"/>
              </w:rPr>
              <w:t>4.03</w:t>
            </w:r>
          </w:p>
        </w:tc>
      </w:tr>
      <w:tr w:rsidR="00A65E70" w:rsidRPr="00A65E70" w14:paraId="32644FD6" w14:textId="77777777" w:rsidTr="007032DD">
        <w:trPr>
          <w:trHeight w:val="279"/>
        </w:trPr>
        <w:tc>
          <w:tcPr>
            <w:tcW w:w="2410" w:type="dxa"/>
            <w:tcBorders>
              <w:top w:val="nil"/>
              <w:left w:val="nil"/>
              <w:bottom w:val="nil"/>
              <w:right w:val="nil"/>
            </w:tcBorders>
            <w:shd w:val="clear" w:color="auto" w:fill="auto"/>
            <w:noWrap/>
            <w:hideMark/>
          </w:tcPr>
          <w:p w14:paraId="7422C010" w14:textId="77777777" w:rsidR="00A65E70" w:rsidRPr="00A65E70" w:rsidRDefault="00A65E70" w:rsidP="005E71B7">
            <w:pPr>
              <w:rPr>
                <w:rFonts w:eastAsia="Calibri"/>
              </w:rPr>
            </w:pPr>
            <w:r w:rsidRPr="00A65E70">
              <w:rPr>
                <w:rFonts w:eastAsia="Calibri"/>
              </w:rPr>
              <w:t>Psychological Distress</w:t>
            </w:r>
          </w:p>
        </w:tc>
        <w:tc>
          <w:tcPr>
            <w:tcW w:w="885" w:type="dxa"/>
            <w:tcBorders>
              <w:top w:val="nil"/>
              <w:left w:val="nil"/>
              <w:bottom w:val="nil"/>
              <w:right w:val="nil"/>
            </w:tcBorders>
            <w:shd w:val="clear" w:color="auto" w:fill="auto"/>
            <w:noWrap/>
            <w:vAlign w:val="bottom"/>
            <w:hideMark/>
          </w:tcPr>
          <w:p w14:paraId="742F232A" w14:textId="77777777" w:rsidR="00A65E70" w:rsidRPr="00A65E70" w:rsidRDefault="00A65E70" w:rsidP="005E71B7">
            <w:pPr>
              <w:rPr>
                <w:rFonts w:eastAsia="Calibri"/>
              </w:rPr>
            </w:pPr>
            <w:r w:rsidRPr="00A65E70">
              <w:rPr>
                <w:rFonts w:eastAsia="Calibri"/>
              </w:rPr>
              <w:t>4242</w:t>
            </w:r>
          </w:p>
        </w:tc>
        <w:tc>
          <w:tcPr>
            <w:tcW w:w="1185" w:type="dxa"/>
            <w:tcBorders>
              <w:top w:val="nil"/>
              <w:left w:val="nil"/>
              <w:bottom w:val="nil"/>
              <w:right w:val="nil"/>
            </w:tcBorders>
            <w:shd w:val="clear" w:color="auto" w:fill="auto"/>
            <w:noWrap/>
            <w:vAlign w:val="bottom"/>
            <w:hideMark/>
          </w:tcPr>
          <w:p w14:paraId="4F64FE1D" w14:textId="77777777" w:rsidR="00A65E70" w:rsidRPr="00A65E70" w:rsidRDefault="00A65E70" w:rsidP="005E71B7">
            <w:pPr>
              <w:rPr>
                <w:rFonts w:eastAsia="Calibri"/>
              </w:rPr>
            </w:pPr>
            <w:r w:rsidRPr="00A65E70">
              <w:rPr>
                <w:rFonts w:eastAsia="Calibri"/>
              </w:rPr>
              <w:t>1</w:t>
            </w:r>
          </w:p>
        </w:tc>
        <w:tc>
          <w:tcPr>
            <w:tcW w:w="1198" w:type="dxa"/>
            <w:tcBorders>
              <w:top w:val="nil"/>
              <w:left w:val="nil"/>
              <w:bottom w:val="nil"/>
              <w:right w:val="nil"/>
            </w:tcBorders>
            <w:shd w:val="clear" w:color="auto" w:fill="auto"/>
            <w:noWrap/>
            <w:vAlign w:val="bottom"/>
            <w:hideMark/>
          </w:tcPr>
          <w:p w14:paraId="7075821D" w14:textId="77777777" w:rsidR="00A65E70" w:rsidRPr="00A65E70" w:rsidRDefault="00A65E70" w:rsidP="005E71B7">
            <w:pPr>
              <w:rPr>
                <w:rFonts w:eastAsia="Calibri"/>
              </w:rPr>
            </w:pPr>
            <w:r w:rsidRPr="00A65E70">
              <w:rPr>
                <w:rFonts w:eastAsia="Calibri"/>
              </w:rPr>
              <w:t>5</w:t>
            </w:r>
          </w:p>
        </w:tc>
        <w:tc>
          <w:tcPr>
            <w:tcW w:w="1268" w:type="dxa"/>
            <w:tcBorders>
              <w:top w:val="nil"/>
              <w:left w:val="nil"/>
              <w:bottom w:val="nil"/>
              <w:right w:val="nil"/>
            </w:tcBorders>
            <w:shd w:val="clear" w:color="auto" w:fill="auto"/>
            <w:noWrap/>
            <w:vAlign w:val="bottom"/>
            <w:hideMark/>
          </w:tcPr>
          <w:p w14:paraId="670D7BBB" w14:textId="77777777" w:rsidR="00A65E70" w:rsidRPr="00A65E70" w:rsidRDefault="00A65E70" w:rsidP="005E71B7">
            <w:pPr>
              <w:rPr>
                <w:rFonts w:eastAsia="Calibri"/>
              </w:rPr>
            </w:pPr>
            <w:r w:rsidRPr="00A65E70">
              <w:rPr>
                <w:rFonts w:eastAsia="Calibri"/>
              </w:rPr>
              <w:t>1.51</w:t>
            </w:r>
          </w:p>
        </w:tc>
        <w:tc>
          <w:tcPr>
            <w:tcW w:w="1276" w:type="dxa"/>
            <w:tcBorders>
              <w:top w:val="nil"/>
              <w:left w:val="nil"/>
              <w:bottom w:val="nil"/>
              <w:right w:val="nil"/>
            </w:tcBorders>
            <w:shd w:val="clear" w:color="auto" w:fill="auto"/>
            <w:noWrap/>
            <w:vAlign w:val="bottom"/>
            <w:hideMark/>
          </w:tcPr>
          <w:p w14:paraId="0B50B60A" w14:textId="77777777" w:rsidR="00A65E70" w:rsidRPr="00A65E70" w:rsidRDefault="00A65E70" w:rsidP="005E71B7">
            <w:pPr>
              <w:rPr>
                <w:rFonts w:eastAsia="Calibri"/>
              </w:rPr>
            </w:pPr>
            <w:r w:rsidRPr="00A65E70">
              <w:rPr>
                <w:rFonts w:eastAsia="Calibri"/>
              </w:rPr>
              <w:t>0.52</w:t>
            </w:r>
          </w:p>
        </w:tc>
      </w:tr>
      <w:tr w:rsidR="00A65E70" w:rsidRPr="00A65E70" w14:paraId="7F281402" w14:textId="77777777" w:rsidTr="007032DD">
        <w:trPr>
          <w:trHeight w:val="279"/>
        </w:trPr>
        <w:tc>
          <w:tcPr>
            <w:tcW w:w="2410" w:type="dxa"/>
            <w:tcBorders>
              <w:top w:val="nil"/>
              <w:left w:val="nil"/>
              <w:bottom w:val="nil"/>
              <w:right w:val="nil"/>
            </w:tcBorders>
            <w:shd w:val="clear" w:color="auto" w:fill="auto"/>
            <w:noWrap/>
            <w:hideMark/>
          </w:tcPr>
          <w:p w14:paraId="4D57930B" w14:textId="77777777" w:rsidR="00A65E70" w:rsidRPr="00A65E70" w:rsidRDefault="00A65E70" w:rsidP="005E71B7">
            <w:pPr>
              <w:rPr>
                <w:rFonts w:eastAsia="Calibri"/>
              </w:rPr>
            </w:pPr>
            <w:r w:rsidRPr="00A65E70">
              <w:rPr>
                <w:rFonts w:eastAsia="Calibri"/>
              </w:rPr>
              <w:t>Engagement</w:t>
            </w:r>
          </w:p>
        </w:tc>
        <w:tc>
          <w:tcPr>
            <w:tcW w:w="885" w:type="dxa"/>
            <w:tcBorders>
              <w:top w:val="nil"/>
              <w:left w:val="nil"/>
              <w:bottom w:val="nil"/>
              <w:right w:val="nil"/>
            </w:tcBorders>
            <w:shd w:val="clear" w:color="auto" w:fill="auto"/>
            <w:noWrap/>
            <w:vAlign w:val="bottom"/>
            <w:hideMark/>
          </w:tcPr>
          <w:p w14:paraId="33B0DFB8" w14:textId="77777777" w:rsidR="00A65E70" w:rsidRPr="00A65E70" w:rsidRDefault="00A65E70" w:rsidP="005E71B7">
            <w:pPr>
              <w:rPr>
                <w:rFonts w:eastAsia="Calibri"/>
              </w:rPr>
            </w:pPr>
            <w:r w:rsidRPr="00A65E70">
              <w:rPr>
                <w:rFonts w:eastAsia="Calibri"/>
              </w:rPr>
              <w:t>4242</w:t>
            </w:r>
          </w:p>
        </w:tc>
        <w:tc>
          <w:tcPr>
            <w:tcW w:w="1185" w:type="dxa"/>
            <w:tcBorders>
              <w:top w:val="nil"/>
              <w:left w:val="nil"/>
              <w:bottom w:val="nil"/>
              <w:right w:val="nil"/>
            </w:tcBorders>
            <w:shd w:val="clear" w:color="auto" w:fill="auto"/>
            <w:noWrap/>
            <w:vAlign w:val="bottom"/>
            <w:hideMark/>
          </w:tcPr>
          <w:p w14:paraId="23835DB4" w14:textId="77777777" w:rsidR="00A65E70" w:rsidRPr="00A65E70" w:rsidRDefault="00A65E70" w:rsidP="005E71B7">
            <w:pPr>
              <w:rPr>
                <w:rFonts w:eastAsia="Calibri"/>
              </w:rPr>
            </w:pPr>
            <w:r w:rsidRPr="00A65E70">
              <w:rPr>
                <w:rFonts w:eastAsia="Calibri"/>
              </w:rPr>
              <w:t>9</w:t>
            </w:r>
          </w:p>
        </w:tc>
        <w:tc>
          <w:tcPr>
            <w:tcW w:w="1198" w:type="dxa"/>
            <w:tcBorders>
              <w:top w:val="nil"/>
              <w:left w:val="nil"/>
              <w:bottom w:val="nil"/>
              <w:right w:val="nil"/>
            </w:tcBorders>
            <w:shd w:val="clear" w:color="auto" w:fill="auto"/>
            <w:noWrap/>
            <w:vAlign w:val="bottom"/>
            <w:hideMark/>
          </w:tcPr>
          <w:p w14:paraId="01AE7D4A" w14:textId="77777777" w:rsidR="00A65E70" w:rsidRPr="00A65E70" w:rsidRDefault="00A65E70" w:rsidP="005E71B7">
            <w:pPr>
              <w:rPr>
                <w:rFonts w:eastAsia="Calibri"/>
              </w:rPr>
            </w:pPr>
            <w:r w:rsidRPr="00A65E70">
              <w:rPr>
                <w:rFonts w:eastAsia="Calibri"/>
              </w:rPr>
              <w:t>63</w:t>
            </w:r>
          </w:p>
        </w:tc>
        <w:tc>
          <w:tcPr>
            <w:tcW w:w="1268" w:type="dxa"/>
            <w:tcBorders>
              <w:top w:val="nil"/>
              <w:left w:val="nil"/>
              <w:bottom w:val="nil"/>
              <w:right w:val="nil"/>
            </w:tcBorders>
            <w:shd w:val="clear" w:color="auto" w:fill="auto"/>
            <w:noWrap/>
            <w:vAlign w:val="bottom"/>
            <w:hideMark/>
          </w:tcPr>
          <w:p w14:paraId="1E092A85" w14:textId="77777777" w:rsidR="00A65E70" w:rsidRPr="00A65E70" w:rsidRDefault="00A65E70" w:rsidP="005E71B7">
            <w:pPr>
              <w:rPr>
                <w:rFonts w:eastAsia="Calibri"/>
              </w:rPr>
            </w:pPr>
            <w:r w:rsidRPr="00A65E70">
              <w:rPr>
                <w:rFonts w:eastAsia="Calibri"/>
              </w:rPr>
              <w:t>50.49</w:t>
            </w:r>
          </w:p>
        </w:tc>
        <w:tc>
          <w:tcPr>
            <w:tcW w:w="1276" w:type="dxa"/>
            <w:tcBorders>
              <w:top w:val="nil"/>
              <w:left w:val="nil"/>
              <w:bottom w:val="nil"/>
              <w:right w:val="nil"/>
            </w:tcBorders>
            <w:shd w:val="clear" w:color="auto" w:fill="auto"/>
            <w:noWrap/>
            <w:vAlign w:val="bottom"/>
            <w:hideMark/>
          </w:tcPr>
          <w:p w14:paraId="60B0F15B" w14:textId="77777777" w:rsidR="00A65E70" w:rsidRPr="00A65E70" w:rsidRDefault="00A65E70" w:rsidP="005E71B7">
            <w:pPr>
              <w:rPr>
                <w:rFonts w:eastAsia="Calibri"/>
              </w:rPr>
            </w:pPr>
            <w:r w:rsidRPr="00A65E70">
              <w:rPr>
                <w:rFonts w:eastAsia="Calibri"/>
              </w:rPr>
              <w:t>10.09</w:t>
            </w:r>
          </w:p>
        </w:tc>
      </w:tr>
      <w:tr w:rsidR="00A65E70" w:rsidRPr="00A65E70" w14:paraId="49F16ACC" w14:textId="77777777" w:rsidTr="007032DD">
        <w:trPr>
          <w:trHeight w:val="279"/>
        </w:trPr>
        <w:tc>
          <w:tcPr>
            <w:tcW w:w="2410" w:type="dxa"/>
            <w:tcBorders>
              <w:top w:val="nil"/>
              <w:left w:val="nil"/>
              <w:bottom w:val="nil"/>
              <w:right w:val="nil"/>
            </w:tcBorders>
            <w:shd w:val="clear" w:color="auto" w:fill="auto"/>
            <w:noWrap/>
            <w:hideMark/>
          </w:tcPr>
          <w:p w14:paraId="3F949CC5" w14:textId="77777777" w:rsidR="00A65E70" w:rsidRPr="00A65E70" w:rsidRDefault="00A65E70" w:rsidP="005E71B7">
            <w:pPr>
              <w:rPr>
                <w:rFonts w:eastAsia="Calibri"/>
              </w:rPr>
            </w:pPr>
            <w:r w:rsidRPr="00A65E70">
              <w:rPr>
                <w:rFonts w:eastAsia="Calibri"/>
              </w:rPr>
              <w:t>Presenteeism (/100)</w:t>
            </w:r>
          </w:p>
        </w:tc>
        <w:tc>
          <w:tcPr>
            <w:tcW w:w="885" w:type="dxa"/>
            <w:tcBorders>
              <w:top w:val="nil"/>
              <w:left w:val="nil"/>
              <w:bottom w:val="nil"/>
              <w:right w:val="nil"/>
            </w:tcBorders>
            <w:shd w:val="clear" w:color="auto" w:fill="auto"/>
            <w:noWrap/>
            <w:vAlign w:val="bottom"/>
            <w:hideMark/>
          </w:tcPr>
          <w:p w14:paraId="434EF7C6" w14:textId="77777777" w:rsidR="00A65E70" w:rsidRPr="00A65E70" w:rsidRDefault="00A65E70" w:rsidP="005E71B7">
            <w:pPr>
              <w:rPr>
                <w:rFonts w:eastAsia="Calibri"/>
              </w:rPr>
            </w:pPr>
            <w:r w:rsidRPr="00A65E70">
              <w:rPr>
                <w:rFonts w:eastAsia="Calibri"/>
              </w:rPr>
              <w:t>4117</w:t>
            </w:r>
          </w:p>
        </w:tc>
        <w:tc>
          <w:tcPr>
            <w:tcW w:w="1185" w:type="dxa"/>
            <w:tcBorders>
              <w:top w:val="nil"/>
              <w:left w:val="nil"/>
              <w:bottom w:val="nil"/>
              <w:right w:val="nil"/>
            </w:tcBorders>
            <w:shd w:val="clear" w:color="auto" w:fill="auto"/>
            <w:noWrap/>
            <w:vAlign w:val="bottom"/>
            <w:hideMark/>
          </w:tcPr>
          <w:p w14:paraId="47844856" w14:textId="77777777" w:rsidR="00A65E70" w:rsidRPr="00A65E70" w:rsidRDefault="00A65E70" w:rsidP="005E71B7">
            <w:pPr>
              <w:rPr>
                <w:rFonts w:eastAsia="Calibri"/>
              </w:rPr>
            </w:pPr>
            <w:r w:rsidRPr="00A65E70">
              <w:rPr>
                <w:rFonts w:eastAsia="Calibri"/>
              </w:rPr>
              <w:t>0</w:t>
            </w:r>
          </w:p>
        </w:tc>
        <w:tc>
          <w:tcPr>
            <w:tcW w:w="1198" w:type="dxa"/>
            <w:tcBorders>
              <w:top w:val="nil"/>
              <w:left w:val="nil"/>
              <w:bottom w:val="nil"/>
              <w:right w:val="nil"/>
            </w:tcBorders>
            <w:shd w:val="clear" w:color="auto" w:fill="auto"/>
            <w:noWrap/>
            <w:vAlign w:val="bottom"/>
            <w:hideMark/>
          </w:tcPr>
          <w:p w14:paraId="38D7EA2D" w14:textId="77777777" w:rsidR="00A65E70" w:rsidRPr="00A65E70" w:rsidRDefault="00A65E70" w:rsidP="005E71B7">
            <w:pPr>
              <w:rPr>
                <w:rFonts w:eastAsia="Calibri"/>
              </w:rPr>
            </w:pPr>
            <w:r w:rsidRPr="00A65E70">
              <w:rPr>
                <w:rFonts w:eastAsia="Calibri"/>
              </w:rPr>
              <w:t>100</w:t>
            </w:r>
          </w:p>
        </w:tc>
        <w:tc>
          <w:tcPr>
            <w:tcW w:w="1268" w:type="dxa"/>
            <w:tcBorders>
              <w:top w:val="nil"/>
              <w:left w:val="nil"/>
              <w:bottom w:val="nil"/>
              <w:right w:val="nil"/>
            </w:tcBorders>
            <w:shd w:val="clear" w:color="auto" w:fill="auto"/>
            <w:noWrap/>
            <w:vAlign w:val="bottom"/>
            <w:hideMark/>
          </w:tcPr>
          <w:p w14:paraId="4E3F9F82" w14:textId="77777777" w:rsidR="00A65E70" w:rsidRPr="00A65E70" w:rsidRDefault="00A65E70" w:rsidP="005E71B7">
            <w:pPr>
              <w:rPr>
                <w:rFonts w:eastAsia="Calibri"/>
              </w:rPr>
            </w:pPr>
            <w:r w:rsidRPr="00A65E70">
              <w:rPr>
                <w:rFonts w:eastAsia="Calibri"/>
              </w:rPr>
              <w:t>79.65</w:t>
            </w:r>
          </w:p>
        </w:tc>
        <w:tc>
          <w:tcPr>
            <w:tcW w:w="1276" w:type="dxa"/>
            <w:tcBorders>
              <w:top w:val="nil"/>
              <w:left w:val="nil"/>
              <w:bottom w:val="nil"/>
              <w:right w:val="nil"/>
            </w:tcBorders>
            <w:shd w:val="clear" w:color="auto" w:fill="auto"/>
            <w:noWrap/>
            <w:vAlign w:val="bottom"/>
            <w:hideMark/>
          </w:tcPr>
          <w:p w14:paraId="79D70BED" w14:textId="77777777" w:rsidR="00A65E70" w:rsidRPr="00A65E70" w:rsidRDefault="00A65E70" w:rsidP="005E71B7">
            <w:pPr>
              <w:rPr>
                <w:rFonts w:eastAsia="Calibri"/>
              </w:rPr>
            </w:pPr>
            <w:r w:rsidRPr="00A65E70">
              <w:rPr>
                <w:rFonts w:eastAsia="Calibri"/>
              </w:rPr>
              <w:t>10.75</w:t>
            </w:r>
          </w:p>
        </w:tc>
      </w:tr>
      <w:tr w:rsidR="00A65E70" w:rsidRPr="00A65E70" w14:paraId="0CC1B3D1" w14:textId="77777777" w:rsidTr="007032DD">
        <w:trPr>
          <w:trHeight w:val="292"/>
        </w:trPr>
        <w:tc>
          <w:tcPr>
            <w:tcW w:w="2410" w:type="dxa"/>
            <w:tcBorders>
              <w:top w:val="nil"/>
              <w:left w:val="nil"/>
              <w:bottom w:val="single" w:sz="18" w:space="0" w:color="auto"/>
              <w:right w:val="nil"/>
            </w:tcBorders>
            <w:shd w:val="clear" w:color="auto" w:fill="auto"/>
            <w:noWrap/>
            <w:hideMark/>
          </w:tcPr>
          <w:p w14:paraId="4D9AFCEF" w14:textId="77777777" w:rsidR="00A65E70" w:rsidRPr="00A65E70" w:rsidRDefault="00A65E70" w:rsidP="005E71B7">
            <w:pPr>
              <w:rPr>
                <w:rFonts w:eastAsia="Calibri"/>
              </w:rPr>
            </w:pPr>
            <w:r w:rsidRPr="00A65E70">
              <w:rPr>
                <w:rFonts w:eastAsia="Calibri"/>
              </w:rPr>
              <w:t xml:space="preserve">Sickness Absence </w:t>
            </w:r>
          </w:p>
        </w:tc>
        <w:tc>
          <w:tcPr>
            <w:tcW w:w="885" w:type="dxa"/>
            <w:tcBorders>
              <w:top w:val="nil"/>
              <w:left w:val="nil"/>
              <w:bottom w:val="single" w:sz="18" w:space="0" w:color="auto"/>
              <w:right w:val="nil"/>
            </w:tcBorders>
            <w:shd w:val="clear" w:color="auto" w:fill="auto"/>
            <w:noWrap/>
            <w:vAlign w:val="bottom"/>
            <w:hideMark/>
          </w:tcPr>
          <w:p w14:paraId="4DE63B15" w14:textId="77777777" w:rsidR="00A65E70" w:rsidRPr="00A65E70" w:rsidRDefault="00A65E70" w:rsidP="005E71B7">
            <w:pPr>
              <w:rPr>
                <w:rFonts w:eastAsia="Calibri"/>
              </w:rPr>
            </w:pPr>
            <w:r w:rsidRPr="00A65E70">
              <w:rPr>
                <w:rFonts w:eastAsia="Calibri"/>
              </w:rPr>
              <w:t>4159</w:t>
            </w:r>
          </w:p>
        </w:tc>
        <w:tc>
          <w:tcPr>
            <w:tcW w:w="1185" w:type="dxa"/>
            <w:tcBorders>
              <w:top w:val="nil"/>
              <w:left w:val="nil"/>
              <w:bottom w:val="single" w:sz="18" w:space="0" w:color="auto"/>
              <w:right w:val="nil"/>
            </w:tcBorders>
            <w:shd w:val="clear" w:color="auto" w:fill="auto"/>
            <w:noWrap/>
            <w:vAlign w:val="bottom"/>
            <w:hideMark/>
          </w:tcPr>
          <w:p w14:paraId="147581CD" w14:textId="77777777" w:rsidR="00A65E70" w:rsidRPr="00A65E70" w:rsidRDefault="00A65E70" w:rsidP="005E71B7">
            <w:pPr>
              <w:rPr>
                <w:rFonts w:eastAsia="Calibri"/>
              </w:rPr>
            </w:pPr>
            <w:r w:rsidRPr="00A65E70">
              <w:rPr>
                <w:rFonts w:eastAsia="Calibri"/>
              </w:rPr>
              <w:t>0</w:t>
            </w:r>
          </w:p>
        </w:tc>
        <w:tc>
          <w:tcPr>
            <w:tcW w:w="1198" w:type="dxa"/>
            <w:tcBorders>
              <w:top w:val="nil"/>
              <w:left w:val="nil"/>
              <w:bottom w:val="single" w:sz="18" w:space="0" w:color="auto"/>
              <w:right w:val="nil"/>
            </w:tcBorders>
            <w:shd w:val="clear" w:color="auto" w:fill="auto"/>
            <w:noWrap/>
            <w:vAlign w:val="bottom"/>
            <w:hideMark/>
          </w:tcPr>
          <w:p w14:paraId="7B0161E5" w14:textId="77777777" w:rsidR="00A65E70" w:rsidRPr="00A65E70" w:rsidRDefault="00A65E70" w:rsidP="005E71B7">
            <w:pPr>
              <w:rPr>
                <w:rFonts w:eastAsia="Calibri"/>
              </w:rPr>
            </w:pPr>
            <w:r w:rsidRPr="00A65E70">
              <w:rPr>
                <w:rFonts w:eastAsia="Calibri"/>
              </w:rPr>
              <w:t>28</w:t>
            </w:r>
          </w:p>
        </w:tc>
        <w:tc>
          <w:tcPr>
            <w:tcW w:w="1268" w:type="dxa"/>
            <w:tcBorders>
              <w:top w:val="nil"/>
              <w:left w:val="nil"/>
              <w:bottom w:val="single" w:sz="18" w:space="0" w:color="auto"/>
              <w:right w:val="nil"/>
            </w:tcBorders>
            <w:shd w:val="clear" w:color="auto" w:fill="auto"/>
            <w:noWrap/>
            <w:vAlign w:val="bottom"/>
            <w:hideMark/>
          </w:tcPr>
          <w:p w14:paraId="7F1598E1" w14:textId="77777777" w:rsidR="00A65E70" w:rsidRPr="00A65E70" w:rsidRDefault="00A65E70" w:rsidP="005E71B7">
            <w:pPr>
              <w:rPr>
                <w:rFonts w:eastAsia="Calibri"/>
              </w:rPr>
            </w:pPr>
            <w:r w:rsidRPr="00A65E70">
              <w:rPr>
                <w:rFonts w:eastAsia="Calibri"/>
              </w:rPr>
              <w:t>0.56</w:t>
            </w:r>
          </w:p>
        </w:tc>
        <w:tc>
          <w:tcPr>
            <w:tcW w:w="1276" w:type="dxa"/>
            <w:tcBorders>
              <w:top w:val="nil"/>
              <w:left w:val="nil"/>
              <w:bottom w:val="single" w:sz="18" w:space="0" w:color="auto"/>
              <w:right w:val="nil"/>
            </w:tcBorders>
            <w:shd w:val="clear" w:color="auto" w:fill="auto"/>
            <w:noWrap/>
            <w:vAlign w:val="bottom"/>
            <w:hideMark/>
          </w:tcPr>
          <w:p w14:paraId="7A96F854" w14:textId="77777777" w:rsidR="00A65E70" w:rsidRPr="00A65E70" w:rsidRDefault="00A65E70" w:rsidP="005E71B7">
            <w:pPr>
              <w:rPr>
                <w:rFonts w:eastAsia="Calibri"/>
              </w:rPr>
            </w:pPr>
            <w:r w:rsidRPr="00A65E70">
              <w:rPr>
                <w:rFonts w:eastAsia="Calibri"/>
              </w:rPr>
              <w:t>2.30</w:t>
            </w:r>
          </w:p>
        </w:tc>
      </w:tr>
    </w:tbl>
    <w:p w14:paraId="7E1C11CB" w14:textId="77777777" w:rsidR="00A65E70" w:rsidRPr="00A65E70" w:rsidRDefault="00A65E70" w:rsidP="00A65E70">
      <w:pPr>
        <w:spacing w:after="160" w:line="259" w:lineRule="auto"/>
        <w:rPr>
          <w:rFonts w:ascii="Adobe Garamond Pro" w:eastAsia="Calibri" w:hAnsi="Adobe Garamond Pro"/>
          <w:sz w:val="24"/>
          <w:szCs w:val="22"/>
          <w:lang w:eastAsia="en-US"/>
        </w:rPr>
      </w:pPr>
    </w:p>
    <w:p w14:paraId="256732EE" w14:textId="77777777" w:rsidR="00EE707B" w:rsidRDefault="00DF442A" w:rsidP="00DF442A">
      <w:pPr>
        <w:pStyle w:val="Heading2"/>
      </w:pPr>
      <w:r w:rsidRPr="00DF442A">
        <w:rPr>
          <w:lang w:eastAsia="en-US"/>
        </w:rPr>
        <w:t>1.</w:t>
      </w:r>
      <w:r>
        <w:t xml:space="preserve"> </w:t>
      </w:r>
      <w:r w:rsidR="00A65E70" w:rsidRPr="00A65E70">
        <w:t xml:space="preserve">Estimate the costs to employers of sickness absence and presenteeism that are associated with </w:t>
      </w:r>
      <w:r w:rsidR="006F2911">
        <w:t>PSC and the three psychological health outcomes</w:t>
      </w:r>
      <w:r w:rsidR="00A65E70" w:rsidRPr="00A65E70">
        <w:t xml:space="preserve"> </w:t>
      </w:r>
    </w:p>
    <w:p w14:paraId="30CB3FF4" w14:textId="135B01F8" w:rsidR="00A65E70" w:rsidRPr="00A65E70" w:rsidRDefault="00A65E70" w:rsidP="00D8244B">
      <w:pPr>
        <w:pStyle w:val="Caption"/>
        <w:rPr>
          <w:rFonts w:eastAsia="Calibri"/>
        </w:rPr>
      </w:pPr>
      <w:r w:rsidRPr="00A65E70">
        <w:rPr>
          <w:rFonts w:eastAsia="Calibri"/>
        </w:rPr>
        <w:t>Table 2 Logistic regression, sickness absence attributable to PSC and covariates</w:t>
      </w:r>
    </w:p>
    <w:tbl>
      <w:tblPr>
        <w:tblW w:w="9615" w:type="dxa"/>
        <w:tblLayout w:type="fixed"/>
        <w:tblLook w:val="04A0" w:firstRow="1" w:lastRow="0" w:firstColumn="1" w:lastColumn="0" w:noHBand="0" w:noVBand="1"/>
        <w:tblCaption w:val="Table 2 Logistic regression, sickness absence attributable to PSC and covariates"/>
        <w:tblDescription w:val="This table shows logistic regression and sickness absence attributable to PSC and covariates."/>
      </w:tblPr>
      <w:tblGrid>
        <w:gridCol w:w="1951"/>
        <w:gridCol w:w="1451"/>
        <w:gridCol w:w="993"/>
        <w:gridCol w:w="992"/>
        <w:gridCol w:w="1417"/>
        <w:gridCol w:w="709"/>
        <w:gridCol w:w="866"/>
        <w:gridCol w:w="1236"/>
      </w:tblGrid>
      <w:tr w:rsidR="00A65E70" w:rsidRPr="00A65E70" w14:paraId="1FC32B5F" w14:textId="77777777" w:rsidTr="00F4458D">
        <w:trPr>
          <w:trHeight w:val="313"/>
        </w:trPr>
        <w:tc>
          <w:tcPr>
            <w:tcW w:w="1951" w:type="dxa"/>
            <w:tcBorders>
              <w:top w:val="single" w:sz="18" w:space="0" w:color="auto"/>
              <w:left w:val="nil"/>
              <w:bottom w:val="single" w:sz="12" w:space="0" w:color="auto"/>
              <w:right w:val="nil"/>
            </w:tcBorders>
            <w:shd w:val="clear" w:color="auto" w:fill="auto"/>
            <w:noWrap/>
            <w:vAlign w:val="bottom"/>
            <w:hideMark/>
          </w:tcPr>
          <w:p w14:paraId="00614624" w14:textId="77777777" w:rsidR="00A65E70" w:rsidRPr="00A65E70" w:rsidRDefault="00A65E70" w:rsidP="005E71B7">
            <w:r w:rsidRPr="00A65E70">
              <w:t> </w:t>
            </w:r>
          </w:p>
        </w:tc>
        <w:tc>
          <w:tcPr>
            <w:tcW w:w="1451" w:type="dxa"/>
            <w:tcBorders>
              <w:top w:val="single" w:sz="18" w:space="0" w:color="auto"/>
              <w:left w:val="nil"/>
              <w:bottom w:val="single" w:sz="12" w:space="0" w:color="auto"/>
              <w:right w:val="nil"/>
            </w:tcBorders>
            <w:shd w:val="clear" w:color="auto" w:fill="auto"/>
            <w:noWrap/>
            <w:vAlign w:val="bottom"/>
            <w:hideMark/>
          </w:tcPr>
          <w:p w14:paraId="7139BA80" w14:textId="77777777" w:rsidR="00A65E70" w:rsidRDefault="00A65E70" w:rsidP="005E71B7">
            <w:r w:rsidRPr="00A65E70">
              <w:t>Prevalence</w:t>
            </w:r>
          </w:p>
          <w:p w14:paraId="2ECC8608" w14:textId="4EB4AA39" w:rsidR="005355BD" w:rsidRPr="00A65E70" w:rsidRDefault="005355BD" w:rsidP="005E71B7">
            <w:r>
              <w:t>(per cent)</w:t>
            </w:r>
          </w:p>
        </w:tc>
        <w:tc>
          <w:tcPr>
            <w:tcW w:w="993" w:type="dxa"/>
            <w:tcBorders>
              <w:top w:val="single" w:sz="18" w:space="0" w:color="auto"/>
              <w:left w:val="nil"/>
              <w:bottom w:val="single" w:sz="12" w:space="0" w:color="auto"/>
              <w:right w:val="nil"/>
            </w:tcBorders>
          </w:tcPr>
          <w:p w14:paraId="773EA829" w14:textId="77777777" w:rsidR="00A65E70" w:rsidRPr="00A65E70" w:rsidRDefault="00A65E70" w:rsidP="005E71B7">
            <w:pPr>
              <w:rPr>
                <w:i/>
              </w:rPr>
            </w:pPr>
            <w:r w:rsidRPr="00A65E70">
              <w:rPr>
                <w:i/>
              </w:rPr>
              <w:t>B</w:t>
            </w:r>
          </w:p>
        </w:tc>
        <w:tc>
          <w:tcPr>
            <w:tcW w:w="992" w:type="dxa"/>
            <w:tcBorders>
              <w:top w:val="single" w:sz="18" w:space="0" w:color="auto"/>
              <w:left w:val="nil"/>
              <w:bottom w:val="single" w:sz="12" w:space="0" w:color="auto"/>
              <w:right w:val="nil"/>
            </w:tcBorders>
            <w:shd w:val="clear" w:color="auto" w:fill="auto"/>
            <w:noWrap/>
            <w:vAlign w:val="bottom"/>
            <w:hideMark/>
          </w:tcPr>
          <w:p w14:paraId="39C63185" w14:textId="77777777" w:rsidR="00A65E70" w:rsidRPr="00A65E70" w:rsidRDefault="00A65E70" w:rsidP="005E71B7">
            <w:pPr>
              <w:rPr>
                <w:vertAlign w:val="superscript"/>
              </w:rPr>
            </w:pPr>
            <w:r w:rsidRPr="00A65E70">
              <w:t>RR</w:t>
            </w:r>
            <w:r w:rsidRPr="00A65E70">
              <w:rPr>
                <w:vertAlign w:val="superscript"/>
              </w:rPr>
              <w:t>a</w:t>
            </w:r>
          </w:p>
        </w:tc>
        <w:tc>
          <w:tcPr>
            <w:tcW w:w="1417" w:type="dxa"/>
            <w:tcBorders>
              <w:top w:val="single" w:sz="18" w:space="0" w:color="auto"/>
              <w:left w:val="nil"/>
              <w:bottom w:val="single" w:sz="12" w:space="0" w:color="auto"/>
              <w:right w:val="nil"/>
            </w:tcBorders>
            <w:shd w:val="clear" w:color="auto" w:fill="auto"/>
            <w:noWrap/>
            <w:vAlign w:val="bottom"/>
            <w:hideMark/>
          </w:tcPr>
          <w:p w14:paraId="03668247" w14:textId="7F1A3465" w:rsidR="00A65E70" w:rsidRPr="00A65E70" w:rsidRDefault="00A65E70" w:rsidP="005E71B7">
            <w:r w:rsidRPr="00A65E70">
              <w:t>95</w:t>
            </w:r>
            <w:r w:rsidR="005355BD">
              <w:t xml:space="preserve"> per cent</w:t>
            </w:r>
            <w:r w:rsidRPr="00A65E70">
              <w:t xml:space="preserve"> C.I.</w:t>
            </w:r>
          </w:p>
        </w:tc>
        <w:tc>
          <w:tcPr>
            <w:tcW w:w="709" w:type="dxa"/>
            <w:tcBorders>
              <w:top w:val="single" w:sz="18" w:space="0" w:color="auto"/>
              <w:left w:val="nil"/>
              <w:bottom w:val="single" w:sz="12" w:space="0" w:color="auto"/>
              <w:right w:val="nil"/>
            </w:tcBorders>
            <w:shd w:val="clear" w:color="auto" w:fill="auto"/>
            <w:noWrap/>
            <w:vAlign w:val="bottom"/>
            <w:hideMark/>
          </w:tcPr>
          <w:p w14:paraId="0EA091CC" w14:textId="77777777" w:rsidR="00A65E70" w:rsidRPr="00A65E70" w:rsidRDefault="00A65E70" w:rsidP="005E71B7">
            <w:r w:rsidRPr="00A65E70">
              <w:t>S.E.</w:t>
            </w:r>
          </w:p>
        </w:tc>
        <w:tc>
          <w:tcPr>
            <w:tcW w:w="866" w:type="dxa"/>
            <w:tcBorders>
              <w:top w:val="single" w:sz="18" w:space="0" w:color="auto"/>
              <w:left w:val="nil"/>
              <w:bottom w:val="single" w:sz="12" w:space="0" w:color="auto"/>
              <w:right w:val="nil"/>
            </w:tcBorders>
            <w:shd w:val="clear" w:color="auto" w:fill="auto"/>
            <w:noWrap/>
            <w:vAlign w:val="bottom"/>
            <w:hideMark/>
          </w:tcPr>
          <w:p w14:paraId="4105F4D5" w14:textId="77777777" w:rsidR="00A65E70" w:rsidRPr="00A65E70" w:rsidRDefault="00A65E70" w:rsidP="005E71B7">
            <w:r w:rsidRPr="00A65E70">
              <w:t>Sig</w:t>
            </w:r>
          </w:p>
        </w:tc>
        <w:tc>
          <w:tcPr>
            <w:tcW w:w="1236" w:type="dxa"/>
            <w:tcBorders>
              <w:top w:val="single" w:sz="18" w:space="0" w:color="auto"/>
              <w:left w:val="nil"/>
              <w:bottom w:val="single" w:sz="12" w:space="0" w:color="auto"/>
              <w:right w:val="nil"/>
            </w:tcBorders>
            <w:shd w:val="clear" w:color="auto" w:fill="auto"/>
            <w:noWrap/>
            <w:vAlign w:val="bottom"/>
            <w:hideMark/>
          </w:tcPr>
          <w:p w14:paraId="48F1A365" w14:textId="645093BD" w:rsidR="005355BD" w:rsidRDefault="00A65E70" w:rsidP="005E71B7">
            <w:r w:rsidRPr="00A65E70">
              <w:t>PAR</w:t>
            </w:r>
          </w:p>
          <w:p w14:paraId="1C8E7249" w14:textId="2B58F403" w:rsidR="00A65E70" w:rsidRPr="00A65E70" w:rsidRDefault="00A65E70" w:rsidP="005E71B7">
            <w:r w:rsidRPr="00A65E70">
              <w:t>(</w:t>
            </w:r>
            <w:r w:rsidR="005355BD">
              <w:t>per cent</w:t>
            </w:r>
            <w:r w:rsidRPr="00A65E70">
              <w:t>)</w:t>
            </w:r>
          </w:p>
        </w:tc>
      </w:tr>
      <w:tr w:rsidR="00CF6265" w:rsidRPr="00A65E70" w14:paraId="115DB1C4" w14:textId="77777777" w:rsidTr="00F4458D">
        <w:trPr>
          <w:trHeight w:val="299"/>
        </w:trPr>
        <w:tc>
          <w:tcPr>
            <w:tcW w:w="1951" w:type="dxa"/>
            <w:tcBorders>
              <w:top w:val="nil"/>
              <w:left w:val="nil"/>
              <w:bottom w:val="nil"/>
              <w:right w:val="nil"/>
            </w:tcBorders>
            <w:shd w:val="clear" w:color="auto" w:fill="auto"/>
            <w:noWrap/>
            <w:vAlign w:val="bottom"/>
          </w:tcPr>
          <w:p w14:paraId="7EA07F91" w14:textId="77777777" w:rsidR="00CF6265" w:rsidRPr="00A65E70" w:rsidRDefault="00CF6265" w:rsidP="005E71B7"/>
        </w:tc>
        <w:tc>
          <w:tcPr>
            <w:tcW w:w="1451" w:type="dxa"/>
            <w:tcBorders>
              <w:top w:val="nil"/>
              <w:left w:val="nil"/>
              <w:bottom w:val="nil"/>
              <w:right w:val="nil"/>
            </w:tcBorders>
            <w:shd w:val="clear" w:color="auto" w:fill="auto"/>
            <w:noWrap/>
            <w:vAlign w:val="bottom"/>
          </w:tcPr>
          <w:p w14:paraId="6E4AD170" w14:textId="77777777" w:rsidR="00CF6265" w:rsidRPr="00A65E70" w:rsidRDefault="00CF6265" w:rsidP="005E71B7"/>
        </w:tc>
        <w:tc>
          <w:tcPr>
            <w:tcW w:w="993" w:type="dxa"/>
            <w:tcBorders>
              <w:top w:val="nil"/>
              <w:left w:val="nil"/>
              <w:bottom w:val="nil"/>
              <w:right w:val="nil"/>
            </w:tcBorders>
          </w:tcPr>
          <w:p w14:paraId="4751A7F4" w14:textId="77777777" w:rsidR="00CF6265" w:rsidRPr="00A65E70" w:rsidRDefault="00CF6265" w:rsidP="005E71B7"/>
        </w:tc>
        <w:tc>
          <w:tcPr>
            <w:tcW w:w="992" w:type="dxa"/>
            <w:tcBorders>
              <w:top w:val="nil"/>
              <w:left w:val="nil"/>
              <w:bottom w:val="nil"/>
              <w:right w:val="nil"/>
            </w:tcBorders>
            <w:shd w:val="clear" w:color="auto" w:fill="auto"/>
            <w:noWrap/>
            <w:vAlign w:val="bottom"/>
          </w:tcPr>
          <w:p w14:paraId="22A515A2" w14:textId="0A91D035" w:rsidR="00CF6265" w:rsidRPr="00A65E70" w:rsidRDefault="00CF6265" w:rsidP="005E71B7">
            <w:r w:rsidRPr="00A65E70">
              <w:rPr>
                <w:i/>
                <w:iCs/>
              </w:rPr>
              <w:t>Only PSC in model</w:t>
            </w:r>
          </w:p>
        </w:tc>
        <w:tc>
          <w:tcPr>
            <w:tcW w:w="1417" w:type="dxa"/>
            <w:tcBorders>
              <w:top w:val="nil"/>
              <w:left w:val="nil"/>
              <w:bottom w:val="nil"/>
              <w:right w:val="nil"/>
            </w:tcBorders>
            <w:shd w:val="clear" w:color="auto" w:fill="auto"/>
            <w:noWrap/>
            <w:vAlign w:val="bottom"/>
          </w:tcPr>
          <w:p w14:paraId="323BA119" w14:textId="77777777" w:rsidR="00CF6265" w:rsidRPr="00A65E70" w:rsidRDefault="00CF6265" w:rsidP="005E71B7"/>
        </w:tc>
        <w:tc>
          <w:tcPr>
            <w:tcW w:w="709" w:type="dxa"/>
            <w:tcBorders>
              <w:top w:val="nil"/>
              <w:left w:val="nil"/>
              <w:bottom w:val="nil"/>
              <w:right w:val="nil"/>
            </w:tcBorders>
            <w:shd w:val="clear" w:color="auto" w:fill="auto"/>
            <w:noWrap/>
            <w:vAlign w:val="bottom"/>
          </w:tcPr>
          <w:p w14:paraId="34A00D3B" w14:textId="77777777" w:rsidR="00CF6265" w:rsidRPr="00A65E70" w:rsidRDefault="00CF6265" w:rsidP="005E71B7"/>
        </w:tc>
        <w:tc>
          <w:tcPr>
            <w:tcW w:w="866" w:type="dxa"/>
            <w:tcBorders>
              <w:top w:val="nil"/>
              <w:left w:val="nil"/>
              <w:bottom w:val="nil"/>
              <w:right w:val="nil"/>
            </w:tcBorders>
            <w:shd w:val="clear" w:color="auto" w:fill="auto"/>
            <w:noWrap/>
            <w:vAlign w:val="bottom"/>
          </w:tcPr>
          <w:p w14:paraId="7B285F68" w14:textId="77777777" w:rsidR="00CF6265" w:rsidRPr="00A65E70" w:rsidRDefault="00CF6265" w:rsidP="005E71B7"/>
        </w:tc>
        <w:tc>
          <w:tcPr>
            <w:tcW w:w="1236" w:type="dxa"/>
            <w:tcBorders>
              <w:top w:val="nil"/>
              <w:left w:val="nil"/>
              <w:bottom w:val="nil"/>
              <w:right w:val="nil"/>
            </w:tcBorders>
            <w:shd w:val="clear" w:color="auto" w:fill="auto"/>
            <w:noWrap/>
            <w:vAlign w:val="bottom"/>
          </w:tcPr>
          <w:p w14:paraId="56E103DA" w14:textId="77777777" w:rsidR="00CF6265" w:rsidRPr="00A65E70" w:rsidRDefault="00CF6265" w:rsidP="005E71B7"/>
        </w:tc>
      </w:tr>
      <w:tr w:rsidR="00A65E70" w:rsidRPr="00A65E70" w14:paraId="56B0C477" w14:textId="77777777" w:rsidTr="00F4458D">
        <w:trPr>
          <w:trHeight w:val="299"/>
        </w:trPr>
        <w:tc>
          <w:tcPr>
            <w:tcW w:w="1951" w:type="dxa"/>
            <w:tcBorders>
              <w:top w:val="nil"/>
              <w:left w:val="nil"/>
              <w:bottom w:val="nil"/>
              <w:right w:val="nil"/>
            </w:tcBorders>
            <w:shd w:val="clear" w:color="auto" w:fill="auto"/>
            <w:noWrap/>
            <w:vAlign w:val="bottom"/>
            <w:hideMark/>
          </w:tcPr>
          <w:p w14:paraId="61F38910" w14:textId="77777777" w:rsidR="00A65E70" w:rsidRPr="00A65E70" w:rsidRDefault="00A65E70" w:rsidP="005E71B7">
            <w:r w:rsidRPr="00A65E70">
              <w:t>Low PSC</w:t>
            </w:r>
          </w:p>
        </w:tc>
        <w:tc>
          <w:tcPr>
            <w:tcW w:w="1451" w:type="dxa"/>
            <w:tcBorders>
              <w:top w:val="nil"/>
              <w:left w:val="nil"/>
              <w:bottom w:val="nil"/>
              <w:right w:val="nil"/>
            </w:tcBorders>
            <w:shd w:val="clear" w:color="auto" w:fill="auto"/>
            <w:noWrap/>
            <w:vAlign w:val="bottom"/>
            <w:hideMark/>
          </w:tcPr>
          <w:p w14:paraId="56DE1D87" w14:textId="0E95F188" w:rsidR="00A65E70" w:rsidRPr="00A65E70" w:rsidRDefault="00A65E70" w:rsidP="005E71B7">
            <w:r w:rsidRPr="00A65E70">
              <w:t>32.9</w:t>
            </w:r>
          </w:p>
        </w:tc>
        <w:tc>
          <w:tcPr>
            <w:tcW w:w="993" w:type="dxa"/>
            <w:tcBorders>
              <w:top w:val="nil"/>
              <w:left w:val="nil"/>
              <w:bottom w:val="nil"/>
              <w:right w:val="nil"/>
            </w:tcBorders>
          </w:tcPr>
          <w:p w14:paraId="221FA168" w14:textId="77777777" w:rsidR="00A65E70" w:rsidRPr="00A65E70" w:rsidRDefault="00A65E70" w:rsidP="005E71B7">
            <w:r w:rsidRPr="00A65E70">
              <w:t>0.33</w:t>
            </w:r>
          </w:p>
        </w:tc>
        <w:tc>
          <w:tcPr>
            <w:tcW w:w="992" w:type="dxa"/>
            <w:tcBorders>
              <w:top w:val="nil"/>
              <w:left w:val="nil"/>
              <w:bottom w:val="nil"/>
              <w:right w:val="nil"/>
            </w:tcBorders>
            <w:shd w:val="clear" w:color="auto" w:fill="auto"/>
            <w:noWrap/>
            <w:vAlign w:val="bottom"/>
            <w:hideMark/>
          </w:tcPr>
          <w:p w14:paraId="327FD2B2" w14:textId="77777777" w:rsidR="00A65E70" w:rsidRPr="00A65E70" w:rsidRDefault="00A65E70" w:rsidP="005E71B7">
            <w:r w:rsidRPr="00A65E70">
              <w:t>1.40</w:t>
            </w:r>
          </w:p>
        </w:tc>
        <w:tc>
          <w:tcPr>
            <w:tcW w:w="1417" w:type="dxa"/>
            <w:tcBorders>
              <w:top w:val="nil"/>
              <w:left w:val="nil"/>
              <w:bottom w:val="nil"/>
              <w:right w:val="nil"/>
            </w:tcBorders>
            <w:shd w:val="clear" w:color="auto" w:fill="auto"/>
            <w:noWrap/>
            <w:vAlign w:val="bottom"/>
            <w:hideMark/>
          </w:tcPr>
          <w:p w14:paraId="6CC2CE2E" w14:textId="77777777" w:rsidR="00A65E70" w:rsidRPr="00A65E70" w:rsidRDefault="00A65E70" w:rsidP="005E71B7">
            <w:r w:rsidRPr="00A65E70">
              <w:t>1.08-1.80</w:t>
            </w:r>
          </w:p>
        </w:tc>
        <w:tc>
          <w:tcPr>
            <w:tcW w:w="709" w:type="dxa"/>
            <w:tcBorders>
              <w:top w:val="nil"/>
              <w:left w:val="nil"/>
              <w:bottom w:val="nil"/>
              <w:right w:val="nil"/>
            </w:tcBorders>
            <w:shd w:val="clear" w:color="auto" w:fill="auto"/>
            <w:noWrap/>
            <w:vAlign w:val="bottom"/>
            <w:hideMark/>
          </w:tcPr>
          <w:p w14:paraId="086C9A8C" w14:textId="77777777" w:rsidR="00A65E70" w:rsidRPr="00A65E70" w:rsidRDefault="00A65E70" w:rsidP="005E71B7">
            <w:r w:rsidRPr="00A65E70">
              <w:t>0.13</w:t>
            </w:r>
          </w:p>
        </w:tc>
        <w:tc>
          <w:tcPr>
            <w:tcW w:w="866" w:type="dxa"/>
            <w:tcBorders>
              <w:top w:val="nil"/>
              <w:left w:val="nil"/>
              <w:bottom w:val="nil"/>
              <w:right w:val="nil"/>
            </w:tcBorders>
            <w:shd w:val="clear" w:color="auto" w:fill="auto"/>
            <w:noWrap/>
            <w:vAlign w:val="bottom"/>
            <w:hideMark/>
          </w:tcPr>
          <w:p w14:paraId="4971ACA0" w14:textId="77777777" w:rsidR="00A65E70" w:rsidRPr="00A65E70" w:rsidRDefault="00A65E70" w:rsidP="005E71B7">
            <w:r w:rsidRPr="00A65E70">
              <w:t>0.01</w:t>
            </w:r>
          </w:p>
        </w:tc>
        <w:tc>
          <w:tcPr>
            <w:tcW w:w="1236" w:type="dxa"/>
            <w:tcBorders>
              <w:top w:val="nil"/>
              <w:left w:val="nil"/>
              <w:bottom w:val="nil"/>
              <w:right w:val="nil"/>
            </w:tcBorders>
            <w:shd w:val="clear" w:color="auto" w:fill="auto"/>
            <w:noWrap/>
            <w:vAlign w:val="bottom"/>
            <w:hideMark/>
          </w:tcPr>
          <w:p w14:paraId="28F83FB5" w14:textId="295FAB1A" w:rsidR="00A65E70" w:rsidRPr="00A65E70" w:rsidRDefault="00A65E70" w:rsidP="005E71B7">
            <w:r w:rsidRPr="00A65E70">
              <w:t>11.6</w:t>
            </w:r>
          </w:p>
        </w:tc>
      </w:tr>
      <w:tr w:rsidR="00CF6265" w:rsidRPr="00A65E70" w14:paraId="43430F72" w14:textId="77777777" w:rsidTr="00F4458D">
        <w:trPr>
          <w:trHeight w:val="299"/>
        </w:trPr>
        <w:tc>
          <w:tcPr>
            <w:tcW w:w="1951" w:type="dxa"/>
            <w:tcBorders>
              <w:top w:val="nil"/>
              <w:left w:val="nil"/>
              <w:bottom w:val="nil"/>
              <w:right w:val="nil"/>
            </w:tcBorders>
            <w:shd w:val="clear" w:color="auto" w:fill="auto"/>
            <w:noWrap/>
            <w:vAlign w:val="bottom"/>
          </w:tcPr>
          <w:p w14:paraId="07AB1F19" w14:textId="77777777" w:rsidR="00CF6265" w:rsidRPr="00A65E70" w:rsidRDefault="00CF6265" w:rsidP="005E71B7"/>
        </w:tc>
        <w:tc>
          <w:tcPr>
            <w:tcW w:w="1451" w:type="dxa"/>
            <w:tcBorders>
              <w:top w:val="nil"/>
              <w:left w:val="nil"/>
              <w:bottom w:val="nil"/>
              <w:right w:val="nil"/>
            </w:tcBorders>
            <w:shd w:val="clear" w:color="auto" w:fill="auto"/>
            <w:noWrap/>
            <w:vAlign w:val="bottom"/>
          </w:tcPr>
          <w:p w14:paraId="4AD4B735" w14:textId="77777777" w:rsidR="00CF6265" w:rsidRPr="00A65E70" w:rsidRDefault="00CF6265" w:rsidP="005E71B7"/>
        </w:tc>
        <w:tc>
          <w:tcPr>
            <w:tcW w:w="993" w:type="dxa"/>
            <w:tcBorders>
              <w:top w:val="nil"/>
              <w:left w:val="nil"/>
              <w:bottom w:val="nil"/>
              <w:right w:val="nil"/>
            </w:tcBorders>
          </w:tcPr>
          <w:p w14:paraId="5D853DC6" w14:textId="77777777" w:rsidR="00CF6265" w:rsidRPr="00A65E70" w:rsidRDefault="00CF6265" w:rsidP="005E71B7">
            <w:pPr>
              <w:rPr>
                <w:rFonts w:eastAsia="Calibri"/>
                <w:sz w:val="24"/>
                <w:lang w:eastAsia="en-US"/>
              </w:rPr>
            </w:pPr>
          </w:p>
        </w:tc>
        <w:tc>
          <w:tcPr>
            <w:tcW w:w="992" w:type="dxa"/>
            <w:tcBorders>
              <w:top w:val="nil"/>
              <w:left w:val="nil"/>
              <w:bottom w:val="nil"/>
              <w:right w:val="nil"/>
            </w:tcBorders>
            <w:shd w:val="clear" w:color="auto" w:fill="auto"/>
            <w:noWrap/>
            <w:vAlign w:val="bottom"/>
          </w:tcPr>
          <w:p w14:paraId="5B9FC6BF" w14:textId="00D23B01" w:rsidR="00CF6265" w:rsidRPr="00A65E70" w:rsidRDefault="00CF6265" w:rsidP="005E71B7">
            <w:r w:rsidRPr="00A65E70">
              <w:rPr>
                <w:i/>
                <w:iCs/>
              </w:rPr>
              <w:t>All factors in model</w:t>
            </w:r>
          </w:p>
        </w:tc>
        <w:tc>
          <w:tcPr>
            <w:tcW w:w="1417" w:type="dxa"/>
            <w:tcBorders>
              <w:top w:val="nil"/>
              <w:left w:val="nil"/>
              <w:bottom w:val="nil"/>
              <w:right w:val="nil"/>
            </w:tcBorders>
            <w:shd w:val="clear" w:color="auto" w:fill="auto"/>
            <w:noWrap/>
            <w:vAlign w:val="bottom"/>
          </w:tcPr>
          <w:p w14:paraId="1B9863DB" w14:textId="77777777" w:rsidR="00CF6265" w:rsidRPr="00A65E70" w:rsidRDefault="00CF6265" w:rsidP="005E71B7"/>
        </w:tc>
        <w:tc>
          <w:tcPr>
            <w:tcW w:w="709" w:type="dxa"/>
            <w:tcBorders>
              <w:top w:val="nil"/>
              <w:left w:val="nil"/>
              <w:bottom w:val="nil"/>
              <w:right w:val="nil"/>
            </w:tcBorders>
            <w:shd w:val="clear" w:color="auto" w:fill="auto"/>
            <w:noWrap/>
            <w:vAlign w:val="bottom"/>
          </w:tcPr>
          <w:p w14:paraId="403B9390" w14:textId="77777777" w:rsidR="00CF6265" w:rsidRPr="00A65E70" w:rsidRDefault="00CF6265" w:rsidP="005E71B7"/>
        </w:tc>
        <w:tc>
          <w:tcPr>
            <w:tcW w:w="866" w:type="dxa"/>
            <w:tcBorders>
              <w:top w:val="nil"/>
              <w:left w:val="nil"/>
              <w:bottom w:val="nil"/>
              <w:right w:val="nil"/>
            </w:tcBorders>
            <w:shd w:val="clear" w:color="auto" w:fill="auto"/>
            <w:noWrap/>
            <w:vAlign w:val="bottom"/>
          </w:tcPr>
          <w:p w14:paraId="4898CE55" w14:textId="77777777" w:rsidR="00CF6265" w:rsidRPr="00A65E70" w:rsidRDefault="00CF6265" w:rsidP="005E71B7"/>
        </w:tc>
        <w:tc>
          <w:tcPr>
            <w:tcW w:w="1236" w:type="dxa"/>
            <w:tcBorders>
              <w:top w:val="nil"/>
              <w:left w:val="nil"/>
              <w:bottom w:val="nil"/>
              <w:right w:val="nil"/>
            </w:tcBorders>
            <w:shd w:val="clear" w:color="auto" w:fill="auto"/>
            <w:noWrap/>
            <w:vAlign w:val="bottom"/>
          </w:tcPr>
          <w:p w14:paraId="2930769C" w14:textId="77777777" w:rsidR="00CF6265" w:rsidRPr="00A65E70" w:rsidRDefault="00CF6265" w:rsidP="005E71B7"/>
        </w:tc>
      </w:tr>
      <w:tr w:rsidR="00A65E70" w:rsidRPr="00A65E70" w14:paraId="37B47550" w14:textId="77777777" w:rsidTr="00F4458D">
        <w:trPr>
          <w:trHeight w:val="299"/>
        </w:trPr>
        <w:tc>
          <w:tcPr>
            <w:tcW w:w="1951" w:type="dxa"/>
            <w:tcBorders>
              <w:top w:val="nil"/>
              <w:left w:val="nil"/>
              <w:bottom w:val="nil"/>
              <w:right w:val="nil"/>
            </w:tcBorders>
            <w:shd w:val="clear" w:color="auto" w:fill="auto"/>
            <w:noWrap/>
            <w:vAlign w:val="bottom"/>
            <w:hideMark/>
          </w:tcPr>
          <w:p w14:paraId="7F436946" w14:textId="77777777" w:rsidR="00A65E70" w:rsidRPr="00A65E70" w:rsidRDefault="00A65E70" w:rsidP="005E71B7">
            <w:r w:rsidRPr="00A65E70">
              <w:t>Low PSC</w:t>
            </w:r>
          </w:p>
        </w:tc>
        <w:tc>
          <w:tcPr>
            <w:tcW w:w="1451" w:type="dxa"/>
            <w:tcBorders>
              <w:top w:val="nil"/>
              <w:left w:val="nil"/>
              <w:bottom w:val="nil"/>
              <w:right w:val="nil"/>
            </w:tcBorders>
            <w:shd w:val="clear" w:color="auto" w:fill="auto"/>
            <w:noWrap/>
            <w:vAlign w:val="bottom"/>
            <w:hideMark/>
          </w:tcPr>
          <w:p w14:paraId="582AA9F9" w14:textId="5633BCDE" w:rsidR="00A65E70" w:rsidRPr="00A65E70" w:rsidRDefault="00A65E70" w:rsidP="005E71B7">
            <w:r w:rsidRPr="00A65E70">
              <w:t>32.9</w:t>
            </w:r>
          </w:p>
        </w:tc>
        <w:tc>
          <w:tcPr>
            <w:tcW w:w="993" w:type="dxa"/>
            <w:tcBorders>
              <w:top w:val="nil"/>
              <w:left w:val="nil"/>
              <w:bottom w:val="nil"/>
              <w:right w:val="nil"/>
            </w:tcBorders>
          </w:tcPr>
          <w:p w14:paraId="77C7A5EC" w14:textId="77777777" w:rsidR="00A65E70" w:rsidRPr="00A65E70" w:rsidRDefault="00A65E70" w:rsidP="005E71B7">
            <w:r w:rsidRPr="00A65E70">
              <w:rPr>
                <w:rFonts w:eastAsia="Calibri"/>
                <w:sz w:val="24"/>
                <w:lang w:eastAsia="en-US"/>
              </w:rPr>
              <w:t>0.06</w:t>
            </w:r>
          </w:p>
        </w:tc>
        <w:tc>
          <w:tcPr>
            <w:tcW w:w="992" w:type="dxa"/>
            <w:tcBorders>
              <w:top w:val="nil"/>
              <w:left w:val="nil"/>
              <w:bottom w:val="nil"/>
              <w:right w:val="nil"/>
            </w:tcBorders>
            <w:shd w:val="clear" w:color="auto" w:fill="auto"/>
            <w:noWrap/>
            <w:vAlign w:val="bottom"/>
            <w:hideMark/>
          </w:tcPr>
          <w:p w14:paraId="4135413A" w14:textId="77777777" w:rsidR="00A65E70" w:rsidRPr="00A65E70" w:rsidRDefault="00A65E70" w:rsidP="005E71B7">
            <w:r w:rsidRPr="00A65E70">
              <w:t>1.06</w:t>
            </w:r>
          </w:p>
        </w:tc>
        <w:tc>
          <w:tcPr>
            <w:tcW w:w="1417" w:type="dxa"/>
            <w:tcBorders>
              <w:top w:val="nil"/>
              <w:left w:val="nil"/>
              <w:bottom w:val="nil"/>
              <w:right w:val="nil"/>
            </w:tcBorders>
            <w:shd w:val="clear" w:color="auto" w:fill="auto"/>
            <w:noWrap/>
            <w:vAlign w:val="bottom"/>
            <w:hideMark/>
          </w:tcPr>
          <w:p w14:paraId="33141687" w14:textId="77777777" w:rsidR="00A65E70" w:rsidRPr="00A65E70" w:rsidRDefault="00A65E70" w:rsidP="005E71B7">
            <w:r w:rsidRPr="00A65E70">
              <w:t>0.83-1.36</w:t>
            </w:r>
          </w:p>
        </w:tc>
        <w:tc>
          <w:tcPr>
            <w:tcW w:w="709" w:type="dxa"/>
            <w:tcBorders>
              <w:top w:val="nil"/>
              <w:left w:val="nil"/>
              <w:bottom w:val="nil"/>
              <w:right w:val="nil"/>
            </w:tcBorders>
            <w:shd w:val="clear" w:color="auto" w:fill="auto"/>
            <w:noWrap/>
            <w:vAlign w:val="bottom"/>
            <w:hideMark/>
          </w:tcPr>
          <w:p w14:paraId="24B10552" w14:textId="77777777" w:rsidR="00A65E70" w:rsidRPr="00A65E70" w:rsidRDefault="00A65E70" w:rsidP="005E71B7">
            <w:r w:rsidRPr="00A65E70">
              <w:t>0.13</w:t>
            </w:r>
          </w:p>
        </w:tc>
        <w:tc>
          <w:tcPr>
            <w:tcW w:w="866" w:type="dxa"/>
            <w:tcBorders>
              <w:top w:val="nil"/>
              <w:left w:val="nil"/>
              <w:bottom w:val="nil"/>
              <w:right w:val="nil"/>
            </w:tcBorders>
            <w:shd w:val="clear" w:color="auto" w:fill="auto"/>
            <w:noWrap/>
            <w:vAlign w:val="bottom"/>
            <w:hideMark/>
          </w:tcPr>
          <w:p w14:paraId="3625F12F" w14:textId="77777777" w:rsidR="00A65E70" w:rsidRPr="00A65E70" w:rsidRDefault="00A65E70" w:rsidP="005E71B7">
            <w:r w:rsidRPr="00A65E70">
              <w:t>0.625</w:t>
            </w:r>
          </w:p>
        </w:tc>
        <w:tc>
          <w:tcPr>
            <w:tcW w:w="1236" w:type="dxa"/>
            <w:tcBorders>
              <w:top w:val="nil"/>
              <w:left w:val="nil"/>
              <w:bottom w:val="nil"/>
              <w:right w:val="nil"/>
            </w:tcBorders>
            <w:shd w:val="clear" w:color="auto" w:fill="auto"/>
            <w:noWrap/>
            <w:vAlign w:val="bottom"/>
            <w:hideMark/>
          </w:tcPr>
          <w:p w14:paraId="68A25C1B" w14:textId="77777777" w:rsidR="00A65E70" w:rsidRPr="00A65E70" w:rsidRDefault="00A65E70" w:rsidP="005E71B7">
            <w:r w:rsidRPr="00A65E70">
              <w:t>n/s</w:t>
            </w:r>
          </w:p>
        </w:tc>
      </w:tr>
      <w:tr w:rsidR="00A65E70" w:rsidRPr="00A65E70" w14:paraId="477B2346" w14:textId="77777777" w:rsidTr="00F4458D">
        <w:trPr>
          <w:trHeight w:val="299"/>
        </w:trPr>
        <w:tc>
          <w:tcPr>
            <w:tcW w:w="1951" w:type="dxa"/>
            <w:tcBorders>
              <w:top w:val="nil"/>
              <w:left w:val="nil"/>
              <w:bottom w:val="nil"/>
              <w:right w:val="nil"/>
            </w:tcBorders>
            <w:shd w:val="clear" w:color="auto" w:fill="auto"/>
            <w:noWrap/>
            <w:vAlign w:val="bottom"/>
          </w:tcPr>
          <w:p w14:paraId="2105616B" w14:textId="77777777" w:rsidR="00A65E70" w:rsidRPr="00A65E70" w:rsidRDefault="00A65E70" w:rsidP="005E71B7">
            <w:r w:rsidRPr="00A65E70">
              <w:t>Depression</w:t>
            </w:r>
          </w:p>
        </w:tc>
        <w:tc>
          <w:tcPr>
            <w:tcW w:w="1451" w:type="dxa"/>
            <w:tcBorders>
              <w:top w:val="nil"/>
              <w:left w:val="nil"/>
              <w:bottom w:val="nil"/>
              <w:right w:val="nil"/>
            </w:tcBorders>
            <w:shd w:val="clear" w:color="auto" w:fill="auto"/>
            <w:noWrap/>
            <w:vAlign w:val="bottom"/>
          </w:tcPr>
          <w:p w14:paraId="66771A2A" w14:textId="19E161E0" w:rsidR="00A65E70" w:rsidRPr="00A65E70" w:rsidRDefault="00A65E70" w:rsidP="005E71B7">
            <w:r w:rsidRPr="00A65E70">
              <w:t>30.0</w:t>
            </w:r>
          </w:p>
        </w:tc>
        <w:tc>
          <w:tcPr>
            <w:tcW w:w="993" w:type="dxa"/>
            <w:tcBorders>
              <w:top w:val="nil"/>
              <w:left w:val="nil"/>
              <w:bottom w:val="nil"/>
              <w:right w:val="nil"/>
            </w:tcBorders>
          </w:tcPr>
          <w:p w14:paraId="0233A45D" w14:textId="77777777" w:rsidR="00A65E70" w:rsidRPr="00A65E70" w:rsidRDefault="00A65E70" w:rsidP="005E71B7">
            <w:pPr>
              <w:rPr>
                <w:rFonts w:eastAsia="Calibri"/>
                <w:sz w:val="24"/>
                <w:lang w:eastAsia="en-US"/>
              </w:rPr>
            </w:pPr>
            <w:r w:rsidRPr="00A65E70">
              <w:rPr>
                <w:rFonts w:eastAsia="Calibri"/>
                <w:sz w:val="24"/>
                <w:lang w:eastAsia="en-US"/>
              </w:rPr>
              <w:t>0.64</w:t>
            </w:r>
          </w:p>
        </w:tc>
        <w:tc>
          <w:tcPr>
            <w:tcW w:w="992" w:type="dxa"/>
            <w:tcBorders>
              <w:top w:val="nil"/>
              <w:left w:val="nil"/>
              <w:bottom w:val="nil"/>
              <w:right w:val="nil"/>
            </w:tcBorders>
            <w:shd w:val="clear" w:color="auto" w:fill="auto"/>
            <w:noWrap/>
            <w:vAlign w:val="bottom"/>
          </w:tcPr>
          <w:p w14:paraId="123534DE" w14:textId="77777777" w:rsidR="00A65E70" w:rsidRPr="00A65E70" w:rsidRDefault="00A65E70" w:rsidP="005E71B7">
            <w:r w:rsidRPr="00A65E70">
              <w:t>1.89</w:t>
            </w:r>
          </w:p>
        </w:tc>
        <w:tc>
          <w:tcPr>
            <w:tcW w:w="1417" w:type="dxa"/>
            <w:tcBorders>
              <w:top w:val="nil"/>
              <w:left w:val="nil"/>
              <w:bottom w:val="nil"/>
              <w:right w:val="nil"/>
            </w:tcBorders>
            <w:shd w:val="clear" w:color="auto" w:fill="auto"/>
            <w:noWrap/>
            <w:vAlign w:val="bottom"/>
          </w:tcPr>
          <w:p w14:paraId="1E39DB28" w14:textId="77777777" w:rsidR="00A65E70" w:rsidRPr="00A65E70" w:rsidRDefault="00A65E70" w:rsidP="005E71B7">
            <w:r w:rsidRPr="00A65E70">
              <w:t>1.43-2.49</w:t>
            </w:r>
          </w:p>
        </w:tc>
        <w:tc>
          <w:tcPr>
            <w:tcW w:w="709" w:type="dxa"/>
            <w:tcBorders>
              <w:top w:val="nil"/>
              <w:left w:val="nil"/>
              <w:bottom w:val="nil"/>
              <w:right w:val="nil"/>
            </w:tcBorders>
            <w:shd w:val="clear" w:color="auto" w:fill="auto"/>
            <w:noWrap/>
            <w:vAlign w:val="bottom"/>
          </w:tcPr>
          <w:p w14:paraId="2C9941FC" w14:textId="77777777" w:rsidR="00A65E70" w:rsidRPr="00A65E70" w:rsidRDefault="00A65E70" w:rsidP="005E71B7">
            <w:r w:rsidRPr="00A65E70">
              <w:t>0.14</w:t>
            </w:r>
          </w:p>
        </w:tc>
        <w:tc>
          <w:tcPr>
            <w:tcW w:w="866" w:type="dxa"/>
            <w:tcBorders>
              <w:top w:val="nil"/>
              <w:left w:val="nil"/>
              <w:bottom w:val="nil"/>
              <w:right w:val="nil"/>
            </w:tcBorders>
            <w:shd w:val="clear" w:color="auto" w:fill="auto"/>
            <w:noWrap/>
            <w:vAlign w:val="bottom"/>
          </w:tcPr>
          <w:p w14:paraId="0E8519B8" w14:textId="77777777" w:rsidR="00A65E70" w:rsidRPr="00A65E70" w:rsidRDefault="00A65E70" w:rsidP="005E71B7">
            <w:r w:rsidRPr="00A65E70">
              <w:t>&lt;.001</w:t>
            </w:r>
          </w:p>
        </w:tc>
        <w:tc>
          <w:tcPr>
            <w:tcW w:w="1236" w:type="dxa"/>
            <w:tcBorders>
              <w:top w:val="nil"/>
              <w:left w:val="nil"/>
              <w:bottom w:val="nil"/>
              <w:right w:val="nil"/>
            </w:tcBorders>
            <w:shd w:val="clear" w:color="auto" w:fill="auto"/>
            <w:noWrap/>
            <w:vAlign w:val="bottom"/>
          </w:tcPr>
          <w:p w14:paraId="23387206" w14:textId="76747DF4" w:rsidR="00A65E70" w:rsidRPr="00A65E70" w:rsidRDefault="00A65E70" w:rsidP="005E71B7">
            <w:r w:rsidRPr="00A65E70">
              <w:t>21.1</w:t>
            </w:r>
          </w:p>
        </w:tc>
      </w:tr>
      <w:tr w:rsidR="00A65E70" w:rsidRPr="00A65E70" w14:paraId="09E5EE55" w14:textId="77777777" w:rsidTr="00F4458D">
        <w:trPr>
          <w:trHeight w:val="299"/>
        </w:trPr>
        <w:tc>
          <w:tcPr>
            <w:tcW w:w="1951" w:type="dxa"/>
            <w:tcBorders>
              <w:top w:val="nil"/>
              <w:left w:val="nil"/>
              <w:bottom w:val="nil"/>
              <w:right w:val="nil"/>
            </w:tcBorders>
            <w:shd w:val="clear" w:color="auto" w:fill="auto"/>
            <w:noWrap/>
            <w:vAlign w:val="bottom"/>
            <w:hideMark/>
          </w:tcPr>
          <w:p w14:paraId="5A051F20" w14:textId="77777777" w:rsidR="00A65E70" w:rsidRPr="00A65E70" w:rsidRDefault="00A65E70" w:rsidP="005E71B7">
            <w:r w:rsidRPr="00A65E70">
              <w:t>Psychological Distress</w:t>
            </w:r>
          </w:p>
        </w:tc>
        <w:tc>
          <w:tcPr>
            <w:tcW w:w="1451" w:type="dxa"/>
            <w:tcBorders>
              <w:top w:val="nil"/>
              <w:left w:val="nil"/>
              <w:bottom w:val="nil"/>
              <w:right w:val="nil"/>
            </w:tcBorders>
            <w:shd w:val="clear" w:color="auto" w:fill="auto"/>
            <w:noWrap/>
            <w:vAlign w:val="bottom"/>
            <w:hideMark/>
          </w:tcPr>
          <w:p w14:paraId="118801A5" w14:textId="6E10E097" w:rsidR="00A65E70" w:rsidRPr="00A65E70" w:rsidRDefault="00A65E70" w:rsidP="005E71B7">
            <w:r w:rsidRPr="00A65E70">
              <w:t>13.6</w:t>
            </w:r>
          </w:p>
        </w:tc>
        <w:tc>
          <w:tcPr>
            <w:tcW w:w="993" w:type="dxa"/>
            <w:tcBorders>
              <w:top w:val="nil"/>
              <w:left w:val="nil"/>
              <w:bottom w:val="nil"/>
              <w:right w:val="nil"/>
            </w:tcBorders>
          </w:tcPr>
          <w:p w14:paraId="29B3C373" w14:textId="77777777" w:rsidR="00A65E70" w:rsidRPr="00A65E70" w:rsidRDefault="00A65E70" w:rsidP="005E71B7">
            <w:r w:rsidRPr="00A65E70">
              <w:rPr>
                <w:rFonts w:eastAsia="Calibri"/>
                <w:sz w:val="24"/>
                <w:lang w:eastAsia="en-US"/>
              </w:rPr>
              <w:t>0.32</w:t>
            </w:r>
          </w:p>
        </w:tc>
        <w:tc>
          <w:tcPr>
            <w:tcW w:w="992" w:type="dxa"/>
            <w:tcBorders>
              <w:top w:val="nil"/>
              <w:left w:val="nil"/>
              <w:bottom w:val="nil"/>
              <w:right w:val="nil"/>
            </w:tcBorders>
            <w:shd w:val="clear" w:color="auto" w:fill="auto"/>
            <w:noWrap/>
            <w:vAlign w:val="bottom"/>
            <w:hideMark/>
          </w:tcPr>
          <w:p w14:paraId="705DE891" w14:textId="77777777" w:rsidR="00A65E70" w:rsidRPr="00A65E70" w:rsidRDefault="00A65E70" w:rsidP="005E71B7">
            <w:r w:rsidRPr="00A65E70">
              <w:t>1.38</w:t>
            </w:r>
          </w:p>
        </w:tc>
        <w:tc>
          <w:tcPr>
            <w:tcW w:w="1417" w:type="dxa"/>
            <w:tcBorders>
              <w:top w:val="nil"/>
              <w:left w:val="nil"/>
              <w:bottom w:val="nil"/>
              <w:right w:val="nil"/>
            </w:tcBorders>
            <w:shd w:val="clear" w:color="auto" w:fill="auto"/>
            <w:noWrap/>
            <w:vAlign w:val="bottom"/>
            <w:hideMark/>
          </w:tcPr>
          <w:p w14:paraId="5DB0020D" w14:textId="77777777" w:rsidR="00A65E70" w:rsidRPr="00A65E70" w:rsidRDefault="00A65E70" w:rsidP="005E71B7">
            <w:r w:rsidRPr="00A65E70">
              <w:t>1.03-1.84</w:t>
            </w:r>
          </w:p>
        </w:tc>
        <w:tc>
          <w:tcPr>
            <w:tcW w:w="709" w:type="dxa"/>
            <w:tcBorders>
              <w:top w:val="nil"/>
              <w:left w:val="nil"/>
              <w:bottom w:val="nil"/>
              <w:right w:val="nil"/>
            </w:tcBorders>
            <w:shd w:val="clear" w:color="auto" w:fill="auto"/>
            <w:noWrap/>
            <w:vAlign w:val="bottom"/>
            <w:hideMark/>
          </w:tcPr>
          <w:p w14:paraId="444BA4D5" w14:textId="77777777" w:rsidR="00A65E70" w:rsidRPr="00A65E70" w:rsidRDefault="00A65E70" w:rsidP="005E71B7">
            <w:r w:rsidRPr="00A65E70">
              <w:t>0.15</w:t>
            </w:r>
          </w:p>
        </w:tc>
        <w:tc>
          <w:tcPr>
            <w:tcW w:w="866" w:type="dxa"/>
            <w:tcBorders>
              <w:top w:val="nil"/>
              <w:left w:val="nil"/>
              <w:bottom w:val="nil"/>
              <w:right w:val="nil"/>
            </w:tcBorders>
            <w:shd w:val="clear" w:color="auto" w:fill="auto"/>
            <w:noWrap/>
            <w:vAlign w:val="bottom"/>
            <w:hideMark/>
          </w:tcPr>
          <w:p w14:paraId="24FF5FBD" w14:textId="77777777" w:rsidR="00A65E70" w:rsidRPr="00A65E70" w:rsidRDefault="00A65E70" w:rsidP="005E71B7">
            <w:r w:rsidRPr="00A65E70">
              <w:t>0.031</w:t>
            </w:r>
          </w:p>
        </w:tc>
        <w:tc>
          <w:tcPr>
            <w:tcW w:w="1236" w:type="dxa"/>
            <w:tcBorders>
              <w:top w:val="nil"/>
              <w:left w:val="nil"/>
              <w:bottom w:val="nil"/>
              <w:right w:val="nil"/>
            </w:tcBorders>
            <w:shd w:val="clear" w:color="auto" w:fill="auto"/>
            <w:noWrap/>
            <w:vAlign w:val="bottom"/>
            <w:hideMark/>
          </w:tcPr>
          <w:p w14:paraId="74089FC3" w14:textId="1884F0E0" w:rsidR="00A65E70" w:rsidRPr="00A65E70" w:rsidRDefault="00A65E70" w:rsidP="005E71B7">
            <w:r w:rsidRPr="00A65E70">
              <w:t>4.9</w:t>
            </w:r>
          </w:p>
        </w:tc>
      </w:tr>
      <w:tr w:rsidR="00A65E70" w:rsidRPr="00A65E70" w14:paraId="3EAAC30C" w14:textId="77777777" w:rsidTr="00F4458D">
        <w:trPr>
          <w:trHeight w:val="299"/>
        </w:trPr>
        <w:tc>
          <w:tcPr>
            <w:tcW w:w="1951" w:type="dxa"/>
            <w:tcBorders>
              <w:top w:val="nil"/>
              <w:left w:val="nil"/>
              <w:bottom w:val="single" w:sz="4" w:space="0" w:color="auto"/>
              <w:right w:val="nil"/>
            </w:tcBorders>
            <w:shd w:val="clear" w:color="auto" w:fill="auto"/>
            <w:noWrap/>
            <w:vAlign w:val="bottom"/>
            <w:hideMark/>
          </w:tcPr>
          <w:p w14:paraId="54F4FB55" w14:textId="77777777" w:rsidR="00A65E70" w:rsidRPr="00A65E70" w:rsidRDefault="00A65E70" w:rsidP="005E71B7">
            <w:r w:rsidRPr="00A65E70">
              <w:t>Low Engagement</w:t>
            </w:r>
          </w:p>
        </w:tc>
        <w:tc>
          <w:tcPr>
            <w:tcW w:w="1451" w:type="dxa"/>
            <w:tcBorders>
              <w:top w:val="nil"/>
              <w:left w:val="nil"/>
              <w:bottom w:val="single" w:sz="4" w:space="0" w:color="auto"/>
              <w:right w:val="nil"/>
            </w:tcBorders>
            <w:shd w:val="clear" w:color="auto" w:fill="auto"/>
            <w:noWrap/>
            <w:vAlign w:val="bottom"/>
            <w:hideMark/>
          </w:tcPr>
          <w:p w14:paraId="555ADE85" w14:textId="3F198A21" w:rsidR="00A65E70" w:rsidRPr="00A65E70" w:rsidRDefault="00A65E70" w:rsidP="005E71B7">
            <w:r w:rsidRPr="00A65E70">
              <w:t>44.4</w:t>
            </w:r>
          </w:p>
        </w:tc>
        <w:tc>
          <w:tcPr>
            <w:tcW w:w="993" w:type="dxa"/>
            <w:tcBorders>
              <w:top w:val="nil"/>
              <w:left w:val="nil"/>
              <w:bottom w:val="single" w:sz="4" w:space="0" w:color="auto"/>
              <w:right w:val="nil"/>
            </w:tcBorders>
          </w:tcPr>
          <w:p w14:paraId="1A176AB6" w14:textId="77777777" w:rsidR="00A65E70" w:rsidRPr="00A65E70" w:rsidRDefault="00A65E70" w:rsidP="005E71B7">
            <w:r w:rsidRPr="00A65E70">
              <w:rPr>
                <w:rFonts w:eastAsia="Calibri"/>
                <w:sz w:val="24"/>
                <w:lang w:eastAsia="en-US"/>
              </w:rPr>
              <w:t>0.18</w:t>
            </w:r>
          </w:p>
        </w:tc>
        <w:tc>
          <w:tcPr>
            <w:tcW w:w="992" w:type="dxa"/>
            <w:tcBorders>
              <w:top w:val="nil"/>
              <w:left w:val="nil"/>
              <w:bottom w:val="single" w:sz="4" w:space="0" w:color="auto"/>
              <w:right w:val="nil"/>
            </w:tcBorders>
            <w:shd w:val="clear" w:color="auto" w:fill="auto"/>
            <w:noWrap/>
            <w:vAlign w:val="bottom"/>
            <w:hideMark/>
          </w:tcPr>
          <w:p w14:paraId="0F658C28" w14:textId="77777777" w:rsidR="00A65E70" w:rsidRPr="00A65E70" w:rsidRDefault="00A65E70" w:rsidP="005E71B7">
            <w:r w:rsidRPr="00A65E70">
              <w:t>1.20</w:t>
            </w:r>
          </w:p>
        </w:tc>
        <w:tc>
          <w:tcPr>
            <w:tcW w:w="1417" w:type="dxa"/>
            <w:tcBorders>
              <w:top w:val="nil"/>
              <w:left w:val="nil"/>
              <w:bottom w:val="single" w:sz="4" w:space="0" w:color="auto"/>
              <w:right w:val="nil"/>
            </w:tcBorders>
            <w:shd w:val="clear" w:color="auto" w:fill="auto"/>
            <w:noWrap/>
            <w:vAlign w:val="bottom"/>
            <w:hideMark/>
          </w:tcPr>
          <w:p w14:paraId="45BE8B4F" w14:textId="77777777" w:rsidR="00A65E70" w:rsidRPr="00A65E70" w:rsidRDefault="00A65E70" w:rsidP="005E71B7">
            <w:r w:rsidRPr="00A65E70">
              <w:t>0.92-1.56</w:t>
            </w:r>
          </w:p>
        </w:tc>
        <w:tc>
          <w:tcPr>
            <w:tcW w:w="709" w:type="dxa"/>
            <w:tcBorders>
              <w:top w:val="nil"/>
              <w:left w:val="nil"/>
              <w:bottom w:val="single" w:sz="4" w:space="0" w:color="auto"/>
              <w:right w:val="nil"/>
            </w:tcBorders>
            <w:shd w:val="clear" w:color="auto" w:fill="auto"/>
            <w:noWrap/>
            <w:vAlign w:val="bottom"/>
            <w:hideMark/>
          </w:tcPr>
          <w:p w14:paraId="39F3390E" w14:textId="77777777" w:rsidR="00A65E70" w:rsidRPr="00A65E70" w:rsidRDefault="00A65E70" w:rsidP="005E71B7">
            <w:r w:rsidRPr="00A65E70">
              <w:t>0.13</w:t>
            </w:r>
          </w:p>
        </w:tc>
        <w:tc>
          <w:tcPr>
            <w:tcW w:w="866" w:type="dxa"/>
            <w:tcBorders>
              <w:top w:val="nil"/>
              <w:left w:val="nil"/>
              <w:bottom w:val="single" w:sz="4" w:space="0" w:color="auto"/>
              <w:right w:val="nil"/>
            </w:tcBorders>
            <w:shd w:val="clear" w:color="auto" w:fill="auto"/>
            <w:noWrap/>
            <w:vAlign w:val="bottom"/>
            <w:hideMark/>
          </w:tcPr>
          <w:p w14:paraId="42E0A261" w14:textId="77777777" w:rsidR="00A65E70" w:rsidRPr="00A65E70" w:rsidRDefault="00A65E70" w:rsidP="005E71B7">
            <w:r w:rsidRPr="00A65E70">
              <w:t>0.172</w:t>
            </w:r>
          </w:p>
        </w:tc>
        <w:tc>
          <w:tcPr>
            <w:tcW w:w="1236" w:type="dxa"/>
            <w:tcBorders>
              <w:top w:val="nil"/>
              <w:left w:val="nil"/>
              <w:bottom w:val="single" w:sz="4" w:space="0" w:color="auto"/>
              <w:right w:val="nil"/>
            </w:tcBorders>
            <w:shd w:val="clear" w:color="auto" w:fill="auto"/>
            <w:noWrap/>
            <w:vAlign w:val="bottom"/>
            <w:hideMark/>
          </w:tcPr>
          <w:p w14:paraId="3EC24A57" w14:textId="77777777" w:rsidR="00A65E70" w:rsidRPr="00A65E70" w:rsidRDefault="00A65E70" w:rsidP="005E71B7">
            <w:r w:rsidRPr="00A65E70">
              <w:t>n/s</w:t>
            </w:r>
          </w:p>
        </w:tc>
      </w:tr>
    </w:tbl>
    <w:tbl>
      <w:tblPr>
        <w:tblStyle w:val="TableGrid"/>
        <w:tblW w:w="9640" w:type="dxa"/>
        <w:tblInd w:w="-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Table 2 Logistic regression, sickness absence attributable to PSC and covariates"/>
        <w:tblDescription w:val="This table shows logistic regression and sickness absence attributable to PSC and covariates."/>
      </w:tblPr>
      <w:tblGrid>
        <w:gridCol w:w="4883"/>
        <w:gridCol w:w="4757"/>
      </w:tblGrid>
      <w:tr w:rsidR="004623A4" w14:paraId="11A9ABBC" w14:textId="77777777" w:rsidTr="009B55B4">
        <w:trPr>
          <w:tblHeader/>
        </w:trPr>
        <w:tc>
          <w:tcPr>
            <w:tcW w:w="4883" w:type="dxa"/>
          </w:tcPr>
          <w:p w14:paraId="660695E2" w14:textId="34C6184F" w:rsidR="004623A4" w:rsidRPr="004623A4" w:rsidRDefault="004623A4" w:rsidP="004623A4">
            <w:pPr>
              <w:rPr>
                <w:i/>
              </w:rPr>
            </w:pPr>
            <w:r w:rsidRPr="004623A4">
              <w:rPr>
                <w:i/>
              </w:rPr>
              <w:t>Only PSC in model</w:t>
            </w:r>
          </w:p>
        </w:tc>
        <w:tc>
          <w:tcPr>
            <w:tcW w:w="4757" w:type="dxa"/>
          </w:tcPr>
          <w:p w14:paraId="25B0FB69" w14:textId="77777777" w:rsidR="004623A4" w:rsidRDefault="004623A4" w:rsidP="004623A4"/>
        </w:tc>
      </w:tr>
      <w:tr w:rsidR="004623A4" w14:paraId="24A16031" w14:textId="77777777" w:rsidTr="004623A4">
        <w:tc>
          <w:tcPr>
            <w:tcW w:w="4883" w:type="dxa"/>
          </w:tcPr>
          <w:p w14:paraId="352E14CD" w14:textId="6F4542F3" w:rsidR="004623A4" w:rsidRDefault="004623A4" w:rsidP="004623A4">
            <w:r w:rsidRPr="008965E3">
              <w:t>Annual sickness absence cost attributable to Low PSC</w:t>
            </w:r>
          </w:p>
        </w:tc>
        <w:tc>
          <w:tcPr>
            <w:tcW w:w="4757" w:type="dxa"/>
          </w:tcPr>
          <w:p w14:paraId="43E0DD94" w14:textId="4F265605" w:rsidR="004623A4" w:rsidRDefault="004623A4" w:rsidP="004623A4">
            <w:r w:rsidRPr="008965E3">
              <w:t>$2,391,733,921</w:t>
            </w:r>
          </w:p>
        </w:tc>
      </w:tr>
      <w:tr w:rsidR="004623A4" w14:paraId="760F10CD" w14:textId="77777777" w:rsidTr="004623A4">
        <w:tc>
          <w:tcPr>
            <w:tcW w:w="4883" w:type="dxa"/>
          </w:tcPr>
          <w:p w14:paraId="5DF40114" w14:textId="0578EA73" w:rsidR="004623A4" w:rsidRDefault="004623A4" w:rsidP="004623A4">
            <w:r w:rsidRPr="00A65E70">
              <w:rPr>
                <w:i/>
                <w:iCs/>
              </w:rPr>
              <w:t>All factors in model</w:t>
            </w:r>
          </w:p>
        </w:tc>
        <w:tc>
          <w:tcPr>
            <w:tcW w:w="4757" w:type="dxa"/>
          </w:tcPr>
          <w:p w14:paraId="74DA4ED4" w14:textId="77777777" w:rsidR="004623A4" w:rsidRDefault="004623A4" w:rsidP="004623A4"/>
        </w:tc>
      </w:tr>
      <w:tr w:rsidR="004623A4" w14:paraId="3677D762" w14:textId="77777777" w:rsidTr="004623A4">
        <w:tc>
          <w:tcPr>
            <w:tcW w:w="4883" w:type="dxa"/>
          </w:tcPr>
          <w:p w14:paraId="3B0476FE" w14:textId="791ADBE2" w:rsidR="004623A4" w:rsidRDefault="004623A4" w:rsidP="004623A4">
            <w:r w:rsidRPr="0034543E">
              <w:t>Annual sickness absence cost attributable to Low PSC</w:t>
            </w:r>
          </w:p>
        </w:tc>
        <w:tc>
          <w:tcPr>
            <w:tcW w:w="4757" w:type="dxa"/>
          </w:tcPr>
          <w:p w14:paraId="3555C51E" w14:textId="16727613" w:rsidR="004623A4" w:rsidRDefault="004623A4" w:rsidP="004623A4">
            <w:r w:rsidRPr="0034543E">
              <w:t>n/s</w:t>
            </w:r>
          </w:p>
        </w:tc>
      </w:tr>
      <w:tr w:rsidR="004623A4" w14:paraId="6FDEB29C" w14:textId="77777777" w:rsidTr="004623A4">
        <w:tc>
          <w:tcPr>
            <w:tcW w:w="4883" w:type="dxa"/>
          </w:tcPr>
          <w:p w14:paraId="2E8E8905" w14:textId="40286BE1" w:rsidR="004623A4" w:rsidRDefault="004623A4" w:rsidP="004623A4">
            <w:r w:rsidRPr="0034543E">
              <w:t>Annual sickness absence cost attributable to Depression</w:t>
            </w:r>
          </w:p>
        </w:tc>
        <w:tc>
          <w:tcPr>
            <w:tcW w:w="4757" w:type="dxa"/>
          </w:tcPr>
          <w:p w14:paraId="2D2B440F" w14:textId="69BF5A52" w:rsidR="004623A4" w:rsidRDefault="004623A4" w:rsidP="004623A4">
            <w:r w:rsidRPr="0034543E">
              <w:t>$4,353,608,658</w:t>
            </w:r>
          </w:p>
        </w:tc>
      </w:tr>
      <w:tr w:rsidR="004623A4" w14:paraId="2BC785DD" w14:textId="77777777" w:rsidTr="004623A4">
        <w:tc>
          <w:tcPr>
            <w:tcW w:w="4883" w:type="dxa"/>
          </w:tcPr>
          <w:p w14:paraId="4D770F98" w14:textId="6CF8F5D8" w:rsidR="004623A4" w:rsidRDefault="004623A4" w:rsidP="004623A4">
            <w:r w:rsidRPr="0034543E">
              <w:lastRenderedPageBreak/>
              <w:t>Annual sickness absence cost attributable to Psychological Distress</w:t>
            </w:r>
          </w:p>
        </w:tc>
        <w:tc>
          <w:tcPr>
            <w:tcW w:w="4757" w:type="dxa"/>
          </w:tcPr>
          <w:p w14:paraId="6B9E1CE6" w14:textId="25FC5B8D" w:rsidR="004623A4" w:rsidRDefault="004623A4" w:rsidP="004623A4">
            <w:r w:rsidRPr="0034543E">
              <w:t>$1,006,412,938</w:t>
            </w:r>
          </w:p>
        </w:tc>
      </w:tr>
      <w:tr w:rsidR="004623A4" w14:paraId="15F7FD7D" w14:textId="77777777" w:rsidTr="004623A4">
        <w:tc>
          <w:tcPr>
            <w:tcW w:w="4883" w:type="dxa"/>
            <w:tcBorders>
              <w:bottom w:val="nil"/>
            </w:tcBorders>
          </w:tcPr>
          <w:p w14:paraId="20672EC0" w14:textId="5D510245" w:rsidR="004623A4" w:rsidRDefault="004623A4" w:rsidP="004623A4">
            <w:r w:rsidRPr="0034543E">
              <w:t>Annual sickness absence cost attributable to Low Engagement</w:t>
            </w:r>
          </w:p>
        </w:tc>
        <w:tc>
          <w:tcPr>
            <w:tcW w:w="4757" w:type="dxa"/>
            <w:tcBorders>
              <w:bottom w:val="nil"/>
            </w:tcBorders>
          </w:tcPr>
          <w:p w14:paraId="31794FD2" w14:textId="07D0E6F0" w:rsidR="004623A4" w:rsidRDefault="004623A4" w:rsidP="004623A4">
            <w:r w:rsidRPr="0034543E">
              <w:t>n/s</w:t>
            </w:r>
          </w:p>
        </w:tc>
      </w:tr>
      <w:tr w:rsidR="004623A4" w14:paraId="7DD2288F" w14:textId="77777777" w:rsidTr="004623A4">
        <w:tc>
          <w:tcPr>
            <w:tcW w:w="4883" w:type="dxa"/>
            <w:tcBorders>
              <w:top w:val="nil"/>
              <w:bottom w:val="single" w:sz="24" w:space="0" w:color="auto"/>
            </w:tcBorders>
          </w:tcPr>
          <w:p w14:paraId="65C461D9" w14:textId="74383ECE" w:rsidR="004623A4" w:rsidRDefault="004623A4" w:rsidP="004623A4">
            <w:r w:rsidRPr="0034543E">
              <w:t>Annual sickness absence cost attributable to Low PSC</w:t>
            </w:r>
          </w:p>
        </w:tc>
        <w:tc>
          <w:tcPr>
            <w:tcW w:w="4757" w:type="dxa"/>
            <w:tcBorders>
              <w:top w:val="nil"/>
              <w:bottom w:val="single" w:sz="24" w:space="0" w:color="auto"/>
            </w:tcBorders>
          </w:tcPr>
          <w:p w14:paraId="39EABFF0" w14:textId="2CCE58D4" w:rsidR="004623A4" w:rsidRDefault="004623A4" w:rsidP="004623A4">
            <w:r w:rsidRPr="0034543E">
              <w:t>n/s</w:t>
            </w:r>
          </w:p>
        </w:tc>
      </w:tr>
    </w:tbl>
    <w:p w14:paraId="5518ECF5" w14:textId="77777777" w:rsidR="00CF6265" w:rsidRDefault="00CF6265" w:rsidP="00D8244B">
      <w:pPr>
        <w:pStyle w:val="SWA-FOOTER"/>
      </w:pPr>
    </w:p>
    <w:p w14:paraId="4AD259AA" w14:textId="77777777" w:rsidR="00F4458D" w:rsidRDefault="00A65E70" w:rsidP="00D8244B">
      <w:pPr>
        <w:pStyle w:val="SWA-FOOTER"/>
      </w:pPr>
      <w:r w:rsidRPr="00A65E70">
        <w:t>All variables are controlled</w:t>
      </w:r>
      <w:r w:rsidR="00F4458D">
        <w:t xml:space="preserve"> for gender, age, and income. </w:t>
      </w:r>
    </w:p>
    <w:p w14:paraId="44EEC708" w14:textId="02C6A395" w:rsidR="00A65E70" w:rsidRPr="00A65E70" w:rsidRDefault="00F4458D" w:rsidP="00D8244B">
      <w:pPr>
        <w:pStyle w:val="SWA-FOOTER"/>
      </w:pPr>
      <w:r w:rsidRPr="00F4458D">
        <w:rPr>
          <w:vertAlign w:val="superscript"/>
        </w:rPr>
        <w:t>a</w:t>
      </w:r>
      <w:r w:rsidR="00A65E70" w:rsidRPr="00A65E70">
        <w:rPr>
          <w:i/>
        </w:rPr>
        <w:t xml:space="preserve"> </w:t>
      </w:r>
      <w:r w:rsidR="00A65E70" w:rsidRPr="00A65E70">
        <w:t>Relative risk of a sick day in the past 4 weeks.</w:t>
      </w:r>
    </w:p>
    <w:p w14:paraId="06FF22AA" w14:textId="77777777" w:rsidR="00EE707B" w:rsidRDefault="00A65E70" w:rsidP="00DF442A">
      <w:pPr>
        <w:rPr>
          <w:rFonts w:eastAsia="Calibri"/>
          <w:lang w:eastAsia="en-US"/>
        </w:rPr>
      </w:pPr>
      <w:r w:rsidRPr="00A65E70">
        <w:rPr>
          <w:rFonts w:eastAsia="Calibri"/>
          <w:lang w:eastAsia="en-US"/>
        </w:rPr>
        <w:t xml:space="preserve">First, we estimated the strength of the relationships between risks and outcomes. In relation to Hypothesis 1 that PSC is significantly negatively related to Sickness Absence, considering PSC alone in the model because of its upstream influence on the other variables, as shown in Table 2, we found that PSC significantly predicted Sickness Absence, </w:t>
      </w:r>
      <w:r w:rsidRPr="00A65E70">
        <w:rPr>
          <w:rFonts w:eastAsia="Calibri"/>
          <w:i/>
          <w:lang w:eastAsia="en-US"/>
        </w:rPr>
        <w:t xml:space="preserve">B </w:t>
      </w:r>
      <w:r w:rsidRPr="00A65E70">
        <w:rPr>
          <w:rFonts w:eastAsia="Calibri"/>
          <w:lang w:eastAsia="en-US"/>
        </w:rPr>
        <w:t xml:space="preserve">= .33, </w:t>
      </w:r>
      <w:r w:rsidRPr="00A65E70">
        <w:rPr>
          <w:rFonts w:eastAsia="Calibri"/>
          <w:i/>
          <w:lang w:eastAsia="en-US"/>
        </w:rPr>
        <w:t>SE</w:t>
      </w:r>
      <w:r w:rsidRPr="00A65E70">
        <w:rPr>
          <w:rFonts w:eastAsia="Calibri"/>
          <w:lang w:eastAsia="en-US"/>
        </w:rPr>
        <w:t xml:space="preserve"> = .13, </w:t>
      </w:r>
      <w:r w:rsidRPr="00A65E70">
        <w:rPr>
          <w:rFonts w:eastAsia="Calibri"/>
          <w:i/>
          <w:lang w:eastAsia="en-US"/>
        </w:rPr>
        <w:t xml:space="preserve">p </w:t>
      </w:r>
      <w:r w:rsidRPr="00A65E70">
        <w:rPr>
          <w:rFonts w:eastAsia="Calibri"/>
          <w:lang w:eastAsia="en-US"/>
        </w:rPr>
        <w:t>=.010, supporting Hypothesis 1. Using the RR of 1.40, the PAR of low PSC to Sickness Absence is 11.6</w:t>
      </w:r>
      <w:r w:rsidR="005355BD">
        <w:rPr>
          <w:rFonts w:eastAsia="Calibri"/>
          <w:lang w:eastAsia="en-US"/>
        </w:rPr>
        <w:t xml:space="preserve"> per cent</w:t>
      </w:r>
      <w:r w:rsidRPr="00A65E70">
        <w:rPr>
          <w:rFonts w:eastAsia="Calibri"/>
          <w:lang w:eastAsia="en-US"/>
        </w:rPr>
        <w:t>, costing employers an estimated $2.4 billion per year.</w:t>
      </w:r>
    </w:p>
    <w:p w14:paraId="5956253F" w14:textId="5CE82801" w:rsidR="00EE707B" w:rsidRDefault="00A65E70" w:rsidP="00DF442A">
      <w:pPr>
        <w:rPr>
          <w:rFonts w:eastAsia="Calibri"/>
          <w:lang w:eastAsia="en-US"/>
        </w:rPr>
      </w:pPr>
      <w:r w:rsidRPr="00A65E70">
        <w:rPr>
          <w:rFonts w:eastAsia="Calibri"/>
          <w:lang w:eastAsia="en-US"/>
        </w:rPr>
        <w:t>We found support for Hypothesis 2 that Depression is significantly positively related to Sicknes</w:t>
      </w:r>
      <w:r w:rsidR="00F4458D">
        <w:rPr>
          <w:rFonts w:eastAsia="Calibri"/>
          <w:lang w:eastAsia="en-US"/>
        </w:rPr>
        <w:t>s Absence, with the unstandardis</w:t>
      </w:r>
      <w:r w:rsidRPr="00A65E70">
        <w:rPr>
          <w:rFonts w:eastAsia="Calibri"/>
          <w:lang w:eastAsia="en-US"/>
        </w:rPr>
        <w:t xml:space="preserve">ed parameter </w:t>
      </w:r>
      <w:r w:rsidRPr="00A65E70">
        <w:rPr>
          <w:rFonts w:eastAsia="Calibri"/>
          <w:i/>
          <w:lang w:eastAsia="en-US"/>
        </w:rPr>
        <w:t xml:space="preserve">B </w:t>
      </w:r>
      <w:r w:rsidRPr="00A65E70">
        <w:rPr>
          <w:rFonts w:eastAsia="Calibri"/>
          <w:lang w:eastAsia="en-US"/>
        </w:rPr>
        <w:t xml:space="preserve">= .64, </w:t>
      </w:r>
      <w:r w:rsidRPr="00A65E70">
        <w:rPr>
          <w:rFonts w:eastAsia="Calibri"/>
          <w:i/>
          <w:lang w:eastAsia="en-US"/>
        </w:rPr>
        <w:t>SE</w:t>
      </w:r>
      <w:r w:rsidRPr="00A65E70">
        <w:rPr>
          <w:rFonts w:eastAsia="Calibri"/>
          <w:lang w:eastAsia="en-US"/>
        </w:rPr>
        <w:t xml:space="preserve"> = .14, </w:t>
      </w:r>
      <w:r w:rsidRPr="00A65E70">
        <w:rPr>
          <w:rFonts w:eastAsia="Calibri"/>
          <w:i/>
          <w:lang w:eastAsia="en-US"/>
        </w:rPr>
        <w:t>p</w:t>
      </w:r>
      <w:r w:rsidRPr="00A65E70">
        <w:rPr>
          <w:rFonts w:eastAsia="Calibri"/>
          <w:lang w:eastAsia="en-US"/>
        </w:rPr>
        <w:t xml:space="preserve"> &lt; .001. Using the RR of 1.89, the PAR of Depression to Sickness Absence is 21.1</w:t>
      </w:r>
      <w:r w:rsidR="005355BD">
        <w:rPr>
          <w:rFonts w:eastAsia="Calibri"/>
          <w:lang w:eastAsia="en-US"/>
        </w:rPr>
        <w:t xml:space="preserve"> per cent</w:t>
      </w:r>
      <w:r w:rsidRPr="00A65E70">
        <w:rPr>
          <w:rFonts w:eastAsia="Calibri"/>
          <w:lang w:eastAsia="en-US"/>
        </w:rPr>
        <w:t>, costing employers an estimated $4.4 billion per year.</w:t>
      </w:r>
    </w:p>
    <w:p w14:paraId="1EBBFFF5" w14:textId="1BC8B317" w:rsidR="00EE707B" w:rsidRDefault="00A65E70" w:rsidP="00DF442A">
      <w:pPr>
        <w:rPr>
          <w:rFonts w:eastAsia="Calibri"/>
          <w:lang w:eastAsia="en-US"/>
        </w:rPr>
      </w:pPr>
      <w:r w:rsidRPr="00A65E70">
        <w:rPr>
          <w:rFonts w:eastAsia="Calibri"/>
          <w:lang w:eastAsia="en-US"/>
        </w:rPr>
        <w:t>Hypothesis 3 that Psychological Distress is significantly positively related to Sicknes</w:t>
      </w:r>
      <w:r w:rsidR="00F4458D">
        <w:rPr>
          <w:rFonts w:eastAsia="Calibri"/>
          <w:lang w:eastAsia="en-US"/>
        </w:rPr>
        <w:t>s Absence, with the unstandardis</w:t>
      </w:r>
      <w:r w:rsidRPr="00A65E70">
        <w:rPr>
          <w:rFonts w:eastAsia="Calibri"/>
          <w:lang w:eastAsia="en-US"/>
        </w:rPr>
        <w:t xml:space="preserve">ed parameter </w:t>
      </w:r>
      <w:r w:rsidRPr="00A65E70">
        <w:rPr>
          <w:rFonts w:eastAsia="Calibri"/>
          <w:i/>
          <w:lang w:eastAsia="en-US"/>
        </w:rPr>
        <w:t>B</w:t>
      </w:r>
      <w:r w:rsidRPr="00A65E70">
        <w:rPr>
          <w:rFonts w:eastAsia="Calibri"/>
          <w:lang w:eastAsia="en-US"/>
        </w:rPr>
        <w:t xml:space="preserve">=.32, </w:t>
      </w:r>
      <w:r w:rsidRPr="00A65E70">
        <w:rPr>
          <w:rFonts w:eastAsia="Calibri"/>
          <w:i/>
          <w:lang w:eastAsia="en-US"/>
        </w:rPr>
        <w:t>SE</w:t>
      </w:r>
      <w:r w:rsidRPr="00A65E70">
        <w:rPr>
          <w:rFonts w:eastAsia="Calibri"/>
          <w:lang w:eastAsia="en-US"/>
        </w:rPr>
        <w:t xml:space="preserve"> = .14, </w:t>
      </w:r>
      <w:r w:rsidRPr="00A65E70">
        <w:rPr>
          <w:rFonts w:eastAsia="Calibri"/>
          <w:i/>
          <w:lang w:eastAsia="en-US"/>
        </w:rPr>
        <w:t>p</w:t>
      </w:r>
      <w:r w:rsidRPr="00A65E70">
        <w:rPr>
          <w:rFonts w:eastAsia="Calibri"/>
          <w:lang w:eastAsia="en-US"/>
        </w:rPr>
        <w:t xml:space="preserve"> = .031, was also supported. Using the RR of 1.38, the PAR of Psychological Distress to Sickness Absence is 4.9</w:t>
      </w:r>
      <w:r w:rsidR="005355BD">
        <w:rPr>
          <w:rFonts w:eastAsia="Calibri"/>
          <w:lang w:eastAsia="en-US"/>
        </w:rPr>
        <w:t xml:space="preserve"> per cent</w:t>
      </w:r>
      <w:r w:rsidRPr="00A65E70">
        <w:rPr>
          <w:rFonts w:eastAsia="Calibri"/>
          <w:lang w:eastAsia="en-US"/>
        </w:rPr>
        <w:t>, costing employers an estimated $1 billion per year.</w:t>
      </w:r>
    </w:p>
    <w:p w14:paraId="02F73378" w14:textId="77777777" w:rsidR="00EE707B" w:rsidRDefault="00A65E70" w:rsidP="00D8244B">
      <w:pPr>
        <w:rPr>
          <w:rFonts w:eastAsia="Calibri"/>
          <w:lang w:eastAsia="en-US"/>
        </w:rPr>
      </w:pPr>
      <w:r w:rsidRPr="00A65E70">
        <w:rPr>
          <w:rFonts w:eastAsia="Calibri"/>
          <w:lang w:eastAsia="en-US"/>
        </w:rPr>
        <w:t xml:space="preserve">Results did not support Hypothesis 4, that Engagement would be significantly negatively related to Sickness Absence, controlling for covariates, </w:t>
      </w:r>
      <w:r w:rsidRPr="00A65E70">
        <w:rPr>
          <w:rFonts w:eastAsia="Calibri"/>
          <w:i/>
          <w:lang w:eastAsia="en-US"/>
        </w:rPr>
        <w:t xml:space="preserve">B </w:t>
      </w:r>
      <w:r w:rsidRPr="00A65E70">
        <w:rPr>
          <w:rFonts w:eastAsia="Calibri"/>
          <w:lang w:eastAsia="en-US"/>
        </w:rPr>
        <w:t xml:space="preserve">= -.18, </w:t>
      </w:r>
      <w:r w:rsidRPr="00A65E70">
        <w:rPr>
          <w:rFonts w:eastAsia="Calibri"/>
          <w:i/>
          <w:lang w:eastAsia="en-US"/>
        </w:rPr>
        <w:t>SE</w:t>
      </w:r>
      <w:r w:rsidRPr="00A65E70">
        <w:rPr>
          <w:rFonts w:eastAsia="Calibri"/>
          <w:lang w:eastAsia="en-US"/>
        </w:rPr>
        <w:t xml:space="preserve"> = .13, </w:t>
      </w:r>
      <w:r w:rsidRPr="00A65E70">
        <w:rPr>
          <w:rFonts w:eastAsia="Calibri"/>
          <w:i/>
          <w:lang w:eastAsia="en-US"/>
        </w:rPr>
        <w:t>p</w:t>
      </w:r>
      <w:r w:rsidRPr="00A65E70">
        <w:rPr>
          <w:rFonts w:eastAsia="Calibri"/>
          <w:lang w:eastAsia="en-US"/>
        </w:rPr>
        <w:t xml:space="preserve"> = .08. Despite not achieving statistical significance here, univariate tests suggest that Engagement is significantly associated with presenteeism but suffers from high collinearity with covariates (see Appendix 2 and 3).  </w:t>
      </w:r>
      <w:bookmarkStart w:id="2" w:name="_Ref424764241"/>
    </w:p>
    <w:p w14:paraId="5E3AE297" w14:textId="2D57236F" w:rsidR="00A65E70" w:rsidRPr="00A65E70" w:rsidRDefault="00A65E70" w:rsidP="00D8244B">
      <w:pPr>
        <w:pStyle w:val="Caption"/>
        <w:rPr>
          <w:rFonts w:eastAsia="Calibri"/>
        </w:rPr>
      </w:pPr>
      <w:r w:rsidRPr="00A65E70">
        <w:rPr>
          <w:rFonts w:eastAsia="Calibri"/>
        </w:rPr>
        <w:t xml:space="preserve">Table </w:t>
      </w:r>
      <w:bookmarkEnd w:id="2"/>
      <w:r w:rsidRPr="00A65E70">
        <w:rPr>
          <w:rFonts w:eastAsia="Calibri"/>
        </w:rPr>
        <w:t>3 Logistic regression, presenteeism attributable to PSC and covariates</w:t>
      </w:r>
    </w:p>
    <w:tbl>
      <w:tblPr>
        <w:tblW w:w="9632" w:type="dxa"/>
        <w:tblLook w:val="04A0" w:firstRow="1" w:lastRow="0" w:firstColumn="1" w:lastColumn="0" w:noHBand="0" w:noVBand="1"/>
        <w:tblCaption w:val="Table 3 Logistic regression, presenteeism attributable to PSC and covariates"/>
        <w:tblDescription w:val="This table shows logistic regression and presenteeism attributable to PSC and covariates. "/>
      </w:tblPr>
      <w:tblGrid>
        <w:gridCol w:w="2127"/>
        <w:gridCol w:w="1317"/>
        <w:gridCol w:w="684"/>
        <w:gridCol w:w="992"/>
        <w:gridCol w:w="1560"/>
        <w:gridCol w:w="850"/>
        <w:gridCol w:w="851"/>
        <w:gridCol w:w="1251"/>
      </w:tblGrid>
      <w:tr w:rsidR="00A65E70" w:rsidRPr="00A65E70" w14:paraId="7D1A4E37" w14:textId="77777777" w:rsidTr="004623A4">
        <w:trPr>
          <w:trHeight w:val="313"/>
        </w:trPr>
        <w:tc>
          <w:tcPr>
            <w:tcW w:w="2127" w:type="dxa"/>
            <w:tcBorders>
              <w:top w:val="single" w:sz="18" w:space="0" w:color="auto"/>
              <w:left w:val="nil"/>
              <w:bottom w:val="single" w:sz="12" w:space="0" w:color="auto"/>
              <w:right w:val="nil"/>
            </w:tcBorders>
            <w:shd w:val="clear" w:color="auto" w:fill="auto"/>
            <w:noWrap/>
            <w:vAlign w:val="bottom"/>
            <w:hideMark/>
          </w:tcPr>
          <w:p w14:paraId="141399F1" w14:textId="77777777" w:rsidR="00A65E70" w:rsidRPr="00A65E70" w:rsidRDefault="00A65E70" w:rsidP="005E71B7">
            <w:r w:rsidRPr="00A65E70">
              <w:t> </w:t>
            </w:r>
          </w:p>
        </w:tc>
        <w:tc>
          <w:tcPr>
            <w:tcW w:w="1317" w:type="dxa"/>
            <w:tcBorders>
              <w:top w:val="single" w:sz="18" w:space="0" w:color="auto"/>
              <w:left w:val="nil"/>
              <w:bottom w:val="single" w:sz="12" w:space="0" w:color="auto"/>
              <w:right w:val="nil"/>
            </w:tcBorders>
            <w:shd w:val="clear" w:color="auto" w:fill="auto"/>
            <w:noWrap/>
            <w:vAlign w:val="bottom"/>
            <w:hideMark/>
          </w:tcPr>
          <w:p w14:paraId="763C36BB" w14:textId="77777777" w:rsidR="00A65E70" w:rsidRDefault="00A65E70" w:rsidP="005E71B7">
            <w:r w:rsidRPr="00A65E70">
              <w:t>Prevalence</w:t>
            </w:r>
          </w:p>
          <w:p w14:paraId="4F057948" w14:textId="21863589" w:rsidR="005355BD" w:rsidRPr="00A65E70" w:rsidRDefault="005355BD" w:rsidP="005E71B7">
            <w:r>
              <w:t>(per cent)</w:t>
            </w:r>
          </w:p>
        </w:tc>
        <w:tc>
          <w:tcPr>
            <w:tcW w:w="684" w:type="dxa"/>
            <w:tcBorders>
              <w:top w:val="single" w:sz="18" w:space="0" w:color="auto"/>
              <w:left w:val="nil"/>
              <w:bottom w:val="single" w:sz="12" w:space="0" w:color="auto"/>
              <w:right w:val="nil"/>
            </w:tcBorders>
            <w:vAlign w:val="bottom"/>
          </w:tcPr>
          <w:p w14:paraId="200AAAFB" w14:textId="77777777" w:rsidR="00A65E70" w:rsidRPr="00A65E70" w:rsidRDefault="00A65E70" w:rsidP="005E71B7">
            <w:pPr>
              <w:rPr>
                <w:i/>
              </w:rPr>
            </w:pPr>
            <w:r w:rsidRPr="00A65E70">
              <w:rPr>
                <w:i/>
              </w:rPr>
              <w:t>B</w:t>
            </w:r>
          </w:p>
        </w:tc>
        <w:tc>
          <w:tcPr>
            <w:tcW w:w="992" w:type="dxa"/>
            <w:tcBorders>
              <w:top w:val="single" w:sz="18" w:space="0" w:color="auto"/>
              <w:left w:val="nil"/>
              <w:bottom w:val="single" w:sz="12" w:space="0" w:color="auto"/>
              <w:right w:val="nil"/>
            </w:tcBorders>
            <w:shd w:val="clear" w:color="auto" w:fill="auto"/>
            <w:noWrap/>
            <w:vAlign w:val="bottom"/>
            <w:hideMark/>
          </w:tcPr>
          <w:p w14:paraId="544E2145" w14:textId="77777777" w:rsidR="00A65E70" w:rsidRPr="00A65E70" w:rsidRDefault="00A65E70" w:rsidP="005E71B7">
            <w:pPr>
              <w:rPr>
                <w:vertAlign w:val="superscript"/>
              </w:rPr>
            </w:pPr>
            <w:r w:rsidRPr="00A65E70">
              <w:t>RR</w:t>
            </w:r>
            <w:r w:rsidRPr="00A65E70">
              <w:rPr>
                <w:vertAlign w:val="superscript"/>
              </w:rPr>
              <w:t>a</w:t>
            </w:r>
          </w:p>
        </w:tc>
        <w:tc>
          <w:tcPr>
            <w:tcW w:w="1560" w:type="dxa"/>
            <w:tcBorders>
              <w:top w:val="single" w:sz="18" w:space="0" w:color="auto"/>
              <w:left w:val="nil"/>
              <w:bottom w:val="single" w:sz="12" w:space="0" w:color="auto"/>
              <w:right w:val="nil"/>
            </w:tcBorders>
            <w:shd w:val="clear" w:color="auto" w:fill="auto"/>
            <w:noWrap/>
            <w:vAlign w:val="bottom"/>
            <w:hideMark/>
          </w:tcPr>
          <w:p w14:paraId="545F35D9" w14:textId="34CF5778" w:rsidR="00A65E70" w:rsidRPr="00A65E70" w:rsidRDefault="00A65E70" w:rsidP="005E71B7">
            <w:r w:rsidRPr="00A65E70">
              <w:t>95</w:t>
            </w:r>
            <w:r w:rsidR="005355BD">
              <w:t xml:space="preserve"> per cent</w:t>
            </w:r>
            <w:r w:rsidRPr="00A65E70">
              <w:t xml:space="preserve"> C.I.</w:t>
            </w:r>
          </w:p>
        </w:tc>
        <w:tc>
          <w:tcPr>
            <w:tcW w:w="850" w:type="dxa"/>
            <w:tcBorders>
              <w:top w:val="single" w:sz="18" w:space="0" w:color="auto"/>
              <w:left w:val="nil"/>
              <w:bottom w:val="single" w:sz="12" w:space="0" w:color="auto"/>
              <w:right w:val="nil"/>
            </w:tcBorders>
            <w:shd w:val="clear" w:color="auto" w:fill="auto"/>
            <w:noWrap/>
            <w:vAlign w:val="bottom"/>
            <w:hideMark/>
          </w:tcPr>
          <w:p w14:paraId="63A1A13E" w14:textId="77777777" w:rsidR="00A65E70" w:rsidRPr="00A65E70" w:rsidRDefault="00A65E70" w:rsidP="005E71B7">
            <w:r w:rsidRPr="00A65E70">
              <w:t>S.E.</w:t>
            </w:r>
          </w:p>
        </w:tc>
        <w:tc>
          <w:tcPr>
            <w:tcW w:w="851" w:type="dxa"/>
            <w:tcBorders>
              <w:top w:val="single" w:sz="18" w:space="0" w:color="auto"/>
              <w:left w:val="nil"/>
              <w:bottom w:val="single" w:sz="12" w:space="0" w:color="auto"/>
              <w:right w:val="nil"/>
            </w:tcBorders>
            <w:shd w:val="clear" w:color="auto" w:fill="auto"/>
            <w:noWrap/>
            <w:vAlign w:val="bottom"/>
            <w:hideMark/>
          </w:tcPr>
          <w:p w14:paraId="4AB3B871" w14:textId="77777777" w:rsidR="00A65E70" w:rsidRPr="00A65E70" w:rsidRDefault="00A65E70" w:rsidP="005E71B7">
            <w:r w:rsidRPr="00A65E70">
              <w:t>Sig</w:t>
            </w:r>
          </w:p>
        </w:tc>
        <w:tc>
          <w:tcPr>
            <w:tcW w:w="1251" w:type="dxa"/>
            <w:tcBorders>
              <w:top w:val="single" w:sz="18" w:space="0" w:color="auto"/>
              <w:left w:val="nil"/>
              <w:bottom w:val="single" w:sz="12" w:space="0" w:color="auto"/>
              <w:right w:val="nil"/>
            </w:tcBorders>
            <w:shd w:val="clear" w:color="auto" w:fill="auto"/>
            <w:noWrap/>
            <w:vAlign w:val="bottom"/>
            <w:hideMark/>
          </w:tcPr>
          <w:p w14:paraId="02E75613" w14:textId="798C53A8" w:rsidR="005355BD" w:rsidRDefault="00A65E70" w:rsidP="005E71B7">
            <w:r w:rsidRPr="00A65E70">
              <w:t>PAR</w:t>
            </w:r>
          </w:p>
          <w:p w14:paraId="6BB7969F" w14:textId="115B7442" w:rsidR="00A65E70" w:rsidRPr="00A65E70" w:rsidRDefault="00A65E70" w:rsidP="005E71B7">
            <w:r w:rsidRPr="00A65E70">
              <w:t>(</w:t>
            </w:r>
            <w:r w:rsidR="005355BD">
              <w:t>per cent</w:t>
            </w:r>
            <w:r w:rsidRPr="00A65E70">
              <w:t>)</w:t>
            </w:r>
          </w:p>
        </w:tc>
      </w:tr>
      <w:tr w:rsidR="004623A4" w:rsidRPr="00A65E70" w14:paraId="76BABBA4" w14:textId="77777777" w:rsidTr="004623A4">
        <w:trPr>
          <w:trHeight w:val="299"/>
        </w:trPr>
        <w:tc>
          <w:tcPr>
            <w:tcW w:w="2127" w:type="dxa"/>
            <w:tcBorders>
              <w:top w:val="nil"/>
              <w:left w:val="nil"/>
              <w:bottom w:val="nil"/>
              <w:right w:val="nil"/>
            </w:tcBorders>
            <w:shd w:val="clear" w:color="auto" w:fill="auto"/>
            <w:noWrap/>
            <w:vAlign w:val="bottom"/>
          </w:tcPr>
          <w:p w14:paraId="03819320" w14:textId="77777777" w:rsidR="004623A4" w:rsidRPr="00A65E70" w:rsidRDefault="004623A4" w:rsidP="005E71B7"/>
        </w:tc>
        <w:tc>
          <w:tcPr>
            <w:tcW w:w="1317" w:type="dxa"/>
            <w:tcBorders>
              <w:top w:val="nil"/>
              <w:left w:val="nil"/>
              <w:bottom w:val="nil"/>
              <w:right w:val="nil"/>
            </w:tcBorders>
            <w:shd w:val="clear" w:color="auto" w:fill="auto"/>
            <w:noWrap/>
            <w:vAlign w:val="bottom"/>
          </w:tcPr>
          <w:p w14:paraId="1CF5F1CB" w14:textId="77777777" w:rsidR="004623A4" w:rsidRPr="00A65E70" w:rsidRDefault="004623A4" w:rsidP="005E71B7">
            <w:pPr>
              <w:rPr>
                <w:rFonts w:eastAsia="Calibri"/>
                <w:lang w:eastAsia="en-US"/>
              </w:rPr>
            </w:pPr>
          </w:p>
        </w:tc>
        <w:tc>
          <w:tcPr>
            <w:tcW w:w="684" w:type="dxa"/>
            <w:tcBorders>
              <w:top w:val="nil"/>
              <w:left w:val="nil"/>
              <w:bottom w:val="nil"/>
              <w:right w:val="nil"/>
            </w:tcBorders>
          </w:tcPr>
          <w:p w14:paraId="2249B0F2" w14:textId="77777777" w:rsidR="004623A4" w:rsidRPr="00A65E70" w:rsidRDefault="004623A4" w:rsidP="005E71B7">
            <w:pPr>
              <w:rPr>
                <w:rFonts w:eastAsia="Calibri"/>
                <w:lang w:eastAsia="en-US"/>
              </w:rPr>
            </w:pPr>
          </w:p>
        </w:tc>
        <w:tc>
          <w:tcPr>
            <w:tcW w:w="992" w:type="dxa"/>
            <w:tcBorders>
              <w:top w:val="nil"/>
              <w:left w:val="nil"/>
              <w:bottom w:val="nil"/>
              <w:right w:val="nil"/>
            </w:tcBorders>
            <w:shd w:val="clear" w:color="auto" w:fill="auto"/>
            <w:noWrap/>
            <w:vAlign w:val="bottom"/>
          </w:tcPr>
          <w:p w14:paraId="0015F03C" w14:textId="70D9D679" w:rsidR="004623A4" w:rsidRPr="00A65E70" w:rsidRDefault="004623A4" w:rsidP="005E71B7">
            <w:pPr>
              <w:rPr>
                <w:rFonts w:eastAsia="Calibri"/>
                <w:lang w:eastAsia="en-US"/>
              </w:rPr>
            </w:pPr>
            <w:r w:rsidRPr="00A65E70">
              <w:rPr>
                <w:i/>
                <w:iCs/>
              </w:rPr>
              <w:t>Only PSC in model</w:t>
            </w:r>
          </w:p>
        </w:tc>
        <w:tc>
          <w:tcPr>
            <w:tcW w:w="1560" w:type="dxa"/>
            <w:tcBorders>
              <w:top w:val="nil"/>
              <w:left w:val="nil"/>
              <w:bottom w:val="nil"/>
              <w:right w:val="nil"/>
            </w:tcBorders>
            <w:shd w:val="clear" w:color="auto" w:fill="auto"/>
            <w:noWrap/>
            <w:vAlign w:val="bottom"/>
          </w:tcPr>
          <w:p w14:paraId="64ADE9BD" w14:textId="77777777" w:rsidR="004623A4" w:rsidRPr="00A65E70" w:rsidRDefault="004623A4" w:rsidP="005E71B7">
            <w:pPr>
              <w:rPr>
                <w:rFonts w:eastAsia="Calibri"/>
                <w:lang w:eastAsia="en-US"/>
              </w:rPr>
            </w:pPr>
          </w:p>
        </w:tc>
        <w:tc>
          <w:tcPr>
            <w:tcW w:w="850" w:type="dxa"/>
            <w:tcBorders>
              <w:top w:val="nil"/>
              <w:left w:val="nil"/>
              <w:bottom w:val="nil"/>
              <w:right w:val="nil"/>
            </w:tcBorders>
            <w:shd w:val="clear" w:color="auto" w:fill="auto"/>
            <w:noWrap/>
            <w:vAlign w:val="bottom"/>
          </w:tcPr>
          <w:p w14:paraId="7EECDD7C" w14:textId="77777777" w:rsidR="004623A4" w:rsidRPr="00A65E70" w:rsidRDefault="004623A4" w:rsidP="005E71B7">
            <w:pPr>
              <w:rPr>
                <w:rFonts w:eastAsia="Calibri"/>
                <w:lang w:eastAsia="en-US"/>
              </w:rPr>
            </w:pPr>
          </w:p>
        </w:tc>
        <w:tc>
          <w:tcPr>
            <w:tcW w:w="851" w:type="dxa"/>
            <w:tcBorders>
              <w:top w:val="nil"/>
              <w:left w:val="nil"/>
              <w:bottom w:val="nil"/>
              <w:right w:val="nil"/>
            </w:tcBorders>
            <w:shd w:val="clear" w:color="auto" w:fill="auto"/>
            <w:noWrap/>
            <w:vAlign w:val="bottom"/>
          </w:tcPr>
          <w:p w14:paraId="5FF9E61D" w14:textId="77777777" w:rsidR="004623A4" w:rsidRPr="00A65E70" w:rsidRDefault="004623A4" w:rsidP="005E71B7">
            <w:pPr>
              <w:rPr>
                <w:rFonts w:eastAsia="Calibri"/>
                <w:lang w:eastAsia="en-US"/>
              </w:rPr>
            </w:pPr>
          </w:p>
        </w:tc>
        <w:tc>
          <w:tcPr>
            <w:tcW w:w="1251" w:type="dxa"/>
            <w:tcBorders>
              <w:top w:val="nil"/>
              <w:left w:val="nil"/>
              <w:bottom w:val="nil"/>
              <w:right w:val="nil"/>
            </w:tcBorders>
            <w:shd w:val="clear" w:color="auto" w:fill="auto"/>
            <w:noWrap/>
            <w:vAlign w:val="bottom"/>
          </w:tcPr>
          <w:p w14:paraId="10FDE159" w14:textId="77777777" w:rsidR="004623A4" w:rsidRPr="00A65E70" w:rsidRDefault="004623A4" w:rsidP="005E71B7">
            <w:pPr>
              <w:rPr>
                <w:rFonts w:eastAsia="Calibri"/>
                <w:lang w:eastAsia="en-US"/>
              </w:rPr>
            </w:pPr>
          </w:p>
        </w:tc>
      </w:tr>
      <w:tr w:rsidR="00A65E70" w:rsidRPr="00A65E70" w14:paraId="44785148" w14:textId="77777777" w:rsidTr="004623A4">
        <w:trPr>
          <w:trHeight w:val="299"/>
        </w:trPr>
        <w:tc>
          <w:tcPr>
            <w:tcW w:w="2127" w:type="dxa"/>
            <w:tcBorders>
              <w:top w:val="nil"/>
              <w:left w:val="nil"/>
              <w:bottom w:val="nil"/>
              <w:right w:val="nil"/>
            </w:tcBorders>
            <w:shd w:val="clear" w:color="auto" w:fill="auto"/>
            <w:noWrap/>
            <w:vAlign w:val="bottom"/>
            <w:hideMark/>
          </w:tcPr>
          <w:p w14:paraId="43B06D1F" w14:textId="77777777" w:rsidR="00A65E70" w:rsidRPr="00A65E70" w:rsidRDefault="00A65E70" w:rsidP="005E71B7">
            <w:r w:rsidRPr="00A65E70">
              <w:t>Low PSC</w:t>
            </w:r>
          </w:p>
        </w:tc>
        <w:tc>
          <w:tcPr>
            <w:tcW w:w="1317" w:type="dxa"/>
            <w:tcBorders>
              <w:top w:val="nil"/>
              <w:left w:val="nil"/>
              <w:bottom w:val="nil"/>
              <w:right w:val="nil"/>
            </w:tcBorders>
            <w:shd w:val="clear" w:color="auto" w:fill="auto"/>
            <w:noWrap/>
            <w:vAlign w:val="bottom"/>
            <w:hideMark/>
          </w:tcPr>
          <w:p w14:paraId="625723F0" w14:textId="7C87BD66" w:rsidR="00A65E70" w:rsidRPr="00A65E70" w:rsidRDefault="00A65E70" w:rsidP="005E71B7">
            <w:r w:rsidRPr="00A65E70">
              <w:rPr>
                <w:rFonts w:eastAsia="Calibri"/>
                <w:lang w:eastAsia="en-US"/>
              </w:rPr>
              <w:t>32.9</w:t>
            </w:r>
          </w:p>
        </w:tc>
        <w:tc>
          <w:tcPr>
            <w:tcW w:w="684" w:type="dxa"/>
            <w:tcBorders>
              <w:top w:val="nil"/>
              <w:left w:val="nil"/>
              <w:bottom w:val="nil"/>
              <w:right w:val="nil"/>
            </w:tcBorders>
          </w:tcPr>
          <w:p w14:paraId="440A9AAF" w14:textId="77777777" w:rsidR="00A65E70" w:rsidRPr="00A65E70" w:rsidRDefault="00A65E70" w:rsidP="005E71B7">
            <w:pPr>
              <w:rPr>
                <w:rFonts w:eastAsia="Calibri"/>
                <w:lang w:eastAsia="en-US"/>
              </w:rPr>
            </w:pPr>
            <w:r w:rsidRPr="00A65E70">
              <w:rPr>
                <w:rFonts w:eastAsia="Calibri"/>
                <w:lang w:eastAsia="en-US"/>
              </w:rPr>
              <w:t>0.38</w:t>
            </w:r>
          </w:p>
        </w:tc>
        <w:tc>
          <w:tcPr>
            <w:tcW w:w="992" w:type="dxa"/>
            <w:tcBorders>
              <w:top w:val="nil"/>
              <w:left w:val="nil"/>
              <w:bottom w:val="nil"/>
              <w:right w:val="nil"/>
            </w:tcBorders>
            <w:shd w:val="clear" w:color="auto" w:fill="auto"/>
            <w:noWrap/>
            <w:vAlign w:val="bottom"/>
            <w:hideMark/>
          </w:tcPr>
          <w:p w14:paraId="65DD0603" w14:textId="77777777" w:rsidR="00A65E70" w:rsidRPr="00A65E70" w:rsidRDefault="00A65E70" w:rsidP="005E71B7">
            <w:r w:rsidRPr="00A65E70">
              <w:rPr>
                <w:rFonts w:eastAsia="Calibri"/>
                <w:lang w:eastAsia="en-US"/>
              </w:rPr>
              <w:t>1.46</w:t>
            </w:r>
          </w:p>
        </w:tc>
        <w:tc>
          <w:tcPr>
            <w:tcW w:w="1560" w:type="dxa"/>
            <w:tcBorders>
              <w:top w:val="nil"/>
              <w:left w:val="nil"/>
              <w:bottom w:val="nil"/>
              <w:right w:val="nil"/>
            </w:tcBorders>
            <w:shd w:val="clear" w:color="auto" w:fill="auto"/>
            <w:noWrap/>
            <w:vAlign w:val="bottom"/>
            <w:hideMark/>
          </w:tcPr>
          <w:p w14:paraId="6B3C8425" w14:textId="77777777" w:rsidR="00A65E70" w:rsidRPr="00A65E70" w:rsidRDefault="00A65E70" w:rsidP="005E71B7">
            <w:r w:rsidRPr="00A65E70">
              <w:rPr>
                <w:rFonts w:eastAsia="Calibri"/>
                <w:lang w:eastAsia="en-US"/>
              </w:rPr>
              <w:t>1.22-1.74</w:t>
            </w:r>
          </w:p>
        </w:tc>
        <w:tc>
          <w:tcPr>
            <w:tcW w:w="850" w:type="dxa"/>
            <w:tcBorders>
              <w:top w:val="nil"/>
              <w:left w:val="nil"/>
              <w:bottom w:val="nil"/>
              <w:right w:val="nil"/>
            </w:tcBorders>
            <w:shd w:val="clear" w:color="auto" w:fill="auto"/>
            <w:noWrap/>
            <w:vAlign w:val="bottom"/>
            <w:hideMark/>
          </w:tcPr>
          <w:p w14:paraId="0BA65E3B" w14:textId="77777777" w:rsidR="00A65E70" w:rsidRPr="00A65E70" w:rsidRDefault="00A65E70" w:rsidP="005E71B7">
            <w:r w:rsidRPr="00A65E70">
              <w:rPr>
                <w:rFonts w:eastAsia="Calibri"/>
                <w:lang w:eastAsia="en-US"/>
              </w:rPr>
              <w:t>0.09</w:t>
            </w:r>
          </w:p>
        </w:tc>
        <w:tc>
          <w:tcPr>
            <w:tcW w:w="851" w:type="dxa"/>
            <w:tcBorders>
              <w:top w:val="nil"/>
              <w:left w:val="nil"/>
              <w:bottom w:val="nil"/>
              <w:right w:val="nil"/>
            </w:tcBorders>
            <w:shd w:val="clear" w:color="auto" w:fill="auto"/>
            <w:noWrap/>
            <w:vAlign w:val="bottom"/>
            <w:hideMark/>
          </w:tcPr>
          <w:p w14:paraId="0879A85F" w14:textId="77777777" w:rsidR="00A65E70" w:rsidRPr="00A65E70" w:rsidRDefault="00A65E70" w:rsidP="005E71B7">
            <w:r w:rsidRPr="00A65E70">
              <w:rPr>
                <w:rFonts w:eastAsia="Calibri"/>
                <w:lang w:eastAsia="en-US"/>
              </w:rPr>
              <w:t>&lt;.001</w:t>
            </w:r>
          </w:p>
        </w:tc>
        <w:tc>
          <w:tcPr>
            <w:tcW w:w="1251" w:type="dxa"/>
            <w:tcBorders>
              <w:top w:val="nil"/>
              <w:left w:val="nil"/>
              <w:bottom w:val="nil"/>
              <w:right w:val="nil"/>
            </w:tcBorders>
            <w:shd w:val="clear" w:color="auto" w:fill="auto"/>
            <w:noWrap/>
            <w:vAlign w:val="bottom"/>
            <w:hideMark/>
          </w:tcPr>
          <w:p w14:paraId="3E3CFB0F" w14:textId="7E79DF72" w:rsidR="00A65E70" w:rsidRPr="00A65E70" w:rsidRDefault="00A65E70" w:rsidP="005E71B7">
            <w:r w:rsidRPr="00A65E70">
              <w:rPr>
                <w:rFonts w:eastAsia="Calibri"/>
                <w:lang w:eastAsia="en-US"/>
              </w:rPr>
              <w:t>13.1</w:t>
            </w:r>
          </w:p>
        </w:tc>
      </w:tr>
      <w:tr w:rsidR="004623A4" w:rsidRPr="00A65E70" w14:paraId="27D9F50F" w14:textId="77777777" w:rsidTr="004623A4">
        <w:trPr>
          <w:trHeight w:val="299"/>
        </w:trPr>
        <w:tc>
          <w:tcPr>
            <w:tcW w:w="2127" w:type="dxa"/>
            <w:tcBorders>
              <w:top w:val="nil"/>
              <w:left w:val="nil"/>
              <w:bottom w:val="nil"/>
              <w:right w:val="nil"/>
            </w:tcBorders>
            <w:shd w:val="clear" w:color="auto" w:fill="auto"/>
            <w:noWrap/>
            <w:vAlign w:val="bottom"/>
          </w:tcPr>
          <w:p w14:paraId="7180A558" w14:textId="6806B210" w:rsidR="004623A4" w:rsidRPr="00A65E70" w:rsidRDefault="004623A4" w:rsidP="005E71B7"/>
        </w:tc>
        <w:tc>
          <w:tcPr>
            <w:tcW w:w="1317" w:type="dxa"/>
            <w:tcBorders>
              <w:top w:val="nil"/>
              <w:left w:val="nil"/>
              <w:bottom w:val="nil"/>
              <w:right w:val="nil"/>
            </w:tcBorders>
            <w:shd w:val="clear" w:color="auto" w:fill="auto"/>
            <w:noWrap/>
            <w:vAlign w:val="bottom"/>
          </w:tcPr>
          <w:p w14:paraId="6F5408DB" w14:textId="77777777" w:rsidR="004623A4" w:rsidRPr="00A65E70" w:rsidRDefault="004623A4" w:rsidP="005E71B7">
            <w:pPr>
              <w:rPr>
                <w:rFonts w:eastAsia="Calibri"/>
                <w:lang w:eastAsia="en-US"/>
              </w:rPr>
            </w:pPr>
          </w:p>
        </w:tc>
        <w:tc>
          <w:tcPr>
            <w:tcW w:w="684" w:type="dxa"/>
            <w:tcBorders>
              <w:top w:val="nil"/>
              <w:left w:val="nil"/>
              <w:bottom w:val="nil"/>
              <w:right w:val="nil"/>
            </w:tcBorders>
          </w:tcPr>
          <w:p w14:paraId="05E4A097" w14:textId="77777777" w:rsidR="004623A4" w:rsidRPr="00A65E70" w:rsidRDefault="004623A4" w:rsidP="005E71B7">
            <w:pPr>
              <w:rPr>
                <w:rFonts w:eastAsia="Calibri"/>
                <w:sz w:val="24"/>
                <w:lang w:eastAsia="en-US"/>
              </w:rPr>
            </w:pPr>
          </w:p>
        </w:tc>
        <w:tc>
          <w:tcPr>
            <w:tcW w:w="992" w:type="dxa"/>
            <w:tcBorders>
              <w:top w:val="nil"/>
              <w:left w:val="nil"/>
              <w:bottom w:val="nil"/>
              <w:right w:val="nil"/>
            </w:tcBorders>
            <w:shd w:val="clear" w:color="auto" w:fill="auto"/>
            <w:noWrap/>
            <w:vAlign w:val="bottom"/>
          </w:tcPr>
          <w:p w14:paraId="2EF16B0B" w14:textId="63EA018D" w:rsidR="004623A4" w:rsidRPr="00A65E70" w:rsidRDefault="004623A4" w:rsidP="005E71B7">
            <w:pPr>
              <w:rPr>
                <w:rFonts w:eastAsia="Calibri"/>
                <w:lang w:eastAsia="en-US"/>
              </w:rPr>
            </w:pPr>
            <w:r w:rsidRPr="00A65E70">
              <w:rPr>
                <w:i/>
                <w:iCs/>
              </w:rPr>
              <w:t>All factors in model</w:t>
            </w:r>
          </w:p>
        </w:tc>
        <w:tc>
          <w:tcPr>
            <w:tcW w:w="1560" w:type="dxa"/>
            <w:tcBorders>
              <w:top w:val="nil"/>
              <w:left w:val="nil"/>
              <w:bottom w:val="nil"/>
              <w:right w:val="nil"/>
            </w:tcBorders>
            <w:shd w:val="clear" w:color="auto" w:fill="auto"/>
            <w:noWrap/>
            <w:vAlign w:val="bottom"/>
          </w:tcPr>
          <w:p w14:paraId="7EA44295" w14:textId="77777777" w:rsidR="004623A4" w:rsidRPr="00A65E70" w:rsidRDefault="004623A4" w:rsidP="005E71B7">
            <w:pPr>
              <w:rPr>
                <w:rFonts w:eastAsia="Calibri"/>
                <w:lang w:eastAsia="en-US"/>
              </w:rPr>
            </w:pPr>
          </w:p>
        </w:tc>
        <w:tc>
          <w:tcPr>
            <w:tcW w:w="850" w:type="dxa"/>
            <w:tcBorders>
              <w:top w:val="nil"/>
              <w:left w:val="nil"/>
              <w:bottom w:val="nil"/>
              <w:right w:val="nil"/>
            </w:tcBorders>
            <w:shd w:val="clear" w:color="auto" w:fill="auto"/>
            <w:noWrap/>
            <w:vAlign w:val="bottom"/>
          </w:tcPr>
          <w:p w14:paraId="7E9B5A2B" w14:textId="77777777" w:rsidR="004623A4" w:rsidRPr="00A65E70" w:rsidRDefault="004623A4" w:rsidP="005E71B7">
            <w:pPr>
              <w:rPr>
                <w:rFonts w:eastAsia="Calibri"/>
                <w:lang w:eastAsia="en-US"/>
              </w:rPr>
            </w:pPr>
          </w:p>
        </w:tc>
        <w:tc>
          <w:tcPr>
            <w:tcW w:w="851" w:type="dxa"/>
            <w:tcBorders>
              <w:top w:val="nil"/>
              <w:left w:val="nil"/>
              <w:bottom w:val="nil"/>
              <w:right w:val="nil"/>
            </w:tcBorders>
            <w:shd w:val="clear" w:color="auto" w:fill="auto"/>
            <w:noWrap/>
            <w:vAlign w:val="bottom"/>
          </w:tcPr>
          <w:p w14:paraId="28DF1032" w14:textId="77777777" w:rsidR="004623A4" w:rsidRPr="00A65E70" w:rsidRDefault="004623A4" w:rsidP="005E71B7">
            <w:pPr>
              <w:rPr>
                <w:rFonts w:eastAsia="Calibri"/>
                <w:lang w:eastAsia="en-US"/>
              </w:rPr>
            </w:pPr>
          </w:p>
        </w:tc>
        <w:tc>
          <w:tcPr>
            <w:tcW w:w="1251" w:type="dxa"/>
            <w:tcBorders>
              <w:top w:val="nil"/>
              <w:left w:val="nil"/>
              <w:bottom w:val="nil"/>
              <w:right w:val="nil"/>
            </w:tcBorders>
            <w:shd w:val="clear" w:color="auto" w:fill="auto"/>
            <w:noWrap/>
            <w:vAlign w:val="bottom"/>
          </w:tcPr>
          <w:p w14:paraId="107D0949" w14:textId="77777777" w:rsidR="004623A4" w:rsidRPr="00A65E70" w:rsidRDefault="004623A4" w:rsidP="005E71B7">
            <w:pPr>
              <w:rPr>
                <w:rFonts w:eastAsia="Calibri"/>
                <w:lang w:eastAsia="en-US"/>
              </w:rPr>
            </w:pPr>
          </w:p>
        </w:tc>
      </w:tr>
      <w:tr w:rsidR="00A65E70" w:rsidRPr="00A65E70" w14:paraId="1BA9F95C" w14:textId="77777777" w:rsidTr="004623A4">
        <w:trPr>
          <w:trHeight w:val="299"/>
        </w:trPr>
        <w:tc>
          <w:tcPr>
            <w:tcW w:w="2127" w:type="dxa"/>
            <w:tcBorders>
              <w:top w:val="nil"/>
              <w:left w:val="nil"/>
              <w:bottom w:val="nil"/>
              <w:right w:val="nil"/>
            </w:tcBorders>
            <w:shd w:val="clear" w:color="auto" w:fill="auto"/>
            <w:noWrap/>
            <w:vAlign w:val="bottom"/>
            <w:hideMark/>
          </w:tcPr>
          <w:p w14:paraId="3DC40D61" w14:textId="77777777" w:rsidR="00A65E70" w:rsidRPr="00A65E70" w:rsidRDefault="00A65E70" w:rsidP="005E71B7">
            <w:r w:rsidRPr="00A65E70">
              <w:t>Low PSC</w:t>
            </w:r>
          </w:p>
        </w:tc>
        <w:tc>
          <w:tcPr>
            <w:tcW w:w="1317" w:type="dxa"/>
            <w:tcBorders>
              <w:top w:val="nil"/>
              <w:left w:val="nil"/>
              <w:bottom w:val="nil"/>
              <w:right w:val="nil"/>
            </w:tcBorders>
            <w:shd w:val="clear" w:color="auto" w:fill="auto"/>
            <w:noWrap/>
            <w:vAlign w:val="bottom"/>
            <w:hideMark/>
          </w:tcPr>
          <w:p w14:paraId="25420D65" w14:textId="247E201C" w:rsidR="00A65E70" w:rsidRPr="00A65E70" w:rsidRDefault="00A65E70" w:rsidP="005E71B7">
            <w:r w:rsidRPr="00A65E70">
              <w:rPr>
                <w:rFonts w:eastAsia="Calibri"/>
                <w:lang w:eastAsia="en-US"/>
              </w:rPr>
              <w:t>32.9</w:t>
            </w:r>
          </w:p>
        </w:tc>
        <w:tc>
          <w:tcPr>
            <w:tcW w:w="684" w:type="dxa"/>
            <w:tcBorders>
              <w:top w:val="nil"/>
              <w:left w:val="nil"/>
              <w:bottom w:val="nil"/>
              <w:right w:val="nil"/>
            </w:tcBorders>
          </w:tcPr>
          <w:p w14:paraId="72089648" w14:textId="77777777" w:rsidR="00A65E70" w:rsidRPr="00A65E70" w:rsidRDefault="00A65E70" w:rsidP="005E71B7">
            <w:pPr>
              <w:rPr>
                <w:rFonts w:eastAsia="Calibri"/>
                <w:lang w:eastAsia="en-US"/>
              </w:rPr>
            </w:pPr>
            <w:r w:rsidRPr="00A65E70">
              <w:rPr>
                <w:rFonts w:eastAsia="Calibri"/>
                <w:sz w:val="24"/>
                <w:lang w:eastAsia="en-US"/>
              </w:rPr>
              <w:t>0.14</w:t>
            </w:r>
          </w:p>
        </w:tc>
        <w:tc>
          <w:tcPr>
            <w:tcW w:w="992" w:type="dxa"/>
            <w:tcBorders>
              <w:top w:val="nil"/>
              <w:left w:val="nil"/>
              <w:bottom w:val="nil"/>
              <w:right w:val="nil"/>
            </w:tcBorders>
            <w:shd w:val="clear" w:color="auto" w:fill="auto"/>
            <w:noWrap/>
            <w:vAlign w:val="bottom"/>
            <w:hideMark/>
          </w:tcPr>
          <w:p w14:paraId="4E7A4A02" w14:textId="77777777" w:rsidR="00A65E70" w:rsidRPr="00A65E70" w:rsidRDefault="00A65E70" w:rsidP="005E71B7">
            <w:r w:rsidRPr="00A65E70">
              <w:rPr>
                <w:rFonts w:eastAsia="Calibri"/>
                <w:lang w:eastAsia="en-US"/>
              </w:rPr>
              <w:t>1.15</w:t>
            </w:r>
          </w:p>
        </w:tc>
        <w:tc>
          <w:tcPr>
            <w:tcW w:w="1560" w:type="dxa"/>
            <w:tcBorders>
              <w:top w:val="nil"/>
              <w:left w:val="nil"/>
              <w:bottom w:val="nil"/>
              <w:right w:val="nil"/>
            </w:tcBorders>
            <w:shd w:val="clear" w:color="auto" w:fill="auto"/>
            <w:noWrap/>
            <w:vAlign w:val="bottom"/>
            <w:hideMark/>
          </w:tcPr>
          <w:p w14:paraId="44760053" w14:textId="77777777" w:rsidR="00A65E70" w:rsidRPr="00A65E70" w:rsidRDefault="00A65E70" w:rsidP="005E71B7">
            <w:r w:rsidRPr="00A65E70">
              <w:rPr>
                <w:rFonts w:eastAsia="Calibri"/>
                <w:lang w:eastAsia="en-US"/>
              </w:rPr>
              <w:t>0.96-1.37</w:t>
            </w:r>
          </w:p>
        </w:tc>
        <w:tc>
          <w:tcPr>
            <w:tcW w:w="850" w:type="dxa"/>
            <w:tcBorders>
              <w:top w:val="nil"/>
              <w:left w:val="nil"/>
              <w:bottom w:val="nil"/>
              <w:right w:val="nil"/>
            </w:tcBorders>
            <w:shd w:val="clear" w:color="auto" w:fill="auto"/>
            <w:noWrap/>
            <w:vAlign w:val="bottom"/>
            <w:hideMark/>
          </w:tcPr>
          <w:p w14:paraId="7DF74292" w14:textId="77777777" w:rsidR="00A65E70" w:rsidRPr="00A65E70" w:rsidRDefault="00A65E70" w:rsidP="005E71B7">
            <w:r w:rsidRPr="00A65E70">
              <w:rPr>
                <w:rFonts w:eastAsia="Calibri"/>
                <w:lang w:eastAsia="en-US"/>
              </w:rPr>
              <w:t>0.09</w:t>
            </w:r>
          </w:p>
        </w:tc>
        <w:tc>
          <w:tcPr>
            <w:tcW w:w="851" w:type="dxa"/>
            <w:tcBorders>
              <w:top w:val="nil"/>
              <w:left w:val="nil"/>
              <w:bottom w:val="nil"/>
              <w:right w:val="nil"/>
            </w:tcBorders>
            <w:shd w:val="clear" w:color="auto" w:fill="auto"/>
            <w:noWrap/>
            <w:vAlign w:val="bottom"/>
            <w:hideMark/>
          </w:tcPr>
          <w:p w14:paraId="11C1D3C0" w14:textId="77777777" w:rsidR="00A65E70" w:rsidRPr="00A65E70" w:rsidRDefault="00A65E70" w:rsidP="005E71B7">
            <w:r w:rsidRPr="00A65E70">
              <w:rPr>
                <w:rFonts w:eastAsia="Calibri"/>
                <w:lang w:eastAsia="en-US"/>
              </w:rPr>
              <w:t>0.143</w:t>
            </w:r>
          </w:p>
        </w:tc>
        <w:tc>
          <w:tcPr>
            <w:tcW w:w="1251" w:type="dxa"/>
            <w:tcBorders>
              <w:top w:val="nil"/>
              <w:left w:val="nil"/>
              <w:bottom w:val="nil"/>
              <w:right w:val="nil"/>
            </w:tcBorders>
            <w:shd w:val="clear" w:color="auto" w:fill="auto"/>
            <w:noWrap/>
            <w:vAlign w:val="bottom"/>
            <w:hideMark/>
          </w:tcPr>
          <w:p w14:paraId="53E53834" w14:textId="77777777" w:rsidR="00A65E70" w:rsidRPr="00A65E70" w:rsidRDefault="00A65E70" w:rsidP="005E71B7">
            <w:r w:rsidRPr="00A65E70">
              <w:rPr>
                <w:rFonts w:eastAsia="Calibri"/>
                <w:lang w:eastAsia="en-US"/>
              </w:rPr>
              <w:t>n/s</w:t>
            </w:r>
          </w:p>
        </w:tc>
      </w:tr>
      <w:tr w:rsidR="00A65E70" w:rsidRPr="00A65E70" w14:paraId="5F2022CB" w14:textId="77777777" w:rsidTr="004623A4">
        <w:trPr>
          <w:trHeight w:val="299"/>
        </w:trPr>
        <w:tc>
          <w:tcPr>
            <w:tcW w:w="2127" w:type="dxa"/>
            <w:tcBorders>
              <w:top w:val="nil"/>
              <w:left w:val="nil"/>
              <w:bottom w:val="nil"/>
              <w:right w:val="nil"/>
            </w:tcBorders>
            <w:shd w:val="clear" w:color="auto" w:fill="auto"/>
            <w:noWrap/>
            <w:vAlign w:val="bottom"/>
          </w:tcPr>
          <w:p w14:paraId="62D0096C" w14:textId="77777777" w:rsidR="00A65E70" w:rsidRPr="00A65E70" w:rsidRDefault="00A65E70" w:rsidP="005E71B7">
            <w:r w:rsidRPr="00A65E70">
              <w:t>Depression</w:t>
            </w:r>
          </w:p>
        </w:tc>
        <w:tc>
          <w:tcPr>
            <w:tcW w:w="1317" w:type="dxa"/>
            <w:tcBorders>
              <w:top w:val="nil"/>
              <w:left w:val="nil"/>
              <w:bottom w:val="nil"/>
              <w:right w:val="nil"/>
            </w:tcBorders>
            <w:shd w:val="clear" w:color="auto" w:fill="auto"/>
            <w:noWrap/>
            <w:vAlign w:val="bottom"/>
          </w:tcPr>
          <w:p w14:paraId="62066D9E" w14:textId="15A2AA37" w:rsidR="00A65E70" w:rsidRPr="00A65E70" w:rsidRDefault="00A65E70" w:rsidP="005E71B7">
            <w:pPr>
              <w:rPr>
                <w:rFonts w:eastAsia="Calibri"/>
                <w:lang w:eastAsia="en-US"/>
              </w:rPr>
            </w:pPr>
            <w:r w:rsidRPr="00A65E70">
              <w:rPr>
                <w:rFonts w:eastAsia="Calibri"/>
                <w:lang w:eastAsia="en-US"/>
              </w:rPr>
              <w:t>30.0</w:t>
            </w:r>
          </w:p>
        </w:tc>
        <w:tc>
          <w:tcPr>
            <w:tcW w:w="684" w:type="dxa"/>
            <w:tcBorders>
              <w:top w:val="nil"/>
              <w:left w:val="nil"/>
              <w:bottom w:val="nil"/>
              <w:right w:val="nil"/>
            </w:tcBorders>
          </w:tcPr>
          <w:p w14:paraId="2BA82A21" w14:textId="77777777" w:rsidR="00A65E70" w:rsidRPr="00A65E70" w:rsidRDefault="00A65E70" w:rsidP="005E71B7">
            <w:pPr>
              <w:rPr>
                <w:rFonts w:eastAsia="Calibri"/>
                <w:sz w:val="24"/>
                <w:lang w:eastAsia="en-US"/>
              </w:rPr>
            </w:pPr>
            <w:r w:rsidRPr="00A65E70">
              <w:rPr>
                <w:rFonts w:eastAsia="Calibri"/>
                <w:sz w:val="24"/>
                <w:lang w:eastAsia="en-US"/>
              </w:rPr>
              <w:t>0.30</w:t>
            </w:r>
          </w:p>
        </w:tc>
        <w:tc>
          <w:tcPr>
            <w:tcW w:w="992" w:type="dxa"/>
            <w:tcBorders>
              <w:top w:val="nil"/>
              <w:left w:val="nil"/>
              <w:bottom w:val="nil"/>
              <w:right w:val="nil"/>
            </w:tcBorders>
            <w:shd w:val="clear" w:color="auto" w:fill="auto"/>
            <w:noWrap/>
            <w:vAlign w:val="bottom"/>
          </w:tcPr>
          <w:p w14:paraId="6D6504C2" w14:textId="77777777" w:rsidR="00A65E70" w:rsidRPr="00A65E70" w:rsidRDefault="00A65E70" w:rsidP="005E71B7">
            <w:pPr>
              <w:rPr>
                <w:rFonts w:eastAsia="Calibri"/>
                <w:lang w:eastAsia="en-US"/>
              </w:rPr>
            </w:pPr>
            <w:r w:rsidRPr="00A65E70">
              <w:rPr>
                <w:rFonts w:eastAsia="Calibri"/>
                <w:lang w:eastAsia="en-US"/>
              </w:rPr>
              <w:t>1.35</w:t>
            </w:r>
          </w:p>
        </w:tc>
        <w:tc>
          <w:tcPr>
            <w:tcW w:w="1560" w:type="dxa"/>
            <w:tcBorders>
              <w:top w:val="nil"/>
              <w:left w:val="nil"/>
              <w:bottom w:val="nil"/>
              <w:right w:val="nil"/>
            </w:tcBorders>
            <w:shd w:val="clear" w:color="auto" w:fill="auto"/>
            <w:noWrap/>
            <w:vAlign w:val="bottom"/>
          </w:tcPr>
          <w:p w14:paraId="57747F56" w14:textId="77777777" w:rsidR="00A65E70" w:rsidRPr="00A65E70" w:rsidRDefault="00A65E70" w:rsidP="005E71B7">
            <w:pPr>
              <w:rPr>
                <w:rFonts w:eastAsia="Calibri"/>
                <w:lang w:eastAsia="en-US"/>
              </w:rPr>
            </w:pPr>
            <w:r w:rsidRPr="00A65E70">
              <w:rPr>
                <w:rFonts w:eastAsia="Calibri"/>
                <w:lang w:eastAsia="en-US"/>
              </w:rPr>
              <w:t>1.10-1.64</w:t>
            </w:r>
          </w:p>
        </w:tc>
        <w:tc>
          <w:tcPr>
            <w:tcW w:w="850" w:type="dxa"/>
            <w:tcBorders>
              <w:top w:val="nil"/>
              <w:left w:val="nil"/>
              <w:bottom w:val="nil"/>
              <w:right w:val="nil"/>
            </w:tcBorders>
            <w:shd w:val="clear" w:color="auto" w:fill="auto"/>
            <w:noWrap/>
            <w:vAlign w:val="bottom"/>
          </w:tcPr>
          <w:p w14:paraId="2B45DFA2" w14:textId="77777777" w:rsidR="00A65E70" w:rsidRPr="00A65E70" w:rsidRDefault="00A65E70" w:rsidP="005E71B7">
            <w:pPr>
              <w:rPr>
                <w:rFonts w:eastAsia="Calibri"/>
                <w:lang w:eastAsia="en-US"/>
              </w:rPr>
            </w:pPr>
            <w:r w:rsidRPr="00A65E70">
              <w:rPr>
                <w:rFonts w:eastAsia="Calibri"/>
                <w:lang w:eastAsia="en-US"/>
              </w:rPr>
              <w:t>0.10</w:t>
            </w:r>
          </w:p>
        </w:tc>
        <w:tc>
          <w:tcPr>
            <w:tcW w:w="851" w:type="dxa"/>
            <w:tcBorders>
              <w:top w:val="nil"/>
              <w:left w:val="nil"/>
              <w:bottom w:val="nil"/>
              <w:right w:val="nil"/>
            </w:tcBorders>
            <w:shd w:val="clear" w:color="auto" w:fill="auto"/>
            <w:noWrap/>
            <w:vAlign w:val="bottom"/>
          </w:tcPr>
          <w:p w14:paraId="32A11814" w14:textId="77777777" w:rsidR="00A65E70" w:rsidRPr="00A65E70" w:rsidRDefault="00A65E70" w:rsidP="005E71B7">
            <w:pPr>
              <w:rPr>
                <w:rFonts w:eastAsia="Calibri"/>
                <w:lang w:eastAsia="en-US"/>
              </w:rPr>
            </w:pPr>
            <w:r w:rsidRPr="00A65E70">
              <w:rPr>
                <w:rFonts w:eastAsia="Calibri"/>
                <w:lang w:eastAsia="en-US"/>
              </w:rPr>
              <w:t>0.003</w:t>
            </w:r>
          </w:p>
        </w:tc>
        <w:tc>
          <w:tcPr>
            <w:tcW w:w="1251" w:type="dxa"/>
            <w:tcBorders>
              <w:top w:val="nil"/>
              <w:left w:val="nil"/>
              <w:bottom w:val="nil"/>
              <w:right w:val="nil"/>
            </w:tcBorders>
            <w:shd w:val="clear" w:color="auto" w:fill="auto"/>
            <w:noWrap/>
            <w:vAlign w:val="bottom"/>
          </w:tcPr>
          <w:p w14:paraId="69258304" w14:textId="1C68C3DE" w:rsidR="00A65E70" w:rsidRPr="00A65E70" w:rsidRDefault="00A65E70" w:rsidP="005E71B7">
            <w:pPr>
              <w:rPr>
                <w:rFonts w:eastAsia="Calibri"/>
                <w:lang w:eastAsia="en-US"/>
              </w:rPr>
            </w:pPr>
            <w:r w:rsidRPr="00A65E70">
              <w:rPr>
                <w:rFonts w:eastAsia="Calibri"/>
                <w:lang w:eastAsia="en-US"/>
              </w:rPr>
              <w:t>9.4</w:t>
            </w:r>
          </w:p>
        </w:tc>
      </w:tr>
      <w:tr w:rsidR="00A65E70" w:rsidRPr="00A65E70" w14:paraId="3AE9956D" w14:textId="77777777" w:rsidTr="004623A4">
        <w:trPr>
          <w:trHeight w:val="299"/>
        </w:trPr>
        <w:tc>
          <w:tcPr>
            <w:tcW w:w="2127" w:type="dxa"/>
            <w:tcBorders>
              <w:top w:val="nil"/>
              <w:left w:val="nil"/>
              <w:bottom w:val="nil"/>
              <w:right w:val="nil"/>
            </w:tcBorders>
            <w:shd w:val="clear" w:color="auto" w:fill="auto"/>
            <w:noWrap/>
            <w:vAlign w:val="bottom"/>
            <w:hideMark/>
          </w:tcPr>
          <w:p w14:paraId="6EE3A6A0" w14:textId="77777777" w:rsidR="00A65E70" w:rsidRPr="00A65E70" w:rsidRDefault="00A65E70" w:rsidP="005E71B7">
            <w:r w:rsidRPr="00A65E70">
              <w:t>Psychological Distress</w:t>
            </w:r>
          </w:p>
        </w:tc>
        <w:tc>
          <w:tcPr>
            <w:tcW w:w="1317" w:type="dxa"/>
            <w:tcBorders>
              <w:top w:val="nil"/>
              <w:left w:val="nil"/>
              <w:bottom w:val="nil"/>
              <w:right w:val="nil"/>
            </w:tcBorders>
            <w:shd w:val="clear" w:color="auto" w:fill="auto"/>
            <w:noWrap/>
            <w:vAlign w:val="bottom"/>
            <w:hideMark/>
          </w:tcPr>
          <w:p w14:paraId="2E7C4302" w14:textId="7A2EE4DA" w:rsidR="00A65E70" w:rsidRPr="00A65E70" w:rsidRDefault="00A65E70" w:rsidP="005E71B7">
            <w:r w:rsidRPr="00A65E70">
              <w:rPr>
                <w:rFonts w:eastAsia="Calibri"/>
                <w:lang w:eastAsia="en-US"/>
              </w:rPr>
              <w:t>13.6</w:t>
            </w:r>
          </w:p>
        </w:tc>
        <w:tc>
          <w:tcPr>
            <w:tcW w:w="684" w:type="dxa"/>
            <w:tcBorders>
              <w:top w:val="nil"/>
              <w:left w:val="nil"/>
              <w:bottom w:val="nil"/>
              <w:right w:val="nil"/>
            </w:tcBorders>
          </w:tcPr>
          <w:p w14:paraId="6F571CC6" w14:textId="77777777" w:rsidR="00846311" w:rsidRDefault="00846311" w:rsidP="005E71B7">
            <w:pPr>
              <w:rPr>
                <w:rFonts w:eastAsia="Calibri"/>
                <w:sz w:val="24"/>
                <w:lang w:eastAsia="en-US"/>
              </w:rPr>
            </w:pPr>
          </w:p>
          <w:p w14:paraId="7023795E" w14:textId="77777777" w:rsidR="00A65E70" w:rsidRPr="00A65E70" w:rsidRDefault="00A65E70" w:rsidP="005E71B7">
            <w:pPr>
              <w:rPr>
                <w:rFonts w:eastAsia="Calibri"/>
                <w:lang w:eastAsia="en-US"/>
              </w:rPr>
            </w:pPr>
            <w:r w:rsidRPr="00A65E70">
              <w:rPr>
                <w:rFonts w:eastAsia="Calibri"/>
                <w:sz w:val="24"/>
                <w:lang w:eastAsia="en-US"/>
              </w:rPr>
              <w:t>0.14</w:t>
            </w:r>
          </w:p>
        </w:tc>
        <w:tc>
          <w:tcPr>
            <w:tcW w:w="992" w:type="dxa"/>
            <w:tcBorders>
              <w:top w:val="nil"/>
              <w:left w:val="nil"/>
              <w:bottom w:val="nil"/>
              <w:right w:val="nil"/>
            </w:tcBorders>
            <w:shd w:val="clear" w:color="auto" w:fill="auto"/>
            <w:noWrap/>
            <w:vAlign w:val="bottom"/>
            <w:hideMark/>
          </w:tcPr>
          <w:p w14:paraId="1BF3FC98" w14:textId="77777777" w:rsidR="00A65E70" w:rsidRPr="00A65E70" w:rsidRDefault="00A65E70" w:rsidP="005E71B7">
            <w:r w:rsidRPr="00A65E70">
              <w:rPr>
                <w:rFonts w:eastAsia="Calibri"/>
                <w:lang w:eastAsia="en-US"/>
              </w:rPr>
              <w:t>1.15</w:t>
            </w:r>
          </w:p>
        </w:tc>
        <w:tc>
          <w:tcPr>
            <w:tcW w:w="1560" w:type="dxa"/>
            <w:tcBorders>
              <w:top w:val="nil"/>
              <w:left w:val="nil"/>
              <w:bottom w:val="nil"/>
              <w:right w:val="nil"/>
            </w:tcBorders>
            <w:shd w:val="clear" w:color="auto" w:fill="auto"/>
            <w:noWrap/>
            <w:vAlign w:val="bottom"/>
            <w:hideMark/>
          </w:tcPr>
          <w:p w14:paraId="7A2E06FE" w14:textId="77777777" w:rsidR="00A65E70" w:rsidRPr="00A65E70" w:rsidRDefault="00A65E70" w:rsidP="005E71B7">
            <w:r w:rsidRPr="00A65E70">
              <w:rPr>
                <w:rFonts w:eastAsia="Calibri"/>
                <w:lang w:eastAsia="en-US"/>
              </w:rPr>
              <w:t>0.90-1.47</w:t>
            </w:r>
          </w:p>
        </w:tc>
        <w:tc>
          <w:tcPr>
            <w:tcW w:w="850" w:type="dxa"/>
            <w:tcBorders>
              <w:top w:val="nil"/>
              <w:left w:val="nil"/>
              <w:bottom w:val="nil"/>
              <w:right w:val="nil"/>
            </w:tcBorders>
            <w:shd w:val="clear" w:color="auto" w:fill="auto"/>
            <w:noWrap/>
            <w:vAlign w:val="bottom"/>
            <w:hideMark/>
          </w:tcPr>
          <w:p w14:paraId="52CF2BD1" w14:textId="77777777" w:rsidR="00A65E70" w:rsidRPr="00A65E70" w:rsidRDefault="00A65E70" w:rsidP="005E71B7">
            <w:r w:rsidRPr="00A65E70">
              <w:rPr>
                <w:rFonts w:eastAsia="Calibri"/>
                <w:lang w:eastAsia="en-US"/>
              </w:rPr>
              <w:t>0.12</w:t>
            </w:r>
          </w:p>
        </w:tc>
        <w:tc>
          <w:tcPr>
            <w:tcW w:w="851" w:type="dxa"/>
            <w:tcBorders>
              <w:top w:val="nil"/>
              <w:left w:val="nil"/>
              <w:bottom w:val="nil"/>
              <w:right w:val="nil"/>
            </w:tcBorders>
            <w:shd w:val="clear" w:color="auto" w:fill="auto"/>
            <w:noWrap/>
            <w:vAlign w:val="bottom"/>
            <w:hideMark/>
          </w:tcPr>
          <w:p w14:paraId="70D0E057" w14:textId="77777777" w:rsidR="00A65E70" w:rsidRPr="00A65E70" w:rsidRDefault="00A65E70" w:rsidP="005E71B7">
            <w:r w:rsidRPr="00A65E70">
              <w:rPr>
                <w:rFonts w:eastAsia="Calibri"/>
                <w:lang w:eastAsia="en-US"/>
              </w:rPr>
              <w:t>0.251</w:t>
            </w:r>
          </w:p>
        </w:tc>
        <w:tc>
          <w:tcPr>
            <w:tcW w:w="1251" w:type="dxa"/>
            <w:tcBorders>
              <w:top w:val="nil"/>
              <w:left w:val="nil"/>
              <w:bottom w:val="nil"/>
              <w:right w:val="nil"/>
            </w:tcBorders>
            <w:shd w:val="clear" w:color="auto" w:fill="auto"/>
            <w:noWrap/>
            <w:vAlign w:val="bottom"/>
            <w:hideMark/>
          </w:tcPr>
          <w:p w14:paraId="183B6DA2" w14:textId="77777777" w:rsidR="00A65E70" w:rsidRPr="00A65E70" w:rsidRDefault="00A65E70" w:rsidP="005E71B7">
            <w:r w:rsidRPr="00A65E70">
              <w:rPr>
                <w:rFonts w:eastAsia="Calibri"/>
                <w:lang w:eastAsia="en-US"/>
              </w:rPr>
              <w:t>n/s</w:t>
            </w:r>
          </w:p>
        </w:tc>
      </w:tr>
      <w:tr w:rsidR="00A65E70" w:rsidRPr="00A65E70" w14:paraId="154B8201" w14:textId="77777777" w:rsidTr="004623A4">
        <w:trPr>
          <w:trHeight w:val="121"/>
        </w:trPr>
        <w:tc>
          <w:tcPr>
            <w:tcW w:w="2127" w:type="dxa"/>
            <w:tcBorders>
              <w:top w:val="nil"/>
              <w:left w:val="nil"/>
              <w:bottom w:val="single" w:sz="4" w:space="0" w:color="auto"/>
              <w:right w:val="nil"/>
            </w:tcBorders>
            <w:shd w:val="clear" w:color="auto" w:fill="auto"/>
            <w:noWrap/>
            <w:vAlign w:val="bottom"/>
            <w:hideMark/>
          </w:tcPr>
          <w:p w14:paraId="2E164B91" w14:textId="77777777" w:rsidR="00A65E70" w:rsidRPr="00A65E70" w:rsidRDefault="00A65E70" w:rsidP="005E71B7">
            <w:r w:rsidRPr="00A65E70">
              <w:t>Low Engagement</w:t>
            </w:r>
          </w:p>
        </w:tc>
        <w:tc>
          <w:tcPr>
            <w:tcW w:w="1317" w:type="dxa"/>
            <w:tcBorders>
              <w:top w:val="nil"/>
              <w:left w:val="nil"/>
              <w:bottom w:val="single" w:sz="4" w:space="0" w:color="auto"/>
              <w:right w:val="nil"/>
            </w:tcBorders>
            <w:shd w:val="clear" w:color="auto" w:fill="auto"/>
            <w:noWrap/>
            <w:vAlign w:val="bottom"/>
            <w:hideMark/>
          </w:tcPr>
          <w:p w14:paraId="285DD2C4" w14:textId="740E6ACA" w:rsidR="00A65E70" w:rsidRPr="00A65E70" w:rsidRDefault="00A65E70" w:rsidP="005E71B7">
            <w:r w:rsidRPr="00A65E70">
              <w:rPr>
                <w:rFonts w:eastAsia="Calibri"/>
                <w:lang w:eastAsia="en-US"/>
              </w:rPr>
              <w:t>44.4</w:t>
            </w:r>
          </w:p>
        </w:tc>
        <w:tc>
          <w:tcPr>
            <w:tcW w:w="684" w:type="dxa"/>
            <w:tcBorders>
              <w:top w:val="nil"/>
              <w:left w:val="nil"/>
              <w:bottom w:val="single" w:sz="4" w:space="0" w:color="auto"/>
              <w:right w:val="nil"/>
            </w:tcBorders>
          </w:tcPr>
          <w:p w14:paraId="326B81EB" w14:textId="77777777" w:rsidR="00A65E70" w:rsidRPr="00A65E70" w:rsidRDefault="00A65E70" w:rsidP="005E71B7">
            <w:pPr>
              <w:rPr>
                <w:rFonts w:eastAsia="Calibri"/>
                <w:lang w:eastAsia="en-US"/>
              </w:rPr>
            </w:pPr>
            <w:r w:rsidRPr="00A65E70">
              <w:rPr>
                <w:rFonts w:eastAsia="Calibri"/>
                <w:sz w:val="24"/>
                <w:lang w:eastAsia="en-US"/>
              </w:rPr>
              <w:t>0.44</w:t>
            </w:r>
          </w:p>
        </w:tc>
        <w:tc>
          <w:tcPr>
            <w:tcW w:w="992" w:type="dxa"/>
            <w:tcBorders>
              <w:top w:val="nil"/>
              <w:left w:val="nil"/>
              <w:bottom w:val="single" w:sz="4" w:space="0" w:color="auto"/>
              <w:right w:val="nil"/>
            </w:tcBorders>
            <w:shd w:val="clear" w:color="auto" w:fill="auto"/>
            <w:noWrap/>
            <w:vAlign w:val="bottom"/>
            <w:hideMark/>
          </w:tcPr>
          <w:p w14:paraId="6163F09B" w14:textId="77777777" w:rsidR="00A65E70" w:rsidRPr="00A65E70" w:rsidRDefault="00A65E70" w:rsidP="005E71B7">
            <w:r w:rsidRPr="00A65E70">
              <w:rPr>
                <w:rFonts w:eastAsia="Calibri"/>
                <w:lang w:eastAsia="en-US"/>
              </w:rPr>
              <w:t>1.56</w:t>
            </w:r>
          </w:p>
        </w:tc>
        <w:tc>
          <w:tcPr>
            <w:tcW w:w="1560" w:type="dxa"/>
            <w:tcBorders>
              <w:top w:val="nil"/>
              <w:left w:val="nil"/>
              <w:bottom w:val="single" w:sz="4" w:space="0" w:color="auto"/>
              <w:right w:val="nil"/>
            </w:tcBorders>
            <w:shd w:val="clear" w:color="auto" w:fill="auto"/>
            <w:noWrap/>
            <w:vAlign w:val="bottom"/>
            <w:hideMark/>
          </w:tcPr>
          <w:p w14:paraId="52125B26" w14:textId="77777777" w:rsidR="00A65E70" w:rsidRPr="00A65E70" w:rsidRDefault="00A65E70" w:rsidP="005E71B7">
            <w:r w:rsidRPr="00A65E70">
              <w:rPr>
                <w:rFonts w:eastAsia="Calibri"/>
                <w:lang w:eastAsia="en-US"/>
              </w:rPr>
              <w:t>1.27-1.90</w:t>
            </w:r>
          </w:p>
        </w:tc>
        <w:tc>
          <w:tcPr>
            <w:tcW w:w="850" w:type="dxa"/>
            <w:tcBorders>
              <w:top w:val="nil"/>
              <w:left w:val="nil"/>
              <w:bottom w:val="single" w:sz="4" w:space="0" w:color="auto"/>
              <w:right w:val="nil"/>
            </w:tcBorders>
            <w:shd w:val="clear" w:color="auto" w:fill="auto"/>
            <w:noWrap/>
            <w:vAlign w:val="bottom"/>
            <w:hideMark/>
          </w:tcPr>
          <w:p w14:paraId="253FAFC7" w14:textId="77777777" w:rsidR="00A65E70" w:rsidRPr="00A65E70" w:rsidRDefault="00A65E70" w:rsidP="005E71B7">
            <w:r w:rsidRPr="00A65E70">
              <w:rPr>
                <w:rFonts w:eastAsia="Calibri"/>
                <w:lang w:eastAsia="en-US"/>
              </w:rPr>
              <w:t>0.10</w:t>
            </w:r>
          </w:p>
        </w:tc>
        <w:tc>
          <w:tcPr>
            <w:tcW w:w="851" w:type="dxa"/>
            <w:tcBorders>
              <w:top w:val="nil"/>
              <w:left w:val="nil"/>
              <w:bottom w:val="single" w:sz="4" w:space="0" w:color="auto"/>
              <w:right w:val="nil"/>
            </w:tcBorders>
            <w:shd w:val="clear" w:color="auto" w:fill="auto"/>
            <w:noWrap/>
            <w:vAlign w:val="bottom"/>
            <w:hideMark/>
          </w:tcPr>
          <w:p w14:paraId="17471925" w14:textId="77777777" w:rsidR="00A65E70" w:rsidRPr="00A65E70" w:rsidRDefault="00A65E70" w:rsidP="005E71B7">
            <w:r w:rsidRPr="00A65E70">
              <w:rPr>
                <w:rFonts w:eastAsia="Calibri"/>
                <w:lang w:eastAsia="en-US"/>
              </w:rPr>
              <w:t>&lt;.001</w:t>
            </w:r>
          </w:p>
        </w:tc>
        <w:tc>
          <w:tcPr>
            <w:tcW w:w="1251" w:type="dxa"/>
            <w:tcBorders>
              <w:top w:val="nil"/>
              <w:left w:val="nil"/>
              <w:bottom w:val="single" w:sz="4" w:space="0" w:color="auto"/>
              <w:right w:val="nil"/>
            </w:tcBorders>
            <w:shd w:val="clear" w:color="auto" w:fill="auto"/>
            <w:noWrap/>
            <w:vAlign w:val="bottom"/>
            <w:hideMark/>
          </w:tcPr>
          <w:p w14:paraId="1D9C6E98" w14:textId="6823C14A" w:rsidR="00A65E70" w:rsidRPr="00A65E70" w:rsidRDefault="00A65E70" w:rsidP="005E71B7">
            <w:r w:rsidRPr="00A65E70">
              <w:rPr>
                <w:rFonts w:eastAsia="Calibri"/>
                <w:lang w:eastAsia="en-US"/>
              </w:rPr>
              <w:t>19.8</w:t>
            </w:r>
          </w:p>
        </w:tc>
      </w:tr>
    </w:tbl>
    <w:p w14:paraId="234A7416" w14:textId="77777777" w:rsidR="004623A4" w:rsidRDefault="004623A4" w:rsidP="00D8244B">
      <w:pPr>
        <w:pStyle w:val="SWA-FOOTER"/>
      </w:pPr>
    </w:p>
    <w:tbl>
      <w:tblPr>
        <w:tblStyle w:val="TableGrid"/>
        <w:tblW w:w="9640" w:type="dxa"/>
        <w:tblInd w:w="-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Table 3 Logistic regression, presenteeism attributable to PSC and covariates"/>
        <w:tblDescription w:val="Table three continues and shows the annual sickness absence cost attributable to low PSC, depression, psychological distress and low engagement.  "/>
      </w:tblPr>
      <w:tblGrid>
        <w:gridCol w:w="4883"/>
        <w:gridCol w:w="4757"/>
      </w:tblGrid>
      <w:tr w:rsidR="004623A4" w14:paraId="7FD5BC29" w14:textId="77777777" w:rsidTr="009B55B4">
        <w:trPr>
          <w:tblHeader/>
        </w:trPr>
        <w:tc>
          <w:tcPr>
            <w:tcW w:w="4883" w:type="dxa"/>
          </w:tcPr>
          <w:p w14:paraId="575677F3" w14:textId="77777777" w:rsidR="004623A4" w:rsidRPr="004623A4" w:rsidRDefault="004623A4" w:rsidP="00D54C52">
            <w:pPr>
              <w:rPr>
                <w:i/>
              </w:rPr>
            </w:pPr>
            <w:r w:rsidRPr="004623A4">
              <w:rPr>
                <w:i/>
              </w:rPr>
              <w:t>Only PSC in model</w:t>
            </w:r>
          </w:p>
        </w:tc>
        <w:tc>
          <w:tcPr>
            <w:tcW w:w="4757" w:type="dxa"/>
          </w:tcPr>
          <w:p w14:paraId="2B448CAE" w14:textId="77777777" w:rsidR="004623A4" w:rsidRDefault="004623A4" w:rsidP="00D54C52"/>
        </w:tc>
      </w:tr>
      <w:tr w:rsidR="004623A4" w14:paraId="74DD6DFA" w14:textId="77777777" w:rsidTr="00D54C52">
        <w:tc>
          <w:tcPr>
            <w:tcW w:w="4883" w:type="dxa"/>
          </w:tcPr>
          <w:p w14:paraId="45A05FA3" w14:textId="629D1C14" w:rsidR="004623A4" w:rsidRDefault="004623A4" w:rsidP="00D54C52">
            <w:r w:rsidRPr="00A046E0">
              <w:t>Annual sickness absence cost attributable to Low PSC</w:t>
            </w:r>
          </w:p>
        </w:tc>
        <w:tc>
          <w:tcPr>
            <w:tcW w:w="4757" w:type="dxa"/>
          </w:tcPr>
          <w:p w14:paraId="3481DBE3" w14:textId="1A997CC4" w:rsidR="004623A4" w:rsidRDefault="004623A4" w:rsidP="00D54C52">
            <w:r w:rsidRPr="00A046E0">
              <w:t>$3,582,264,727</w:t>
            </w:r>
          </w:p>
        </w:tc>
      </w:tr>
      <w:tr w:rsidR="004623A4" w14:paraId="78E0FFE4" w14:textId="77777777" w:rsidTr="00D54C52">
        <w:tc>
          <w:tcPr>
            <w:tcW w:w="4883" w:type="dxa"/>
          </w:tcPr>
          <w:p w14:paraId="6DD0F9D7" w14:textId="77777777" w:rsidR="004623A4" w:rsidRDefault="004623A4" w:rsidP="00D54C52">
            <w:r w:rsidRPr="00A65E70">
              <w:rPr>
                <w:i/>
                <w:iCs/>
              </w:rPr>
              <w:t>All factors in model</w:t>
            </w:r>
          </w:p>
        </w:tc>
        <w:tc>
          <w:tcPr>
            <w:tcW w:w="4757" w:type="dxa"/>
          </w:tcPr>
          <w:p w14:paraId="050DAE36" w14:textId="77777777" w:rsidR="004623A4" w:rsidRDefault="004623A4" w:rsidP="00D54C52"/>
        </w:tc>
      </w:tr>
      <w:tr w:rsidR="004623A4" w14:paraId="4D6FFDE6" w14:textId="77777777" w:rsidTr="00D54C52">
        <w:tc>
          <w:tcPr>
            <w:tcW w:w="4883" w:type="dxa"/>
          </w:tcPr>
          <w:p w14:paraId="6AC5C975" w14:textId="4FAA2B78" w:rsidR="004623A4" w:rsidRDefault="004623A4" w:rsidP="00D54C52">
            <w:r w:rsidRPr="00A93816">
              <w:t>Annual sickness absence cost attributable to Low PSC</w:t>
            </w:r>
          </w:p>
        </w:tc>
        <w:tc>
          <w:tcPr>
            <w:tcW w:w="4757" w:type="dxa"/>
          </w:tcPr>
          <w:p w14:paraId="40CE8278" w14:textId="4E7A1EC7" w:rsidR="004623A4" w:rsidRDefault="004623A4" w:rsidP="00D54C52">
            <w:r w:rsidRPr="00A93816">
              <w:t>n/s</w:t>
            </w:r>
          </w:p>
        </w:tc>
      </w:tr>
      <w:tr w:rsidR="004623A4" w14:paraId="4E27F152" w14:textId="77777777" w:rsidTr="00D54C52">
        <w:tc>
          <w:tcPr>
            <w:tcW w:w="4883" w:type="dxa"/>
          </w:tcPr>
          <w:p w14:paraId="5C6C4542" w14:textId="775E514E" w:rsidR="004623A4" w:rsidRDefault="004623A4" w:rsidP="00D54C52">
            <w:r w:rsidRPr="00A93816">
              <w:t>Annual sickness absence cost attributable to Depression</w:t>
            </w:r>
          </w:p>
        </w:tc>
        <w:tc>
          <w:tcPr>
            <w:tcW w:w="4757" w:type="dxa"/>
          </w:tcPr>
          <w:p w14:paraId="40A9D39C" w14:textId="658A3A85" w:rsidR="004623A4" w:rsidRDefault="004623A4" w:rsidP="00D54C52">
            <w:r w:rsidRPr="00A93816">
              <w:t>$1,938,639,454</w:t>
            </w:r>
          </w:p>
        </w:tc>
      </w:tr>
      <w:tr w:rsidR="004623A4" w14:paraId="400215F1" w14:textId="77777777" w:rsidTr="00D54C52">
        <w:tc>
          <w:tcPr>
            <w:tcW w:w="4883" w:type="dxa"/>
          </w:tcPr>
          <w:p w14:paraId="6D61B4F9" w14:textId="64159363" w:rsidR="004623A4" w:rsidRDefault="004623A4" w:rsidP="00D54C52">
            <w:r w:rsidRPr="00A93816">
              <w:t>Annual sickness absence cost attributable to Psychological Distress</w:t>
            </w:r>
          </w:p>
        </w:tc>
        <w:tc>
          <w:tcPr>
            <w:tcW w:w="4757" w:type="dxa"/>
          </w:tcPr>
          <w:p w14:paraId="58689AA8" w14:textId="40413EC9" w:rsidR="004623A4" w:rsidRDefault="004623A4" w:rsidP="00D54C52">
            <w:r w:rsidRPr="00A93816">
              <w:t>n/s</w:t>
            </w:r>
          </w:p>
        </w:tc>
      </w:tr>
      <w:tr w:rsidR="004623A4" w14:paraId="341BDEA1" w14:textId="77777777" w:rsidTr="00D54C52">
        <w:tc>
          <w:tcPr>
            <w:tcW w:w="4883" w:type="dxa"/>
            <w:tcBorders>
              <w:bottom w:val="nil"/>
            </w:tcBorders>
          </w:tcPr>
          <w:p w14:paraId="2B10A282" w14:textId="3B8DE49A" w:rsidR="004623A4" w:rsidRDefault="004623A4" w:rsidP="00D54C52">
            <w:r w:rsidRPr="00A93816">
              <w:t>Annual sickness absence cost attributable to Low Engagement</w:t>
            </w:r>
          </w:p>
        </w:tc>
        <w:tc>
          <w:tcPr>
            <w:tcW w:w="4757" w:type="dxa"/>
            <w:tcBorders>
              <w:bottom w:val="nil"/>
            </w:tcBorders>
          </w:tcPr>
          <w:p w14:paraId="3837148B" w14:textId="6B503721" w:rsidR="004623A4" w:rsidRDefault="004623A4" w:rsidP="00D54C52">
            <w:r w:rsidRPr="00A93816">
              <w:t>$5,420,184,980</w:t>
            </w:r>
          </w:p>
        </w:tc>
      </w:tr>
      <w:tr w:rsidR="004623A4" w14:paraId="1187C1F5" w14:textId="77777777" w:rsidTr="00D54C52">
        <w:tc>
          <w:tcPr>
            <w:tcW w:w="4883" w:type="dxa"/>
            <w:tcBorders>
              <w:top w:val="nil"/>
              <w:bottom w:val="single" w:sz="24" w:space="0" w:color="auto"/>
            </w:tcBorders>
          </w:tcPr>
          <w:p w14:paraId="2C38A0EE" w14:textId="1D212DBA" w:rsidR="004623A4" w:rsidRDefault="004623A4" w:rsidP="00D54C52">
            <w:r w:rsidRPr="00A93816">
              <w:t>Annual sickness absence cost attributable to Low PSC</w:t>
            </w:r>
          </w:p>
        </w:tc>
        <w:tc>
          <w:tcPr>
            <w:tcW w:w="4757" w:type="dxa"/>
            <w:tcBorders>
              <w:top w:val="nil"/>
              <w:bottom w:val="single" w:sz="24" w:space="0" w:color="auto"/>
            </w:tcBorders>
          </w:tcPr>
          <w:p w14:paraId="13828728" w14:textId="70D1C3C9" w:rsidR="004623A4" w:rsidRDefault="004623A4" w:rsidP="00D54C52">
            <w:r w:rsidRPr="00A93816">
              <w:t>n/s</w:t>
            </w:r>
          </w:p>
        </w:tc>
      </w:tr>
    </w:tbl>
    <w:p w14:paraId="7A543F1D" w14:textId="77777777" w:rsidR="004623A4" w:rsidRDefault="004623A4" w:rsidP="00D8244B">
      <w:pPr>
        <w:pStyle w:val="SWA-FOOTER"/>
      </w:pPr>
    </w:p>
    <w:p w14:paraId="7D8B3D63" w14:textId="77777777" w:rsidR="00F4458D" w:rsidRDefault="00A65E70" w:rsidP="00D8244B">
      <w:pPr>
        <w:pStyle w:val="SWA-FOOTER"/>
      </w:pPr>
      <w:r w:rsidRPr="00A65E70">
        <w:t xml:space="preserve">All variables are controlled for gender, age, and income. </w:t>
      </w:r>
    </w:p>
    <w:p w14:paraId="0FE0EA5C" w14:textId="4D5EA071" w:rsidR="00A65E70" w:rsidRPr="00A65E70" w:rsidRDefault="00F4458D" w:rsidP="00D8244B">
      <w:pPr>
        <w:pStyle w:val="SWA-FOOTER"/>
      </w:pPr>
      <w:r w:rsidRPr="00F4458D">
        <w:rPr>
          <w:vertAlign w:val="superscript"/>
        </w:rPr>
        <w:t>a</w:t>
      </w:r>
      <w:r w:rsidR="00A65E70" w:rsidRPr="00A65E70">
        <w:rPr>
          <w:i/>
        </w:rPr>
        <w:t xml:space="preserve"> </w:t>
      </w:r>
      <w:r w:rsidR="00A65E70" w:rsidRPr="00A65E70">
        <w:t>Relative risk of high presenteeism in the past 4 weeks.</w:t>
      </w:r>
    </w:p>
    <w:p w14:paraId="6221626A" w14:textId="0CACE8CC" w:rsidR="00EE707B" w:rsidRDefault="00A65E70" w:rsidP="00DF442A">
      <w:pPr>
        <w:rPr>
          <w:rFonts w:eastAsia="Calibri"/>
          <w:lang w:eastAsia="en-US"/>
        </w:rPr>
      </w:pPr>
      <w:r w:rsidRPr="00A65E70">
        <w:rPr>
          <w:rFonts w:eastAsia="Calibri"/>
          <w:lang w:eastAsia="en-US"/>
        </w:rPr>
        <w:t xml:space="preserve">In relation to Hypothesis 1 that PSC is significantly negatively related to Presenteeism, considering PSC alone in the model because of its upstream influence on the other variables, as shown in Table 3, we found that PSC significantly predicted Presenteeism, </w:t>
      </w:r>
      <w:r w:rsidRPr="00A65E70">
        <w:rPr>
          <w:rFonts w:eastAsia="Calibri"/>
          <w:i/>
          <w:lang w:eastAsia="en-US"/>
        </w:rPr>
        <w:t xml:space="preserve">B </w:t>
      </w:r>
      <w:r w:rsidRPr="00A65E70">
        <w:rPr>
          <w:rFonts w:eastAsia="Calibri"/>
          <w:lang w:eastAsia="en-US"/>
        </w:rPr>
        <w:t xml:space="preserve">= .38, </w:t>
      </w:r>
      <w:r w:rsidRPr="00A65E70">
        <w:rPr>
          <w:rFonts w:eastAsia="Calibri"/>
          <w:i/>
          <w:lang w:eastAsia="en-US"/>
        </w:rPr>
        <w:t>SE</w:t>
      </w:r>
      <w:r w:rsidRPr="00A65E70">
        <w:rPr>
          <w:rFonts w:eastAsia="Calibri"/>
          <w:lang w:eastAsia="en-US"/>
        </w:rPr>
        <w:t xml:space="preserve"> = .09, </w:t>
      </w:r>
      <w:r w:rsidRPr="00A65E70">
        <w:rPr>
          <w:rFonts w:eastAsia="Calibri"/>
          <w:i/>
          <w:lang w:eastAsia="en-US"/>
        </w:rPr>
        <w:t xml:space="preserve">p &lt; </w:t>
      </w:r>
      <w:r w:rsidRPr="00A65E70">
        <w:rPr>
          <w:rFonts w:eastAsia="Calibri"/>
          <w:lang w:eastAsia="en-US"/>
        </w:rPr>
        <w:t>.001, providing further support for Hypothesis 1. Using the RR of 1.46, the PAR of low PSC to Presenteeism is 13.1</w:t>
      </w:r>
      <w:r w:rsidR="005355BD">
        <w:rPr>
          <w:rFonts w:eastAsia="Calibri"/>
          <w:lang w:eastAsia="en-US"/>
        </w:rPr>
        <w:t xml:space="preserve"> per cent</w:t>
      </w:r>
      <w:r w:rsidRPr="00A65E70">
        <w:rPr>
          <w:rFonts w:eastAsia="Calibri"/>
          <w:lang w:eastAsia="en-US"/>
        </w:rPr>
        <w:t>, costing employers an estimated $3.6</w:t>
      </w:r>
      <w:r w:rsidR="00C42D08">
        <w:rPr>
          <w:rFonts w:eastAsia="Calibri"/>
        </w:rPr>
        <w:t> </w:t>
      </w:r>
      <w:r w:rsidRPr="00A65E70">
        <w:rPr>
          <w:rFonts w:eastAsia="Calibri"/>
          <w:lang w:eastAsia="en-US"/>
        </w:rPr>
        <w:t>billion per year.</w:t>
      </w:r>
    </w:p>
    <w:p w14:paraId="09F0CFC3" w14:textId="510B328D" w:rsidR="00EE707B" w:rsidRDefault="00A65E70" w:rsidP="00DF442A">
      <w:pPr>
        <w:rPr>
          <w:rFonts w:eastAsia="Calibri"/>
          <w:lang w:eastAsia="en-US"/>
        </w:rPr>
      </w:pPr>
      <w:r w:rsidRPr="00A65E70">
        <w:rPr>
          <w:rFonts w:eastAsia="Calibri"/>
          <w:lang w:eastAsia="en-US"/>
        </w:rPr>
        <w:t>We found support for Hypothesis 2 that Depression is significantly positively related to Presenteeism, as shown i</w:t>
      </w:r>
      <w:r w:rsidR="00F4458D">
        <w:rPr>
          <w:rFonts w:eastAsia="Calibri"/>
          <w:lang w:eastAsia="en-US"/>
        </w:rPr>
        <w:t>n Table 3, with the unstandardis</w:t>
      </w:r>
      <w:r w:rsidRPr="00A65E70">
        <w:rPr>
          <w:rFonts w:eastAsia="Calibri"/>
          <w:lang w:eastAsia="en-US"/>
        </w:rPr>
        <w:t xml:space="preserve">ed parameter </w:t>
      </w:r>
      <w:r w:rsidRPr="00A65E70">
        <w:rPr>
          <w:rFonts w:eastAsia="Calibri"/>
          <w:i/>
          <w:lang w:eastAsia="en-US"/>
        </w:rPr>
        <w:t xml:space="preserve">B </w:t>
      </w:r>
      <w:r w:rsidRPr="00A65E70">
        <w:rPr>
          <w:rFonts w:eastAsia="Calibri"/>
          <w:lang w:eastAsia="en-US"/>
        </w:rPr>
        <w:t xml:space="preserve">= .30, </w:t>
      </w:r>
      <w:r w:rsidRPr="00A65E70">
        <w:rPr>
          <w:rFonts w:eastAsia="Calibri"/>
          <w:i/>
          <w:lang w:eastAsia="en-US"/>
        </w:rPr>
        <w:t>SE</w:t>
      </w:r>
      <w:r w:rsidRPr="00A65E70">
        <w:rPr>
          <w:rFonts w:eastAsia="Calibri"/>
          <w:lang w:eastAsia="en-US"/>
        </w:rPr>
        <w:t xml:space="preserve"> = .10, </w:t>
      </w:r>
      <w:r w:rsidRPr="00A65E70">
        <w:rPr>
          <w:rFonts w:eastAsia="Calibri"/>
          <w:i/>
          <w:lang w:eastAsia="en-US"/>
        </w:rPr>
        <w:t>p</w:t>
      </w:r>
      <w:r w:rsidRPr="00A65E70">
        <w:rPr>
          <w:rFonts w:eastAsia="Calibri"/>
          <w:lang w:eastAsia="en-US"/>
        </w:rPr>
        <w:t xml:space="preserve"> = .003. Using the RR of 1.35, the PAR of Depression to Presenteeism is 9.4</w:t>
      </w:r>
      <w:r w:rsidR="005355BD">
        <w:rPr>
          <w:rFonts w:eastAsia="Calibri"/>
          <w:lang w:eastAsia="en-US"/>
        </w:rPr>
        <w:t xml:space="preserve"> per cent</w:t>
      </w:r>
      <w:r w:rsidRPr="00A65E70">
        <w:rPr>
          <w:rFonts w:eastAsia="Calibri"/>
          <w:lang w:eastAsia="en-US"/>
        </w:rPr>
        <w:t>, costing employers an estimated $1.9 billion per year.</w:t>
      </w:r>
    </w:p>
    <w:p w14:paraId="3D325637" w14:textId="77777777" w:rsidR="00EE707B" w:rsidRDefault="00A65E70" w:rsidP="00DF442A">
      <w:pPr>
        <w:rPr>
          <w:rFonts w:eastAsia="Calibri"/>
          <w:lang w:eastAsia="en-US"/>
        </w:rPr>
      </w:pPr>
      <w:r w:rsidRPr="00A65E70">
        <w:rPr>
          <w:rFonts w:eastAsia="Calibri"/>
          <w:lang w:eastAsia="en-US"/>
        </w:rPr>
        <w:t xml:space="preserve">Results did not support Hypothesis 3 that Psychological Distress is significantly positively related to Presenteeism, controlling for covariates, </w:t>
      </w:r>
      <w:r w:rsidRPr="00A65E70">
        <w:rPr>
          <w:rFonts w:eastAsia="Calibri"/>
          <w:i/>
          <w:lang w:eastAsia="en-US"/>
        </w:rPr>
        <w:t>B</w:t>
      </w:r>
      <w:r w:rsidRPr="00A65E70">
        <w:rPr>
          <w:rFonts w:eastAsia="Calibri"/>
          <w:lang w:eastAsia="en-US"/>
        </w:rPr>
        <w:t xml:space="preserve">=.14, </w:t>
      </w:r>
      <w:r w:rsidRPr="00A65E70">
        <w:rPr>
          <w:rFonts w:eastAsia="Calibri"/>
          <w:i/>
          <w:lang w:eastAsia="en-US"/>
        </w:rPr>
        <w:t>SE</w:t>
      </w:r>
      <w:r w:rsidRPr="00A65E70">
        <w:rPr>
          <w:rFonts w:eastAsia="Calibri"/>
          <w:lang w:eastAsia="en-US"/>
        </w:rPr>
        <w:t xml:space="preserve"> = .12, </w:t>
      </w:r>
      <w:r w:rsidRPr="00A65E70">
        <w:rPr>
          <w:rFonts w:eastAsia="Calibri"/>
          <w:i/>
          <w:lang w:eastAsia="en-US"/>
        </w:rPr>
        <w:t>p</w:t>
      </w:r>
      <w:r w:rsidRPr="00A65E70">
        <w:rPr>
          <w:rFonts w:eastAsia="Calibri"/>
          <w:lang w:eastAsia="en-US"/>
        </w:rPr>
        <w:t xml:space="preserve"> =.251. </w:t>
      </w:r>
    </w:p>
    <w:p w14:paraId="725D354E" w14:textId="77777777" w:rsidR="00EE707B" w:rsidRDefault="00A65E70" w:rsidP="00D8244B">
      <w:pPr>
        <w:rPr>
          <w:rFonts w:eastAsia="Calibri"/>
          <w:lang w:eastAsia="en-US"/>
        </w:rPr>
      </w:pPr>
      <w:r w:rsidRPr="00A65E70">
        <w:rPr>
          <w:rFonts w:eastAsia="Calibri"/>
          <w:lang w:eastAsia="en-US"/>
        </w:rPr>
        <w:t xml:space="preserve">Hypothesis 4, that Engagement is significantly negatively related to Presenteeism, was supported, </w:t>
      </w:r>
      <w:r w:rsidRPr="00A65E70">
        <w:rPr>
          <w:rFonts w:eastAsia="Calibri"/>
          <w:i/>
          <w:lang w:eastAsia="en-US"/>
        </w:rPr>
        <w:t xml:space="preserve">B </w:t>
      </w:r>
      <w:r w:rsidRPr="00A65E70">
        <w:rPr>
          <w:rFonts w:eastAsia="Calibri"/>
          <w:lang w:eastAsia="en-US"/>
        </w:rPr>
        <w:t xml:space="preserve">= -.44, </w:t>
      </w:r>
      <w:r w:rsidRPr="00A65E70">
        <w:rPr>
          <w:rFonts w:eastAsia="Calibri"/>
          <w:i/>
          <w:lang w:eastAsia="en-US"/>
        </w:rPr>
        <w:t>SE</w:t>
      </w:r>
      <w:r w:rsidRPr="00A65E70">
        <w:rPr>
          <w:rFonts w:eastAsia="Calibri"/>
          <w:lang w:eastAsia="en-US"/>
        </w:rPr>
        <w:t xml:space="preserve"> = .10, </w:t>
      </w:r>
      <w:r w:rsidRPr="00A65E70">
        <w:rPr>
          <w:rFonts w:eastAsia="Calibri"/>
          <w:i/>
          <w:lang w:eastAsia="en-US"/>
        </w:rPr>
        <w:t>p</w:t>
      </w:r>
      <w:r w:rsidRPr="00A65E70">
        <w:rPr>
          <w:rFonts w:eastAsia="Calibri"/>
          <w:lang w:eastAsia="en-US"/>
        </w:rPr>
        <w:t xml:space="preserve"> &lt;.001. Using the RR of 1.56, the PAR of Engagement to Presenteeism is 19.8</w:t>
      </w:r>
      <w:r w:rsidR="005355BD">
        <w:rPr>
          <w:rFonts w:eastAsia="Calibri"/>
          <w:lang w:eastAsia="en-US"/>
        </w:rPr>
        <w:t xml:space="preserve"> per cent</w:t>
      </w:r>
      <w:r w:rsidRPr="00A65E70">
        <w:rPr>
          <w:rFonts w:eastAsia="Calibri"/>
          <w:lang w:eastAsia="en-US"/>
        </w:rPr>
        <w:t xml:space="preserve">, costing employers an estimated $5.4 billion per year. </w:t>
      </w:r>
      <w:bookmarkStart w:id="3" w:name="_Ref424738168"/>
    </w:p>
    <w:p w14:paraId="0C3F85C0" w14:textId="34B9CFDB" w:rsidR="00A65E70" w:rsidRPr="00DF442A" w:rsidRDefault="00A65E70" w:rsidP="00D8244B">
      <w:pPr>
        <w:pStyle w:val="Caption"/>
        <w:rPr>
          <w:rFonts w:eastAsia="Calibri"/>
          <w:szCs w:val="22"/>
        </w:rPr>
      </w:pPr>
      <w:r w:rsidRPr="00A65E70">
        <w:rPr>
          <w:rFonts w:eastAsia="Calibri"/>
          <w:szCs w:val="22"/>
        </w:rPr>
        <w:t xml:space="preserve">Table </w:t>
      </w:r>
      <w:bookmarkEnd w:id="3"/>
      <w:r w:rsidRPr="00A65E70">
        <w:rPr>
          <w:rFonts w:eastAsia="Calibri"/>
          <w:szCs w:val="22"/>
        </w:rPr>
        <w:t>4</w:t>
      </w:r>
      <w:r w:rsidR="00DF442A">
        <w:rPr>
          <w:rFonts w:eastAsia="Calibri"/>
          <w:szCs w:val="22"/>
        </w:rPr>
        <w:t xml:space="preserve"> </w:t>
      </w:r>
      <w:r w:rsidRPr="00A65E70">
        <w:rPr>
          <w:rFonts w:eastAsia="Calibri"/>
        </w:rPr>
        <w:t>Combined costs of absenteeism and presenteeis</w:t>
      </w:r>
      <w:r w:rsidR="00F4458D">
        <w:rPr>
          <w:rFonts w:eastAsia="Calibri"/>
        </w:rPr>
        <w:t>m attributable to key variables</w:t>
      </w:r>
    </w:p>
    <w:tbl>
      <w:tblPr>
        <w:tblW w:w="9068" w:type="dxa"/>
        <w:tblLook w:val="04A0" w:firstRow="1" w:lastRow="0" w:firstColumn="1" w:lastColumn="0" w:noHBand="0" w:noVBand="1"/>
        <w:tblCaption w:val="Table 4 Combined costs of absenteeism and presenteeism attributable to key variables."/>
        <w:tblDescription w:val="This table shows the combined costs of absenteeism and presenteeism attributable to key variables including low PSC, depression and psychological distress. "/>
      </w:tblPr>
      <w:tblGrid>
        <w:gridCol w:w="2552"/>
        <w:gridCol w:w="1982"/>
        <w:gridCol w:w="2267"/>
        <w:gridCol w:w="2267"/>
      </w:tblGrid>
      <w:tr w:rsidR="00A65E70" w:rsidRPr="00A65E70" w14:paraId="01DE3BF0" w14:textId="77777777" w:rsidTr="007032DD">
        <w:trPr>
          <w:trHeight w:val="459"/>
        </w:trPr>
        <w:tc>
          <w:tcPr>
            <w:tcW w:w="2552" w:type="dxa"/>
            <w:tcBorders>
              <w:top w:val="single" w:sz="18" w:space="0" w:color="auto"/>
              <w:left w:val="nil"/>
              <w:bottom w:val="single" w:sz="8" w:space="0" w:color="auto"/>
              <w:right w:val="nil"/>
            </w:tcBorders>
            <w:shd w:val="clear" w:color="auto" w:fill="auto"/>
            <w:noWrap/>
            <w:vAlign w:val="center"/>
            <w:hideMark/>
          </w:tcPr>
          <w:p w14:paraId="7BFAC893" w14:textId="77777777" w:rsidR="00A65E70" w:rsidRPr="00A65E70" w:rsidRDefault="00A65E70" w:rsidP="005E71B7"/>
        </w:tc>
        <w:tc>
          <w:tcPr>
            <w:tcW w:w="1982" w:type="dxa"/>
            <w:tcBorders>
              <w:top w:val="single" w:sz="18" w:space="0" w:color="auto"/>
              <w:left w:val="nil"/>
              <w:bottom w:val="single" w:sz="8" w:space="0" w:color="auto"/>
              <w:right w:val="nil"/>
            </w:tcBorders>
            <w:shd w:val="clear" w:color="auto" w:fill="auto"/>
            <w:noWrap/>
            <w:vAlign w:val="center"/>
            <w:hideMark/>
          </w:tcPr>
          <w:p w14:paraId="5EEDA796" w14:textId="77777777" w:rsidR="00A65E70" w:rsidRPr="00A65E70" w:rsidRDefault="00A65E70" w:rsidP="005E71B7">
            <w:r w:rsidRPr="00A65E70">
              <w:t>Sickness Absence</w:t>
            </w:r>
          </w:p>
        </w:tc>
        <w:tc>
          <w:tcPr>
            <w:tcW w:w="2267" w:type="dxa"/>
            <w:tcBorders>
              <w:top w:val="single" w:sz="18" w:space="0" w:color="auto"/>
              <w:left w:val="nil"/>
              <w:bottom w:val="single" w:sz="8" w:space="0" w:color="auto"/>
              <w:right w:val="nil"/>
            </w:tcBorders>
            <w:shd w:val="clear" w:color="auto" w:fill="auto"/>
            <w:noWrap/>
            <w:vAlign w:val="center"/>
            <w:hideMark/>
          </w:tcPr>
          <w:p w14:paraId="5E430CD1" w14:textId="77777777" w:rsidR="00A65E70" w:rsidRPr="00A65E70" w:rsidRDefault="00A65E70" w:rsidP="005E71B7">
            <w:r w:rsidRPr="00A65E70">
              <w:t>Presenteeism</w:t>
            </w:r>
          </w:p>
        </w:tc>
        <w:tc>
          <w:tcPr>
            <w:tcW w:w="2267" w:type="dxa"/>
            <w:tcBorders>
              <w:top w:val="single" w:sz="18" w:space="0" w:color="auto"/>
              <w:left w:val="nil"/>
              <w:bottom w:val="single" w:sz="8" w:space="0" w:color="auto"/>
              <w:right w:val="nil"/>
            </w:tcBorders>
            <w:shd w:val="clear" w:color="auto" w:fill="auto"/>
            <w:noWrap/>
            <w:vAlign w:val="center"/>
            <w:hideMark/>
          </w:tcPr>
          <w:p w14:paraId="4D4F9A46" w14:textId="77777777" w:rsidR="00A65E70" w:rsidRPr="00A65E70" w:rsidRDefault="00A65E70" w:rsidP="005E71B7">
            <w:r w:rsidRPr="00A65E70">
              <w:t>Combined</w:t>
            </w:r>
          </w:p>
        </w:tc>
      </w:tr>
      <w:tr w:rsidR="00A65E70" w:rsidRPr="00A65E70" w14:paraId="0F30ECF9" w14:textId="77777777" w:rsidTr="007032DD">
        <w:trPr>
          <w:trHeight w:val="325"/>
        </w:trPr>
        <w:tc>
          <w:tcPr>
            <w:tcW w:w="2552" w:type="dxa"/>
            <w:tcBorders>
              <w:top w:val="single" w:sz="8" w:space="0" w:color="auto"/>
              <w:left w:val="nil"/>
              <w:bottom w:val="nil"/>
              <w:right w:val="nil"/>
            </w:tcBorders>
            <w:shd w:val="clear" w:color="auto" w:fill="auto"/>
            <w:noWrap/>
            <w:hideMark/>
          </w:tcPr>
          <w:p w14:paraId="45AE04C2" w14:textId="77777777" w:rsidR="00A65E70" w:rsidRPr="00A65E70" w:rsidRDefault="00A65E70" w:rsidP="005E71B7">
            <w:r w:rsidRPr="00A65E70">
              <w:t>Low PSC</w:t>
            </w:r>
          </w:p>
        </w:tc>
        <w:tc>
          <w:tcPr>
            <w:tcW w:w="1982" w:type="dxa"/>
            <w:tcBorders>
              <w:top w:val="single" w:sz="8" w:space="0" w:color="auto"/>
              <w:left w:val="nil"/>
              <w:bottom w:val="nil"/>
              <w:right w:val="nil"/>
            </w:tcBorders>
            <w:shd w:val="clear" w:color="auto" w:fill="auto"/>
            <w:noWrap/>
            <w:hideMark/>
          </w:tcPr>
          <w:p w14:paraId="3FF96484" w14:textId="77777777" w:rsidR="00A65E70" w:rsidRPr="00A65E70" w:rsidRDefault="00A65E70" w:rsidP="005E71B7">
            <w:r w:rsidRPr="00A65E70">
              <w:t>$2,391,733,921</w:t>
            </w:r>
          </w:p>
        </w:tc>
        <w:tc>
          <w:tcPr>
            <w:tcW w:w="2267" w:type="dxa"/>
            <w:tcBorders>
              <w:top w:val="single" w:sz="8" w:space="0" w:color="auto"/>
              <w:left w:val="nil"/>
              <w:bottom w:val="nil"/>
              <w:right w:val="nil"/>
            </w:tcBorders>
            <w:shd w:val="clear" w:color="auto" w:fill="auto"/>
            <w:noWrap/>
            <w:hideMark/>
          </w:tcPr>
          <w:p w14:paraId="5D91E4DB" w14:textId="77777777" w:rsidR="00A65E70" w:rsidRPr="00A65E70" w:rsidRDefault="00A65E70" w:rsidP="005E71B7">
            <w:r w:rsidRPr="00A65E70">
              <w:t>$3,582,264,727</w:t>
            </w:r>
          </w:p>
        </w:tc>
        <w:tc>
          <w:tcPr>
            <w:tcW w:w="2267" w:type="dxa"/>
            <w:tcBorders>
              <w:top w:val="single" w:sz="8" w:space="0" w:color="auto"/>
              <w:left w:val="nil"/>
              <w:bottom w:val="nil"/>
              <w:right w:val="nil"/>
            </w:tcBorders>
            <w:shd w:val="clear" w:color="auto" w:fill="auto"/>
            <w:noWrap/>
            <w:hideMark/>
          </w:tcPr>
          <w:p w14:paraId="41059BA5" w14:textId="77777777" w:rsidR="00A65E70" w:rsidRPr="00A65E70" w:rsidRDefault="00A65E70" w:rsidP="005E71B7">
            <w:r w:rsidRPr="00A65E70">
              <w:t>$5,973,998,647</w:t>
            </w:r>
          </w:p>
        </w:tc>
      </w:tr>
      <w:tr w:rsidR="00A65E70" w:rsidRPr="00A65E70" w14:paraId="366C5370" w14:textId="77777777" w:rsidTr="007032DD">
        <w:trPr>
          <w:trHeight w:val="368"/>
        </w:trPr>
        <w:tc>
          <w:tcPr>
            <w:tcW w:w="2552" w:type="dxa"/>
            <w:tcBorders>
              <w:top w:val="nil"/>
              <w:left w:val="nil"/>
              <w:bottom w:val="nil"/>
              <w:right w:val="nil"/>
            </w:tcBorders>
            <w:shd w:val="clear" w:color="auto" w:fill="auto"/>
            <w:noWrap/>
            <w:vAlign w:val="center"/>
            <w:hideMark/>
          </w:tcPr>
          <w:p w14:paraId="62FFD2BD" w14:textId="77777777" w:rsidR="00A65E70" w:rsidRPr="00A65E70" w:rsidRDefault="00A65E70" w:rsidP="005E71B7">
            <w:r w:rsidRPr="00A65E70">
              <w:t>Depression</w:t>
            </w:r>
          </w:p>
        </w:tc>
        <w:tc>
          <w:tcPr>
            <w:tcW w:w="1982" w:type="dxa"/>
            <w:tcBorders>
              <w:top w:val="nil"/>
              <w:left w:val="nil"/>
              <w:bottom w:val="nil"/>
              <w:right w:val="nil"/>
            </w:tcBorders>
            <w:shd w:val="clear" w:color="auto" w:fill="auto"/>
            <w:noWrap/>
            <w:vAlign w:val="center"/>
            <w:hideMark/>
          </w:tcPr>
          <w:p w14:paraId="0B44850A" w14:textId="77777777" w:rsidR="00A65E70" w:rsidRPr="00A65E70" w:rsidRDefault="00A65E70" w:rsidP="005E71B7">
            <w:r w:rsidRPr="00A65E70">
              <w:t>$4,353,608,658</w:t>
            </w:r>
          </w:p>
        </w:tc>
        <w:tc>
          <w:tcPr>
            <w:tcW w:w="2267" w:type="dxa"/>
            <w:tcBorders>
              <w:top w:val="nil"/>
              <w:left w:val="nil"/>
              <w:bottom w:val="nil"/>
              <w:right w:val="nil"/>
            </w:tcBorders>
            <w:shd w:val="clear" w:color="auto" w:fill="auto"/>
            <w:noWrap/>
            <w:vAlign w:val="center"/>
            <w:hideMark/>
          </w:tcPr>
          <w:p w14:paraId="5EB08515" w14:textId="77777777" w:rsidR="00A65E70" w:rsidRPr="00A65E70" w:rsidRDefault="00A65E70" w:rsidP="005E71B7">
            <w:r w:rsidRPr="00A65E70">
              <w:t>$1,938,639,454</w:t>
            </w:r>
          </w:p>
        </w:tc>
        <w:tc>
          <w:tcPr>
            <w:tcW w:w="2267" w:type="dxa"/>
            <w:tcBorders>
              <w:top w:val="nil"/>
              <w:left w:val="nil"/>
              <w:bottom w:val="nil"/>
              <w:right w:val="nil"/>
            </w:tcBorders>
            <w:shd w:val="clear" w:color="auto" w:fill="auto"/>
            <w:noWrap/>
            <w:vAlign w:val="center"/>
            <w:hideMark/>
          </w:tcPr>
          <w:p w14:paraId="34EE562A" w14:textId="77777777" w:rsidR="00A65E70" w:rsidRPr="00A65E70" w:rsidRDefault="00A65E70" w:rsidP="005E71B7">
            <w:r w:rsidRPr="00A65E70">
              <w:t>$6,292,248,112</w:t>
            </w:r>
          </w:p>
        </w:tc>
      </w:tr>
      <w:tr w:rsidR="00A65E70" w:rsidRPr="00A65E70" w14:paraId="70FE4F92" w14:textId="77777777" w:rsidTr="007032DD">
        <w:trPr>
          <w:trHeight w:val="368"/>
        </w:trPr>
        <w:tc>
          <w:tcPr>
            <w:tcW w:w="2552" w:type="dxa"/>
            <w:tcBorders>
              <w:top w:val="nil"/>
              <w:left w:val="nil"/>
              <w:bottom w:val="nil"/>
              <w:right w:val="nil"/>
            </w:tcBorders>
            <w:shd w:val="clear" w:color="auto" w:fill="auto"/>
            <w:noWrap/>
            <w:vAlign w:val="center"/>
            <w:hideMark/>
          </w:tcPr>
          <w:p w14:paraId="74C9C2C8" w14:textId="77777777" w:rsidR="00A65E70" w:rsidRPr="00A65E70" w:rsidRDefault="00A65E70" w:rsidP="005E71B7">
            <w:r w:rsidRPr="00A65E70">
              <w:t>Psychological Distress</w:t>
            </w:r>
          </w:p>
        </w:tc>
        <w:tc>
          <w:tcPr>
            <w:tcW w:w="1982" w:type="dxa"/>
            <w:tcBorders>
              <w:top w:val="nil"/>
              <w:left w:val="nil"/>
              <w:bottom w:val="nil"/>
              <w:right w:val="nil"/>
            </w:tcBorders>
            <w:shd w:val="clear" w:color="auto" w:fill="auto"/>
            <w:noWrap/>
            <w:vAlign w:val="center"/>
            <w:hideMark/>
          </w:tcPr>
          <w:p w14:paraId="7B425D5A" w14:textId="77777777" w:rsidR="00A65E70" w:rsidRPr="00A65E70" w:rsidRDefault="00A65E70" w:rsidP="005E71B7">
            <w:r w:rsidRPr="00A65E70">
              <w:t>$1,006,412,938</w:t>
            </w:r>
          </w:p>
        </w:tc>
        <w:tc>
          <w:tcPr>
            <w:tcW w:w="2267" w:type="dxa"/>
            <w:tcBorders>
              <w:top w:val="nil"/>
              <w:left w:val="nil"/>
              <w:bottom w:val="nil"/>
              <w:right w:val="nil"/>
            </w:tcBorders>
            <w:shd w:val="clear" w:color="auto" w:fill="auto"/>
            <w:noWrap/>
            <w:vAlign w:val="center"/>
            <w:hideMark/>
          </w:tcPr>
          <w:p w14:paraId="3C0438B6" w14:textId="77777777" w:rsidR="00A65E70" w:rsidRPr="00A65E70" w:rsidRDefault="00A65E70" w:rsidP="005E71B7">
            <w:r w:rsidRPr="00A65E70">
              <w:t>n/s</w:t>
            </w:r>
          </w:p>
        </w:tc>
        <w:tc>
          <w:tcPr>
            <w:tcW w:w="2267" w:type="dxa"/>
            <w:tcBorders>
              <w:top w:val="nil"/>
              <w:left w:val="nil"/>
              <w:bottom w:val="nil"/>
              <w:right w:val="nil"/>
            </w:tcBorders>
            <w:shd w:val="clear" w:color="auto" w:fill="auto"/>
            <w:noWrap/>
            <w:vAlign w:val="center"/>
            <w:hideMark/>
          </w:tcPr>
          <w:p w14:paraId="09007111" w14:textId="77777777" w:rsidR="00A65E70" w:rsidRPr="00A65E70" w:rsidRDefault="00A65E70" w:rsidP="005E71B7">
            <w:r w:rsidRPr="00A65E70">
              <w:t>$1,006,412,938</w:t>
            </w:r>
          </w:p>
        </w:tc>
      </w:tr>
      <w:tr w:rsidR="00A65E70" w:rsidRPr="00A65E70" w14:paraId="4476112A" w14:textId="77777777" w:rsidTr="007032DD">
        <w:trPr>
          <w:trHeight w:val="368"/>
        </w:trPr>
        <w:tc>
          <w:tcPr>
            <w:tcW w:w="2552" w:type="dxa"/>
            <w:tcBorders>
              <w:top w:val="nil"/>
              <w:left w:val="nil"/>
              <w:right w:val="nil"/>
            </w:tcBorders>
            <w:shd w:val="clear" w:color="auto" w:fill="auto"/>
            <w:noWrap/>
            <w:vAlign w:val="center"/>
            <w:hideMark/>
          </w:tcPr>
          <w:p w14:paraId="673F8F4B" w14:textId="77777777" w:rsidR="00A65E70" w:rsidRPr="00A65E70" w:rsidRDefault="00A65E70" w:rsidP="005E71B7">
            <w:r w:rsidRPr="00A65E70">
              <w:t>Low Engagement</w:t>
            </w:r>
          </w:p>
        </w:tc>
        <w:tc>
          <w:tcPr>
            <w:tcW w:w="1982" w:type="dxa"/>
            <w:tcBorders>
              <w:top w:val="nil"/>
              <w:left w:val="nil"/>
              <w:right w:val="nil"/>
            </w:tcBorders>
            <w:shd w:val="clear" w:color="auto" w:fill="auto"/>
            <w:noWrap/>
            <w:vAlign w:val="center"/>
            <w:hideMark/>
          </w:tcPr>
          <w:p w14:paraId="0C6928CF" w14:textId="77777777" w:rsidR="00A65E70" w:rsidRPr="00A65E70" w:rsidRDefault="00A65E70" w:rsidP="005E71B7">
            <w:r w:rsidRPr="00A65E70">
              <w:t>n/s</w:t>
            </w:r>
          </w:p>
        </w:tc>
        <w:tc>
          <w:tcPr>
            <w:tcW w:w="2267" w:type="dxa"/>
            <w:tcBorders>
              <w:top w:val="nil"/>
              <w:left w:val="nil"/>
              <w:right w:val="nil"/>
            </w:tcBorders>
            <w:shd w:val="clear" w:color="auto" w:fill="auto"/>
            <w:noWrap/>
            <w:vAlign w:val="center"/>
            <w:hideMark/>
          </w:tcPr>
          <w:p w14:paraId="394F4AA4" w14:textId="77777777" w:rsidR="00A65E70" w:rsidRPr="00A65E70" w:rsidRDefault="00A65E70" w:rsidP="005E71B7">
            <w:r w:rsidRPr="00A65E70">
              <w:t>$5,420,184,980</w:t>
            </w:r>
          </w:p>
        </w:tc>
        <w:tc>
          <w:tcPr>
            <w:tcW w:w="2267" w:type="dxa"/>
            <w:tcBorders>
              <w:top w:val="nil"/>
              <w:left w:val="nil"/>
              <w:right w:val="nil"/>
            </w:tcBorders>
            <w:shd w:val="clear" w:color="auto" w:fill="auto"/>
            <w:noWrap/>
            <w:vAlign w:val="center"/>
            <w:hideMark/>
          </w:tcPr>
          <w:p w14:paraId="31EF4D52" w14:textId="77777777" w:rsidR="00A65E70" w:rsidRPr="00A65E70" w:rsidRDefault="00A65E70" w:rsidP="005E71B7">
            <w:r w:rsidRPr="00A65E70">
              <w:t>$5,420,184,980</w:t>
            </w:r>
          </w:p>
        </w:tc>
      </w:tr>
      <w:tr w:rsidR="00A65E70" w:rsidRPr="00A65E70" w14:paraId="0EC28196" w14:textId="77777777" w:rsidTr="007032DD">
        <w:trPr>
          <w:trHeight w:val="384"/>
        </w:trPr>
        <w:tc>
          <w:tcPr>
            <w:tcW w:w="2552" w:type="dxa"/>
            <w:tcBorders>
              <w:top w:val="nil"/>
              <w:left w:val="nil"/>
              <w:bottom w:val="single" w:sz="18" w:space="0" w:color="auto"/>
              <w:right w:val="nil"/>
            </w:tcBorders>
            <w:shd w:val="clear" w:color="auto" w:fill="auto"/>
            <w:noWrap/>
            <w:vAlign w:val="center"/>
            <w:hideMark/>
          </w:tcPr>
          <w:p w14:paraId="007D51F4" w14:textId="77777777" w:rsidR="00A65E70" w:rsidRPr="00A65E70" w:rsidRDefault="00A65E70" w:rsidP="005E71B7">
            <w:r w:rsidRPr="00A65E70">
              <w:t>All factors (ex PSC)</w:t>
            </w:r>
          </w:p>
        </w:tc>
        <w:tc>
          <w:tcPr>
            <w:tcW w:w="1982" w:type="dxa"/>
            <w:tcBorders>
              <w:top w:val="nil"/>
              <w:left w:val="nil"/>
              <w:bottom w:val="single" w:sz="18" w:space="0" w:color="auto"/>
              <w:right w:val="nil"/>
            </w:tcBorders>
            <w:shd w:val="clear" w:color="auto" w:fill="auto"/>
            <w:noWrap/>
            <w:vAlign w:val="center"/>
            <w:hideMark/>
          </w:tcPr>
          <w:p w14:paraId="62BD9B03" w14:textId="77777777" w:rsidR="00A65E70" w:rsidRPr="00A65E70" w:rsidRDefault="00A65E70" w:rsidP="005E71B7">
            <w:r w:rsidRPr="00A65E70">
              <w:t>$5,148,118,028</w:t>
            </w:r>
          </w:p>
        </w:tc>
        <w:tc>
          <w:tcPr>
            <w:tcW w:w="2267" w:type="dxa"/>
            <w:tcBorders>
              <w:top w:val="nil"/>
              <w:left w:val="nil"/>
              <w:bottom w:val="single" w:sz="18" w:space="0" w:color="auto"/>
              <w:right w:val="nil"/>
            </w:tcBorders>
            <w:shd w:val="clear" w:color="auto" w:fill="auto"/>
            <w:noWrap/>
            <w:vAlign w:val="center"/>
            <w:hideMark/>
          </w:tcPr>
          <w:p w14:paraId="1EF0A3BA" w14:textId="77777777" w:rsidR="00A65E70" w:rsidRPr="00A65E70" w:rsidRDefault="00A65E70" w:rsidP="005E71B7">
            <w:r w:rsidRPr="00A65E70">
              <w:t>$7,474,503,368</w:t>
            </w:r>
          </w:p>
        </w:tc>
        <w:tc>
          <w:tcPr>
            <w:tcW w:w="2267" w:type="dxa"/>
            <w:tcBorders>
              <w:top w:val="nil"/>
              <w:left w:val="nil"/>
              <w:bottom w:val="single" w:sz="18" w:space="0" w:color="auto"/>
              <w:right w:val="nil"/>
            </w:tcBorders>
            <w:shd w:val="clear" w:color="auto" w:fill="auto"/>
            <w:noWrap/>
            <w:vAlign w:val="center"/>
            <w:hideMark/>
          </w:tcPr>
          <w:p w14:paraId="10C5C926" w14:textId="77777777" w:rsidR="00A65E70" w:rsidRPr="00A65E70" w:rsidRDefault="00A65E70" w:rsidP="005E71B7">
            <w:r w:rsidRPr="00A65E70">
              <w:t>$12,622,621,396</w:t>
            </w:r>
          </w:p>
        </w:tc>
      </w:tr>
    </w:tbl>
    <w:p w14:paraId="56F2159B" w14:textId="77777777" w:rsidR="00A65E70" w:rsidRPr="00A65E70" w:rsidRDefault="00A65E70" w:rsidP="00A65E70">
      <w:pPr>
        <w:spacing w:after="160" w:line="259" w:lineRule="auto"/>
        <w:rPr>
          <w:rFonts w:ascii="Adobe Garamond Pro" w:eastAsia="Calibri" w:hAnsi="Adobe Garamond Pro"/>
          <w:sz w:val="24"/>
          <w:szCs w:val="22"/>
          <w:lang w:eastAsia="en-US"/>
        </w:rPr>
      </w:pPr>
    </w:p>
    <w:p w14:paraId="2033CB67" w14:textId="77777777" w:rsidR="00A65E70" w:rsidRPr="00A65E70" w:rsidRDefault="00A65E70" w:rsidP="00DF442A">
      <w:pPr>
        <w:rPr>
          <w:rFonts w:eastAsia="Calibri"/>
          <w:lang w:eastAsia="en-US"/>
        </w:rPr>
      </w:pPr>
      <w:r w:rsidRPr="00A65E70">
        <w:rPr>
          <w:rFonts w:eastAsia="Calibri"/>
          <w:lang w:eastAsia="en-US"/>
        </w:rPr>
        <w:t xml:space="preserve">Table 4 displays the estimated annual cost burden to employers associated with low PSC, depression, psychological distress and low engagement via increased sickness absence and </w:t>
      </w:r>
      <w:bookmarkStart w:id="4" w:name="_GoBack"/>
      <w:bookmarkEnd w:id="4"/>
      <w:r w:rsidRPr="00A65E70">
        <w:rPr>
          <w:rFonts w:eastAsia="Calibri"/>
          <w:lang w:eastAsia="en-US"/>
        </w:rPr>
        <w:lastRenderedPageBreak/>
        <w:t xml:space="preserve">performance loss. </w:t>
      </w:r>
      <w:r w:rsidR="006C3C81">
        <w:rPr>
          <w:rFonts w:eastAsia="Calibri"/>
          <w:lang w:eastAsia="en-US"/>
        </w:rPr>
        <w:t>PSC and the three psychological health outcomes</w:t>
      </w:r>
      <w:r w:rsidRPr="00A65E70">
        <w:rPr>
          <w:rFonts w:eastAsia="Calibri"/>
          <w:lang w:eastAsia="en-US"/>
        </w:rPr>
        <w:t xml:space="preserve"> were associated with significant costs as a result of lost productivity, each costing Australian employers billions of dollars per year. The “all factors” cost uses the combined PAR formula to account for sickness absence and presenteeism that can be attributed to more than one risk factor (See </w:t>
      </w:r>
      <w:r w:rsidRPr="00A65E70">
        <w:rPr>
          <w:rFonts w:eastAsia="Calibri"/>
          <w:i/>
          <w:lang w:eastAsia="en-US"/>
        </w:rPr>
        <w:t>PAR</w:t>
      </w:r>
      <w:r w:rsidRPr="00A65E70">
        <w:rPr>
          <w:rFonts w:eastAsia="Calibri"/>
          <w:lang w:eastAsia="en-US"/>
        </w:rPr>
        <w:t xml:space="preserve"> in Statistical Analysis section). While Depression, Psychological Distress, and Engagement cost estimates were modelled controlling for PSC, the productivity costs of low PSC are examined separately due to the upstream nature of PSC. Lost productivity due to sickness absence and presenteeism costs Australian employers annually $6 billion via low PSC; $6.3 billion via depression; $1 billion via psychological distress; and $5.4 billion via low engagement. See Appendix 3 for an alternate cost projection using univariate analysis for each psychosocial risk.</w:t>
      </w:r>
    </w:p>
    <w:p w14:paraId="7E0EFE10" w14:textId="77777777" w:rsidR="00A65E70" w:rsidRPr="00A65E70" w:rsidRDefault="00A65E70" w:rsidP="00DF442A">
      <w:pPr>
        <w:rPr>
          <w:rFonts w:eastAsia="Calibri"/>
          <w:iCs/>
          <w:szCs w:val="18"/>
          <w:lang w:eastAsia="en-US"/>
        </w:rPr>
        <w:sectPr w:rsidR="00A65E70" w:rsidRPr="00A65E70" w:rsidSect="005E71B7">
          <w:pgSz w:w="11906" w:h="16838"/>
          <w:pgMar w:top="1276" w:right="1440" w:bottom="1440" w:left="1440" w:header="708" w:footer="708" w:gutter="0"/>
          <w:cols w:space="708"/>
          <w:docGrid w:linePitch="360"/>
        </w:sectPr>
      </w:pPr>
    </w:p>
    <w:p w14:paraId="4FEA94F7" w14:textId="230AB89C" w:rsidR="00DF442A" w:rsidRPr="00D8244B" w:rsidRDefault="00DF442A" w:rsidP="00D8244B">
      <w:pPr>
        <w:pStyle w:val="Heading2"/>
      </w:pPr>
      <w:r>
        <w:lastRenderedPageBreak/>
        <w:t xml:space="preserve">2. </w:t>
      </w:r>
      <w:r w:rsidR="00A65E70" w:rsidRPr="00DF442A">
        <w:t>Determine average costs of sickness absence and presenteeism per severity level</w:t>
      </w:r>
      <w:r w:rsidR="00A65E70" w:rsidRPr="00DF442A" w:rsidDel="0035608A">
        <w:t xml:space="preserve"> </w:t>
      </w:r>
    </w:p>
    <w:p w14:paraId="30CD190E" w14:textId="3F9F7745" w:rsidR="00A65E70" w:rsidRPr="00DF442A" w:rsidRDefault="00A65E70" w:rsidP="00D8244B">
      <w:pPr>
        <w:pStyle w:val="Caption"/>
        <w:rPr>
          <w:rFonts w:eastAsia="Calibri"/>
        </w:rPr>
      </w:pPr>
      <w:r w:rsidRPr="00A65E70">
        <w:rPr>
          <w:rFonts w:eastAsia="Calibri"/>
        </w:rPr>
        <w:t>Table 5 Sickness absence and presenteeism costs compared in low and high PSC environments</w:t>
      </w:r>
    </w:p>
    <w:tbl>
      <w:tblPr>
        <w:tblW w:w="12663" w:type="dxa"/>
        <w:tblInd w:w="108" w:type="dxa"/>
        <w:tblLook w:val="04A0" w:firstRow="1" w:lastRow="0" w:firstColumn="1" w:lastColumn="0" w:noHBand="0" w:noVBand="1"/>
        <w:tblCaption w:val="Table 5 Sickness absence and presenteeism costs compared in low and high PSC environments"/>
        <w:tblDescription w:val="This table shows sickness absence and presenteeism costs compared in low and high PSC environments. "/>
      </w:tblPr>
      <w:tblGrid>
        <w:gridCol w:w="1593"/>
        <w:gridCol w:w="1843"/>
        <w:gridCol w:w="1340"/>
        <w:gridCol w:w="1404"/>
        <w:gridCol w:w="1537"/>
        <w:gridCol w:w="1219"/>
        <w:gridCol w:w="1105"/>
        <w:gridCol w:w="1452"/>
        <w:gridCol w:w="1170"/>
      </w:tblGrid>
      <w:tr w:rsidR="00A65E70" w:rsidRPr="00A65E70" w14:paraId="23C96585" w14:textId="77777777" w:rsidTr="007032DD">
        <w:trPr>
          <w:trHeight w:val="1295"/>
        </w:trPr>
        <w:tc>
          <w:tcPr>
            <w:tcW w:w="1593" w:type="dxa"/>
            <w:tcBorders>
              <w:top w:val="single" w:sz="18" w:space="0" w:color="auto"/>
              <w:left w:val="nil"/>
              <w:bottom w:val="single" w:sz="4" w:space="0" w:color="auto"/>
              <w:right w:val="nil"/>
            </w:tcBorders>
            <w:shd w:val="clear" w:color="auto" w:fill="auto"/>
            <w:noWrap/>
            <w:vAlign w:val="bottom"/>
            <w:hideMark/>
          </w:tcPr>
          <w:p w14:paraId="4747042E" w14:textId="77777777" w:rsidR="00A65E70" w:rsidRPr="00A65E70" w:rsidRDefault="00A65E70" w:rsidP="005E71B7">
            <w:pPr>
              <w:rPr>
                <w:rFonts w:eastAsia="Calibri"/>
                <w:lang w:eastAsia="en-US"/>
              </w:rPr>
            </w:pPr>
            <w:r w:rsidRPr="00A65E70">
              <w:rPr>
                <w:rFonts w:eastAsia="Calibri"/>
                <w:lang w:eastAsia="en-US"/>
              </w:rPr>
              <w:t>Workers PSC</w:t>
            </w:r>
          </w:p>
        </w:tc>
        <w:tc>
          <w:tcPr>
            <w:tcW w:w="1843" w:type="dxa"/>
            <w:tcBorders>
              <w:top w:val="single" w:sz="18" w:space="0" w:color="auto"/>
              <w:left w:val="nil"/>
              <w:bottom w:val="single" w:sz="4" w:space="0" w:color="auto"/>
              <w:right w:val="nil"/>
            </w:tcBorders>
            <w:shd w:val="clear" w:color="auto" w:fill="auto"/>
            <w:noWrap/>
            <w:vAlign w:val="bottom"/>
            <w:hideMark/>
          </w:tcPr>
          <w:p w14:paraId="0A78273D" w14:textId="77777777" w:rsidR="00A65E70" w:rsidRPr="00A65E70" w:rsidRDefault="00A65E70" w:rsidP="005E71B7">
            <w:pPr>
              <w:rPr>
                <w:rFonts w:eastAsia="Calibri"/>
                <w:lang w:eastAsia="en-US"/>
              </w:rPr>
            </w:pPr>
            <w:r w:rsidRPr="00A65E70">
              <w:rPr>
                <w:rFonts w:eastAsia="Calibri"/>
                <w:lang w:eastAsia="en-US"/>
              </w:rPr>
              <w:t>Annual sickness absence (hours)</w:t>
            </w:r>
          </w:p>
        </w:tc>
        <w:tc>
          <w:tcPr>
            <w:tcW w:w="1418" w:type="dxa"/>
            <w:tcBorders>
              <w:top w:val="single" w:sz="18" w:space="0" w:color="auto"/>
              <w:left w:val="nil"/>
              <w:bottom w:val="single" w:sz="4" w:space="0" w:color="auto"/>
              <w:right w:val="nil"/>
            </w:tcBorders>
            <w:shd w:val="clear" w:color="auto" w:fill="auto"/>
            <w:vAlign w:val="bottom"/>
            <w:hideMark/>
          </w:tcPr>
          <w:p w14:paraId="3E86106C" w14:textId="77777777" w:rsidR="00A65E70" w:rsidRPr="00A65E70" w:rsidRDefault="00A65E70" w:rsidP="005E71B7">
            <w:pPr>
              <w:rPr>
                <w:rFonts w:eastAsia="Calibri"/>
                <w:lang w:eastAsia="en-US"/>
              </w:rPr>
            </w:pPr>
            <w:r w:rsidRPr="00A65E70">
              <w:rPr>
                <w:rFonts w:eastAsia="Calibri"/>
                <w:lang w:eastAsia="en-US"/>
              </w:rPr>
              <w:t>Cost via sickness absence</w:t>
            </w:r>
          </w:p>
        </w:tc>
        <w:tc>
          <w:tcPr>
            <w:tcW w:w="1418" w:type="dxa"/>
            <w:tcBorders>
              <w:top w:val="single" w:sz="18" w:space="0" w:color="auto"/>
              <w:left w:val="nil"/>
              <w:bottom w:val="single" w:sz="4" w:space="0" w:color="auto"/>
              <w:right w:val="nil"/>
            </w:tcBorders>
            <w:shd w:val="clear" w:color="auto" w:fill="auto"/>
            <w:vAlign w:val="bottom"/>
            <w:hideMark/>
          </w:tcPr>
          <w:p w14:paraId="354568A4" w14:textId="77777777" w:rsidR="00A65E70" w:rsidRDefault="00A65E70" w:rsidP="005E71B7">
            <w:pPr>
              <w:rPr>
                <w:rFonts w:eastAsia="Calibri"/>
                <w:lang w:eastAsia="en-US"/>
              </w:rPr>
            </w:pPr>
            <w:r w:rsidRPr="00A65E70">
              <w:rPr>
                <w:rFonts w:eastAsia="Calibri"/>
                <w:lang w:eastAsia="en-US"/>
              </w:rPr>
              <w:t>Productivity Loss</w:t>
            </w:r>
          </w:p>
          <w:p w14:paraId="3830E117" w14:textId="42CC3E42" w:rsidR="005355BD" w:rsidRPr="00A65E70" w:rsidRDefault="005355BD" w:rsidP="005E71B7">
            <w:pPr>
              <w:rPr>
                <w:rFonts w:eastAsia="Calibri"/>
                <w:lang w:eastAsia="en-US"/>
              </w:rPr>
            </w:pPr>
            <w:r>
              <w:rPr>
                <w:rFonts w:eastAsia="Calibri"/>
                <w:lang w:eastAsia="en-US"/>
              </w:rPr>
              <w:t>(per cent)</w:t>
            </w:r>
          </w:p>
        </w:tc>
        <w:tc>
          <w:tcPr>
            <w:tcW w:w="1469" w:type="dxa"/>
            <w:tcBorders>
              <w:top w:val="single" w:sz="18" w:space="0" w:color="auto"/>
              <w:left w:val="nil"/>
              <w:bottom w:val="single" w:sz="4" w:space="0" w:color="auto"/>
              <w:right w:val="nil"/>
            </w:tcBorders>
            <w:shd w:val="clear" w:color="auto" w:fill="auto"/>
            <w:vAlign w:val="bottom"/>
            <w:hideMark/>
          </w:tcPr>
          <w:p w14:paraId="463811BC" w14:textId="77777777" w:rsidR="00A65E70" w:rsidRPr="00A65E70" w:rsidRDefault="00A65E70" w:rsidP="005E71B7">
            <w:pPr>
              <w:rPr>
                <w:rFonts w:eastAsia="Calibri"/>
                <w:lang w:eastAsia="en-US"/>
              </w:rPr>
            </w:pPr>
            <w:r w:rsidRPr="00A65E70">
              <w:rPr>
                <w:rFonts w:eastAsia="Calibri"/>
                <w:lang w:eastAsia="en-US"/>
              </w:rPr>
              <w:t>Cost via presenteeism</w:t>
            </w:r>
          </w:p>
        </w:tc>
        <w:tc>
          <w:tcPr>
            <w:tcW w:w="1216" w:type="dxa"/>
            <w:tcBorders>
              <w:top w:val="single" w:sz="18" w:space="0" w:color="auto"/>
              <w:left w:val="nil"/>
              <w:bottom w:val="single" w:sz="4" w:space="0" w:color="auto"/>
              <w:right w:val="nil"/>
            </w:tcBorders>
            <w:shd w:val="clear" w:color="auto" w:fill="auto"/>
            <w:vAlign w:val="bottom"/>
            <w:hideMark/>
          </w:tcPr>
          <w:p w14:paraId="700D4617" w14:textId="77777777" w:rsidR="00A65E70" w:rsidRPr="00A65E70" w:rsidRDefault="00A65E70" w:rsidP="005E71B7">
            <w:pPr>
              <w:rPr>
                <w:rFonts w:eastAsia="Calibri"/>
                <w:lang w:eastAsia="en-US"/>
              </w:rPr>
            </w:pPr>
            <w:r w:rsidRPr="00A65E70">
              <w:rPr>
                <w:rFonts w:eastAsia="Calibri"/>
                <w:lang w:eastAsia="en-US"/>
              </w:rPr>
              <w:t>Combined annual cost</w:t>
            </w:r>
          </w:p>
        </w:tc>
        <w:tc>
          <w:tcPr>
            <w:tcW w:w="1114" w:type="dxa"/>
            <w:tcBorders>
              <w:top w:val="single" w:sz="18" w:space="0" w:color="auto"/>
              <w:left w:val="nil"/>
              <w:bottom w:val="single" w:sz="4" w:space="0" w:color="auto"/>
              <w:right w:val="nil"/>
            </w:tcBorders>
            <w:shd w:val="clear" w:color="auto" w:fill="auto"/>
            <w:vAlign w:val="bottom"/>
            <w:hideMark/>
          </w:tcPr>
          <w:p w14:paraId="4846D6AB" w14:textId="77777777" w:rsidR="00A65E70" w:rsidRPr="00A65E70" w:rsidRDefault="00A65E70" w:rsidP="005E71B7">
            <w:pPr>
              <w:rPr>
                <w:rFonts w:eastAsia="Calibri"/>
                <w:lang w:eastAsia="en-US"/>
              </w:rPr>
            </w:pPr>
            <w:r w:rsidRPr="00A65E70">
              <w:rPr>
                <w:rFonts w:eastAsia="Calibri"/>
                <w:lang w:eastAsia="en-US"/>
              </w:rPr>
              <w:t>Adjusted sickness absence cost</w:t>
            </w:r>
          </w:p>
        </w:tc>
        <w:tc>
          <w:tcPr>
            <w:tcW w:w="1429" w:type="dxa"/>
            <w:tcBorders>
              <w:top w:val="single" w:sz="18" w:space="0" w:color="auto"/>
              <w:left w:val="nil"/>
              <w:bottom w:val="single" w:sz="4" w:space="0" w:color="auto"/>
              <w:right w:val="nil"/>
            </w:tcBorders>
            <w:shd w:val="clear" w:color="auto" w:fill="auto"/>
            <w:vAlign w:val="bottom"/>
            <w:hideMark/>
          </w:tcPr>
          <w:p w14:paraId="60A630C4" w14:textId="77777777" w:rsidR="00A65E70" w:rsidRPr="00A65E70" w:rsidRDefault="00A65E70" w:rsidP="005E71B7">
            <w:pPr>
              <w:rPr>
                <w:rFonts w:eastAsia="Calibri"/>
                <w:lang w:eastAsia="en-US"/>
              </w:rPr>
            </w:pPr>
            <w:r w:rsidRPr="00A65E70">
              <w:rPr>
                <w:rFonts w:eastAsia="Calibri"/>
                <w:lang w:eastAsia="en-US"/>
              </w:rPr>
              <w:t>Adjusted performance loss cost</w:t>
            </w:r>
          </w:p>
        </w:tc>
        <w:tc>
          <w:tcPr>
            <w:tcW w:w="1163" w:type="dxa"/>
            <w:tcBorders>
              <w:top w:val="single" w:sz="18" w:space="0" w:color="auto"/>
              <w:left w:val="nil"/>
              <w:bottom w:val="single" w:sz="4" w:space="0" w:color="auto"/>
              <w:right w:val="nil"/>
            </w:tcBorders>
            <w:shd w:val="clear" w:color="auto" w:fill="auto"/>
            <w:vAlign w:val="bottom"/>
            <w:hideMark/>
          </w:tcPr>
          <w:p w14:paraId="62A9B674" w14:textId="77777777" w:rsidR="00A65E70" w:rsidRPr="00A65E70" w:rsidRDefault="00A65E70" w:rsidP="005E71B7">
            <w:pPr>
              <w:rPr>
                <w:rFonts w:eastAsia="Calibri"/>
                <w:lang w:eastAsia="en-US"/>
              </w:rPr>
            </w:pPr>
            <w:r w:rsidRPr="00A65E70">
              <w:rPr>
                <w:rFonts w:eastAsia="Calibri"/>
                <w:lang w:eastAsia="en-US"/>
              </w:rPr>
              <w:t>Adjusted combined cost</w:t>
            </w:r>
          </w:p>
        </w:tc>
      </w:tr>
      <w:tr w:rsidR="00A65E70" w:rsidRPr="00A65E70" w14:paraId="691E1C63" w14:textId="77777777" w:rsidTr="007032DD">
        <w:trPr>
          <w:trHeight w:val="400"/>
        </w:trPr>
        <w:tc>
          <w:tcPr>
            <w:tcW w:w="1593" w:type="dxa"/>
            <w:tcBorders>
              <w:top w:val="single" w:sz="4" w:space="0" w:color="auto"/>
              <w:left w:val="nil"/>
              <w:right w:val="nil"/>
            </w:tcBorders>
            <w:shd w:val="clear" w:color="auto" w:fill="auto"/>
            <w:noWrap/>
            <w:vAlign w:val="bottom"/>
            <w:hideMark/>
          </w:tcPr>
          <w:p w14:paraId="00486FF2" w14:textId="77777777" w:rsidR="00A65E70" w:rsidRPr="00A65E70" w:rsidRDefault="00A65E70" w:rsidP="005E71B7">
            <w:pPr>
              <w:rPr>
                <w:rFonts w:eastAsia="Calibri"/>
                <w:lang w:eastAsia="en-US"/>
              </w:rPr>
            </w:pPr>
            <w:r w:rsidRPr="00A65E70">
              <w:rPr>
                <w:rFonts w:eastAsia="Calibri"/>
                <w:lang w:eastAsia="en-US"/>
              </w:rPr>
              <w:t>Low</w:t>
            </w:r>
          </w:p>
        </w:tc>
        <w:tc>
          <w:tcPr>
            <w:tcW w:w="1843" w:type="dxa"/>
            <w:tcBorders>
              <w:top w:val="single" w:sz="4" w:space="0" w:color="auto"/>
              <w:left w:val="nil"/>
              <w:right w:val="nil"/>
            </w:tcBorders>
            <w:shd w:val="clear" w:color="auto" w:fill="auto"/>
            <w:noWrap/>
            <w:vAlign w:val="bottom"/>
            <w:hideMark/>
          </w:tcPr>
          <w:p w14:paraId="75FB351B" w14:textId="77777777" w:rsidR="00A65E70" w:rsidRPr="00A65E70" w:rsidRDefault="00A65E70" w:rsidP="005E71B7">
            <w:pPr>
              <w:rPr>
                <w:rFonts w:eastAsia="Calibri"/>
                <w:lang w:eastAsia="en-US"/>
              </w:rPr>
            </w:pPr>
            <w:r w:rsidRPr="00A65E70">
              <w:rPr>
                <w:rFonts w:eastAsia="Calibri"/>
                <w:lang w:eastAsia="en-US"/>
              </w:rPr>
              <w:t>60.3</w:t>
            </w:r>
          </w:p>
        </w:tc>
        <w:tc>
          <w:tcPr>
            <w:tcW w:w="1418" w:type="dxa"/>
            <w:tcBorders>
              <w:top w:val="single" w:sz="4" w:space="0" w:color="auto"/>
              <w:left w:val="nil"/>
              <w:right w:val="nil"/>
            </w:tcBorders>
            <w:shd w:val="clear" w:color="auto" w:fill="auto"/>
            <w:vAlign w:val="bottom"/>
            <w:hideMark/>
          </w:tcPr>
          <w:p w14:paraId="413154BB" w14:textId="77777777" w:rsidR="00A65E70" w:rsidRPr="00A65E70" w:rsidRDefault="00A65E70" w:rsidP="005E71B7">
            <w:pPr>
              <w:rPr>
                <w:rFonts w:eastAsia="Calibri"/>
                <w:lang w:eastAsia="en-US"/>
              </w:rPr>
            </w:pPr>
            <w:r w:rsidRPr="00A65E70">
              <w:rPr>
                <w:rFonts w:eastAsia="Calibri"/>
                <w:lang w:eastAsia="en-US"/>
              </w:rPr>
              <w:t>$2,109</w:t>
            </w:r>
          </w:p>
        </w:tc>
        <w:tc>
          <w:tcPr>
            <w:tcW w:w="1418" w:type="dxa"/>
            <w:tcBorders>
              <w:top w:val="single" w:sz="4" w:space="0" w:color="auto"/>
              <w:left w:val="nil"/>
              <w:right w:val="nil"/>
            </w:tcBorders>
            <w:shd w:val="clear" w:color="auto" w:fill="auto"/>
            <w:vAlign w:val="bottom"/>
            <w:hideMark/>
          </w:tcPr>
          <w:p w14:paraId="1C8C5ED4" w14:textId="2F1D3F5E" w:rsidR="00A65E70" w:rsidRPr="00A65E70" w:rsidRDefault="00A65E70" w:rsidP="005E71B7">
            <w:pPr>
              <w:rPr>
                <w:rFonts w:eastAsia="Calibri"/>
                <w:lang w:eastAsia="en-US"/>
              </w:rPr>
            </w:pPr>
            <w:r w:rsidRPr="00A65E70">
              <w:rPr>
                <w:rFonts w:eastAsia="Calibri"/>
                <w:lang w:eastAsia="en-US"/>
              </w:rPr>
              <w:t>5.5</w:t>
            </w:r>
          </w:p>
        </w:tc>
        <w:tc>
          <w:tcPr>
            <w:tcW w:w="1469" w:type="dxa"/>
            <w:tcBorders>
              <w:top w:val="single" w:sz="4" w:space="0" w:color="auto"/>
              <w:left w:val="nil"/>
              <w:right w:val="nil"/>
            </w:tcBorders>
            <w:shd w:val="clear" w:color="auto" w:fill="auto"/>
            <w:vAlign w:val="bottom"/>
            <w:hideMark/>
          </w:tcPr>
          <w:p w14:paraId="501EBD23" w14:textId="77777777" w:rsidR="00A65E70" w:rsidRPr="00A65E70" w:rsidRDefault="00A65E70" w:rsidP="005E71B7">
            <w:pPr>
              <w:rPr>
                <w:rFonts w:eastAsia="Calibri"/>
                <w:lang w:eastAsia="en-US"/>
              </w:rPr>
            </w:pPr>
            <w:r w:rsidRPr="00A65E70">
              <w:rPr>
                <w:rFonts w:eastAsia="Calibri"/>
                <w:lang w:eastAsia="en-US"/>
              </w:rPr>
              <w:t>$3,113</w:t>
            </w:r>
          </w:p>
        </w:tc>
        <w:tc>
          <w:tcPr>
            <w:tcW w:w="1216" w:type="dxa"/>
            <w:tcBorders>
              <w:top w:val="single" w:sz="4" w:space="0" w:color="auto"/>
              <w:left w:val="nil"/>
              <w:right w:val="nil"/>
            </w:tcBorders>
            <w:shd w:val="clear" w:color="auto" w:fill="auto"/>
            <w:vAlign w:val="bottom"/>
            <w:hideMark/>
          </w:tcPr>
          <w:p w14:paraId="464AC48D" w14:textId="77777777" w:rsidR="00A65E70" w:rsidRPr="00A65E70" w:rsidRDefault="00A65E70" w:rsidP="005E71B7">
            <w:pPr>
              <w:rPr>
                <w:rFonts w:eastAsia="Calibri"/>
                <w:lang w:eastAsia="en-US"/>
              </w:rPr>
            </w:pPr>
            <w:r w:rsidRPr="00A65E70">
              <w:rPr>
                <w:rFonts w:eastAsia="Calibri"/>
                <w:lang w:eastAsia="en-US"/>
              </w:rPr>
              <w:t>$5,222</w:t>
            </w:r>
          </w:p>
        </w:tc>
        <w:tc>
          <w:tcPr>
            <w:tcW w:w="1114" w:type="dxa"/>
            <w:tcBorders>
              <w:top w:val="single" w:sz="4" w:space="0" w:color="auto"/>
              <w:left w:val="nil"/>
              <w:right w:val="nil"/>
            </w:tcBorders>
            <w:shd w:val="clear" w:color="auto" w:fill="auto"/>
            <w:vAlign w:val="bottom"/>
            <w:hideMark/>
          </w:tcPr>
          <w:p w14:paraId="3D633116" w14:textId="77777777" w:rsidR="00A65E70" w:rsidRPr="00A65E70" w:rsidRDefault="00A65E70" w:rsidP="005E71B7">
            <w:pPr>
              <w:rPr>
                <w:rFonts w:eastAsia="Calibri"/>
                <w:lang w:eastAsia="en-US"/>
              </w:rPr>
            </w:pPr>
            <w:r w:rsidRPr="00A65E70">
              <w:rPr>
                <w:rFonts w:eastAsia="Calibri"/>
                <w:lang w:eastAsia="en-US"/>
              </w:rPr>
              <w:t>$630</w:t>
            </w:r>
          </w:p>
        </w:tc>
        <w:tc>
          <w:tcPr>
            <w:tcW w:w="1429" w:type="dxa"/>
            <w:tcBorders>
              <w:top w:val="single" w:sz="4" w:space="0" w:color="auto"/>
              <w:left w:val="nil"/>
              <w:right w:val="nil"/>
            </w:tcBorders>
            <w:shd w:val="clear" w:color="auto" w:fill="auto"/>
            <w:vAlign w:val="bottom"/>
            <w:hideMark/>
          </w:tcPr>
          <w:p w14:paraId="215EE6FF" w14:textId="77777777" w:rsidR="00A65E70" w:rsidRPr="00A65E70" w:rsidRDefault="00A65E70" w:rsidP="005E71B7">
            <w:pPr>
              <w:rPr>
                <w:rFonts w:eastAsia="Calibri"/>
                <w:lang w:eastAsia="en-US"/>
              </w:rPr>
            </w:pPr>
            <w:r w:rsidRPr="00A65E70">
              <w:rPr>
                <w:rFonts w:eastAsia="Calibri"/>
                <w:lang w:eastAsia="en-US"/>
              </w:rPr>
              <w:t>$1,257</w:t>
            </w:r>
          </w:p>
        </w:tc>
        <w:tc>
          <w:tcPr>
            <w:tcW w:w="1163" w:type="dxa"/>
            <w:tcBorders>
              <w:top w:val="single" w:sz="4" w:space="0" w:color="auto"/>
              <w:left w:val="nil"/>
              <w:right w:val="nil"/>
            </w:tcBorders>
            <w:shd w:val="clear" w:color="auto" w:fill="auto"/>
            <w:vAlign w:val="bottom"/>
            <w:hideMark/>
          </w:tcPr>
          <w:p w14:paraId="50D07B7C" w14:textId="77777777" w:rsidR="00A65E70" w:rsidRPr="00A65E70" w:rsidRDefault="00A65E70" w:rsidP="005E71B7">
            <w:pPr>
              <w:rPr>
                <w:rFonts w:eastAsia="Calibri"/>
                <w:lang w:eastAsia="en-US"/>
              </w:rPr>
            </w:pPr>
            <w:r w:rsidRPr="00A65E70">
              <w:rPr>
                <w:rFonts w:eastAsia="Calibri"/>
                <w:lang w:eastAsia="en-US"/>
              </w:rPr>
              <w:t>$1,887</w:t>
            </w:r>
          </w:p>
        </w:tc>
      </w:tr>
      <w:tr w:rsidR="00A65E70" w:rsidRPr="00A65E70" w14:paraId="06C96BF7" w14:textId="77777777" w:rsidTr="007032DD">
        <w:trPr>
          <w:trHeight w:val="478"/>
        </w:trPr>
        <w:tc>
          <w:tcPr>
            <w:tcW w:w="1593" w:type="dxa"/>
            <w:tcBorders>
              <w:left w:val="nil"/>
              <w:right w:val="nil"/>
            </w:tcBorders>
            <w:shd w:val="clear" w:color="auto" w:fill="auto"/>
            <w:noWrap/>
            <w:vAlign w:val="bottom"/>
            <w:hideMark/>
          </w:tcPr>
          <w:p w14:paraId="4333E1B9" w14:textId="77777777" w:rsidR="00A65E70" w:rsidRPr="00A65E70" w:rsidRDefault="00A65E70" w:rsidP="005E71B7">
            <w:pPr>
              <w:rPr>
                <w:rFonts w:eastAsia="Calibri"/>
                <w:lang w:eastAsia="en-US"/>
              </w:rPr>
            </w:pPr>
            <w:r w:rsidRPr="00A65E70">
              <w:rPr>
                <w:rFonts w:eastAsia="Calibri"/>
                <w:lang w:eastAsia="en-US"/>
              </w:rPr>
              <w:t>Moderate</w:t>
            </w:r>
          </w:p>
        </w:tc>
        <w:tc>
          <w:tcPr>
            <w:tcW w:w="1843" w:type="dxa"/>
            <w:tcBorders>
              <w:left w:val="nil"/>
              <w:right w:val="nil"/>
            </w:tcBorders>
            <w:shd w:val="clear" w:color="auto" w:fill="auto"/>
            <w:noWrap/>
            <w:vAlign w:val="bottom"/>
            <w:hideMark/>
          </w:tcPr>
          <w:p w14:paraId="3867554B" w14:textId="77777777" w:rsidR="00A65E70" w:rsidRPr="00A65E70" w:rsidRDefault="00A65E70" w:rsidP="005E71B7">
            <w:pPr>
              <w:rPr>
                <w:rFonts w:eastAsia="Calibri"/>
                <w:lang w:eastAsia="en-US"/>
              </w:rPr>
            </w:pPr>
            <w:r w:rsidRPr="00A65E70">
              <w:rPr>
                <w:rFonts w:eastAsia="Calibri"/>
                <w:lang w:eastAsia="en-US"/>
              </w:rPr>
              <w:t>59.1</w:t>
            </w:r>
          </w:p>
        </w:tc>
        <w:tc>
          <w:tcPr>
            <w:tcW w:w="1418" w:type="dxa"/>
            <w:tcBorders>
              <w:left w:val="nil"/>
              <w:right w:val="nil"/>
            </w:tcBorders>
            <w:shd w:val="clear" w:color="auto" w:fill="auto"/>
            <w:vAlign w:val="bottom"/>
            <w:hideMark/>
          </w:tcPr>
          <w:p w14:paraId="6F3FE4FA" w14:textId="77777777" w:rsidR="00A65E70" w:rsidRPr="00A65E70" w:rsidRDefault="00A65E70" w:rsidP="005E71B7">
            <w:pPr>
              <w:rPr>
                <w:rFonts w:eastAsia="Calibri"/>
                <w:lang w:eastAsia="en-US"/>
              </w:rPr>
            </w:pPr>
            <w:r w:rsidRPr="00A65E70">
              <w:rPr>
                <w:rFonts w:eastAsia="Calibri"/>
                <w:lang w:eastAsia="en-US"/>
              </w:rPr>
              <w:t>$2,067</w:t>
            </w:r>
          </w:p>
        </w:tc>
        <w:tc>
          <w:tcPr>
            <w:tcW w:w="1418" w:type="dxa"/>
            <w:tcBorders>
              <w:left w:val="nil"/>
              <w:right w:val="nil"/>
            </w:tcBorders>
            <w:shd w:val="clear" w:color="auto" w:fill="auto"/>
            <w:vAlign w:val="bottom"/>
            <w:hideMark/>
          </w:tcPr>
          <w:p w14:paraId="014036A5" w14:textId="1014C61A" w:rsidR="00A65E70" w:rsidRPr="00A65E70" w:rsidRDefault="00A65E70" w:rsidP="005E71B7">
            <w:pPr>
              <w:rPr>
                <w:rFonts w:eastAsia="Calibri"/>
                <w:lang w:eastAsia="en-US"/>
              </w:rPr>
            </w:pPr>
            <w:r w:rsidRPr="00A65E70">
              <w:rPr>
                <w:rFonts w:eastAsia="Calibri"/>
                <w:lang w:eastAsia="en-US"/>
              </w:rPr>
              <w:t>5.4</w:t>
            </w:r>
          </w:p>
        </w:tc>
        <w:tc>
          <w:tcPr>
            <w:tcW w:w="1469" w:type="dxa"/>
            <w:tcBorders>
              <w:left w:val="nil"/>
              <w:right w:val="nil"/>
            </w:tcBorders>
            <w:shd w:val="clear" w:color="auto" w:fill="auto"/>
            <w:vAlign w:val="bottom"/>
            <w:hideMark/>
          </w:tcPr>
          <w:p w14:paraId="177D1A1B" w14:textId="77777777" w:rsidR="00A65E70" w:rsidRPr="00A65E70" w:rsidRDefault="00A65E70" w:rsidP="005E71B7">
            <w:pPr>
              <w:rPr>
                <w:rFonts w:eastAsia="Calibri"/>
                <w:lang w:eastAsia="en-US"/>
              </w:rPr>
            </w:pPr>
            <w:r w:rsidRPr="00A65E70">
              <w:rPr>
                <w:rFonts w:eastAsia="Calibri"/>
                <w:lang w:eastAsia="en-US"/>
              </w:rPr>
              <w:t>$3,042</w:t>
            </w:r>
          </w:p>
        </w:tc>
        <w:tc>
          <w:tcPr>
            <w:tcW w:w="1216" w:type="dxa"/>
            <w:tcBorders>
              <w:left w:val="nil"/>
              <w:right w:val="nil"/>
            </w:tcBorders>
            <w:shd w:val="clear" w:color="auto" w:fill="auto"/>
            <w:vAlign w:val="bottom"/>
            <w:hideMark/>
          </w:tcPr>
          <w:p w14:paraId="355F4032" w14:textId="77777777" w:rsidR="00A65E70" w:rsidRPr="00A65E70" w:rsidRDefault="00A65E70" w:rsidP="005E71B7">
            <w:pPr>
              <w:rPr>
                <w:rFonts w:eastAsia="Calibri"/>
                <w:lang w:eastAsia="en-US"/>
              </w:rPr>
            </w:pPr>
            <w:r w:rsidRPr="00A65E70">
              <w:rPr>
                <w:rFonts w:eastAsia="Calibri"/>
                <w:lang w:eastAsia="en-US"/>
              </w:rPr>
              <w:t>$5,108</w:t>
            </w:r>
          </w:p>
        </w:tc>
        <w:tc>
          <w:tcPr>
            <w:tcW w:w="1114" w:type="dxa"/>
            <w:tcBorders>
              <w:left w:val="nil"/>
              <w:right w:val="nil"/>
            </w:tcBorders>
            <w:shd w:val="clear" w:color="auto" w:fill="auto"/>
            <w:vAlign w:val="bottom"/>
            <w:hideMark/>
          </w:tcPr>
          <w:p w14:paraId="222EA0F6" w14:textId="77777777" w:rsidR="00A65E70" w:rsidRPr="00A65E70" w:rsidRDefault="00A65E70" w:rsidP="005E71B7">
            <w:pPr>
              <w:rPr>
                <w:rFonts w:eastAsia="Calibri"/>
                <w:lang w:eastAsia="en-US"/>
              </w:rPr>
            </w:pPr>
            <w:r w:rsidRPr="00A65E70">
              <w:rPr>
                <w:rFonts w:eastAsia="Calibri"/>
                <w:lang w:eastAsia="en-US"/>
              </w:rPr>
              <w:t>$588</w:t>
            </w:r>
          </w:p>
        </w:tc>
        <w:tc>
          <w:tcPr>
            <w:tcW w:w="1429" w:type="dxa"/>
            <w:tcBorders>
              <w:left w:val="nil"/>
              <w:right w:val="nil"/>
            </w:tcBorders>
            <w:shd w:val="clear" w:color="auto" w:fill="auto"/>
            <w:vAlign w:val="bottom"/>
            <w:hideMark/>
          </w:tcPr>
          <w:p w14:paraId="71E1B094" w14:textId="77777777" w:rsidR="00A65E70" w:rsidRPr="00A65E70" w:rsidRDefault="00A65E70" w:rsidP="005E71B7">
            <w:pPr>
              <w:rPr>
                <w:rFonts w:eastAsia="Calibri"/>
                <w:lang w:eastAsia="en-US"/>
              </w:rPr>
            </w:pPr>
            <w:r w:rsidRPr="00A65E70">
              <w:rPr>
                <w:rFonts w:eastAsia="Calibri"/>
                <w:lang w:eastAsia="en-US"/>
              </w:rPr>
              <w:t>$1,186</w:t>
            </w:r>
          </w:p>
        </w:tc>
        <w:tc>
          <w:tcPr>
            <w:tcW w:w="1163" w:type="dxa"/>
            <w:tcBorders>
              <w:left w:val="nil"/>
              <w:right w:val="nil"/>
            </w:tcBorders>
            <w:shd w:val="clear" w:color="auto" w:fill="auto"/>
            <w:vAlign w:val="bottom"/>
            <w:hideMark/>
          </w:tcPr>
          <w:p w14:paraId="7A401097" w14:textId="77777777" w:rsidR="00A65E70" w:rsidRPr="00A65E70" w:rsidRDefault="00A65E70" w:rsidP="005E71B7">
            <w:pPr>
              <w:rPr>
                <w:rFonts w:eastAsia="Calibri"/>
                <w:lang w:eastAsia="en-US"/>
              </w:rPr>
            </w:pPr>
            <w:r w:rsidRPr="00A65E70">
              <w:rPr>
                <w:rFonts w:eastAsia="Calibri"/>
                <w:lang w:eastAsia="en-US"/>
              </w:rPr>
              <w:t>$1,774</w:t>
            </w:r>
          </w:p>
        </w:tc>
      </w:tr>
      <w:tr w:rsidR="00A65E70" w:rsidRPr="00A65E70" w14:paraId="05D368E6" w14:textId="77777777" w:rsidTr="007032DD">
        <w:trPr>
          <w:trHeight w:val="103"/>
        </w:trPr>
        <w:tc>
          <w:tcPr>
            <w:tcW w:w="1593" w:type="dxa"/>
            <w:tcBorders>
              <w:left w:val="nil"/>
              <w:bottom w:val="single" w:sz="18" w:space="0" w:color="auto"/>
              <w:right w:val="nil"/>
            </w:tcBorders>
            <w:shd w:val="clear" w:color="auto" w:fill="auto"/>
            <w:noWrap/>
            <w:vAlign w:val="bottom"/>
            <w:hideMark/>
          </w:tcPr>
          <w:p w14:paraId="783FA6FD" w14:textId="77777777" w:rsidR="00A65E70" w:rsidRPr="00A65E70" w:rsidRDefault="00A65E70" w:rsidP="005E71B7">
            <w:pPr>
              <w:rPr>
                <w:rFonts w:eastAsia="Calibri"/>
                <w:lang w:eastAsia="en-US"/>
              </w:rPr>
            </w:pPr>
            <w:r w:rsidRPr="00A65E70">
              <w:rPr>
                <w:rFonts w:eastAsia="Calibri"/>
                <w:lang w:eastAsia="en-US"/>
              </w:rPr>
              <w:t>High</w:t>
            </w:r>
          </w:p>
        </w:tc>
        <w:tc>
          <w:tcPr>
            <w:tcW w:w="1843" w:type="dxa"/>
            <w:tcBorders>
              <w:left w:val="nil"/>
              <w:bottom w:val="single" w:sz="18" w:space="0" w:color="auto"/>
              <w:right w:val="nil"/>
            </w:tcBorders>
            <w:shd w:val="clear" w:color="auto" w:fill="auto"/>
            <w:noWrap/>
            <w:vAlign w:val="bottom"/>
            <w:hideMark/>
          </w:tcPr>
          <w:p w14:paraId="3CF623F5" w14:textId="77777777" w:rsidR="00A65E70" w:rsidRPr="00A65E70" w:rsidRDefault="00A65E70" w:rsidP="005E71B7">
            <w:pPr>
              <w:rPr>
                <w:rFonts w:eastAsia="Calibri"/>
                <w:lang w:eastAsia="en-US"/>
              </w:rPr>
            </w:pPr>
            <w:r w:rsidRPr="00A65E70">
              <w:rPr>
                <w:rFonts w:eastAsia="Calibri"/>
                <w:lang w:eastAsia="en-US"/>
              </w:rPr>
              <w:t>42.3</w:t>
            </w:r>
          </w:p>
        </w:tc>
        <w:tc>
          <w:tcPr>
            <w:tcW w:w="1418" w:type="dxa"/>
            <w:tcBorders>
              <w:left w:val="nil"/>
              <w:bottom w:val="single" w:sz="18" w:space="0" w:color="auto"/>
              <w:right w:val="nil"/>
            </w:tcBorders>
            <w:shd w:val="clear" w:color="auto" w:fill="auto"/>
            <w:vAlign w:val="bottom"/>
            <w:hideMark/>
          </w:tcPr>
          <w:p w14:paraId="49CE4525" w14:textId="77777777" w:rsidR="00A65E70" w:rsidRPr="00A65E70" w:rsidRDefault="00A65E70" w:rsidP="005E71B7">
            <w:pPr>
              <w:rPr>
                <w:rFonts w:eastAsia="Calibri"/>
                <w:lang w:eastAsia="en-US"/>
              </w:rPr>
            </w:pPr>
            <w:r w:rsidRPr="00A65E70">
              <w:rPr>
                <w:rFonts w:eastAsia="Calibri"/>
                <w:lang w:eastAsia="en-US"/>
              </w:rPr>
              <w:t>$1,479</w:t>
            </w:r>
          </w:p>
        </w:tc>
        <w:tc>
          <w:tcPr>
            <w:tcW w:w="1418" w:type="dxa"/>
            <w:tcBorders>
              <w:left w:val="nil"/>
              <w:bottom w:val="single" w:sz="18" w:space="0" w:color="auto"/>
              <w:right w:val="nil"/>
            </w:tcBorders>
            <w:shd w:val="clear" w:color="auto" w:fill="auto"/>
            <w:vAlign w:val="bottom"/>
            <w:hideMark/>
          </w:tcPr>
          <w:p w14:paraId="093F7FCD" w14:textId="08009BD4" w:rsidR="00A65E70" w:rsidRPr="00A65E70" w:rsidRDefault="00A65E70" w:rsidP="005E71B7">
            <w:pPr>
              <w:rPr>
                <w:rFonts w:eastAsia="Calibri"/>
                <w:lang w:eastAsia="en-US"/>
              </w:rPr>
            </w:pPr>
            <w:r w:rsidRPr="00A65E70">
              <w:rPr>
                <w:rFonts w:eastAsia="Calibri"/>
                <w:lang w:eastAsia="en-US"/>
              </w:rPr>
              <w:t>3.2</w:t>
            </w:r>
          </w:p>
        </w:tc>
        <w:tc>
          <w:tcPr>
            <w:tcW w:w="1469" w:type="dxa"/>
            <w:tcBorders>
              <w:left w:val="nil"/>
              <w:bottom w:val="single" w:sz="18" w:space="0" w:color="auto"/>
              <w:right w:val="nil"/>
            </w:tcBorders>
            <w:shd w:val="clear" w:color="auto" w:fill="auto"/>
            <w:vAlign w:val="bottom"/>
            <w:hideMark/>
          </w:tcPr>
          <w:p w14:paraId="64168967" w14:textId="77777777" w:rsidR="00A65E70" w:rsidRPr="00A65E70" w:rsidRDefault="00A65E70" w:rsidP="005E71B7">
            <w:pPr>
              <w:rPr>
                <w:rFonts w:eastAsia="Calibri"/>
                <w:lang w:eastAsia="en-US"/>
              </w:rPr>
            </w:pPr>
            <w:r w:rsidRPr="00A65E70">
              <w:rPr>
                <w:rFonts w:eastAsia="Calibri"/>
                <w:lang w:eastAsia="en-US"/>
              </w:rPr>
              <w:t>$1,856</w:t>
            </w:r>
          </w:p>
        </w:tc>
        <w:tc>
          <w:tcPr>
            <w:tcW w:w="1216" w:type="dxa"/>
            <w:tcBorders>
              <w:left w:val="nil"/>
              <w:bottom w:val="single" w:sz="18" w:space="0" w:color="auto"/>
              <w:right w:val="nil"/>
            </w:tcBorders>
            <w:shd w:val="clear" w:color="auto" w:fill="auto"/>
            <w:vAlign w:val="bottom"/>
            <w:hideMark/>
          </w:tcPr>
          <w:p w14:paraId="4FA21B85" w14:textId="77777777" w:rsidR="00A65E70" w:rsidRPr="00A65E70" w:rsidRDefault="00A65E70" w:rsidP="005E71B7">
            <w:pPr>
              <w:rPr>
                <w:rFonts w:eastAsia="Calibri"/>
                <w:lang w:eastAsia="en-US"/>
              </w:rPr>
            </w:pPr>
            <w:r w:rsidRPr="00A65E70">
              <w:rPr>
                <w:rFonts w:eastAsia="Calibri"/>
                <w:lang w:eastAsia="en-US"/>
              </w:rPr>
              <w:t>$3,335</w:t>
            </w:r>
          </w:p>
        </w:tc>
        <w:tc>
          <w:tcPr>
            <w:tcW w:w="1114" w:type="dxa"/>
            <w:tcBorders>
              <w:left w:val="nil"/>
              <w:bottom w:val="single" w:sz="18" w:space="0" w:color="auto"/>
              <w:right w:val="nil"/>
            </w:tcBorders>
            <w:shd w:val="clear" w:color="auto" w:fill="auto"/>
            <w:vAlign w:val="bottom"/>
            <w:hideMark/>
          </w:tcPr>
          <w:p w14:paraId="190694C3" w14:textId="77777777" w:rsidR="00A65E70" w:rsidRPr="00A65E70" w:rsidRDefault="00A65E70" w:rsidP="005E71B7">
            <w:pPr>
              <w:rPr>
                <w:rFonts w:eastAsia="Calibri"/>
                <w:lang w:eastAsia="en-US"/>
              </w:rPr>
            </w:pPr>
            <w:r w:rsidRPr="00A65E70">
              <w:rPr>
                <w:rFonts w:eastAsia="Calibri"/>
                <w:lang w:eastAsia="en-US"/>
              </w:rPr>
              <w:t>NA</w:t>
            </w:r>
          </w:p>
        </w:tc>
        <w:tc>
          <w:tcPr>
            <w:tcW w:w="1429" w:type="dxa"/>
            <w:tcBorders>
              <w:left w:val="nil"/>
              <w:bottom w:val="single" w:sz="18" w:space="0" w:color="auto"/>
              <w:right w:val="nil"/>
            </w:tcBorders>
            <w:shd w:val="clear" w:color="auto" w:fill="auto"/>
            <w:vAlign w:val="bottom"/>
            <w:hideMark/>
          </w:tcPr>
          <w:p w14:paraId="2C85AF58" w14:textId="77777777" w:rsidR="00A65E70" w:rsidRPr="00A65E70" w:rsidRDefault="00A65E70" w:rsidP="005E71B7">
            <w:pPr>
              <w:rPr>
                <w:rFonts w:eastAsia="Calibri"/>
                <w:lang w:eastAsia="en-US"/>
              </w:rPr>
            </w:pPr>
            <w:r w:rsidRPr="00A65E70">
              <w:rPr>
                <w:rFonts w:eastAsia="Calibri"/>
                <w:lang w:eastAsia="en-US"/>
              </w:rPr>
              <w:t>NA</w:t>
            </w:r>
          </w:p>
        </w:tc>
        <w:tc>
          <w:tcPr>
            <w:tcW w:w="1163" w:type="dxa"/>
            <w:tcBorders>
              <w:left w:val="nil"/>
              <w:bottom w:val="single" w:sz="18" w:space="0" w:color="auto"/>
              <w:right w:val="nil"/>
            </w:tcBorders>
            <w:shd w:val="clear" w:color="auto" w:fill="auto"/>
            <w:vAlign w:val="bottom"/>
            <w:hideMark/>
          </w:tcPr>
          <w:p w14:paraId="1FA486C8" w14:textId="77777777" w:rsidR="00A65E70" w:rsidRPr="00A65E70" w:rsidRDefault="00A65E70" w:rsidP="005E71B7">
            <w:pPr>
              <w:rPr>
                <w:rFonts w:eastAsia="Calibri"/>
                <w:lang w:eastAsia="en-US"/>
              </w:rPr>
            </w:pPr>
            <w:r w:rsidRPr="00A65E70">
              <w:rPr>
                <w:rFonts w:eastAsia="Calibri"/>
                <w:lang w:eastAsia="en-US"/>
              </w:rPr>
              <w:t>NA</w:t>
            </w:r>
          </w:p>
        </w:tc>
      </w:tr>
    </w:tbl>
    <w:p w14:paraId="1A6BE28C" w14:textId="509A0960" w:rsidR="00A65E70" w:rsidRPr="00A65E70" w:rsidRDefault="00A65E70" w:rsidP="00D8244B">
      <w:pPr>
        <w:pStyle w:val="SWA-FOOTER"/>
      </w:pPr>
      <w:r w:rsidRPr="00A65E70">
        <w:t>Low PSC is ≤ 37. Moderate is between 37 and 41 (not inclusive). High PSC is ≥ 41. Based on average income of $58</w:t>
      </w:r>
      <w:r w:rsidR="00104E09">
        <w:t>,</w:t>
      </w:r>
      <w:r w:rsidRPr="00A65E70">
        <w:t>702.</w:t>
      </w:r>
    </w:p>
    <w:p w14:paraId="37DEE808" w14:textId="7B99DDE2" w:rsidR="00A65E70" w:rsidRPr="00A65E70" w:rsidRDefault="00A65E70" w:rsidP="00DF442A">
      <w:pPr>
        <w:rPr>
          <w:rFonts w:eastAsia="Calibri"/>
          <w:lang w:eastAsia="en-US"/>
        </w:rPr>
      </w:pPr>
      <w:r w:rsidRPr="00A65E70">
        <w:rPr>
          <w:rFonts w:eastAsia="Calibri"/>
          <w:lang w:eastAsia="en-US"/>
        </w:rPr>
        <w:t>As shown in Table 5, people in low PSC environments have 4</w:t>
      </w:r>
      <w:r w:rsidR="00A06694">
        <w:rPr>
          <w:rFonts w:eastAsia="Calibri"/>
          <w:lang w:eastAsia="en-US"/>
        </w:rPr>
        <w:t>2.6</w:t>
      </w:r>
      <w:r w:rsidR="005355BD">
        <w:rPr>
          <w:rFonts w:eastAsia="Calibri"/>
          <w:lang w:eastAsia="en-US"/>
        </w:rPr>
        <w:t xml:space="preserve"> per cent</w:t>
      </w:r>
      <w:r w:rsidRPr="00A65E70">
        <w:rPr>
          <w:rFonts w:eastAsia="Calibri"/>
          <w:lang w:eastAsia="en-US"/>
        </w:rPr>
        <w:t xml:space="preserve"> more sick days</w:t>
      </w:r>
      <w:r w:rsidR="00637F37" w:rsidRPr="00F4458D">
        <w:rPr>
          <w:rStyle w:val="FootnoteReference"/>
          <w:rFonts w:eastAsia="Calibri" w:cs="Arial"/>
          <w:sz w:val="24"/>
          <w:szCs w:val="22"/>
          <w:lang w:eastAsia="en-US"/>
        </w:rPr>
        <w:footnoteReference w:id="1"/>
      </w:r>
      <w:r w:rsidRPr="00F4458D">
        <w:rPr>
          <w:rFonts w:eastAsia="Calibri" w:cs="Arial"/>
          <w:lang w:eastAsia="en-US"/>
        </w:rPr>
        <w:t xml:space="preserve"> </w:t>
      </w:r>
      <w:r w:rsidRPr="00A65E70">
        <w:rPr>
          <w:rFonts w:eastAsia="Calibri"/>
          <w:lang w:eastAsia="en-US"/>
        </w:rPr>
        <w:t>and</w:t>
      </w:r>
      <w:r w:rsidR="00A06694">
        <w:rPr>
          <w:rFonts w:eastAsia="Calibri"/>
          <w:lang w:eastAsia="en-US"/>
        </w:rPr>
        <w:t xml:space="preserve"> a</w:t>
      </w:r>
      <w:r w:rsidRPr="00A65E70">
        <w:rPr>
          <w:rFonts w:eastAsia="Calibri"/>
          <w:lang w:eastAsia="en-US"/>
        </w:rPr>
        <w:t xml:space="preserve"> 7</w:t>
      </w:r>
      <w:r w:rsidR="00A06694">
        <w:rPr>
          <w:rFonts w:eastAsia="Calibri"/>
          <w:lang w:eastAsia="en-US"/>
        </w:rPr>
        <w:t>1.9</w:t>
      </w:r>
      <w:r w:rsidR="005355BD">
        <w:rPr>
          <w:rFonts w:eastAsia="Calibri"/>
          <w:lang w:eastAsia="en-US"/>
        </w:rPr>
        <w:t xml:space="preserve"> per cent</w:t>
      </w:r>
      <w:r w:rsidRPr="00A65E70">
        <w:rPr>
          <w:rFonts w:eastAsia="Calibri"/>
          <w:lang w:eastAsia="en-US"/>
        </w:rPr>
        <w:t xml:space="preserve"> higher performance loss than those in high PSC environments, costing an average of $630 and $1,257 per person per year respectively. People in moderate PSC environments were similarly disabled; they took </w:t>
      </w:r>
      <w:r w:rsidR="00A06694">
        <w:rPr>
          <w:rFonts w:eastAsia="Calibri"/>
          <w:lang w:eastAsia="en-US"/>
        </w:rPr>
        <w:t>39.7</w:t>
      </w:r>
      <w:r w:rsidR="005355BD">
        <w:rPr>
          <w:rFonts w:eastAsia="Calibri"/>
          <w:lang w:eastAsia="en-US"/>
        </w:rPr>
        <w:t xml:space="preserve"> per cent</w:t>
      </w:r>
      <w:r w:rsidRPr="00A65E70">
        <w:rPr>
          <w:rFonts w:eastAsia="Calibri"/>
          <w:lang w:eastAsia="en-US"/>
        </w:rPr>
        <w:t xml:space="preserve"> more sick days and had 6</w:t>
      </w:r>
      <w:r w:rsidR="00A06694">
        <w:rPr>
          <w:rFonts w:eastAsia="Calibri"/>
          <w:lang w:eastAsia="en-US"/>
        </w:rPr>
        <w:t>8.8</w:t>
      </w:r>
      <w:r w:rsidR="005355BD">
        <w:rPr>
          <w:rFonts w:eastAsia="Calibri"/>
          <w:lang w:eastAsia="en-US"/>
        </w:rPr>
        <w:t xml:space="preserve"> per cent</w:t>
      </w:r>
      <w:r w:rsidRPr="00A65E70">
        <w:rPr>
          <w:rFonts w:eastAsia="Calibri"/>
          <w:lang w:eastAsia="en-US"/>
        </w:rPr>
        <w:t xml:space="preserve"> higher performance loss than those in high PSC environments, costing an average of $588 and $1,186 respectively.</w:t>
      </w:r>
      <w:r w:rsidRPr="00A65E70">
        <w:rPr>
          <w:rFonts w:eastAsia="Calibri"/>
        </w:rPr>
        <w:t xml:space="preserve"> People in high PSC environments still experienced performance loss from both sickness absence and presenteeism, but this was much less costly than those in low and moderate PSC environments.</w:t>
      </w:r>
    </w:p>
    <w:p w14:paraId="7D784635" w14:textId="77777777" w:rsidR="00A65E70" w:rsidRPr="00A65E70" w:rsidRDefault="00A65E70" w:rsidP="00A65E70">
      <w:pPr>
        <w:spacing w:after="200" w:line="276" w:lineRule="auto"/>
        <w:rPr>
          <w:rFonts w:ascii="Adobe Garamond Pro" w:eastAsia="Calibri" w:hAnsi="Adobe Garamond Pro"/>
          <w:sz w:val="24"/>
          <w:szCs w:val="22"/>
          <w:u w:val="single"/>
        </w:rPr>
      </w:pPr>
      <w:r w:rsidRPr="00A65E70">
        <w:rPr>
          <w:rFonts w:ascii="Adobe Garamond Pro" w:eastAsia="Calibri" w:hAnsi="Adobe Garamond Pro"/>
          <w:sz w:val="24"/>
          <w:szCs w:val="22"/>
          <w:u w:val="single"/>
        </w:rPr>
        <w:br w:type="page"/>
      </w:r>
    </w:p>
    <w:p w14:paraId="1404DB0E" w14:textId="1FF22EC0" w:rsidR="00A65E70" w:rsidRPr="00DF442A" w:rsidRDefault="00A65E70" w:rsidP="00D8244B">
      <w:pPr>
        <w:pStyle w:val="Caption"/>
        <w:rPr>
          <w:rFonts w:eastAsia="Calibri"/>
        </w:rPr>
      </w:pPr>
      <w:bookmarkStart w:id="5" w:name="_Ref424738045"/>
      <w:bookmarkStart w:id="6" w:name="_Ref424738040"/>
      <w:r w:rsidRPr="00A65E70">
        <w:rPr>
          <w:rFonts w:eastAsia="Calibri"/>
        </w:rPr>
        <w:lastRenderedPageBreak/>
        <w:t xml:space="preserve">Table </w:t>
      </w:r>
      <w:bookmarkEnd w:id="5"/>
      <w:r w:rsidRPr="00A65E70">
        <w:rPr>
          <w:rFonts w:eastAsia="Calibri"/>
        </w:rPr>
        <w:t>6</w:t>
      </w:r>
      <w:r w:rsidR="00DF442A">
        <w:rPr>
          <w:rFonts w:eastAsia="Calibri"/>
        </w:rPr>
        <w:t xml:space="preserve"> </w:t>
      </w:r>
      <w:r w:rsidRPr="00A65E70">
        <w:rPr>
          <w:rFonts w:eastAsia="Calibri"/>
        </w:rPr>
        <w:t>Sickness absence and presenteeism costs compared for severity of depression</w:t>
      </w:r>
      <w:bookmarkEnd w:id="6"/>
    </w:p>
    <w:tbl>
      <w:tblPr>
        <w:tblW w:w="13995" w:type="dxa"/>
        <w:tblInd w:w="108" w:type="dxa"/>
        <w:tblLook w:val="04A0" w:firstRow="1" w:lastRow="0" w:firstColumn="1" w:lastColumn="0" w:noHBand="0" w:noVBand="1"/>
        <w:tblCaption w:val="Table 6 Sickness absence and presenteeism costs compared for severity of depression"/>
        <w:tblDescription w:val="This table shows sickness absence and presenteeism costs compared for severity of depression"/>
      </w:tblPr>
      <w:tblGrid>
        <w:gridCol w:w="2019"/>
        <w:gridCol w:w="1437"/>
        <w:gridCol w:w="1487"/>
        <w:gridCol w:w="1503"/>
        <w:gridCol w:w="1537"/>
        <w:gridCol w:w="1487"/>
        <w:gridCol w:w="1487"/>
        <w:gridCol w:w="1551"/>
        <w:gridCol w:w="1487"/>
      </w:tblGrid>
      <w:tr w:rsidR="00A65E70" w:rsidRPr="00A65E70" w14:paraId="2827BDD8" w14:textId="77777777" w:rsidTr="007032DD">
        <w:trPr>
          <w:trHeight w:val="919"/>
        </w:trPr>
        <w:tc>
          <w:tcPr>
            <w:tcW w:w="2019" w:type="dxa"/>
            <w:tcBorders>
              <w:top w:val="single" w:sz="18" w:space="0" w:color="auto"/>
              <w:left w:val="nil"/>
              <w:bottom w:val="single" w:sz="4" w:space="0" w:color="auto"/>
              <w:right w:val="nil"/>
            </w:tcBorders>
            <w:shd w:val="clear" w:color="auto" w:fill="auto"/>
            <w:noWrap/>
            <w:hideMark/>
          </w:tcPr>
          <w:p w14:paraId="195453FF" w14:textId="77777777" w:rsidR="00A65E70" w:rsidRPr="00A65E70" w:rsidRDefault="00A65E70" w:rsidP="005E71B7">
            <w:pPr>
              <w:rPr>
                <w:rFonts w:eastAsia="Calibri"/>
              </w:rPr>
            </w:pPr>
            <w:r w:rsidRPr="00A65E70">
              <w:rPr>
                <w:rFonts w:eastAsia="Calibri"/>
                <w:lang w:eastAsia="en-US"/>
              </w:rPr>
              <w:t>Depression</w:t>
            </w:r>
          </w:p>
        </w:tc>
        <w:tc>
          <w:tcPr>
            <w:tcW w:w="1437" w:type="dxa"/>
            <w:tcBorders>
              <w:top w:val="single" w:sz="18" w:space="0" w:color="auto"/>
              <w:left w:val="nil"/>
              <w:bottom w:val="single" w:sz="4" w:space="0" w:color="auto"/>
              <w:right w:val="nil"/>
            </w:tcBorders>
            <w:shd w:val="clear" w:color="auto" w:fill="auto"/>
            <w:hideMark/>
          </w:tcPr>
          <w:p w14:paraId="5327220C" w14:textId="77777777" w:rsidR="00A65E70" w:rsidRPr="00A65E70" w:rsidRDefault="00A65E70" w:rsidP="005E71B7">
            <w:pPr>
              <w:rPr>
                <w:rFonts w:eastAsia="Calibri"/>
              </w:rPr>
            </w:pPr>
            <w:r w:rsidRPr="00A65E70">
              <w:rPr>
                <w:rFonts w:eastAsia="Calibri"/>
                <w:lang w:eastAsia="en-US"/>
              </w:rPr>
              <w:t>Annual sickness absence (hours)</w:t>
            </w:r>
          </w:p>
        </w:tc>
        <w:tc>
          <w:tcPr>
            <w:tcW w:w="1487" w:type="dxa"/>
            <w:tcBorders>
              <w:top w:val="single" w:sz="18" w:space="0" w:color="auto"/>
              <w:left w:val="nil"/>
              <w:bottom w:val="single" w:sz="4" w:space="0" w:color="auto"/>
              <w:right w:val="nil"/>
            </w:tcBorders>
            <w:shd w:val="clear" w:color="auto" w:fill="auto"/>
            <w:hideMark/>
          </w:tcPr>
          <w:p w14:paraId="1F51F9FB" w14:textId="77777777" w:rsidR="00A65E70" w:rsidRPr="00A65E70" w:rsidRDefault="00A65E70" w:rsidP="005E71B7">
            <w:pPr>
              <w:rPr>
                <w:rFonts w:eastAsia="Calibri"/>
              </w:rPr>
            </w:pPr>
            <w:r w:rsidRPr="00A65E70">
              <w:rPr>
                <w:rFonts w:eastAsia="Calibri"/>
                <w:lang w:eastAsia="en-US"/>
              </w:rPr>
              <w:t>Cost via sickness absence</w:t>
            </w:r>
          </w:p>
        </w:tc>
        <w:tc>
          <w:tcPr>
            <w:tcW w:w="1503" w:type="dxa"/>
            <w:tcBorders>
              <w:top w:val="single" w:sz="18" w:space="0" w:color="auto"/>
              <w:left w:val="nil"/>
              <w:bottom w:val="single" w:sz="4" w:space="0" w:color="auto"/>
              <w:right w:val="nil"/>
            </w:tcBorders>
            <w:shd w:val="clear" w:color="auto" w:fill="auto"/>
            <w:hideMark/>
          </w:tcPr>
          <w:p w14:paraId="41B53205" w14:textId="77777777" w:rsidR="00A65E70" w:rsidRDefault="00A65E70" w:rsidP="005E71B7">
            <w:pPr>
              <w:rPr>
                <w:rFonts w:eastAsia="Calibri"/>
                <w:lang w:eastAsia="en-US"/>
              </w:rPr>
            </w:pPr>
            <w:r w:rsidRPr="00A65E70">
              <w:rPr>
                <w:rFonts w:eastAsia="Calibri"/>
                <w:lang w:eastAsia="en-US"/>
              </w:rPr>
              <w:t>Performance loss</w:t>
            </w:r>
          </w:p>
          <w:p w14:paraId="26EFE0EF" w14:textId="5F4CCB72" w:rsidR="005355BD" w:rsidRPr="00A65E70" w:rsidRDefault="005355BD" w:rsidP="005E71B7">
            <w:pPr>
              <w:rPr>
                <w:rFonts w:eastAsia="Calibri"/>
              </w:rPr>
            </w:pPr>
            <w:r>
              <w:rPr>
                <w:rFonts w:eastAsia="Calibri"/>
                <w:lang w:eastAsia="en-US"/>
              </w:rPr>
              <w:t>(per cent)</w:t>
            </w:r>
          </w:p>
        </w:tc>
        <w:tc>
          <w:tcPr>
            <w:tcW w:w="1537" w:type="dxa"/>
            <w:tcBorders>
              <w:top w:val="single" w:sz="18" w:space="0" w:color="auto"/>
              <w:left w:val="nil"/>
              <w:bottom w:val="single" w:sz="4" w:space="0" w:color="auto"/>
              <w:right w:val="nil"/>
            </w:tcBorders>
            <w:shd w:val="clear" w:color="auto" w:fill="auto"/>
            <w:hideMark/>
          </w:tcPr>
          <w:p w14:paraId="5B9506FE" w14:textId="77777777" w:rsidR="00A65E70" w:rsidRPr="00A65E70" w:rsidRDefault="00A65E70" w:rsidP="005E71B7">
            <w:pPr>
              <w:rPr>
                <w:rFonts w:eastAsia="Calibri"/>
              </w:rPr>
            </w:pPr>
            <w:r w:rsidRPr="00A65E70">
              <w:rPr>
                <w:rFonts w:eastAsia="Calibri"/>
                <w:lang w:eastAsia="en-US"/>
              </w:rPr>
              <w:t>Cost via presenteeism</w:t>
            </w:r>
          </w:p>
        </w:tc>
        <w:tc>
          <w:tcPr>
            <w:tcW w:w="1487" w:type="dxa"/>
            <w:tcBorders>
              <w:top w:val="single" w:sz="18" w:space="0" w:color="auto"/>
              <w:left w:val="nil"/>
              <w:bottom w:val="single" w:sz="4" w:space="0" w:color="auto"/>
              <w:right w:val="nil"/>
            </w:tcBorders>
            <w:shd w:val="clear" w:color="auto" w:fill="auto"/>
            <w:hideMark/>
          </w:tcPr>
          <w:p w14:paraId="7F3A13C3" w14:textId="77777777" w:rsidR="00A65E70" w:rsidRPr="00A65E70" w:rsidRDefault="00A65E70" w:rsidP="005E71B7">
            <w:pPr>
              <w:rPr>
                <w:rFonts w:eastAsia="Calibri"/>
              </w:rPr>
            </w:pPr>
            <w:r w:rsidRPr="00A65E70">
              <w:rPr>
                <w:rFonts w:eastAsia="Calibri"/>
                <w:lang w:eastAsia="en-US"/>
              </w:rPr>
              <w:t>Combined annual cost</w:t>
            </w:r>
          </w:p>
        </w:tc>
        <w:tc>
          <w:tcPr>
            <w:tcW w:w="1487" w:type="dxa"/>
            <w:tcBorders>
              <w:top w:val="single" w:sz="18" w:space="0" w:color="auto"/>
              <w:left w:val="nil"/>
              <w:bottom w:val="single" w:sz="4" w:space="0" w:color="auto"/>
              <w:right w:val="nil"/>
            </w:tcBorders>
            <w:shd w:val="clear" w:color="auto" w:fill="auto"/>
            <w:hideMark/>
          </w:tcPr>
          <w:p w14:paraId="721529B5" w14:textId="77777777" w:rsidR="00A65E70" w:rsidRPr="00A65E70" w:rsidRDefault="00A65E70" w:rsidP="005E71B7">
            <w:pPr>
              <w:rPr>
                <w:rFonts w:eastAsia="Calibri"/>
              </w:rPr>
            </w:pPr>
            <w:r w:rsidRPr="00A65E70">
              <w:rPr>
                <w:rFonts w:eastAsia="Calibri"/>
                <w:lang w:eastAsia="en-US"/>
              </w:rPr>
              <w:t>Adjusted sickness absence cost</w:t>
            </w:r>
          </w:p>
        </w:tc>
        <w:tc>
          <w:tcPr>
            <w:tcW w:w="1551" w:type="dxa"/>
            <w:tcBorders>
              <w:top w:val="single" w:sz="18" w:space="0" w:color="auto"/>
              <w:left w:val="nil"/>
              <w:bottom w:val="single" w:sz="4" w:space="0" w:color="auto"/>
              <w:right w:val="nil"/>
            </w:tcBorders>
            <w:shd w:val="clear" w:color="auto" w:fill="auto"/>
            <w:hideMark/>
          </w:tcPr>
          <w:p w14:paraId="30EDE6FC" w14:textId="77777777" w:rsidR="00A65E70" w:rsidRPr="00A65E70" w:rsidRDefault="00A65E70" w:rsidP="005E71B7">
            <w:pPr>
              <w:rPr>
                <w:rFonts w:eastAsia="Calibri"/>
              </w:rPr>
            </w:pPr>
            <w:r w:rsidRPr="00A65E70">
              <w:rPr>
                <w:rFonts w:eastAsia="Calibri"/>
                <w:lang w:eastAsia="en-US"/>
              </w:rPr>
              <w:t>Adjusted performance loss cost</w:t>
            </w:r>
          </w:p>
        </w:tc>
        <w:tc>
          <w:tcPr>
            <w:tcW w:w="1487" w:type="dxa"/>
            <w:tcBorders>
              <w:top w:val="single" w:sz="18" w:space="0" w:color="auto"/>
              <w:left w:val="nil"/>
              <w:bottom w:val="single" w:sz="4" w:space="0" w:color="auto"/>
              <w:right w:val="nil"/>
            </w:tcBorders>
            <w:shd w:val="clear" w:color="auto" w:fill="auto"/>
            <w:hideMark/>
          </w:tcPr>
          <w:p w14:paraId="31C3307B" w14:textId="77777777" w:rsidR="00A65E70" w:rsidRPr="00A65E70" w:rsidRDefault="00A65E70" w:rsidP="005E71B7">
            <w:pPr>
              <w:rPr>
                <w:rFonts w:eastAsia="Calibri"/>
              </w:rPr>
            </w:pPr>
            <w:r w:rsidRPr="00A65E70">
              <w:rPr>
                <w:rFonts w:eastAsia="Calibri"/>
                <w:lang w:eastAsia="en-US"/>
              </w:rPr>
              <w:t>Adjusted combined cost</w:t>
            </w:r>
          </w:p>
        </w:tc>
      </w:tr>
      <w:tr w:rsidR="00A65E70" w:rsidRPr="00A65E70" w14:paraId="52AF610C" w14:textId="77777777" w:rsidTr="007032DD">
        <w:trPr>
          <w:trHeight w:val="300"/>
        </w:trPr>
        <w:tc>
          <w:tcPr>
            <w:tcW w:w="2019" w:type="dxa"/>
            <w:tcBorders>
              <w:top w:val="single" w:sz="4" w:space="0" w:color="auto"/>
              <w:left w:val="nil"/>
              <w:bottom w:val="nil"/>
              <w:right w:val="nil"/>
            </w:tcBorders>
            <w:shd w:val="clear" w:color="auto" w:fill="auto"/>
            <w:noWrap/>
            <w:hideMark/>
          </w:tcPr>
          <w:p w14:paraId="17AAD52C" w14:textId="77777777" w:rsidR="00A65E70" w:rsidRPr="00A65E70" w:rsidRDefault="00A65E70" w:rsidP="005E71B7">
            <w:pPr>
              <w:rPr>
                <w:rFonts w:eastAsia="Calibri"/>
                <w:szCs w:val="28"/>
                <w:lang w:eastAsia="en-US"/>
              </w:rPr>
            </w:pPr>
            <w:r w:rsidRPr="00A65E70">
              <w:rPr>
                <w:rFonts w:eastAsia="Calibri"/>
                <w:lang w:eastAsia="en-US"/>
              </w:rPr>
              <w:t>None</w:t>
            </w:r>
          </w:p>
        </w:tc>
        <w:tc>
          <w:tcPr>
            <w:tcW w:w="1437" w:type="dxa"/>
            <w:tcBorders>
              <w:top w:val="single" w:sz="4" w:space="0" w:color="auto"/>
              <w:left w:val="nil"/>
              <w:bottom w:val="nil"/>
              <w:right w:val="nil"/>
            </w:tcBorders>
            <w:shd w:val="clear" w:color="auto" w:fill="auto"/>
            <w:noWrap/>
            <w:hideMark/>
          </w:tcPr>
          <w:p w14:paraId="0FC0BA53" w14:textId="77777777" w:rsidR="00A65E70" w:rsidRPr="00A65E70" w:rsidRDefault="00A65E70" w:rsidP="005E71B7">
            <w:pPr>
              <w:rPr>
                <w:rFonts w:eastAsia="Calibri"/>
                <w:szCs w:val="28"/>
                <w:lang w:eastAsia="en-US"/>
              </w:rPr>
            </w:pPr>
            <w:r w:rsidRPr="00A65E70">
              <w:rPr>
                <w:rFonts w:eastAsia="Calibri"/>
                <w:lang w:eastAsia="en-US"/>
              </w:rPr>
              <w:t>31.5</w:t>
            </w:r>
          </w:p>
        </w:tc>
        <w:tc>
          <w:tcPr>
            <w:tcW w:w="1487" w:type="dxa"/>
            <w:tcBorders>
              <w:top w:val="single" w:sz="4" w:space="0" w:color="auto"/>
              <w:left w:val="nil"/>
              <w:bottom w:val="nil"/>
              <w:right w:val="nil"/>
            </w:tcBorders>
            <w:shd w:val="clear" w:color="auto" w:fill="auto"/>
            <w:noWrap/>
            <w:hideMark/>
          </w:tcPr>
          <w:p w14:paraId="6FB8C49C" w14:textId="77777777" w:rsidR="00A65E70" w:rsidRPr="00A65E70" w:rsidRDefault="00A65E70" w:rsidP="005E71B7">
            <w:pPr>
              <w:rPr>
                <w:rFonts w:eastAsia="Calibri"/>
                <w:szCs w:val="28"/>
                <w:lang w:eastAsia="en-US"/>
              </w:rPr>
            </w:pPr>
            <w:r w:rsidRPr="00A65E70">
              <w:rPr>
                <w:rFonts w:eastAsia="Calibri"/>
                <w:lang w:eastAsia="en-US"/>
              </w:rPr>
              <w:t>$1,102</w:t>
            </w:r>
          </w:p>
        </w:tc>
        <w:tc>
          <w:tcPr>
            <w:tcW w:w="1503" w:type="dxa"/>
            <w:tcBorders>
              <w:top w:val="single" w:sz="4" w:space="0" w:color="auto"/>
              <w:left w:val="nil"/>
              <w:bottom w:val="nil"/>
              <w:right w:val="nil"/>
            </w:tcBorders>
            <w:shd w:val="clear" w:color="auto" w:fill="auto"/>
            <w:noWrap/>
            <w:hideMark/>
          </w:tcPr>
          <w:p w14:paraId="1E5B994C" w14:textId="30CBF842" w:rsidR="00A65E70" w:rsidRPr="00A65E70" w:rsidRDefault="00A65E70" w:rsidP="005E71B7">
            <w:pPr>
              <w:rPr>
                <w:rFonts w:eastAsia="Calibri"/>
                <w:szCs w:val="28"/>
                <w:lang w:eastAsia="en-US"/>
              </w:rPr>
            </w:pPr>
            <w:r w:rsidRPr="00A65E70">
              <w:rPr>
                <w:rFonts w:eastAsia="Calibri"/>
                <w:lang w:eastAsia="en-US"/>
              </w:rPr>
              <w:t>2.6</w:t>
            </w:r>
          </w:p>
        </w:tc>
        <w:tc>
          <w:tcPr>
            <w:tcW w:w="1537" w:type="dxa"/>
            <w:tcBorders>
              <w:top w:val="single" w:sz="4" w:space="0" w:color="auto"/>
              <w:left w:val="nil"/>
              <w:bottom w:val="nil"/>
              <w:right w:val="nil"/>
            </w:tcBorders>
            <w:shd w:val="clear" w:color="auto" w:fill="auto"/>
            <w:noWrap/>
            <w:hideMark/>
          </w:tcPr>
          <w:p w14:paraId="3B14BF91" w14:textId="77777777" w:rsidR="00A65E70" w:rsidRPr="00A65E70" w:rsidRDefault="00A65E70" w:rsidP="005E71B7">
            <w:pPr>
              <w:rPr>
                <w:rFonts w:eastAsia="Calibri"/>
                <w:szCs w:val="28"/>
                <w:lang w:eastAsia="en-US"/>
              </w:rPr>
            </w:pPr>
            <w:r w:rsidRPr="00A65E70">
              <w:rPr>
                <w:rFonts w:eastAsia="Calibri"/>
                <w:lang w:eastAsia="en-US"/>
              </w:rPr>
              <w:t>$1,498</w:t>
            </w:r>
          </w:p>
        </w:tc>
        <w:tc>
          <w:tcPr>
            <w:tcW w:w="1487" w:type="dxa"/>
            <w:tcBorders>
              <w:top w:val="single" w:sz="4" w:space="0" w:color="auto"/>
              <w:left w:val="nil"/>
              <w:bottom w:val="nil"/>
              <w:right w:val="nil"/>
            </w:tcBorders>
            <w:shd w:val="clear" w:color="auto" w:fill="auto"/>
            <w:noWrap/>
            <w:hideMark/>
          </w:tcPr>
          <w:p w14:paraId="2605F80B" w14:textId="77777777" w:rsidR="00A65E70" w:rsidRPr="00A65E70" w:rsidRDefault="00A65E70" w:rsidP="005E71B7">
            <w:pPr>
              <w:rPr>
                <w:rFonts w:eastAsia="Calibri"/>
                <w:szCs w:val="28"/>
                <w:lang w:eastAsia="en-US"/>
              </w:rPr>
            </w:pPr>
            <w:r w:rsidRPr="00A65E70">
              <w:rPr>
                <w:rFonts w:eastAsia="Calibri"/>
                <w:lang w:eastAsia="en-US"/>
              </w:rPr>
              <w:t>$2,600</w:t>
            </w:r>
          </w:p>
        </w:tc>
        <w:tc>
          <w:tcPr>
            <w:tcW w:w="1487" w:type="dxa"/>
            <w:tcBorders>
              <w:top w:val="single" w:sz="4" w:space="0" w:color="auto"/>
              <w:left w:val="nil"/>
              <w:bottom w:val="nil"/>
              <w:right w:val="nil"/>
            </w:tcBorders>
            <w:shd w:val="clear" w:color="auto" w:fill="auto"/>
            <w:noWrap/>
            <w:hideMark/>
          </w:tcPr>
          <w:p w14:paraId="4E0973B8" w14:textId="77777777" w:rsidR="00A65E70" w:rsidRPr="00A65E70" w:rsidRDefault="00A65E70" w:rsidP="005E71B7">
            <w:pPr>
              <w:rPr>
                <w:rFonts w:eastAsia="Calibri"/>
                <w:szCs w:val="28"/>
                <w:lang w:eastAsia="en-US"/>
              </w:rPr>
            </w:pPr>
            <w:r w:rsidRPr="00A65E70">
              <w:rPr>
                <w:rFonts w:eastAsia="Calibri"/>
                <w:lang w:eastAsia="en-US"/>
              </w:rPr>
              <w:t>NA</w:t>
            </w:r>
          </w:p>
        </w:tc>
        <w:tc>
          <w:tcPr>
            <w:tcW w:w="1551" w:type="dxa"/>
            <w:tcBorders>
              <w:top w:val="single" w:sz="4" w:space="0" w:color="auto"/>
              <w:left w:val="nil"/>
              <w:bottom w:val="nil"/>
              <w:right w:val="nil"/>
            </w:tcBorders>
            <w:shd w:val="clear" w:color="auto" w:fill="auto"/>
            <w:noWrap/>
            <w:hideMark/>
          </w:tcPr>
          <w:p w14:paraId="5BA93CBF" w14:textId="77777777" w:rsidR="00A65E70" w:rsidRPr="00A65E70" w:rsidRDefault="00A65E70" w:rsidP="005E71B7">
            <w:pPr>
              <w:rPr>
                <w:rFonts w:eastAsia="Calibri"/>
                <w:szCs w:val="28"/>
                <w:lang w:eastAsia="en-US"/>
              </w:rPr>
            </w:pPr>
            <w:r w:rsidRPr="00A65E70">
              <w:rPr>
                <w:rFonts w:eastAsia="Calibri"/>
                <w:lang w:eastAsia="en-US"/>
              </w:rPr>
              <w:t>NA</w:t>
            </w:r>
          </w:p>
        </w:tc>
        <w:tc>
          <w:tcPr>
            <w:tcW w:w="1487" w:type="dxa"/>
            <w:tcBorders>
              <w:top w:val="single" w:sz="4" w:space="0" w:color="auto"/>
              <w:left w:val="nil"/>
              <w:bottom w:val="nil"/>
              <w:right w:val="nil"/>
            </w:tcBorders>
            <w:shd w:val="clear" w:color="auto" w:fill="auto"/>
            <w:noWrap/>
            <w:hideMark/>
          </w:tcPr>
          <w:p w14:paraId="068C629A" w14:textId="77777777" w:rsidR="00A65E70" w:rsidRPr="00A65E70" w:rsidRDefault="00A65E70" w:rsidP="005E71B7">
            <w:pPr>
              <w:rPr>
                <w:rFonts w:eastAsia="Calibri"/>
                <w:szCs w:val="28"/>
                <w:lang w:eastAsia="en-US"/>
              </w:rPr>
            </w:pPr>
            <w:r w:rsidRPr="00A65E70">
              <w:rPr>
                <w:rFonts w:eastAsia="Calibri"/>
                <w:lang w:eastAsia="en-US"/>
              </w:rPr>
              <w:t>NA</w:t>
            </w:r>
          </w:p>
        </w:tc>
      </w:tr>
      <w:tr w:rsidR="00A65E70" w:rsidRPr="00A65E70" w14:paraId="082B071B" w14:textId="77777777" w:rsidTr="007032DD">
        <w:trPr>
          <w:trHeight w:val="300"/>
        </w:trPr>
        <w:tc>
          <w:tcPr>
            <w:tcW w:w="2019" w:type="dxa"/>
            <w:tcBorders>
              <w:top w:val="nil"/>
              <w:left w:val="nil"/>
              <w:right w:val="nil"/>
            </w:tcBorders>
            <w:shd w:val="clear" w:color="auto" w:fill="auto"/>
            <w:noWrap/>
            <w:hideMark/>
          </w:tcPr>
          <w:p w14:paraId="2D2ADE8E" w14:textId="77777777" w:rsidR="00A65E70" w:rsidRPr="00A65E70" w:rsidRDefault="00A65E70" w:rsidP="005E71B7">
            <w:pPr>
              <w:rPr>
                <w:rFonts w:eastAsia="Calibri"/>
                <w:szCs w:val="28"/>
                <w:lang w:eastAsia="en-US"/>
              </w:rPr>
            </w:pPr>
            <w:r w:rsidRPr="00A65E70">
              <w:rPr>
                <w:rFonts w:eastAsia="Calibri"/>
                <w:lang w:eastAsia="en-US"/>
              </w:rPr>
              <w:t>Mild</w:t>
            </w:r>
          </w:p>
        </w:tc>
        <w:tc>
          <w:tcPr>
            <w:tcW w:w="1437" w:type="dxa"/>
            <w:tcBorders>
              <w:top w:val="nil"/>
              <w:left w:val="nil"/>
              <w:right w:val="nil"/>
            </w:tcBorders>
            <w:shd w:val="clear" w:color="auto" w:fill="auto"/>
            <w:noWrap/>
            <w:hideMark/>
          </w:tcPr>
          <w:p w14:paraId="60A8B537" w14:textId="77777777" w:rsidR="00A65E70" w:rsidRPr="00A65E70" w:rsidRDefault="00A65E70" w:rsidP="005E71B7">
            <w:pPr>
              <w:rPr>
                <w:rFonts w:eastAsia="Calibri"/>
                <w:szCs w:val="28"/>
                <w:lang w:eastAsia="en-US"/>
              </w:rPr>
            </w:pPr>
            <w:r w:rsidRPr="00A65E70">
              <w:rPr>
                <w:rFonts w:eastAsia="Calibri"/>
                <w:lang w:eastAsia="en-US"/>
              </w:rPr>
              <w:t>59.4</w:t>
            </w:r>
          </w:p>
        </w:tc>
        <w:tc>
          <w:tcPr>
            <w:tcW w:w="1487" w:type="dxa"/>
            <w:tcBorders>
              <w:top w:val="nil"/>
              <w:left w:val="nil"/>
              <w:right w:val="nil"/>
            </w:tcBorders>
            <w:shd w:val="clear" w:color="auto" w:fill="auto"/>
            <w:noWrap/>
            <w:hideMark/>
          </w:tcPr>
          <w:p w14:paraId="433CF1B2" w14:textId="77777777" w:rsidR="00A65E70" w:rsidRPr="00A65E70" w:rsidRDefault="00A65E70" w:rsidP="005E71B7">
            <w:pPr>
              <w:rPr>
                <w:rFonts w:eastAsia="Calibri"/>
                <w:szCs w:val="28"/>
                <w:lang w:eastAsia="en-US"/>
              </w:rPr>
            </w:pPr>
            <w:r w:rsidRPr="00A65E70">
              <w:rPr>
                <w:rFonts w:eastAsia="Calibri"/>
                <w:lang w:eastAsia="en-US"/>
              </w:rPr>
              <w:t>$2,078</w:t>
            </w:r>
          </w:p>
        </w:tc>
        <w:tc>
          <w:tcPr>
            <w:tcW w:w="1503" w:type="dxa"/>
            <w:tcBorders>
              <w:top w:val="nil"/>
              <w:left w:val="nil"/>
              <w:right w:val="nil"/>
            </w:tcBorders>
            <w:shd w:val="clear" w:color="auto" w:fill="auto"/>
            <w:noWrap/>
            <w:hideMark/>
          </w:tcPr>
          <w:p w14:paraId="14111707" w14:textId="1BFFCA47" w:rsidR="00A65E70" w:rsidRPr="00A65E70" w:rsidRDefault="00A65E70" w:rsidP="005E71B7">
            <w:pPr>
              <w:rPr>
                <w:rFonts w:eastAsia="Calibri"/>
                <w:szCs w:val="28"/>
                <w:lang w:eastAsia="en-US"/>
              </w:rPr>
            </w:pPr>
            <w:r w:rsidRPr="00A65E70">
              <w:rPr>
                <w:rFonts w:eastAsia="Calibri"/>
                <w:lang w:eastAsia="en-US"/>
              </w:rPr>
              <w:t>5.9</w:t>
            </w:r>
          </w:p>
        </w:tc>
        <w:tc>
          <w:tcPr>
            <w:tcW w:w="1537" w:type="dxa"/>
            <w:tcBorders>
              <w:top w:val="nil"/>
              <w:left w:val="nil"/>
              <w:right w:val="nil"/>
            </w:tcBorders>
            <w:shd w:val="clear" w:color="auto" w:fill="auto"/>
            <w:noWrap/>
          </w:tcPr>
          <w:p w14:paraId="6EAD2774" w14:textId="77777777" w:rsidR="00A65E70" w:rsidRPr="00A65E70" w:rsidRDefault="00A65E70" w:rsidP="005E71B7">
            <w:pPr>
              <w:rPr>
                <w:rFonts w:eastAsia="Calibri"/>
                <w:szCs w:val="28"/>
                <w:lang w:eastAsia="en-US"/>
              </w:rPr>
            </w:pPr>
            <w:r w:rsidRPr="00A65E70">
              <w:rPr>
                <w:rFonts w:eastAsia="Calibri"/>
                <w:lang w:eastAsia="en-US"/>
              </w:rPr>
              <w:t>$3,313</w:t>
            </w:r>
          </w:p>
        </w:tc>
        <w:tc>
          <w:tcPr>
            <w:tcW w:w="1487" w:type="dxa"/>
            <w:tcBorders>
              <w:top w:val="nil"/>
              <w:left w:val="nil"/>
              <w:right w:val="nil"/>
            </w:tcBorders>
            <w:shd w:val="clear" w:color="auto" w:fill="auto"/>
            <w:noWrap/>
            <w:hideMark/>
          </w:tcPr>
          <w:p w14:paraId="03CF8B06" w14:textId="77777777" w:rsidR="00A65E70" w:rsidRPr="00A65E70" w:rsidRDefault="00A65E70" w:rsidP="005E71B7">
            <w:pPr>
              <w:rPr>
                <w:rFonts w:eastAsia="Calibri"/>
                <w:szCs w:val="28"/>
                <w:lang w:eastAsia="en-US"/>
              </w:rPr>
            </w:pPr>
            <w:r w:rsidRPr="00A65E70">
              <w:rPr>
                <w:rFonts w:eastAsia="Calibri"/>
                <w:lang w:eastAsia="en-US"/>
              </w:rPr>
              <w:t>$5,391</w:t>
            </w:r>
          </w:p>
        </w:tc>
        <w:tc>
          <w:tcPr>
            <w:tcW w:w="1487" w:type="dxa"/>
            <w:tcBorders>
              <w:top w:val="nil"/>
              <w:left w:val="nil"/>
              <w:right w:val="nil"/>
            </w:tcBorders>
            <w:shd w:val="clear" w:color="auto" w:fill="auto"/>
            <w:noWrap/>
          </w:tcPr>
          <w:p w14:paraId="4C151EA6" w14:textId="77777777" w:rsidR="00A65E70" w:rsidRPr="00A65E70" w:rsidRDefault="00A65E70" w:rsidP="005E71B7">
            <w:pPr>
              <w:rPr>
                <w:rFonts w:eastAsia="Calibri"/>
                <w:szCs w:val="28"/>
                <w:lang w:eastAsia="en-US"/>
              </w:rPr>
            </w:pPr>
            <w:r w:rsidRPr="00A65E70">
              <w:rPr>
                <w:rFonts w:eastAsia="Calibri"/>
                <w:lang w:eastAsia="en-US"/>
              </w:rPr>
              <w:t>$976</w:t>
            </w:r>
          </w:p>
        </w:tc>
        <w:tc>
          <w:tcPr>
            <w:tcW w:w="1551" w:type="dxa"/>
            <w:tcBorders>
              <w:top w:val="nil"/>
              <w:left w:val="nil"/>
              <w:right w:val="nil"/>
            </w:tcBorders>
            <w:shd w:val="clear" w:color="auto" w:fill="auto"/>
            <w:noWrap/>
          </w:tcPr>
          <w:p w14:paraId="6145AC5B" w14:textId="77777777" w:rsidR="00A65E70" w:rsidRPr="00A65E70" w:rsidRDefault="00A65E70" w:rsidP="005E71B7">
            <w:pPr>
              <w:rPr>
                <w:rFonts w:eastAsia="Calibri"/>
                <w:szCs w:val="28"/>
                <w:lang w:eastAsia="en-US"/>
              </w:rPr>
            </w:pPr>
            <w:r w:rsidRPr="00A65E70">
              <w:rPr>
                <w:rFonts w:eastAsia="Calibri"/>
                <w:lang w:eastAsia="en-US"/>
              </w:rPr>
              <w:t>$1,815</w:t>
            </w:r>
          </w:p>
        </w:tc>
        <w:tc>
          <w:tcPr>
            <w:tcW w:w="1487" w:type="dxa"/>
            <w:tcBorders>
              <w:top w:val="nil"/>
              <w:left w:val="nil"/>
              <w:right w:val="nil"/>
            </w:tcBorders>
            <w:shd w:val="clear" w:color="auto" w:fill="auto"/>
            <w:noWrap/>
          </w:tcPr>
          <w:p w14:paraId="48F20808" w14:textId="77777777" w:rsidR="00A65E70" w:rsidRPr="00A65E70" w:rsidRDefault="00A65E70" w:rsidP="005E71B7">
            <w:pPr>
              <w:rPr>
                <w:rFonts w:eastAsia="Calibri"/>
                <w:szCs w:val="28"/>
                <w:lang w:eastAsia="en-US"/>
              </w:rPr>
            </w:pPr>
            <w:r w:rsidRPr="00A65E70">
              <w:rPr>
                <w:rFonts w:eastAsia="Calibri"/>
                <w:lang w:eastAsia="en-US"/>
              </w:rPr>
              <w:t>$2,791</w:t>
            </w:r>
          </w:p>
        </w:tc>
      </w:tr>
      <w:tr w:rsidR="00A65E70" w:rsidRPr="00A65E70" w14:paraId="713E8286" w14:textId="77777777" w:rsidTr="007032DD">
        <w:trPr>
          <w:trHeight w:val="300"/>
        </w:trPr>
        <w:tc>
          <w:tcPr>
            <w:tcW w:w="2019" w:type="dxa"/>
            <w:tcBorders>
              <w:top w:val="nil"/>
              <w:left w:val="nil"/>
              <w:right w:val="nil"/>
            </w:tcBorders>
            <w:shd w:val="clear" w:color="auto" w:fill="auto"/>
            <w:noWrap/>
          </w:tcPr>
          <w:p w14:paraId="75BC555F" w14:textId="77777777" w:rsidR="00A65E70" w:rsidRPr="00A65E70" w:rsidRDefault="00A65E70" w:rsidP="005E71B7">
            <w:pPr>
              <w:rPr>
                <w:rFonts w:eastAsia="Calibri"/>
                <w:szCs w:val="28"/>
                <w:lang w:eastAsia="en-US"/>
              </w:rPr>
            </w:pPr>
            <w:r w:rsidRPr="00A65E70">
              <w:rPr>
                <w:rFonts w:eastAsia="Calibri"/>
                <w:lang w:eastAsia="en-US"/>
              </w:rPr>
              <w:t>Moderate</w:t>
            </w:r>
          </w:p>
        </w:tc>
        <w:tc>
          <w:tcPr>
            <w:tcW w:w="1437" w:type="dxa"/>
            <w:tcBorders>
              <w:top w:val="nil"/>
              <w:left w:val="nil"/>
              <w:right w:val="nil"/>
            </w:tcBorders>
            <w:shd w:val="clear" w:color="auto" w:fill="auto"/>
            <w:noWrap/>
          </w:tcPr>
          <w:p w14:paraId="5524110D" w14:textId="77777777" w:rsidR="00A65E70" w:rsidRPr="00A65E70" w:rsidRDefault="00A65E70" w:rsidP="005E71B7">
            <w:pPr>
              <w:rPr>
                <w:rFonts w:eastAsia="Calibri"/>
                <w:szCs w:val="28"/>
                <w:lang w:eastAsia="en-US"/>
              </w:rPr>
            </w:pPr>
            <w:r w:rsidRPr="00A65E70">
              <w:rPr>
                <w:rFonts w:eastAsia="Calibri"/>
                <w:lang w:eastAsia="en-US"/>
              </w:rPr>
              <w:t>77.4</w:t>
            </w:r>
          </w:p>
        </w:tc>
        <w:tc>
          <w:tcPr>
            <w:tcW w:w="1487" w:type="dxa"/>
            <w:tcBorders>
              <w:top w:val="nil"/>
              <w:left w:val="nil"/>
              <w:right w:val="nil"/>
            </w:tcBorders>
            <w:shd w:val="clear" w:color="auto" w:fill="auto"/>
            <w:noWrap/>
          </w:tcPr>
          <w:p w14:paraId="63AEFD28" w14:textId="77777777" w:rsidR="00A65E70" w:rsidRPr="00A65E70" w:rsidRDefault="00A65E70" w:rsidP="005E71B7">
            <w:pPr>
              <w:rPr>
                <w:rFonts w:eastAsia="Calibri"/>
                <w:szCs w:val="28"/>
                <w:lang w:eastAsia="en-US"/>
              </w:rPr>
            </w:pPr>
            <w:r w:rsidRPr="00A65E70">
              <w:rPr>
                <w:rFonts w:eastAsia="Calibri"/>
                <w:lang w:eastAsia="en-US"/>
              </w:rPr>
              <w:t>$2,708</w:t>
            </w:r>
          </w:p>
        </w:tc>
        <w:tc>
          <w:tcPr>
            <w:tcW w:w="1503" w:type="dxa"/>
            <w:tcBorders>
              <w:top w:val="nil"/>
              <w:left w:val="nil"/>
              <w:right w:val="nil"/>
            </w:tcBorders>
            <w:shd w:val="clear" w:color="auto" w:fill="auto"/>
            <w:noWrap/>
          </w:tcPr>
          <w:p w14:paraId="4B32D4C7" w14:textId="3EFFD884" w:rsidR="00A65E70" w:rsidRPr="00A65E70" w:rsidRDefault="00A65E70" w:rsidP="005E71B7">
            <w:pPr>
              <w:rPr>
                <w:rFonts w:eastAsia="Calibri"/>
                <w:szCs w:val="28"/>
                <w:lang w:eastAsia="en-US"/>
              </w:rPr>
            </w:pPr>
            <w:r w:rsidRPr="00A65E70">
              <w:rPr>
                <w:rFonts w:eastAsia="Calibri"/>
                <w:lang w:eastAsia="en-US"/>
              </w:rPr>
              <w:t>7.6</w:t>
            </w:r>
          </w:p>
        </w:tc>
        <w:tc>
          <w:tcPr>
            <w:tcW w:w="1537" w:type="dxa"/>
            <w:tcBorders>
              <w:top w:val="nil"/>
              <w:left w:val="nil"/>
              <w:right w:val="nil"/>
            </w:tcBorders>
            <w:shd w:val="clear" w:color="auto" w:fill="auto"/>
            <w:noWrap/>
          </w:tcPr>
          <w:p w14:paraId="7819A9AF" w14:textId="77777777" w:rsidR="00A65E70" w:rsidRPr="00A65E70" w:rsidRDefault="00A65E70" w:rsidP="005E71B7">
            <w:pPr>
              <w:rPr>
                <w:rFonts w:eastAsia="Calibri"/>
                <w:szCs w:val="28"/>
                <w:lang w:eastAsia="en-US"/>
              </w:rPr>
            </w:pPr>
            <w:r w:rsidRPr="00A65E70">
              <w:rPr>
                <w:rFonts w:eastAsia="Calibri"/>
                <w:lang w:eastAsia="en-US"/>
              </w:rPr>
              <w:t>$4,272</w:t>
            </w:r>
          </w:p>
        </w:tc>
        <w:tc>
          <w:tcPr>
            <w:tcW w:w="1487" w:type="dxa"/>
            <w:tcBorders>
              <w:top w:val="nil"/>
              <w:left w:val="nil"/>
              <w:right w:val="nil"/>
            </w:tcBorders>
            <w:shd w:val="clear" w:color="auto" w:fill="auto"/>
            <w:noWrap/>
          </w:tcPr>
          <w:p w14:paraId="0B8FA526" w14:textId="77777777" w:rsidR="00A65E70" w:rsidRPr="00A65E70" w:rsidRDefault="00A65E70" w:rsidP="005E71B7">
            <w:pPr>
              <w:rPr>
                <w:rFonts w:eastAsia="Calibri"/>
                <w:szCs w:val="28"/>
                <w:lang w:eastAsia="en-US"/>
              </w:rPr>
            </w:pPr>
            <w:r w:rsidRPr="00A65E70">
              <w:rPr>
                <w:rFonts w:eastAsia="Calibri"/>
                <w:lang w:eastAsia="en-US"/>
              </w:rPr>
              <w:t>$6,980</w:t>
            </w:r>
          </w:p>
        </w:tc>
        <w:tc>
          <w:tcPr>
            <w:tcW w:w="1487" w:type="dxa"/>
            <w:tcBorders>
              <w:top w:val="nil"/>
              <w:left w:val="nil"/>
              <w:right w:val="nil"/>
            </w:tcBorders>
            <w:shd w:val="clear" w:color="auto" w:fill="auto"/>
            <w:noWrap/>
          </w:tcPr>
          <w:p w14:paraId="20BF5EF9" w14:textId="77777777" w:rsidR="00A65E70" w:rsidRPr="00A65E70" w:rsidRDefault="00A65E70" w:rsidP="005E71B7">
            <w:pPr>
              <w:rPr>
                <w:rFonts w:eastAsia="Calibri"/>
                <w:szCs w:val="28"/>
                <w:lang w:eastAsia="en-US"/>
              </w:rPr>
            </w:pPr>
            <w:r w:rsidRPr="00A65E70">
              <w:rPr>
                <w:rFonts w:eastAsia="Calibri"/>
                <w:lang w:eastAsia="en-US"/>
              </w:rPr>
              <w:t>$1,606</w:t>
            </w:r>
          </w:p>
        </w:tc>
        <w:tc>
          <w:tcPr>
            <w:tcW w:w="1551" w:type="dxa"/>
            <w:tcBorders>
              <w:top w:val="nil"/>
              <w:left w:val="nil"/>
              <w:right w:val="nil"/>
            </w:tcBorders>
            <w:shd w:val="clear" w:color="auto" w:fill="auto"/>
            <w:noWrap/>
          </w:tcPr>
          <w:p w14:paraId="68AB4AD3" w14:textId="77777777" w:rsidR="00A65E70" w:rsidRPr="00A65E70" w:rsidRDefault="00A65E70" w:rsidP="005E71B7">
            <w:pPr>
              <w:rPr>
                <w:rFonts w:eastAsia="Calibri"/>
                <w:szCs w:val="28"/>
                <w:lang w:eastAsia="en-US"/>
              </w:rPr>
            </w:pPr>
            <w:r w:rsidRPr="00A65E70">
              <w:rPr>
                <w:rFonts w:eastAsia="Calibri"/>
                <w:lang w:eastAsia="en-US"/>
              </w:rPr>
              <w:t>$2,775</w:t>
            </w:r>
          </w:p>
        </w:tc>
        <w:tc>
          <w:tcPr>
            <w:tcW w:w="1487" w:type="dxa"/>
            <w:tcBorders>
              <w:top w:val="nil"/>
              <w:left w:val="nil"/>
              <w:right w:val="nil"/>
            </w:tcBorders>
            <w:shd w:val="clear" w:color="auto" w:fill="auto"/>
            <w:noWrap/>
          </w:tcPr>
          <w:p w14:paraId="0E626EBA" w14:textId="77777777" w:rsidR="00A65E70" w:rsidRPr="00A65E70" w:rsidRDefault="00A65E70" w:rsidP="005E71B7">
            <w:pPr>
              <w:rPr>
                <w:rFonts w:eastAsia="Calibri"/>
                <w:szCs w:val="28"/>
                <w:lang w:eastAsia="en-US"/>
              </w:rPr>
            </w:pPr>
            <w:r w:rsidRPr="00A65E70">
              <w:rPr>
                <w:rFonts w:eastAsia="Calibri"/>
                <w:lang w:eastAsia="en-US"/>
              </w:rPr>
              <w:t>$4,381</w:t>
            </w:r>
          </w:p>
        </w:tc>
      </w:tr>
      <w:tr w:rsidR="00A65E70" w:rsidRPr="00A65E70" w14:paraId="5A930B54" w14:textId="77777777" w:rsidTr="007032DD">
        <w:trPr>
          <w:trHeight w:val="300"/>
        </w:trPr>
        <w:tc>
          <w:tcPr>
            <w:tcW w:w="2019" w:type="dxa"/>
            <w:tcBorders>
              <w:top w:val="nil"/>
              <w:left w:val="nil"/>
              <w:right w:val="nil"/>
            </w:tcBorders>
            <w:shd w:val="clear" w:color="auto" w:fill="auto"/>
            <w:noWrap/>
          </w:tcPr>
          <w:p w14:paraId="06224E49" w14:textId="77777777" w:rsidR="00A65E70" w:rsidRPr="00A65E70" w:rsidRDefault="00A65E70" w:rsidP="005E71B7">
            <w:pPr>
              <w:rPr>
                <w:rFonts w:eastAsia="Calibri"/>
                <w:szCs w:val="28"/>
                <w:lang w:eastAsia="en-US"/>
              </w:rPr>
            </w:pPr>
            <w:r w:rsidRPr="00A65E70">
              <w:rPr>
                <w:rFonts w:eastAsia="Calibri"/>
                <w:lang w:eastAsia="en-US"/>
              </w:rPr>
              <w:t>Moderately Severe</w:t>
            </w:r>
          </w:p>
        </w:tc>
        <w:tc>
          <w:tcPr>
            <w:tcW w:w="1437" w:type="dxa"/>
            <w:tcBorders>
              <w:top w:val="nil"/>
              <w:left w:val="nil"/>
              <w:right w:val="nil"/>
            </w:tcBorders>
            <w:shd w:val="clear" w:color="auto" w:fill="auto"/>
            <w:noWrap/>
          </w:tcPr>
          <w:p w14:paraId="6D2206E1" w14:textId="77777777" w:rsidR="00A65E70" w:rsidRPr="00A65E70" w:rsidRDefault="00A65E70" w:rsidP="005E71B7">
            <w:pPr>
              <w:rPr>
                <w:rFonts w:eastAsia="Calibri"/>
                <w:szCs w:val="28"/>
                <w:lang w:eastAsia="en-US"/>
              </w:rPr>
            </w:pPr>
            <w:r w:rsidRPr="00A65E70">
              <w:rPr>
                <w:rFonts w:eastAsia="Calibri"/>
                <w:lang w:eastAsia="en-US"/>
              </w:rPr>
              <w:t>249.3</w:t>
            </w:r>
          </w:p>
        </w:tc>
        <w:tc>
          <w:tcPr>
            <w:tcW w:w="1487" w:type="dxa"/>
            <w:tcBorders>
              <w:top w:val="nil"/>
              <w:left w:val="nil"/>
              <w:right w:val="nil"/>
            </w:tcBorders>
            <w:shd w:val="clear" w:color="auto" w:fill="auto"/>
            <w:noWrap/>
          </w:tcPr>
          <w:p w14:paraId="4D6EE710" w14:textId="77777777" w:rsidR="00A65E70" w:rsidRPr="00A65E70" w:rsidRDefault="00A65E70" w:rsidP="005E71B7">
            <w:pPr>
              <w:rPr>
                <w:rFonts w:eastAsia="Calibri"/>
                <w:szCs w:val="28"/>
                <w:lang w:eastAsia="en-US"/>
              </w:rPr>
            </w:pPr>
            <w:r w:rsidRPr="00A65E70">
              <w:rPr>
                <w:rFonts w:eastAsia="Calibri"/>
                <w:lang w:eastAsia="en-US"/>
              </w:rPr>
              <w:t>$8,723</w:t>
            </w:r>
          </w:p>
        </w:tc>
        <w:tc>
          <w:tcPr>
            <w:tcW w:w="1503" w:type="dxa"/>
            <w:tcBorders>
              <w:top w:val="nil"/>
              <w:left w:val="nil"/>
              <w:right w:val="nil"/>
            </w:tcBorders>
            <w:shd w:val="clear" w:color="auto" w:fill="auto"/>
            <w:noWrap/>
          </w:tcPr>
          <w:p w14:paraId="32A33E6F" w14:textId="782207CE" w:rsidR="00A65E70" w:rsidRPr="00A65E70" w:rsidRDefault="00A65E70" w:rsidP="005E71B7">
            <w:pPr>
              <w:rPr>
                <w:rFonts w:eastAsia="Calibri"/>
                <w:szCs w:val="28"/>
                <w:lang w:eastAsia="en-US"/>
              </w:rPr>
            </w:pPr>
            <w:r w:rsidRPr="00A65E70">
              <w:rPr>
                <w:rFonts w:eastAsia="Calibri"/>
                <w:lang w:eastAsia="en-US"/>
              </w:rPr>
              <w:t>12.0</w:t>
            </w:r>
          </w:p>
        </w:tc>
        <w:tc>
          <w:tcPr>
            <w:tcW w:w="1537" w:type="dxa"/>
            <w:tcBorders>
              <w:top w:val="nil"/>
              <w:left w:val="nil"/>
              <w:right w:val="nil"/>
            </w:tcBorders>
            <w:shd w:val="clear" w:color="auto" w:fill="auto"/>
            <w:noWrap/>
          </w:tcPr>
          <w:p w14:paraId="3B9EF833" w14:textId="77777777" w:rsidR="00A65E70" w:rsidRPr="00A65E70" w:rsidRDefault="00A65E70" w:rsidP="005E71B7">
            <w:pPr>
              <w:rPr>
                <w:rFonts w:eastAsia="Calibri"/>
                <w:szCs w:val="28"/>
                <w:lang w:eastAsia="en-US"/>
              </w:rPr>
            </w:pPr>
            <w:r w:rsidRPr="00A65E70">
              <w:rPr>
                <w:rFonts w:eastAsia="Calibri"/>
                <w:lang w:eastAsia="en-US"/>
              </w:rPr>
              <w:t>$6,002</w:t>
            </w:r>
          </w:p>
        </w:tc>
        <w:tc>
          <w:tcPr>
            <w:tcW w:w="1487" w:type="dxa"/>
            <w:tcBorders>
              <w:top w:val="nil"/>
              <w:left w:val="nil"/>
              <w:right w:val="nil"/>
            </w:tcBorders>
            <w:shd w:val="clear" w:color="auto" w:fill="auto"/>
            <w:noWrap/>
          </w:tcPr>
          <w:p w14:paraId="5CA48821" w14:textId="77777777" w:rsidR="00A65E70" w:rsidRPr="00A65E70" w:rsidRDefault="00A65E70" w:rsidP="005E71B7">
            <w:pPr>
              <w:rPr>
                <w:rFonts w:eastAsia="Calibri"/>
                <w:szCs w:val="28"/>
                <w:lang w:eastAsia="en-US"/>
              </w:rPr>
            </w:pPr>
            <w:r w:rsidRPr="00A65E70">
              <w:rPr>
                <w:rFonts w:eastAsia="Calibri"/>
                <w:lang w:eastAsia="en-US"/>
              </w:rPr>
              <w:t>$14,725</w:t>
            </w:r>
          </w:p>
        </w:tc>
        <w:tc>
          <w:tcPr>
            <w:tcW w:w="1487" w:type="dxa"/>
            <w:tcBorders>
              <w:top w:val="nil"/>
              <w:left w:val="nil"/>
              <w:right w:val="nil"/>
            </w:tcBorders>
            <w:shd w:val="clear" w:color="auto" w:fill="auto"/>
            <w:noWrap/>
          </w:tcPr>
          <w:p w14:paraId="2F073E65" w14:textId="77777777" w:rsidR="00A65E70" w:rsidRPr="00A65E70" w:rsidRDefault="00A65E70" w:rsidP="005E71B7">
            <w:pPr>
              <w:rPr>
                <w:rFonts w:eastAsia="Calibri"/>
                <w:szCs w:val="28"/>
                <w:lang w:eastAsia="en-US"/>
              </w:rPr>
            </w:pPr>
            <w:r w:rsidRPr="00A65E70">
              <w:rPr>
                <w:rFonts w:eastAsia="Calibri"/>
                <w:lang w:eastAsia="en-US"/>
              </w:rPr>
              <w:t>$7,621</w:t>
            </w:r>
          </w:p>
        </w:tc>
        <w:tc>
          <w:tcPr>
            <w:tcW w:w="1551" w:type="dxa"/>
            <w:tcBorders>
              <w:top w:val="nil"/>
              <w:left w:val="nil"/>
              <w:right w:val="nil"/>
            </w:tcBorders>
            <w:shd w:val="clear" w:color="auto" w:fill="auto"/>
            <w:noWrap/>
          </w:tcPr>
          <w:p w14:paraId="43F16B74" w14:textId="77777777" w:rsidR="00A65E70" w:rsidRPr="00A65E70" w:rsidRDefault="00A65E70" w:rsidP="005E71B7">
            <w:pPr>
              <w:rPr>
                <w:rFonts w:eastAsia="Calibri"/>
                <w:szCs w:val="28"/>
                <w:lang w:eastAsia="en-US"/>
              </w:rPr>
            </w:pPr>
            <w:r w:rsidRPr="00A65E70">
              <w:rPr>
                <w:rFonts w:eastAsia="Calibri"/>
                <w:lang w:eastAsia="en-US"/>
              </w:rPr>
              <w:t>$4,505</w:t>
            </w:r>
          </w:p>
        </w:tc>
        <w:tc>
          <w:tcPr>
            <w:tcW w:w="1487" w:type="dxa"/>
            <w:tcBorders>
              <w:top w:val="nil"/>
              <w:left w:val="nil"/>
              <w:right w:val="nil"/>
            </w:tcBorders>
            <w:shd w:val="clear" w:color="auto" w:fill="auto"/>
            <w:noWrap/>
          </w:tcPr>
          <w:p w14:paraId="1FB414EA" w14:textId="77777777" w:rsidR="00A65E70" w:rsidRPr="00A65E70" w:rsidRDefault="00A65E70" w:rsidP="005E71B7">
            <w:pPr>
              <w:rPr>
                <w:rFonts w:eastAsia="Calibri"/>
                <w:szCs w:val="28"/>
                <w:lang w:eastAsia="en-US"/>
              </w:rPr>
            </w:pPr>
            <w:r w:rsidRPr="00A65E70">
              <w:rPr>
                <w:rFonts w:eastAsia="Calibri"/>
                <w:lang w:eastAsia="en-US"/>
              </w:rPr>
              <w:t>$12,126</w:t>
            </w:r>
          </w:p>
        </w:tc>
      </w:tr>
      <w:tr w:rsidR="00A65E70" w:rsidRPr="00A65E70" w14:paraId="6FCB83B5" w14:textId="77777777" w:rsidTr="007032DD">
        <w:trPr>
          <w:trHeight w:val="300"/>
        </w:trPr>
        <w:tc>
          <w:tcPr>
            <w:tcW w:w="2019" w:type="dxa"/>
            <w:tcBorders>
              <w:top w:val="nil"/>
              <w:left w:val="nil"/>
              <w:bottom w:val="single" w:sz="18" w:space="0" w:color="auto"/>
              <w:right w:val="nil"/>
            </w:tcBorders>
            <w:shd w:val="clear" w:color="auto" w:fill="auto"/>
            <w:noWrap/>
          </w:tcPr>
          <w:p w14:paraId="562689CE" w14:textId="77777777" w:rsidR="00A65E70" w:rsidRPr="00A65E70" w:rsidRDefault="00A65E70" w:rsidP="005E71B7">
            <w:pPr>
              <w:rPr>
                <w:rFonts w:eastAsia="Calibri"/>
                <w:szCs w:val="28"/>
                <w:lang w:eastAsia="en-US"/>
              </w:rPr>
            </w:pPr>
            <w:r w:rsidRPr="00A65E70">
              <w:rPr>
                <w:rFonts w:eastAsia="Calibri"/>
                <w:lang w:eastAsia="en-US"/>
              </w:rPr>
              <w:t>Severe</w:t>
            </w:r>
          </w:p>
        </w:tc>
        <w:tc>
          <w:tcPr>
            <w:tcW w:w="1437" w:type="dxa"/>
            <w:tcBorders>
              <w:top w:val="nil"/>
              <w:left w:val="nil"/>
              <w:bottom w:val="single" w:sz="18" w:space="0" w:color="auto"/>
              <w:right w:val="nil"/>
            </w:tcBorders>
            <w:shd w:val="clear" w:color="auto" w:fill="auto"/>
            <w:noWrap/>
          </w:tcPr>
          <w:p w14:paraId="1F817A15" w14:textId="77777777" w:rsidR="00A65E70" w:rsidRPr="00A65E70" w:rsidRDefault="00A65E70" w:rsidP="005E71B7">
            <w:pPr>
              <w:rPr>
                <w:rFonts w:eastAsia="Calibri"/>
                <w:szCs w:val="28"/>
                <w:lang w:eastAsia="en-US"/>
              </w:rPr>
            </w:pPr>
            <w:r w:rsidRPr="00A65E70">
              <w:rPr>
                <w:rFonts w:eastAsia="Calibri"/>
                <w:lang w:eastAsia="en-US"/>
              </w:rPr>
              <w:t>633.6</w:t>
            </w:r>
          </w:p>
        </w:tc>
        <w:tc>
          <w:tcPr>
            <w:tcW w:w="1487" w:type="dxa"/>
            <w:tcBorders>
              <w:top w:val="nil"/>
              <w:left w:val="nil"/>
              <w:bottom w:val="single" w:sz="18" w:space="0" w:color="auto"/>
              <w:right w:val="nil"/>
            </w:tcBorders>
            <w:shd w:val="clear" w:color="auto" w:fill="auto"/>
            <w:noWrap/>
          </w:tcPr>
          <w:p w14:paraId="45352DBA" w14:textId="77777777" w:rsidR="00A65E70" w:rsidRPr="00A65E70" w:rsidRDefault="00A65E70" w:rsidP="005E71B7">
            <w:pPr>
              <w:rPr>
                <w:rFonts w:eastAsia="Calibri"/>
                <w:szCs w:val="28"/>
                <w:lang w:eastAsia="en-US"/>
              </w:rPr>
            </w:pPr>
            <w:r w:rsidRPr="00A65E70">
              <w:rPr>
                <w:rFonts w:eastAsia="Calibri"/>
                <w:lang w:eastAsia="en-US"/>
              </w:rPr>
              <w:t>$22,170</w:t>
            </w:r>
          </w:p>
        </w:tc>
        <w:tc>
          <w:tcPr>
            <w:tcW w:w="1503" w:type="dxa"/>
            <w:tcBorders>
              <w:top w:val="nil"/>
              <w:left w:val="nil"/>
              <w:bottom w:val="single" w:sz="18" w:space="0" w:color="auto"/>
              <w:right w:val="nil"/>
            </w:tcBorders>
            <w:shd w:val="clear" w:color="auto" w:fill="auto"/>
            <w:noWrap/>
          </w:tcPr>
          <w:p w14:paraId="242817F5" w14:textId="4C927175" w:rsidR="00A65E70" w:rsidRPr="00A65E70" w:rsidRDefault="00A65E70" w:rsidP="005E71B7">
            <w:pPr>
              <w:rPr>
                <w:rFonts w:eastAsia="Calibri"/>
                <w:szCs w:val="28"/>
                <w:lang w:eastAsia="en-US"/>
              </w:rPr>
            </w:pPr>
            <w:r w:rsidRPr="00A65E70">
              <w:rPr>
                <w:rFonts w:eastAsia="Calibri"/>
                <w:lang w:eastAsia="en-US"/>
              </w:rPr>
              <w:t>9.8</w:t>
            </w:r>
          </w:p>
        </w:tc>
        <w:tc>
          <w:tcPr>
            <w:tcW w:w="1537" w:type="dxa"/>
            <w:tcBorders>
              <w:top w:val="nil"/>
              <w:left w:val="nil"/>
              <w:bottom w:val="single" w:sz="18" w:space="0" w:color="auto"/>
              <w:right w:val="nil"/>
            </w:tcBorders>
            <w:shd w:val="clear" w:color="auto" w:fill="auto"/>
            <w:noWrap/>
          </w:tcPr>
          <w:p w14:paraId="312BCE3F" w14:textId="77777777" w:rsidR="00A65E70" w:rsidRPr="00A65E70" w:rsidRDefault="00A65E70" w:rsidP="005E71B7">
            <w:pPr>
              <w:rPr>
                <w:rFonts w:eastAsia="Calibri"/>
                <w:szCs w:val="28"/>
                <w:lang w:eastAsia="en-US"/>
              </w:rPr>
            </w:pPr>
            <w:r w:rsidRPr="00A65E70">
              <w:rPr>
                <w:rFonts w:eastAsia="Calibri"/>
                <w:lang w:eastAsia="en-US"/>
              </w:rPr>
              <w:t>$3,573</w:t>
            </w:r>
          </w:p>
        </w:tc>
        <w:tc>
          <w:tcPr>
            <w:tcW w:w="1487" w:type="dxa"/>
            <w:tcBorders>
              <w:top w:val="nil"/>
              <w:left w:val="nil"/>
              <w:bottom w:val="single" w:sz="18" w:space="0" w:color="auto"/>
              <w:right w:val="nil"/>
            </w:tcBorders>
            <w:shd w:val="clear" w:color="auto" w:fill="auto"/>
            <w:noWrap/>
          </w:tcPr>
          <w:p w14:paraId="78942239" w14:textId="77777777" w:rsidR="00A65E70" w:rsidRPr="00A65E70" w:rsidRDefault="00A65E70" w:rsidP="005E71B7">
            <w:pPr>
              <w:rPr>
                <w:rFonts w:eastAsia="Calibri"/>
                <w:szCs w:val="28"/>
                <w:lang w:eastAsia="en-US"/>
              </w:rPr>
            </w:pPr>
            <w:r w:rsidRPr="00A65E70">
              <w:rPr>
                <w:rFonts w:eastAsia="Calibri"/>
                <w:lang w:eastAsia="en-US"/>
              </w:rPr>
              <w:t>$25,743</w:t>
            </w:r>
          </w:p>
        </w:tc>
        <w:tc>
          <w:tcPr>
            <w:tcW w:w="1487" w:type="dxa"/>
            <w:tcBorders>
              <w:top w:val="nil"/>
              <w:left w:val="nil"/>
              <w:bottom w:val="single" w:sz="18" w:space="0" w:color="auto"/>
              <w:right w:val="nil"/>
            </w:tcBorders>
            <w:shd w:val="clear" w:color="auto" w:fill="auto"/>
            <w:noWrap/>
          </w:tcPr>
          <w:p w14:paraId="65F1CEA7" w14:textId="77777777" w:rsidR="00A65E70" w:rsidRPr="00A65E70" w:rsidRDefault="00A65E70" w:rsidP="005E71B7">
            <w:pPr>
              <w:rPr>
                <w:rFonts w:eastAsia="Calibri"/>
                <w:szCs w:val="28"/>
                <w:lang w:eastAsia="en-US"/>
              </w:rPr>
            </w:pPr>
            <w:r w:rsidRPr="00A65E70">
              <w:rPr>
                <w:rFonts w:eastAsia="Calibri"/>
                <w:lang w:eastAsia="en-US"/>
              </w:rPr>
              <w:t>$21,068</w:t>
            </w:r>
          </w:p>
        </w:tc>
        <w:tc>
          <w:tcPr>
            <w:tcW w:w="1551" w:type="dxa"/>
            <w:tcBorders>
              <w:top w:val="nil"/>
              <w:left w:val="nil"/>
              <w:bottom w:val="single" w:sz="18" w:space="0" w:color="auto"/>
              <w:right w:val="nil"/>
            </w:tcBorders>
            <w:shd w:val="clear" w:color="auto" w:fill="auto"/>
            <w:noWrap/>
          </w:tcPr>
          <w:p w14:paraId="0891D6E1" w14:textId="77777777" w:rsidR="00A65E70" w:rsidRPr="00A65E70" w:rsidRDefault="00A65E70" w:rsidP="005E71B7">
            <w:pPr>
              <w:rPr>
                <w:rFonts w:eastAsia="Calibri"/>
                <w:szCs w:val="28"/>
                <w:lang w:eastAsia="en-US"/>
              </w:rPr>
            </w:pPr>
            <w:r w:rsidRPr="00A65E70">
              <w:rPr>
                <w:rFonts w:eastAsia="Calibri"/>
                <w:lang w:eastAsia="en-US"/>
              </w:rPr>
              <w:t>$2,075</w:t>
            </w:r>
          </w:p>
        </w:tc>
        <w:tc>
          <w:tcPr>
            <w:tcW w:w="1487" w:type="dxa"/>
            <w:tcBorders>
              <w:top w:val="nil"/>
              <w:left w:val="nil"/>
              <w:bottom w:val="single" w:sz="18" w:space="0" w:color="auto"/>
              <w:right w:val="nil"/>
            </w:tcBorders>
            <w:shd w:val="clear" w:color="auto" w:fill="auto"/>
            <w:noWrap/>
          </w:tcPr>
          <w:p w14:paraId="5DED3307" w14:textId="77777777" w:rsidR="00A65E70" w:rsidRPr="00A65E70" w:rsidRDefault="00A65E70" w:rsidP="005E71B7">
            <w:pPr>
              <w:rPr>
                <w:rFonts w:eastAsia="Calibri"/>
                <w:szCs w:val="28"/>
                <w:lang w:eastAsia="en-US"/>
              </w:rPr>
            </w:pPr>
            <w:r w:rsidRPr="00A65E70">
              <w:rPr>
                <w:rFonts w:eastAsia="Calibri"/>
                <w:lang w:eastAsia="en-US"/>
              </w:rPr>
              <w:t>$23,143</w:t>
            </w:r>
          </w:p>
        </w:tc>
      </w:tr>
    </w:tbl>
    <w:p w14:paraId="6D88B3BB" w14:textId="1D470A12" w:rsidR="00A65E70" w:rsidRPr="00A65E70" w:rsidRDefault="00A65E70" w:rsidP="00D8244B">
      <w:pPr>
        <w:pStyle w:val="SWA-FOOTER"/>
      </w:pPr>
      <w:r w:rsidRPr="00A65E70">
        <w:t xml:space="preserve">No depression 0-4; Mild (subclinical) 5-9; Moderate (clinical) 10-14; Moderately severe (clinical) 15-19; Severe (clinical) 20-27. Based on </w:t>
      </w:r>
      <w:r w:rsidR="00F6081B">
        <w:t xml:space="preserve">an </w:t>
      </w:r>
      <w:r w:rsidRPr="00A65E70">
        <w:t>average income of $58</w:t>
      </w:r>
      <w:r w:rsidR="00F6081B">
        <w:t>,</w:t>
      </w:r>
      <w:r w:rsidRPr="00A65E70">
        <w:t>702.</w:t>
      </w:r>
    </w:p>
    <w:p w14:paraId="30640C3D" w14:textId="1BFFB124" w:rsidR="00A65E70" w:rsidRPr="00A65E70" w:rsidRDefault="00A65E70" w:rsidP="00DF442A">
      <w:pPr>
        <w:rPr>
          <w:rFonts w:eastAsia="Calibri"/>
          <w:lang w:eastAsia="en-US"/>
        </w:rPr>
      </w:pPr>
      <w:r w:rsidRPr="00A65E70">
        <w:rPr>
          <w:rFonts w:eastAsia="Calibri"/>
          <w:lang w:eastAsia="en-US"/>
        </w:rPr>
        <w:t xml:space="preserve">As shown in Table 6, people with severe depression have approximately 20 times more sick days and </w:t>
      </w:r>
      <w:r w:rsidR="002D6389">
        <w:rPr>
          <w:rFonts w:eastAsia="Calibri"/>
          <w:lang w:eastAsia="en-US"/>
        </w:rPr>
        <w:t>276.9</w:t>
      </w:r>
      <w:r w:rsidR="005355BD">
        <w:rPr>
          <w:rFonts w:eastAsia="Calibri"/>
          <w:lang w:eastAsia="en-US"/>
        </w:rPr>
        <w:t xml:space="preserve"> per cent</w:t>
      </w:r>
      <w:r w:rsidRPr="00A65E70">
        <w:rPr>
          <w:rFonts w:eastAsia="Calibri"/>
          <w:lang w:eastAsia="en-US"/>
        </w:rPr>
        <w:t xml:space="preserve"> higher performance loss than those with no depression, costing an average of $21,068 and $2,075 per person per year respectively. Note that there was a relatively small sample size for severely depressed respondents (n = 35) and many of them had taken every day as sickness absence in the past month. While those with mild depression did not have increased sickness absence and presenteeism to the same degree, it is worth noting they make up a larger proportion of the depressed population and therefore produce a larger proportion of the cost burden associated with depression.</w:t>
      </w:r>
    </w:p>
    <w:p w14:paraId="09364B04" w14:textId="77777777" w:rsidR="00A65E70" w:rsidRPr="00A65E70" w:rsidRDefault="00A65E70" w:rsidP="00A65E70">
      <w:pPr>
        <w:spacing w:after="200" w:line="276" w:lineRule="auto"/>
        <w:rPr>
          <w:rFonts w:ascii="Adobe Garamond Pro" w:eastAsia="Calibri" w:hAnsi="Adobe Garamond Pro"/>
          <w:sz w:val="24"/>
          <w:szCs w:val="22"/>
          <w:lang w:eastAsia="en-US"/>
        </w:rPr>
      </w:pPr>
      <w:r w:rsidRPr="00A65E70">
        <w:rPr>
          <w:rFonts w:ascii="Adobe Garamond Pro" w:eastAsia="Calibri" w:hAnsi="Adobe Garamond Pro"/>
          <w:sz w:val="24"/>
          <w:szCs w:val="22"/>
          <w:lang w:eastAsia="en-US"/>
        </w:rPr>
        <w:br w:type="page"/>
      </w:r>
    </w:p>
    <w:p w14:paraId="02E89D8B" w14:textId="77777777" w:rsidR="00A65E70" w:rsidRPr="00A65E70" w:rsidRDefault="00A65E70" w:rsidP="00A65E70">
      <w:pPr>
        <w:spacing w:after="160" w:line="259" w:lineRule="auto"/>
        <w:rPr>
          <w:rFonts w:ascii="Adobe Garamond Pro" w:eastAsia="Calibri" w:hAnsi="Adobe Garamond Pro"/>
          <w:sz w:val="24"/>
          <w:szCs w:val="22"/>
          <w:lang w:eastAsia="en-US"/>
        </w:rPr>
        <w:sectPr w:rsidR="00A65E70" w:rsidRPr="00A65E70" w:rsidSect="007032DD">
          <w:pgSz w:w="16838" w:h="11906" w:orient="landscape"/>
          <w:pgMar w:top="1440" w:right="1440" w:bottom="1440" w:left="1440" w:header="708" w:footer="708" w:gutter="0"/>
          <w:cols w:space="708"/>
          <w:docGrid w:linePitch="360"/>
        </w:sectPr>
      </w:pPr>
    </w:p>
    <w:p w14:paraId="14EE550D" w14:textId="05F2F949" w:rsidR="00A65E70" w:rsidRPr="00DF442A" w:rsidRDefault="00A65E70" w:rsidP="00D8244B">
      <w:pPr>
        <w:pStyle w:val="Caption"/>
        <w:rPr>
          <w:rFonts w:eastAsia="Calibri"/>
          <w:iCs/>
          <w:szCs w:val="18"/>
        </w:rPr>
      </w:pPr>
      <w:r w:rsidRPr="00A65E70">
        <w:rPr>
          <w:rFonts w:eastAsia="Calibri"/>
          <w:iCs/>
          <w:szCs w:val="18"/>
        </w:rPr>
        <w:lastRenderedPageBreak/>
        <w:t>Table 7</w:t>
      </w:r>
      <w:r w:rsidR="00DF442A">
        <w:rPr>
          <w:rFonts w:eastAsia="Calibri"/>
          <w:iCs/>
          <w:szCs w:val="18"/>
        </w:rPr>
        <w:t xml:space="preserve"> </w:t>
      </w:r>
      <w:r w:rsidRPr="00A65E70">
        <w:rPr>
          <w:rFonts w:eastAsia="Calibri"/>
        </w:rPr>
        <w:t>Psychological distress benchmarks, absenteeism, presenteeism</w:t>
      </w:r>
    </w:p>
    <w:tbl>
      <w:tblPr>
        <w:tblpPr w:leftFromText="180" w:rightFromText="180" w:vertAnchor="page" w:horzAnchor="margin" w:tblpY="1831"/>
        <w:tblW w:w="13327" w:type="dxa"/>
        <w:tblLayout w:type="fixed"/>
        <w:tblLook w:val="04A0" w:firstRow="1" w:lastRow="0" w:firstColumn="1" w:lastColumn="0" w:noHBand="0" w:noVBand="1"/>
        <w:tblCaption w:val="Table 7 Psychological distress benchmarks, absenteeism, presenteeism"/>
        <w:tblDescription w:val="This table shows psychological distress benchmarks,  absenteeism amd presenteeism. "/>
      </w:tblPr>
      <w:tblGrid>
        <w:gridCol w:w="1888"/>
        <w:gridCol w:w="1397"/>
        <w:gridCol w:w="1365"/>
        <w:gridCol w:w="1594"/>
        <w:gridCol w:w="1661"/>
        <w:gridCol w:w="1299"/>
        <w:gridCol w:w="1354"/>
        <w:gridCol w:w="1599"/>
        <w:gridCol w:w="1170"/>
      </w:tblGrid>
      <w:tr w:rsidR="00F4458D" w:rsidRPr="00A65E70" w14:paraId="67936E43" w14:textId="77777777" w:rsidTr="00F4458D">
        <w:trPr>
          <w:trHeight w:val="1089"/>
        </w:trPr>
        <w:tc>
          <w:tcPr>
            <w:tcW w:w="1888" w:type="dxa"/>
            <w:tcBorders>
              <w:top w:val="single" w:sz="18" w:space="0" w:color="auto"/>
              <w:left w:val="nil"/>
              <w:bottom w:val="single" w:sz="4" w:space="0" w:color="auto"/>
              <w:right w:val="nil"/>
            </w:tcBorders>
            <w:shd w:val="clear" w:color="auto" w:fill="auto"/>
            <w:noWrap/>
            <w:vAlign w:val="bottom"/>
            <w:hideMark/>
          </w:tcPr>
          <w:p w14:paraId="07FD2B6C" w14:textId="77777777" w:rsidR="00F4458D" w:rsidRPr="00A65E70" w:rsidRDefault="00F4458D" w:rsidP="00F4458D">
            <w:pPr>
              <w:rPr>
                <w:rFonts w:eastAsia="Calibri"/>
              </w:rPr>
            </w:pPr>
            <w:r w:rsidRPr="00A65E70">
              <w:rPr>
                <w:rFonts w:eastAsia="Calibri"/>
                <w:lang w:eastAsia="en-US"/>
              </w:rPr>
              <w:t>Psychological distress</w:t>
            </w:r>
          </w:p>
        </w:tc>
        <w:tc>
          <w:tcPr>
            <w:tcW w:w="1397" w:type="dxa"/>
            <w:tcBorders>
              <w:top w:val="single" w:sz="18" w:space="0" w:color="auto"/>
              <w:left w:val="nil"/>
              <w:bottom w:val="single" w:sz="4" w:space="0" w:color="auto"/>
              <w:right w:val="nil"/>
            </w:tcBorders>
            <w:shd w:val="clear" w:color="auto" w:fill="auto"/>
            <w:vAlign w:val="bottom"/>
            <w:hideMark/>
          </w:tcPr>
          <w:p w14:paraId="16779352" w14:textId="77777777" w:rsidR="00F4458D" w:rsidRPr="00A65E70" w:rsidRDefault="00F4458D" w:rsidP="00F4458D">
            <w:pPr>
              <w:rPr>
                <w:rFonts w:eastAsia="Calibri"/>
              </w:rPr>
            </w:pPr>
            <w:r w:rsidRPr="00A65E70">
              <w:rPr>
                <w:rFonts w:eastAsia="Calibri"/>
                <w:lang w:eastAsia="en-US"/>
              </w:rPr>
              <w:t>Annual sickness absence (hours)</w:t>
            </w:r>
          </w:p>
        </w:tc>
        <w:tc>
          <w:tcPr>
            <w:tcW w:w="1365" w:type="dxa"/>
            <w:tcBorders>
              <w:top w:val="single" w:sz="18" w:space="0" w:color="auto"/>
              <w:left w:val="nil"/>
              <w:bottom w:val="single" w:sz="4" w:space="0" w:color="auto"/>
              <w:right w:val="nil"/>
            </w:tcBorders>
            <w:shd w:val="clear" w:color="auto" w:fill="auto"/>
            <w:vAlign w:val="bottom"/>
            <w:hideMark/>
          </w:tcPr>
          <w:p w14:paraId="045B7667" w14:textId="77777777" w:rsidR="00F4458D" w:rsidRPr="00A65E70" w:rsidRDefault="00F4458D" w:rsidP="00F4458D">
            <w:pPr>
              <w:rPr>
                <w:rFonts w:eastAsia="Calibri"/>
              </w:rPr>
            </w:pPr>
            <w:r w:rsidRPr="00A65E70">
              <w:rPr>
                <w:rFonts w:eastAsia="Calibri"/>
                <w:lang w:eastAsia="en-US"/>
              </w:rPr>
              <w:t>Cost via sickness absence</w:t>
            </w:r>
          </w:p>
        </w:tc>
        <w:tc>
          <w:tcPr>
            <w:tcW w:w="1594" w:type="dxa"/>
            <w:tcBorders>
              <w:top w:val="single" w:sz="18" w:space="0" w:color="auto"/>
              <w:left w:val="nil"/>
              <w:bottom w:val="single" w:sz="4" w:space="0" w:color="auto"/>
              <w:right w:val="nil"/>
            </w:tcBorders>
            <w:shd w:val="clear" w:color="auto" w:fill="auto"/>
            <w:vAlign w:val="bottom"/>
            <w:hideMark/>
          </w:tcPr>
          <w:p w14:paraId="43D9F714" w14:textId="77777777" w:rsidR="00F4458D" w:rsidRDefault="00F4458D" w:rsidP="00F4458D">
            <w:pPr>
              <w:rPr>
                <w:rFonts w:eastAsia="Calibri"/>
                <w:lang w:eastAsia="en-US"/>
              </w:rPr>
            </w:pPr>
            <w:r w:rsidRPr="00A65E70">
              <w:rPr>
                <w:rFonts w:eastAsia="Calibri"/>
                <w:lang w:eastAsia="en-US"/>
              </w:rPr>
              <w:t>Performance Loss</w:t>
            </w:r>
          </w:p>
          <w:p w14:paraId="1BE893CF" w14:textId="77777777" w:rsidR="00F4458D" w:rsidRPr="00A65E70" w:rsidRDefault="00F4458D" w:rsidP="00F4458D">
            <w:pPr>
              <w:rPr>
                <w:rFonts w:eastAsia="Calibri"/>
              </w:rPr>
            </w:pPr>
            <w:r>
              <w:rPr>
                <w:rFonts w:eastAsia="Calibri"/>
                <w:lang w:eastAsia="en-US"/>
              </w:rPr>
              <w:t>(per cent)</w:t>
            </w:r>
          </w:p>
        </w:tc>
        <w:tc>
          <w:tcPr>
            <w:tcW w:w="1661" w:type="dxa"/>
            <w:tcBorders>
              <w:top w:val="single" w:sz="18" w:space="0" w:color="auto"/>
              <w:left w:val="nil"/>
              <w:bottom w:val="single" w:sz="4" w:space="0" w:color="auto"/>
              <w:right w:val="nil"/>
            </w:tcBorders>
            <w:shd w:val="clear" w:color="auto" w:fill="auto"/>
            <w:vAlign w:val="bottom"/>
            <w:hideMark/>
          </w:tcPr>
          <w:p w14:paraId="447B21FF" w14:textId="77777777" w:rsidR="00F4458D" w:rsidRPr="00A65E70" w:rsidRDefault="00F4458D" w:rsidP="00F4458D">
            <w:pPr>
              <w:rPr>
                <w:rFonts w:eastAsia="Calibri"/>
              </w:rPr>
            </w:pPr>
            <w:r w:rsidRPr="00A65E70">
              <w:rPr>
                <w:rFonts w:eastAsia="Calibri"/>
                <w:lang w:eastAsia="en-US"/>
              </w:rPr>
              <w:t>Cost via presenteeism</w:t>
            </w:r>
          </w:p>
        </w:tc>
        <w:tc>
          <w:tcPr>
            <w:tcW w:w="1299" w:type="dxa"/>
            <w:tcBorders>
              <w:top w:val="single" w:sz="18" w:space="0" w:color="auto"/>
              <w:left w:val="nil"/>
              <w:bottom w:val="single" w:sz="4" w:space="0" w:color="auto"/>
              <w:right w:val="nil"/>
            </w:tcBorders>
            <w:shd w:val="clear" w:color="auto" w:fill="auto"/>
            <w:vAlign w:val="bottom"/>
            <w:hideMark/>
          </w:tcPr>
          <w:p w14:paraId="42D41D83" w14:textId="77777777" w:rsidR="00F4458D" w:rsidRPr="00A65E70" w:rsidRDefault="00F4458D" w:rsidP="00F4458D">
            <w:pPr>
              <w:rPr>
                <w:rFonts w:eastAsia="Calibri"/>
              </w:rPr>
            </w:pPr>
            <w:r w:rsidRPr="00A65E70">
              <w:rPr>
                <w:rFonts w:eastAsia="Calibri"/>
                <w:lang w:eastAsia="en-US"/>
              </w:rPr>
              <w:t>Combined annual cost</w:t>
            </w:r>
          </w:p>
        </w:tc>
        <w:tc>
          <w:tcPr>
            <w:tcW w:w="1354" w:type="dxa"/>
            <w:tcBorders>
              <w:top w:val="single" w:sz="18" w:space="0" w:color="auto"/>
              <w:left w:val="nil"/>
              <w:bottom w:val="single" w:sz="4" w:space="0" w:color="auto"/>
              <w:right w:val="nil"/>
            </w:tcBorders>
            <w:shd w:val="clear" w:color="auto" w:fill="auto"/>
            <w:vAlign w:val="bottom"/>
            <w:hideMark/>
          </w:tcPr>
          <w:p w14:paraId="5E7CF751" w14:textId="77777777" w:rsidR="00F4458D" w:rsidRPr="00A65E70" w:rsidRDefault="00F4458D" w:rsidP="00F4458D">
            <w:pPr>
              <w:rPr>
                <w:rFonts w:eastAsia="Calibri"/>
              </w:rPr>
            </w:pPr>
            <w:r w:rsidRPr="00A65E70">
              <w:rPr>
                <w:rFonts w:eastAsia="Calibri"/>
                <w:lang w:eastAsia="en-US"/>
              </w:rPr>
              <w:t>Adjusted sickness absence cost</w:t>
            </w:r>
          </w:p>
        </w:tc>
        <w:tc>
          <w:tcPr>
            <w:tcW w:w="1599" w:type="dxa"/>
            <w:tcBorders>
              <w:top w:val="single" w:sz="18" w:space="0" w:color="auto"/>
              <w:left w:val="nil"/>
              <w:bottom w:val="single" w:sz="4" w:space="0" w:color="auto"/>
              <w:right w:val="nil"/>
            </w:tcBorders>
            <w:shd w:val="clear" w:color="auto" w:fill="auto"/>
            <w:vAlign w:val="bottom"/>
            <w:hideMark/>
          </w:tcPr>
          <w:p w14:paraId="7B28B843" w14:textId="77777777" w:rsidR="00F4458D" w:rsidRPr="00A65E70" w:rsidRDefault="00F4458D" w:rsidP="00F4458D">
            <w:pPr>
              <w:rPr>
                <w:rFonts w:eastAsia="Calibri"/>
              </w:rPr>
            </w:pPr>
            <w:r w:rsidRPr="00A65E70">
              <w:rPr>
                <w:rFonts w:eastAsia="Calibri"/>
                <w:lang w:eastAsia="en-US"/>
              </w:rPr>
              <w:t>Adjusted performance loss cost</w:t>
            </w:r>
          </w:p>
        </w:tc>
        <w:tc>
          <w:tcPr>
            <w:tcW w:w="1170" w:type="dxa"/>
            <w:tcBorders>
              <w:top w:val="single" w:sz="18" w:space="0" w:color="auto"/>
              <w:left w:val="nil"/>
              <w:bottom w:val="single" w:sz="4" w:space="0" w:color="auto"/>
              <w:right w:val="nil"/>
            </w:tcBorders>
            <w:shd w:val="clear" w:color="auto" w:fill="auto"/>
            <w:vAlign w:val="bottom"/>
            <w:hideMark/>
          </w:tcPr>
          <w:p w14:paraId="6431DA60" w14:textId="77777777" w:rsidR="00F4458D" w:rsidRPr="00A65E70" w:rsidRDefault="00F4458D" w:rsidP="00F4458D">
            <w:pPr>
              <w:rPr>
                <w:rFonts w:eastAsia="Calibri"/>
              </w:rPr>
            </w:pPr>
            <w:r w:rsidRPr="00A65E70">
              <w:rPr>
                <w:rFonts w:eastAsia="Calibri"/>
                <w:lang w:eastAsia="en-US"/>
              </w:rPr>
              <w:t>Adjusted combined cost</w:t>
            </w:r>
          </w:p>
        </w:tc>
      </w:tr>
      <w:tr w:rsidR="00F4458D" w:rsidRPr="00A65E70" w14:paraId="6CA752DB" w14:textId="77777777" w:rsidTr="00F4458D">
        <w:trPr>
          <w:trHeight w:val="245"/>
        </w:trPr>
        <w:tc>
          <w:tcPr>
            <w:tcW w:w="1888" w:type="dxa"/>
            <w:tcBorders>
              <w:top w:val="nil"/>
              <w:left w:val="nil"/>
              <w:bottom w:val="nil"/>
              <w:right w:val="nil"/>
            </w:tcBorders>
            <w:shd w:val="clear" w:color="auto" w:fill="auto"/>
            <w:noWrap/>
            <w:vAlign w:val="center"/>
            <w:hideMark/>
          </w:tcPr>
          <w:p w14:paraId="1DF9F4EE" w14:textId="77777777" w:rsidR="00F4458D" w:rsidRPr="00A65E70" w:rsidRDefault="00F4458D" w:rsidP="00F4458D">
            <w:pPr>
              <w:rPr>
                <w:rFonts w:eastAsia="Calibri"/>
              </w:rPr>
            </w:pPr>
            <w:r w:rsidRPr="00A65E70">
              <w:rPr>
                <w:rFonts w:eastAsia="Calibri"/>
                <w:lang w:eastAsia="en-US"/>
              </w:rPr>
              <w:t>None</w:t>
            </w:r>
          </w:p>
        </w:tc>
        <w:tc>
          <w:tcPr>
            <w:tcW w:w="1397" w:type="dxa"/>
            <w:tcBorders>
              <w:top w:val="nil"/>
              <w:left w:val="nil"/>
              <w:bottom w:val="nil"/>
              <w:right w:val="nil"/>
            </w:tcBorders>
            <w:shd w:val="clear" w:color="auto" w:fill="auto"/>
            <w:noWrap/>
            <w:vAlign w:val="center"/>
            <w:hideMark/>
          </w:tcPr>
          <w:p w14:paraId="19361A37" w14:textId="77777777" w:rsidR="00F4458D" w:rsidRPr="00A65E70" w:rsidRDefault="00F4458D" w:rsidP="00F4458D">
            <w:pPr>
              <w:rPr>
                <w:rFonts w:eastAsia="Calibri"/>
              </w:rPr>
            </w:pPr>
            <w:r w:rsidRPr="00A65E70">
              <w:rPr>
                <w:rFonts w:eastAsia="Calibri"/>
                <w:lang w:eastAsia="en-US"/>
              </w:rPr>
              <w:t>36.9</w:t>
            </w:r>
          </w:p>
        </w:tc>
        <w:tc>
          <w:tcPr>
            <w:tcW w:w="1365" w:type="dxa"/>
            <w:tcBorders>
              <w:top w:val="nil"/>
              <w:left w:val="nil"/>
              <w:bottom w:val="nil"/>
              <w:right w:val="nil"/>
            </w:tcBorders>
            <w:shd w:val="clear" w:color="auto" w:fill="auto"/>
            <w:noWrap/>
            <w:vAlign w:val="center"/>
            <w:hideMark/>
          </w:tcPr>
          <w:p w14:paraId="4B987BF5" w14:textId="77777777" w:rsidR="00F4458D" w:rsidRPr="00A65E70" w:rsidRDefault="00F4458D" w:rsidP="00F4458D">
            <w:pPr>
              <w:rPr>
                <w:rFonts w:eastAsia="Calibri"/>
              </w:rPr>
            </w:pPr>
            <w:r w:rsidRPr="00A65E70">
              <w:rPr>
                <w:rFonts w:eastAsia="Calibri"/>
                <w:lang w:eastAsia="en-US"/>
              </w:rPr>
              <w:t>$1,291</w:t>
            </w:r>
          </w:p>
        </w:tc>
        <w:tc>
          <w:tcPr>
            <w:tcW w:w="1594" w:type="dxa"/>
            <w:tcBorders>
              <w:top w:val="nil"/>
              <w:left w:val="nil"/>
              <w:bottom w:val="nil"/>
              <w:right w:val="nil"/>
            </w:tcBorders>
            <w:shd w:val="clear" w:color="auto" w:fill="auto"/>
            <w:noWrap/>
            <w:vAlign w:val="center"/>
            <w:hideMark/>
          </w:tcPr>
          <w:p w14:paraId="33D846E3" w14:textId="77777777" w:rsidR="00F4458D" w:rsidRPr="00A65E70" w:rsidRDefault="00F4458D" w:rsidP="00F4458D">
            <w:pPr>
              <w:rPr>
                <w:rFonts w:eastAsia="Calibri"/>
              </w:rPr>
            </w:pPr>
            <w:r w:rsidRPr="00A65E70">
              <w:rPr>
                <w:rFonts w:eastAsia="Calibri"/>
                <w:lang w:eastAsia="en-US"/>
              </w:rPr>
              <w:t>3.3</w:t>
            </w:r>
          </w:p>
        </w:tc>
        <w:tc>
          <w:tcPr>
            <w:tcW w:w="1661" w:type="dxa"/>
            <w:tcBorders>
              <w:top w:val="nil"/>
              <w:left w:val="nil"/>
              <w:bottom w:val="nil"/>
              <w:right w:val="nil"/>
            </w:tcBorders>
            <w:shd w:val="clear" w:color="auto" w:fill="auto"/>
            <w:noWrap/>
            <w:vAlign w:val="center"/>
            <w:hideMark/>
          </w:tcPr>
          <w:p w14:paraId="0B2446FD" w14:textId="77777777" w:rsidR="00F4458D" w:rsidRPr="00A65E70" w:rsidRDefault="00F4458D" w:rsidP="00F4458D">
            <w:pPr>
              <w:rPr>
                <w:rFonts w:eastAsia="Calibri"/>
              </w:rPr>
            </w:pPr>
            <w:r w:rsidRPr="00A65E70">
              <w:rPr>
                <w:rFonts w:eastAsia="Calibri"/>
                <w:lang w:eastAsia="en-US"/>
              </w:rPr>
              <w:t>$1,889</w:t>
            </w:r>
          </w:p>
        </w:tc>
        <w:tc>
          <w:tcPr>
            <w:tcW w:w="1299" w:type="dxa"/>
            <w:tcBorders>
              <w:top w:val="nil"/>
              <w:left w:val="nil"/>
              <w:bottom w:val="nil"/>
              <w:right w:val="nil"/>
            </w:tcBorders>
            <w:shd w:val="clear" w:color="auto" w:fill="auto"/>
            <w:noWrap/>
            <w:vAlign w:val="center"/>
            <w:hideMark/>
          </w:tcPr>
          <w:p w14:paraId="09C40732" w14:textId="77777777" w:rsidR="00F4458D" w:rsidRPr="00A65E70" w:rsidRDefault="00F4458D" w:rsidP="00F4458D">
            <w:pPr>
              <w:rPr>
                <w:rFonts w:eastAsia="Calibri"/>
              </w:rPr>
            </w:pPr>
            <w:r w:rsidRPr="00A65E70">
              <w:rPr>
                <w:rFonts w:eastAsia="Calibri"/>
                <w:lang w:eastAsia="en-US"/>
              </w:rPr>
              <w:t>$3,180</w:t>
            </w:r>
          </w:p>
        </w:tc>
        <w:tc>
          <w:tcPr>
            <w:tcW w:w="1354" w:type="dxa"/>
            <w:tcBorders>
              <w:top w:val="nil"/>
              <w:left w:val="nil"/>
              <w:bottom w:val="nil"/>
              <w:right w:val="nil"/>
            </w:tcBorders>
            <w:shd w:val="clear" w:color="auto" w:fill="auto"/>
            <w:noWrap/>
            <w:vAlign w:val="center"/>
            <w:hideMark/>
          </w:tcPr>
          <w:p w14:paraId="4054ADE1" w14:textId="77777777" w:rsidR="00F4458D" w:rsidRPr="00A65E70" w:rsidRDefault="00F4458D" w:rsidP="00F4458D">
            <w:pPr>
              <w:rPr>
                <w:rFonts w:eastAsia="Calibri"/>
              </w:rPr>
            </w:pPr>
            <w:r w:rsidRPr="00A65E70">
              <w:rPr>
                <w:rFonts w:eastAsia="Calibri"/>
                <w:lang w:eastAsia="en-US"/>
              </w:rPr>
              <w:t>NA</w:t>
            </w:r>
          </w:p>
        </w:tc>
        <w:tc>
          <w:tcPr>
            <w:tcW w:w="1599" w:type="dxa"/>
            <w:tcBorders>
              <w:top w:val="nil"/>
              <w:left w:val="nil"/>
              <w:bottom w:val="nil"/>
              <w:right w:val="nil"/>
            </w:tcBorders>
            <w:shd w:val="clear" w:color="auto" w:fill="auto"/>
            <w:noWrap/>
            <w:vAlign w:val="center"/>
            <w:hideMark/>
          </w:tcPr>
          <w:p w14:paraId="0B9F6ABB" w14:textId="77777777" w:rsidR="00F4458D" w:rsidRPr="00A65E70" w:rsidRDefault="00F4458D" w:rsidP="00F4458D">
            <w:pPr>
              <w:rPr>
                <w:rFonts w:eastAsia="Calibri"/>
              </w:rPr>
            </w:pPr>
            <w:r w:rsidRPr="00A65E70">
              <w:rPr>
                <w:rFonts w:eastAsia="Calibri"/>
                <w:lang w:eastAsia="en-US"/>
              </w:rPr>
              <w:t>NA</w:t>
            </w:r>
          </w:p>
        </w:tc>
        <w:tc>
          <w:tcPr>
            <w:tcW w:w="1170" w:type="dxa"/>
            <w:tcBorders>
              <w:top w:val="nil"/>
              <w:left w:val="nil"/>
              <w:bottom w:val="nil"/>
              <w:right w:val="nil"/>
            </w:tcBorders>
            <w:shd w:val="clear" w:color="auto" w:fill="auto"/>
            <w:noWrap/>
            <w:vAlign w:val="center"/>
            <w:hideMark/>
          </w:tcPr>
          <w:p w14:paraId="7DCE412D" w14:textId="77777777" w:rsidR="00F4458D" w:rsidRPr="00A65E70" w:rsidRDefault="00F4458D" w:rsidP="00F4458D">
            <w:pPr>
              <w:rPr>
                <w:rFonts w:eastAsia="Calibri"/>
              </w:rPr>
            </w:pPr>
            <w:r w:rsidRPr="00A65E70">
              <w:rPr>
                <w:rFonts w:eastAsia="Calibri"/>
                <w:lang w:eastAsia="en-US"/>
              </w:rPr>
              <w:t>NA</w:t>
            </w:r>
          </w:p>
        </w:tc>
      </w:tr>
      <w:tr w:rsidR="00F4458D" w:rsidRPr="00A65E70" w14:paraId="68DB0C3A" w14:textId="77777777" w:rsidTr="00F4458D">
        <w:trPr>
          <w:trHeight w:val="264"/>
        </w:trPr>
        <w:tc>
          <w:tcPr>
            <w:tcW w:w="1888" w:type="dxa"/>
            <w:tcBorders>
              <w:top w:val="nil"/>
              <w:left w:val="nil"/>
              <w:bottom w:val="single" w:sz="18" w:space="0" w:color="auto"/>
              <w:right w:val="nil"/>
            </w:tcBorders>
            <w:shd w:val="clear" w:color="auto" w:fill="auto"/>
            <w:noWrap/>
            <w:vAlign w:val="center"/>
            <w:hideMark/>
          </w:tcPr>
          <w:p w14:paraId="6A2290F8" w14:textId="77777777" w:rsidR="00F4458D" w:rsidRPr="00A65E70" w:rsidRDefault="00F4458D" w:rsidP="00F4458D">
            <w:pPr>
              <w:rPr>
                <w:rFonts w:eastAsia="Calibri"/>
              </w:rPr>
            </w:pPr>
            <w:r w:rsidRPr="00A65E70">
              <w:rPr>
                <w:rFonts w:eastAsia="Calibri"/>
                <w:lang w:eastAsia="en-US"/>
              </w:rPr>
              <w:t>Mild to Severe</w:t>
            </w:r>
          </w:p>
        </w:tc>
        <w:tc>
          <w:tcPr>
            <w:tcW w:w="1397" w:type="dxa"/>
            <w:tcBorders>
              <w:top w:val="nil"/>
              <w:left w:val="nil"/>
              <w:bottom w:val="single" w:sz="18" w:space="0" w:color="auto"/>
              <w:right w:val="nil"/>
            </w:tcBorders>
            <w:shd w:val="clear" w:color="auto" w:fill="auto"/>
            <w:noWrap/>
            <w:vAlign w:val="center"/>
            <w:hideMark/>
          </w:tcPr>
          <w:p w14:paraId="4B206C36" w14:textId="77777777" w:rsidR="00F4458D" w:rsidRPr="00A65E70" w:rsidRDefault="00F4458D" w:rsidP="00F4458D">
            <w:pPr>
              <w:rPr>
                <w:rFonts w:eastAsia="Calibri"/>
              </w:rPr>
            </w:pPr>
            <w:r w:rsidRPr="00A65E70">
              <w:rPr>
                <w:rFonts w:eastAsia="Calibri"/>
                <w:lang w:eastAsia="en-US"/>
              </w:rPr>
              <w:t>142.2</w:t>
            </w:r>
          </w:p>
        </w:tc>
        <w:tc>
          <w:tcPr>
            <w:tcW w:w="1365" w:type="dxa"/>
            <w:tcBorders>
              <w:top w:val="nil"/>
              <w:left w:val="nil"/>
              <w:bottom w:val="single" w:sz="18" w:space="0" w:color="auto"/>
              <w:right w:val="nil"/>
            </w:tcBorders>
            <w:shd w:val="clear" w:color="auto" w:fill="auto"/>
            <w:noWrap/>
            <w:vAlign w:val="center"/>
            <w:hideMark/>
          </w:tcPr>
          <w:p w14:paraId="35E41F98" w14:textId="77777777" w:rsidR="00F4458D" w:rsidRPr="00A65E70" w:rsidRDefault="00F4458D" w:rsidP="00F4458D">
            <w:pPr>
              <w:rPr>
                <w:rFonts w:eastAsia="Calibri"/>
              </w:rPr>
            </w:pPr>
            <w:r w:rsidRPr="00A65E70">
              <w:rPr>
                <w:rFonts w:eastAsia="Calibri"/>
                <w:lang w:eastAsia="en-US"/>
              </w:rPr>
              <w:t>$4,976</w:t>
            </w:r>
          </w:p>
        </w:tc>
        <w:tc>
          <w:tcPr>
            <w:tcW w:w="1594" w:type="dxa"/>
            <w:tcBorders>
              <w:top w:val="nil"/>
              <w:left w:val="nil"/>
              <w:bottom w:val="single" w:sz="18" w:space="0" w:color="auto"/>
              <w:right w:val="nil"/>
            </w:tcBorders>
            <w:shd w:val="clear" w:color="auto" w:fill="auto"/>
            <w:noWrap/>
            <w:vAlign w:val="center"/>
            <w:hideMark/>
          </w:tcPr>
          <w:p w14:paraId="0B9CEB1B" w14:textId="77777777" w:rsidR="00F4458D" w:rsidRPr="00A65E70" w:rsidRDefault="00F4458D" w:rsidP="00F4458D">
            <w:pPr>
              <w:rPr>
                <w:rFonts w:eastAsia="Calibri"/>
              </w:rPr>
            </w:pPr>
            <w:r w:rsidRPr="00A65E70">
              <w:rPr>
                <w:rFonts w:eastAsia="Calibri"/>
                <w:lang w:eastAsia="en-US"/>
              </w:rPr>
              <w:t>8.4</w:t>
            </w:r>
          </w:p>
        </w:tc>
        <w:tc>
          <w:tcPr>
            <w:tcW w:w="1661" w:type="dxa"/>
            <w:tcBorders>
              <w:top w:val="nil"/>
              <w:left w:val="nil"/>
              <w:bottom w:val="single" w:sz="18" w:space="0" w:color="auto"/>
              <w:right w:val="nil"/>
            </w:tcBorders>
            <w:shd w:val="clear" w:color="auto" w:fill="auto"/>
            <w:noWrap/>
            <w:vAlign w:val="center"/>
            <w:hideMark/>
          </w:tcPr>
          <w:p w14:paraId="1DF418F8" w14:textId="77777777" w:rsidR="00F4458D" w:rsidRPr="00A65E70" w:rsidRDefault="00F4458D" w:rsidP="00F4458D">
            <w:pPr>
              <w:rPr>
                <w:rFonts w:eastAsia="Calibri"/>
              </w:rPr>
            </w:pPr>
            <w:r w:rsidRPr="00A65E70">
              <w:rPr>
                <w:rFonts w:eastAsia="Calibri"/>
                <w:lang w:eastAsia="en-US"/>
              </w:rPr>
              <w:t>$4,513</w:t>
            </w:r>
          </w:p>
        </w:tc>
        <w:tc>
          <w:tcPr>
            <w:tcW w:w="1299" w:type="dxa"/>
            <w:tcBorders>
              <w:top w:val="nil"/>
              <w:left w:val="nil"/>
              <w:bottom w:val="single" w:sz="18" w:space="0" w:color="auto"/>
              <w:right w:val="nil"/>
            </w:tcBorders>
            <w:shd w:val="clear" w:color="auto" w:fill="auto"/>
            <w:noWrap/>
            <w:vAlign w:val="center"/>
            <w:hideMark/>
          </w:tcPr>
          <w:p w14:paraId="386E9160" w14:textId="77777777" w:rsidR="00F4458D" w:rsidRPr="00A65E70" w:rsidRDefault="00F4458D" w:rsidP="00F4458D">
            <w:pPr>
              <w:rPr>
                <w:rFonts w:eastAsia="Calibri"/>
              </w:rPr>
            </w:pPr>
            <w:r w:rsidRPr="00A65E70">
              <w:rPr>
                <w:rFonts w:eastAsia="Calibri"/>
                <w:lang w:eastAsia="en-US"/>
              </w:rPr>
              <w:t>$9,489</w:t>
            </w:r>
          </w:p>
        </w:tc>
        <w:tc>
          <w:tcPr>
            <w:tcW w:w="1354" w:type="dxa"/>
            <w:tcBorders>
              <w:top w:val="nil"/>
              <w:left w:val="nil"/>
              <w:bottom w:val="single" w:sz="18" w:space="0" w:color="auto"/>
              <w:right w:val="nil"/>
            </w:tcBorders>
            <w:shd w:val="clear" w:color="auto" w:fill="auto"/>
            <w:noWrap/>
            <w:vAlign w:val="center"/>
            <w:hideMark/>
          </w:tcPr>
          <w:p w14:paraId="04CBDAF5" w14:textId="77777777" w:rsidR="00F4458D" w:rsidRPr="00A65E70" w:rsidRDefault="00F4458D" w:rsidP="00F4458D">
            <w:pPr>
              <w:rPr>
                <w:rFonts w:eastAsia="Calibri"/>
              </w:rPr>
            </w:pPr>
            <w:r w:rsidRPr="00A65E70">
              <w:rPr>
                <w:rFonts w:eastAsia="Calibri"/>
                <w:lang w:eastAsia="en-US"/>
              </w:rPr>
              <w:t>$3,685</w:t>
            </w:r>
          </w:p>
        </w:tc>
        <w:tc>
          <w:tcPr>
            <w:tcW w:w="1599" w:type="dxa"/>
            <w:tcBorders>
              <w:top w:val="nil"/>
              <w:left w:val="nil"/>
              <w:bottom w:val="single" w:sz="18" w:space="0" w:color="auto"/>
              <w:right w:val="nil"/>
            </w:tcBorders>
            <w:shd w:val="clear" w:color="auto" w:fill="auto"/>
            <w:noWrap/>
            <w:vAlign w:val="center"/>
            <w:hideMark/>
          </w:tcPr>
          <w:p w14:paraId="1B9B9CA2" w14:textId="77777777" w:rsidR="00F4458D" w:rsidRPr="00A65E70" w:rsidRDefault="00F4458D" w:rsidP="00F4458D">
            <w:pPr>
              <w:rPr>
                <w:rFonts w:eastAsia="Calibri"/>
              </w:rPr>
            </w:pPr>
            <w:r w:rsidRPr="00A65E70">
              <w:rPr>
                <w:rFonts w:eastAsia="Calibri"/>
                <w:lang w:eastAsia="en-US"/>
              </w:rPr>
              <w:t>$2,624</w:t>
            </w:r>
          </w:p>
        </w:tc>
        <w:tc>
          <w:tcPr>
            <w:tcW w:w="1170" w:type="dxa"/>
            <w:tcBorders>
              <w:top w:val="nil"/>
              <w:left w:val="nil"/>
              <w:bottom w:val="single" w:sz="18" w:space="0" w:color="auto"/>
              <w:right w:val="nil"/>
            </w:tcBorders>
            <w:shd w:val="clear" w:color="auto" w:fill="auto"/>
            <w:noWrap/>
            <w:vAlign w:val="center"/>
            <w:hideMark/>
          </w:tcPr>
          <w:p w14:paraId="3BD4AC19" w14:textId="77777777" w:rsidR="00F4458D" w:rsidRPr="00A65E70" w:rsidRDefault="00F4458D" w:rsidP="00F4458D">
            <w:pPr>
              <w:rPr>
                <w:rFonts w:eastAsia="Calibri"/>
              </w:rPr>
            </w:pPr>
            <w:r w:rsidRPr="00A65E70">
              <w:rPr>
                <w:rFonts w:eastAsia="Calibri"/>
                <w:lang w:eastAsia="en-US"/>
              </w:rPr>
              <w:t>$6,309</w:t>
            </w:r>
          </w:p>
        </w:tc>
      </w:tr>
    </w:tbl>
    <w:p w14:paraId="1976F6B4" w14:textId="77777777" w:rsidR="00EE707B" w:rsidRDefault="00EE707B" w:rsidP="00A65E70">
      <w:pPr>
        <w:spacing w:after="160" w:line="259" w:lineRule="auto"/>
        <w:rPr>
          <w:rFonts w:ascii="Adobe Garamond Pro" w:eastAsia="Calibri" w:hAnsi="Adobe Garamond Pro"/>
          <w:sz w:val="24"/>
          <w:szCs w:val="22"/>
        </w:rPr>
      </w:pPr>
    </w:p>
    <w:p w14:paraId="5AF049A2" w14:textId="77777777" w:rsidR="00091F0E" w:rsidRDefault="00091F0E" w:rsidP="00D8244B">
      <w:pPr>
        <w:pStyle w:val="SWA-FOOTER"/>
        <w:ind w:left="0" w:firstLine="0"/>
      </w:pPr>
    </w:p>
    <w:p w14:paraId="4F45A5FD" w14:textId="77777777" w:rsidR="00091F0E" w:rsidRDefault="00091F0E" w:rsidP="00D8244B">
      <w:pPr>
        <w:pStyle w:val="SWA-FOOTER"/>
        <w:ind w:left="0" w:firstLine="0"/>
      </w:pPr>
    </w:p>
    <w:p w14:paraId="3DFDC875" w14:textId="77777777" w:rsidR="00091F0E" w:rsidRDefault="00091F0E" w:rsidP="00D8244B">
      <w:pPr>
        <w:pStyle w:val="SWA-FOOTER"/>
        <w:ind w:left="0" w:firstLine="0"/>
      </w:pPr>
    </w:p>
    <w:p w14:paraId="4BFFF969" w14:textId="77777777" w:rsidR="00091F0E" w:rsidRDefault="00091F0E" w:rsidP="00D8244B">
      <w:pPr>
        <w:pStyle w:val="SWA-FOOTER"/>
        <w:ind w:left="0" w:firstLine="0"/>
      </w:pPr>
    </w:p>
    <w:p w14:paraId="361000DF" w14:textId="77777777" w:rsidR="00091F0E" w:rsidRDefault="00091F0E" w:rsidP="00D8244B">
      <w:pPr>
        <w:pStyle w:val="SWA-FOOTER"/>
        <w:ind w:left="0" w:firstLine="0"/>
      </w:pPr>
    </w:p>
    <w:p w14:paraId="1EFE28AE" w14:textId="77777777" w:rsidR="00091F0E" w:rsidRDefault="00091F0E" w:rsidP="00D8244B">
      <w:pPr>
        <w:pStyle w:val="SWA-FOOTER"/>
        <w:ind w:left="0" w:firstLine="0"/>
      </w:pPr>
    </w:p>
    <w:p w14:paraId="176B617F" w14:textId="77777777" w:rsidR="00091F0E" w:rsidRDefault="00091F0E" w:rsidP="00D8244B">
      <w:pPr>
        <w:pStyle w:val="SWA-FOOTER"/>
        <w:ind w:left="0" w:firstLine="0"/>
      </w:pPr>
    </w:p>
    <w:p w14:paraId="194B8602" w14:textId="77777777" w:rsidR="00091F0E" w:rsidRDefault="00091F0E" w:rsidP="00D8244B">
      <w:pPr>
        <w:pStyle w:val="SWA-FOOTER"/>
        <w:ind w:left="0" w:firstLine="0"/>
      </w:pPr>
    </w:p>
    <w:p w14:paraId="0160A777" w14:textId="77777777" w:rsidR="00091F0E" w:rsidRDefault="00091F0E" w:rsidP="00D8244B">
      <w:pPr>
        <w:pStyle w:val="SWA-FOOTER"/>
        <w:ind w:left="0" w:firstLine="0"/>
      </w:pPr>
    </w:p>
    <w:p w14:paraId="02EDC4FD" w14:textId="0777ECB2" w:rsidR="00A65E70" w:rsidRPr="00A65E70" w:rsidRDefault="00A65E70" w:rsidP="00D8244B">
      <w:pPr>
        <w:pStyle w:val="SWA-FOOTER"/>
        <w:ind w:left="0" w:firstLine="0"/>
      </w:pPr>
      <w:r w:rsidRPr="00A65E70">
        <w:t xml:space="preserve">None ≤ 2.0; Mild to Severe ≥ 2.1. Based on </w:t>
      </w:r>
      <w:r w:rsidR="00322D54">
        <w:t xml:space="preserve">an </w:t>
      </w:r>
      <w:r w:rsidRPr="00A65E70">
        <w:t>average income of $58</w:t>
      </w:r>
      <w:r w:rsidR="003E51BA">
        <w:t>,</w:t>
      </w:r>
      <w:r w:rsidRPr="00A65E70">
        <w:t>702.</w:t>
      </w:r>
    </w:p>
    <w:p w14:paraId="76AAD79A" w14:textId="63F2B94A" w:rsidR="00A65E70" w:rsidRPr="00A65E70" w:rsidRDefault="00A65E70" w:rsidP="00DF442A">
      <w:pPr>
        <w:rPr>
          <w:rFonts w:eastAsia="Calibri"/>
          <w:u w:val="single"/>
        </w:rPr>
      </w:pPr>
      <w:r w:rsidRPr="00A65E70">
        <w:rPr>
          <w:rFonts w:eastAsia="Calibri"/>
          <w:lang w:eastAsia="en-US"/>
        </w:rPr>
        <w:t xml:space="preserve">As shown in Table 7, people with mild to severe psychological distress have </w:t>
      </w:r>
      <w:r w:rsidR="002D6389">
        <w:rPr>
          <w:rFonts w:eastAsia="Calibri"/>
          <w:lang w:eastAsia="en-US"/>
        </w:rPr>
        <w:t>285.4</w:t>
      </w:r>
      <w:r w:rsidR="00EA3DF4">
        <w:rPr>
          <w:rFonts w:eastAsia="Calibri"/>
          <w:lang w:eastAsia="en-US"/>
        </w:rPr>
        <w:t xml:space="preserve"> </w:t>
      </w:r>
      <w:r w:rsidR="005355BD">
        <w:rPr>
          <w:rFonts w:eastAsia="Calibri"/>
          <w:lang w:eastAsia="en-US"/>
        </w:rPr>
        <w:t>per cent</w:t>
      </w:r>
      <w:r w:rsidRPr="00A65E70">
        <w:rPr>
          <w:rFonts w:eastAsia="Calibri"/>
          <w:lang w:eastAsia="en-US"/>
        </w:rPr>
        <w:t xml:space="preserve"> more sick days than those without psychological distress, costing an average of $3,685 per person per year. Those without psychological distress have an average of 3.3</w:t>
      </w:r>
      <w:r w:rsidR="005355BD">
        <w:rPr>
          <w:rFonts w:eastAsia="Calibri"/>
          <w:lang w:eastAsia="en-US"/>
        </w:rPr>
        <w:t xml:space="preserve"> per cent</w:t>
      </w:r>
      <w:r w:rsidRPr="00A65E70">
        <w:rPr>
          <w:rFonts w:eastAsia="Calibri"/>
          <w:lang w:eastAsia="en-US"/>
        </w:rPr>
        <w:t xml:space="preserve"> performance loss. Those with mild to severe psychological distress suffer an average of 8.4</w:t>
      </w:r>
      <w:r w:rsidR="005355BD">
        <w:rPr>
          <w:rFonts w:eastAsia="Calibri"/>
          <w:lang w:eastAsia="en-US"/>
        </w:rPr>
        <w:t xml:space="preserve"> per cent</w:t>
      </w:r>
      <w:r w:rsidRPr="00A65E70">
        <w:rPr>
          <w:rFonts w:eastAsia="Calibri"/>
          <w:lang w:eastAsia="en-US"/>
        </w:rPr>
        <w:t xml:space="preserve"> performance loss, costing an additional $2,624 per person per year. </w:t>
      </w:r>
    </w:p>
    <w:p w14:paraId="131E29E8" w14:textId="77777777" w:rsidR="00A65E70" w:rsidRPr="00A65E70" w:rsidRDefault="00A65E70" w:rsidP="00A65E70">
      <w:pPr>
        <w:spacing w:after="160" w:line="259" w:lineRule="auto"/>
        <w:rPr>
          <w:rFonts w:ascii="Adobe Garamond Pro" w:eastAsia="Calibri" w:hAnsi="Adobe Garamond Pro"/>
          <w:sz w:val="24"/>
          <w:szCs w:val="22"/>
          <w:lang w:eastAsia="en-US"/>
        </w:rPr>
      </w:pPr>
      <w:r w:rsidRPr="00A65E70">
        <w:rPr>
          <w:rFonts w:ascii="Adobe Garamond Pro" w:eastAsia="Calibri" w:hAnsi="Adobe Garamond Pro"/>
          <w:sz w:val="24"/>
          <w:szCs w:val="22"/>
          <w:lang w:eastAsia="en-US"/>
        </w:rPr>
        <w:br w:type="page"/>
      </w:r>
    </w:p>
    <w:p w14:paraId="68E223A8" w14:textId="482B909A" w:rsidR="00A65E70" w:rsidRDefault="00A65E70" w:rsidP="00D8244B">
      <w:pPr>
        <w:pStyle w:val="Caption"/>
        <w:rPr>
          <w:rFonts w:eastAsia="Calibri"/>
        </w:rPr>
      </w:pPr>
      <w:r w:rsidRPr="00A65E70">
        <w:rPr>
          <w:rFonts w:eastAsia="Calibri"/>
        </w:rPr>
        <w:lastRenderedPageBreak/>
        <w:t>Table 8 Engagement benchmarks, absenteeism, presenteeism</w:t>
      </w:r>
    </w:p>
    <w:tbl>
      <w:tblPr>
        <w:tblpPr w:leftFromText="180" w:rightFromText="180" w:vertAnchor="page" w:horzAnchor="margin" w:tblpY="1951"/>
        <w:tblW w:w="14028" w:type="dxa"/>
        <w:tblLook w:val="04A0" w:firstRow="1" w:lastRow="0" w:firstColumn="1" w:lastColumn="0" w:noHBand="0" w:noVBand="1"/>
        <w:tblCaption w:val="Table 8 Engagement benchmarks, absenteeism, presenteeism"/>
        <w:tblDescription w:val="This table shows engagement benchmarks, absenteeism and presenteeism. "/>
      </w:tblPr>
      <w:tblGrid>
        <w:gridCol w:w="2638"/>
        <w:gridCol w:w="1163"/>
        <w:gridCol w:w="1599"/>
        <w:gridCol w:w="1544"/>
        <w:gridCol w:w="1537"/>
        <w:gridCol w:w="1598"/>
        <w:gridCol w:w="1123"/>
        <w:gridCol w:w="1452"/>
        <w:gridCol w:w="1374"/>
      </w:tblGrid>
      <w:tr w:rsidR="00F4458D" w:rsidRPr="00A65E70" w14:paraId="5CF4DE81" w14:textId="77777777" w:rsidTr="00F4458D">
        <w:trPr>
          <w:trHeight w:val="1196"/>
        </w:trPr>
        <w:tc>
          <w:tcPr>
            <w:tcW w:w="2638" w:type="dxa"/>
            <w:tcBorders>
              <w:top w:val="single" w:sz="18" w:space="0" w:color="auto"/>
              <w:left w:val="nil"/>
              <w:bottom w:val="single" w:sz="4" w:space="0" w:color="auto"/>
              <w:right w:val="nil"/>
            </w:tcBorders>
            <w:shd w:val="clear" w:color="auto" w:fill="auto"/>
            <w:noWrap/>
            <w:vAlign w:val="bottom"/>
            <w:hideMark/>
          </w:tcPr>
          <w:p w14:paraId="40F6D0A2" w14:textId="77777777" w:rsidR="00F4458D" w:rsidRPr="00A65E70" w:rsidRDefault="00F4458D" w:rsidP="00F4458D">
            <w:pPr>
              <w:rPr>
                <w:rFonts w:eastAsia="Calibri"/>
              </w:rPr>
            </w:pPr>
            <w:r w:rsidRPr="00A65E70">
              <w:rPr>
                <w:rFonts w:eastAsia="Calibri"/>
                <w:lang w:eastAsia="en-US"/>
              </w:rPr>
              <w:t>Engagement</w:t>
            </w:r>
          </w:p>
        </w:tc>
        <w:tc>
          <w:tcPr>
            <w:tcW w:w="1163" w:type="dxa"/>
            <w:tcBorders>
              <w:top w:val="single" w:sz="18" w:space="0" w:color="auto"/>
              <w:left w:val="nil"/>
              <w:bottom w:val="single" w:sz="4" w:space="0" w:color="auto"/>
              <w:right w:val="nil"/>
            </w:tcBorders>
            <w:shd w:val="clear" w:color="auto" w:fill="auto"/>
            <w:vAlign w:val="bottom"/>
            <w:hideMark/>
          </w:tcPr>
          <w:p w14:paraId="57AEB6E9" w14:textId="77777777" w:rsidR="00F4458D" w:rsidRPr="00A65E70" w:rsidRDefault="00F4458D" w:rsidP="00F4458D">
            <w:pPr>
              <w:rPr>
                <w:rFonts w:eastAsia="Calibri"/>
              </w:rPr>
            </w:pPr>
            <w:r w:rsidRPr="00A65E70">
              <w:rPr>
                <w:rFonts w:eastAsia="Calibri"/>
                <w:lang w:eastAsia="en-US"/>
              </w:rPr>
              <w:t>Annual sickness absence (hours)</w:t>
            </w:r>
          </w:p>
        </w:tc>
        <w:tc>
          <w:tcPr>
            <w:tcW w:w="1599" w:type="dxa"/>
            <w:tcBorders>
              <w:top w:val="single" w:sz="18" w:space="0" w:color="auto"/>
              <w:left w:val="nil"/>
              <w:bottom w:val="single" w:sz="4" w:space="0" w:color="auto"/>
              <w:right w:val="nil"/>
            </w:tcBorders>
            <w:shd w:val="clear" w:color="auto" w:fill="auto"/>
            <w:vAlign w:val="bottom"/>
            <w:hideMark/>
          </w:tcPr>
          <w:p w14:paraId="64ABDD3D" w14:textId="77777777" w:rsidR="00F4458D" w:rsidRPr="00A65E70" w:rsidRDefault="00F4458D" w:rsidP="00F4458D">
            <w:pPr>
              <w:rPr>
                <w:rFonts w:eastAsia="Calibri"/>
              </w:rPr>
            </w:pPr>
            <w:r w:rsidRPr="00A65E70">
              <w:rPr>
                <w:rFonts w:eastAsia="Calibri"/>
                <w:lang w:eastAsia="en-US"/>
              </w:rPr>
              <w:t>Cost via sickness absence</w:t>
            </w:r>
          </w:p>
        </w:tc>
        <w:tc>
          <w:tcPr>
            <w:tcW w:w="1544" w:type="dxa"/>
            <w:tcBorders>
              <w:top w:val="single" w:sz="18" w:space="0" w:color="auto"/>
              <w:left w:val="nil"/>
              <w:bottom w:val="single" w:sz="4" w:space="0" w:color="auto"/>
              <w:right w:val="nil"/>
            </w:tcBorders>
            <w:shd w:val="clear" w:color="auto" w:fill="auto"/>
            <w:vAlign w:val="bottom"/>
            <w:hideMark/>
          </w:tcPr>
          <w:p w14:paraId="305349C6" w14:textId="77777777" w:rsidR="00F4458D" w:rsidRDefault="00F4458D" w:rsidP="00F4458D">
            <w:pPr>
              <w:rPr>
                <w:rFonts w:eastAsia="Calibri"/>
                <w:lang w:eastAsia="en-US"/>
              </w:rPr>
            </w:pPr>
            <w:r w:rsidRPr="00A65E70">
              <w:rPr>
                <w:rFonts w:eastAsia="Calibri"/>
                <w:lang w:eastAsia="en-US"/>
              </w:rPr>
              <w:t>Performance Loss</w:t>
            </w:r>
          </w:p>
          <w:p w14:paraId="0641F7E4" w14:textId="77777777" w:rsidR="00F4458D" w:rsidRPr="00A65E70" w:rsidRDefault="00F4458D" w:rsidP="00F4458D">
            <w:pPr>
              <w:rPr>
                <w:rFonts w:eastAsia="Calibri"/>
              </w:rPr>
            </w:pPr>
            <w:r>
              <w:rPr>
                <w:rFonts w:eastAsia="Calibri"/>
                <w:lang w:eastAsia="en-US"/>
              </w:rPr>
              <w:t>(per cent)</w:t>
            </w:r>
          </w:p>
        </w:tc>
        <w:tc>
          <w:tcPr>
            <w:tcW w:w="1537" w:type="dxa"/>
            <w:tcBorders>
              <w:top w:val="single" w:sz="18" w:space="0" w:color="auto"/>
              <w:left w:val="nil"/>
              <w:bottom w:val="single" w:sz="4" w:space="0" w:color="auto"/>
              <w:right w:val="nil"/>
            </w:tcBorders>
            <w:shd w:val="clear" w:color="auto" w:fill="auto"/>
            <w:vAlign w:val="bottom"/>
            <w:hideMark/>
          </w:tcPr>
          <w:p w14:paraId="2BCF99D4" w14:textId="77777777" w:rsidR="00F4458D" w:rsidRPr="00A65E70" w:rsidRDefault="00F4458D" w:rsidP="00F4458D">
            <w:pPr>
              <w:rPr>
                <w:rFonts w:eastAsia="Calibri"/>
              </w:rPr>
            </w:pPr>
            <w:r w:rsidRPr="00A65E70">
              <w:rPr>
                <w:rFonts w:eastAsia="Calibri"/>
                <w:lang w:eastAsia="en-US"/>
              </w:rPr>
              <w:t>Cost via presenteeism</w:t>
            </w:r>
          </w:p>
        </w:tc>
        <w:tc>
          <w:tcPr>
            <w:tcW w:w="1598" w:type="dxa"/>
            <w:tcBorders>
              <w:top w:val="single" w:sz="18" w:space="0" w:color="auto"/>
              <w:left w:val="nil"/>
              <w:bottom w:val="single" w:sz="4" w:space="0" w:color="auto"/>
              <w:right w:val="nil"/>
            </w:tcBorders>
            <w:shd w:val="clear" w:color="auto" w:fill="auto"/>
            <w:vAlign w:val="bottom"/>
            <w:hideMark/>
          </w:tcPr>
          <w:p w14:paraId="564D361A" w14:textId="77777777" w:rsidR="00F4458D" w:rsidRPr="00A65E70" w:rsidRDefault="00F4458D" w:rsidP="00F4458D">
            <w:pPr>
              <w:rPr>
                <w:rFonts w:eastAsia="Calibri"/>
              </w:rPr>
            </w:pPr>
            <w:r w:rsidRPr="00A65E70">
              <w:rPr>
                <w:rFonts w:eastAsia="Calibri"/>
                <w:lang w:eastAsia="en-US"/>
              </w:rPr>
              <w:t>Combined annual cost</w:t>
            </w:r>
          </w:p>
        </w:tc>
        <w:tc>
          <w:tcPr>
            <w:tcW w:w="1123" w:type="dxa"/>
            <w:tcBorders>
              <w:top w:val="single" w:sz="18" w:space="0" w:color="auto"/>
              <w:left w:val="nil"/>
              <w:bottom w:val="single" w:sz="4" w:space="0" w:color="auto"/>
              <w:right w:val="nil"/>
            </w:tcBorders>
            <w:shd w:val="clear" w:color="auto" w:fill="auto"/>
            <w:vAlign w:val="bottom"/>
            <w:hideMark/>
          </w:tcPr>
          <w:p w14:paraId="6B216659" w14:textId="77777777" w:rsidR="00F4458D" w:rsidRPr="00A65E70" w:rsidRDefault="00F4458D" w:rsidP="00F4458D">
            <w:pPr>
              <w:rPr>
                <w:rFonts w:eastAsia="Calibri"/>
              </w:rPr>
            </w:pPr>
            <w:r w:rsidRPr="00A65E70">
              <w:rPr>
                <w:rFonts w:eastAsia="Calibri"/>
                <w:lang w:eastAsia="en-US"/>
              </w:rPr>
              <w:t>Adjusted sickness absence cost</w:t>
            </w:r>
          </w:p>
        </w:tc>
        <w:tc>
          <w:tcPr>
            <w:tcW w:w="1452" w:type="dxa"/>
            <w:tcBorders>
              <w:top w:val="single" w:sz="18" w:space="0" w:color="auto"/>
              <w:left w:val="nil"/>
              <w:bottom w:val="single" w:sz="4" w:space="0" w:color="auto"/>
              <w:right w:val="nil"/>
            </w:tcBorders>
            <w:shd w:val="clear" w:color="auto" w:fill="auto"/>
            <w:vAlign w:val="bottom"/>
            <w:hideMark/>
          </w:tcPr>
          <w:p w14:paraId="7B605B8A" w14:textId="77777777" w:rsidR="00F4458D" w:rsidRPr="00A65E70" w:rsidRDefault="00F4458D" w:rsidP="00F4458D">
            <w:pPr>
              <w:rPr>
                <w:rFonts w:eastAsia="Calibri"/>
              </w:rPr>
            </w:pPr>
            <w:r w:rsidRPr="00A65E70">
              <w:rPr>
                <w:rFonts w:eastAsia="Calibri"/>
                <w:lang w:eastAsia="en-US"/>
              </w:rPr>
              <w:t>Adjusted performance loss cost</w:t>
            </w:r>
          </w:p>
        </w:tc>
        <w:tc>
          <w:tcPr>
            <w:tcW w:w="1374" w:type="dxa"/>
            <w:tcBorders>
              <w:top w:val="single" w:sz="18" w:space="0" w:color="auto"/>
              <w:left w:val="nil"/>
              <w:bottom w:val="single" w:sz="4" w:space="0" w:color="auto"/>
              <w:right w:val="nil"/>
            </w:tcBorders>
            <w:shd w:val="clear" w:color="auto" w:fill="auto"/>
            <w:vAlign w:val="bottom"/>
            <w:hideMark/>
          </w:tcPr>
          <w:p w14:paraId="3AA4BD09" w14:textId="77777777" w:rsidR="00F4458D" w:rsidRPr="00A65E70" w:rsidRDefault="00F4458D" w:rsidP="00F4458D">
            <w:pPr>
              <w:rPr>
                <w:rFonts w:eastAsia="Calibri"/>
              </w:rPr>
            </w:pPr>
            <w:r w:rsidRPr="00A65E70">
              <w:rPr>
                <w:rFonts w:eastAsia="Calibri"/>
                <w:lang w:eastAsia="en-US"/>
              </w:rPr>
              <w:t>Adjusted combined cost</w:t>
            </w:r>
          </w:p>
        </w:tc>
      </w:tr>
      <w:tr w:rsidR="00F4458D" w:rsidRPr="00A65E70" w14:paraId="6D208FDD" w14:textId="77777777" w:rsidTr="00F4458D">
        <w:trPr>
          <w:trHeight w:val="239"/>
        </w:trPr>
        <w:tc>
          <w:tcPr>
            <w:tcW w:w="2638" w:type="dxa"/>
            <w:tcBorders>
              <w:top w:val="nil"/>
              <w:left w:val="nil"/>
              <w:bottom w:val="nil"/>
              <w:right w:val="nil"/>
            </w:tcBorders>
            <w:shd w:val="clear" w:color="auto" w:fill="auto"/>
            <w:noWrap/>
            <w:vAlign w:val="center"/>
            <w:hideMark/>
          </w:tcPr>
          <w:p w14:paraId="3908EBB5" w14:textId="77777777" w:rsidR="00F4458D" w:rsidRPr="00A65E70" w:rsidRDefault="00F4458D" w:rsidP="00F4458D">
            <w:pPr>
              <w:rPr>
                <w:rFonts w:eastAsia="Calibri"/>
              </w:rPr>
            </w:pPr>
            <w:r w:rsidRPr="00A65E70">
              <w:rPr>
                <w:rFonts w:eastAsia="Calibri"/>
                <w:lang w:eastAsia="en-US"/>
              </w:rPr>
              <w:t>Low</w:t>
            </w:r>
          </w:p>
        </w:tc>
        <w:tc>
          <w:tcPr>
            <w:tcW w:w="1163" w:type="dxa"/>
            <w:tcBorders>
              <w:top w:val="nil"/>
              <w:left w:val="nil"/>
              <w:bottom w:val="nil"/>
              <w:right w:val="nil"/>
            </w:tcBorders>
            <w:shd w:val="clear" w:color="auto" w:fill="auto"/>
            <w:noWrap/>
            <w:vAlign w:val="bottom"/>
            <w:hideMark/>
          </w:tcPr>
          <w:p w14:paraId="2647475C" w14:textId="77777777" w:rsidR="00F4458D" w:rsidRPr="00A65E70" w:rsidRDefault="00F4458D" w:rsidP="00F4458D">
            <w:pPr>
              <w:rPr>
                <w:rFonts w:eastAsia="Calibri"/>
              </w:rPr>
            </w:pPr>
            <w:r w:rsidRPr="00A65E70">
              <w:rPr>
                <w:rFonts w:eastAsia="Calibri"/>
                <w:lang w:eastAsia="en-US"/>
              </w:rPr>
              <w:t>60.1</w:t>
            </w:r>
          </w:p>
        </w:tc>
        <w:tc>
          <w:tcPr>
            <w:tcW w:w="1599" w:type="dxa"/>
            <w:tcBorders>
              <w:top w:val="nil"/>
              <w:left w:val="nil"/>
              <w:bottom w:val="nil"/>
              <w:right w:val="nil"/>
            </w:tcBorders>
            <w:shd w:val="clear" w:color="auto" w:fill="auto"/>
            <w:noWrap/>
            <w:vAlign w:val="bottom"/>
            <w:hideMark/>
          </w:tcPr>
          <w:p w14:paraId="17896EA3" w14:textId="77777777" w:rsidR="00F4458D" w:rsidRPr="00A65E70" w:rsidRDefault="00F4458D" w:rsidP="00F4458D">
            <w:pPr>
              <w:rPr>
                <w:rFonts w:eastAsia="Calibri"/>
              </w:rPr>
            </w:pPr>
            <w:r w:rsidRPr="00A65E70">
              <w:rPr>
                <w:rFonts w:eastAsia="Calibri"/>
                <w:lang w:eastAsia="en-US"/>
              </w:rPr>
              <w:t>$2,102</w:t>
            </w:r>
          </w:p>
        </w:tc>
        <w:tc>
          <w:tcPr>
            <w:tcW w:w="1544" w:type="dxa"/>
            <w:tcBorders>
              <w:top w:val="nil"/>
              <w:left w:val="nil"/>
              <w:bottom w:val="nil"/>
              <w:right w:val="nil"/>
            </w:tcBorders>
            <w:shd w:val="clear" w:color="auto" w:fill="auto"/>
            <w:noWrap/>
            <w:vAlign w:val="bottom"/>
            <w:hideMark/>
          </w:tcPr>
          <w:p w14:paraId="0E66315E" w14:textId="77777777" w:rsidR="00F4458D" w:rsidRPr="00A65E70" w:rsidRDefault="00F4458D" w:rsidP="00F4458D">
            <w:pPr>
              <w:rPr>
                <w:rFonts w:eastAsia="Calibri"/>
              </w:rPr>
            </w:pPr>
            <w:r w:rsidRPr="00A65E70">
              <w:rPr>
                <w:rFonts w:eastAsia="Calibri"/>
                <w:lang w:eastAsia="en-US"/>
              </w:rPr>
              <w:t>8.1</w:t>
            </w:r>
          </w:p>
        </w:tc>
        <w:tc>
          <w:tcPr>
            <w:tcW w:w="1537" w:type="dxa"/>
            <w:tcBorders>
              <w:top w:val="nil"/>
              <w:left w:val="nil"/>
              <w:bottom w:val="nil"/>
              <w:right w:val="nil"/>
            </w:tcBorders>
            <w:shd w:val="clear" w:color="auto" w:fill="auto"/>
            <w:noWrap/>
            <w:vAlign w:val="bottom"/>
            <w:hideMark/>
          </w:tcPr>
          <w:p w14:paraId="0180A7F0" w14:textId="77777777" w:rsidR="00F4458D" w:rsidRPr="00A65E70" w:rsidRDefault="00F4458D" w:rsidP="00F4458D">
            <w:pPr>
              <w:rPr>
                <w:rFonts w:eastAsia="Calibri"/>
              </w:rPr>
            </w:pPr>
            <w:r w:rsidRPr="00A65E70">
              <w:rPr>
                <w:rFonts w:eastAsia="Calibri"/>
                <w:lang w:eastAsia="en-US"/>
              </w:rPr>
              <w:t>$4,594</w:t>
            </w:r>
          </w:p>
        </w:tc>
        <w:tc>
          <w:tcPr>
            <w:tcW w:w="1598" w:type="dxa"/>
            <w:tcBorders>
              <w:top w:val="nil"/>
              <w:left w:val="nil"/>
              <w:bottom w:val="nil"/>
              <w:right w:val="nil"/>
            </w:tcBorders>
            <w:shd w:val="clear" w:color="auto" w:fill="auto"/>
            <w:noWrap/>
            <w:vAlign w:val="bottom"/>
            <w:hideMark/>
          </w:tcPr>
          <w:p w14:paraId="3FB74BEC" w14:textId="77777777" w:rsidR="00F4458D" w:rsidRPr="00A65E70" w:rsidRDefault="00F4458D" w:rsidP="00F4458D">
            <w:pPr>
              <w:rPr>
                <w:rFonts w:eastAsia="Calibri"/>
              </w:rPr>
            </w:pPr>
            <w:r w:rsidRPr="00A65E70">
              <w:rPr>
                <w:rFonts w:eastAsia="Calibri"/>
                <w:lang w:eastAsia="en-US"/>
              </w:rPr>
              <w:t>$6,696</w:t>
            </w:r>
          </w:p>
        </w:tc>
        <w:tc>
          <w:tcPr>
            <w:tcW w:w="1123" w:type="dxa"/>
            <w:tcBorders>
              <w:top w:val="nil"/>
              <w:left w:val="nil"/>
              <w:bottom w:val="nil"/>
              <w:right w:val="nil"/>
            </w:tcBorders>
            <w:shd w:val="clear" w:color="auto" w:fill="auto"/>
            <w:noWrap/>
            <w:vAlign w:val="bottom"/>
            <w:hideMark/>
          </w:tcPr>
          <w:p w14:paraId="75E87D3D" w14:textId="77777777" w:rsidR="00F4458D" w:rsidRPr="00A65E70" w:rsidRDefault="00F4458D" w:rsidP="00F4458D">
            <w:pPr>
              <w:rPr>
                <w:rFonts w:eastAsia="Calibri"/>
              </w:rPr>
            </w:pPr>
            <w:r w:rsidRPr="00A65E70">
              <w:rPr>
                <w:rFonts w:eastAsia="Calibri"/>
                <w:lang w:eastAsia="en-US"/>
              </w:rPr>
              <w:t>$200</w:t>
            </w:r>
          </w:p>
        </w:tc>
        <w:tc>
          <w:tcPr>
            <w:tcW w:w="1452" w:type="dxa"/>
            <w:tcBorders>
              <w:top w:val="nil"/>
              <w:left w:val="nil"/>
              <w:bottom w:val="nil"/>
              <w:right w:val="nil"/>
            </w:tcBorders>
            <w:shd w:val="clear" w:color="auto" w:fill="auto"/>
            <w:noWrap/>
            <w:vAlign w:val="bottom"/>
            <w:hideMark/>
          </w:tcPr>
          <w:p w14:paraId="73199707" w14:textId="77777777" w:rsidR="00F4458D" w:rsidRPr="00A65E70" w:rsidRDefault="00F4458D" w:rsidP="00F4458D">
            <w:pPr>
              <w:rPr>
                <w:rFonts w:eastAsia="Calibri"/>
              </w:rPr>
            </w:pPr>
            <w:r w:rsidRPr="00A65E70">
              <w:rPr>
                <w:rFonts w:eastAsia="Calibri"/>
                <w:lang w:eastAsia="en-US"/>
              </w:rPr>
              <w:t>$4,596</w:t>
            </w:r>
          </w:p>
        </w:tc>
        <w:tc>
          <w:tcPr>
            <w:tcW w:w="1374" w:type="dxa"/>
            <w:tcBorders>
              <w:top w:val="nil"/>
              <w:left w:val="nil"/>
              <w:bottom w:val="nil"/>
              <w:right w:val="nil"/>
            </w:tcBorders>
            <w:shd w:val="clear" w:color="auto" w:fill="auto"/>
            <w:noWrap/>
            <w:vAlign w:val="bottom"/>
            <w:hideMark/>
          </w:tcPr>
          <w:p w14:paraId="37C3C9C6" w14:textId="77777777" w:rsidR="00F4458D" w:rsidRPr="00A65E70" w:rsidRDefault="00F4458D" w:rsidP="00F4458D">
            <w:pPr>
              <w:rPr>
                <w:rFonts w:eastAsia="Calibri"/>
              </w:rPr>
            </w:pPr>
            <w:r w:rsidRPr="00A65E70">
              <w:rPr>
                <w:rFonts w:eastAsia="Calibri"/>
                <w:lang w:eastAsia="en-US"/>
              </w:rPr>
              <w:t>$4,796</w:t>
            </w:r>
          </w:p>
        </w:tc>
      </w:tr>
      <w:tr w:rsidR="00F4458D" w:rsidRPr="00A65E70" w14:paraId="2450D90F" w14:textId="77777777" w:rsidTr="00F4458D">
        <w:trPr>
          <w:trHeight w:val="239"/>
        </w:trPr>
        <w:tc>
          <w:tcPr>
            <w:tcW w:w="2638" w:type="dxa"/>
            <w:tcBorders>
              <w:top w:val="nil"/>
              <w:left w:val="nil"/>
              <w:bottom w:val="nil"/>
              <w:right w:val="nil"/>
            </w:tcBorders>
            <w:shd w:val="clear" w:color="auto" w:fill="auto"/>
            <w:noWrap/>
            <w:vAlign w:val="center"/>
            <w:hideMark/>
          </w:tcPr>
          <w:p w14:paraId="153BF072" w14:textId="77777777" w:rsidR="00F4458D" w:rsidRPr="00A65E70" w:rsidRDefault="00F4458D" w:rsidP="00F4458D">
            <w:pPr>
              <w:rPr>
                <w:rFonts w:eastAsia="Calibri"/>
              </w:rPr>
            </w:pPr>
            <w:r w:rsidRPr="00A65E70">
              <w:rPr>
                <w:rFonts w:eastAsia="Calibri"/>
                <w:lang w:eastAsia="en-US"/>
              </w:rPr>
              <w:t>Medium-Low</w:t>
            </w:r>
          </w:p>
        </w:tc>
        <w:tc>
          <w:tcPr>
            <w:tcW w:w="1163" w:type="dxa"/>
            <w:tcBorders>
              <w:top w:val="nil"/>
              <w:left w:val="nil"/>
              <w:bottom w:val="nil"/>
              <w:right w:val="nil"/>
            </w:tcBorders>
            <w:shd w:val="clear" w:color="auto" w:fill="auto"/>
            <w:noWrap/>
            <w:vAlign w:val="bottom"/>
            <w:hideMark/>
          </w:tcPr>
          <w:p w14:paraId="3784131E" w14:textId="77777777" w:rsidR="00F4458D" w:rsidRPr="00A65E70" w:rsidRDefault="00F4458D" w:rsidP="00F4458D">
            <w:pPr>
              <w:rPr>
                <w:rFonts w:eastAsia="Calibri"/>
              </w:rPr>
            </w:pPr>
            <w:r w:rsidRPr="00A65E70">
              <w:rPr>
                <w:rFonts w:eastAsia="Calibri"/>
                <w:lang w:eastAsia="en-US"/>
              </w:rPr>
              <w:t>45.2</w:t>
            </w:r>
          </w:p>
        </w:tc>
        <w:tc>
          <w:tcPr>
            <w:tcW w:w="1599" w:type="dxa"/>
            <w:tcBorders>
              <w:top w:val="nil"/>
              <w:left w:val="nil"/>
              <w:bottom w:val="nil"/>
              <w:right w:val="nil"/>
            </w:tcBorders>
            <w:shd w:val="clear" w:color="auto" w:fill="auto"/>
            <w:noWrap/>
            <w:vAlign w:val="bottom"/>
            <w:hideMark/>
          </w:tcPr>
          <w:p w14:paraId="60DE273C" w14:textId="77777777" w:rsidR="00F4458D" w:rsidRPr="00A65E70" w:rsidRDefault="00F4458D" w:rsidP="00F4458D">
            <w:pPr>
              <w:rPr>
                <w:rFonts w:eastAsia="Calibri"/>
              </w:rPr>
            </w:pPr>
            <w:r w:rsidRPr="00A65E70">
              <w:rPr>
                <w:rFonts w:eastAsia="Calibri"/>
                <w:lang w:eastAsia="en-US"/>
              </w:rPr>
              <w:t>$1,581</w:t>
            </w:r>
          </w:p>
        </w:tc>
        <w:tc>
          <w:tcPr>
            <w:tcW w:w="1544" w:type="dxa"/>
            <w:tcBorders>
              <w:top w:val="nil"/>
              <w:left w:val="nil"/>
              <w:bottom w:val="nil"/>
              <w:right w:val="nil"/>
            </w:tcBorders>
            <w:shd w:val="clear" w:color="auto" w:fill="auto"/>
            <w:noWrap/>
            <w:vAlign w:val="bottom"/>
            <w:hideMark/>
          </w:tcPr>
          <w:p w14:paraId="4594119F" w14:textId="77777777" w:rsidR="00F4458D" w:rsidRPr="00A65E70" w:rsidRDefault="00F4458D" w:rsidP="00F4458D">
            <w:pPr>
              <w:rPr>
                <w:rFonts w:eastAsia="Calibri"/>
              </w:rPr>
            </w:pPr>
            <w:r w:rsidRPr="00A65E70">
              <w:rPr>
                <w:rFonts w:eastAsia="Calibri"/>
                <w:lang w:eastAsia="en-US"/>
              </w:rPr>
              <w:t>4.6</w:t>
            </w:r>
          </w:p>
        </w:tc>
        <w:tc>
          <w:tcPr>
            <w:tcW w:w="1537" w:type="dxa"/>
            <w:tcBorders>
              <w:top w:val="nil"/>
              <w:left w:val="nil"/>
              <w:bottom w:val="nil"/>
              <w:right w:val="nil"/>
            </w:tcBorders>
            <w:shd w:val="clear" w:color="auto" w:fill="auto"/>
            <w:noWrap/>
            <w:vAlign w:val="bottom"/>
            <w:hideMark/>
          </w:tcPr>
          <w:p w14:paraId="5C74DF05" w14:textId="77777777" w:rsidR="00F4458D" w:rsidRPr="00A65E70" w:rsidRDefault="00F4458D" w:rsidP="00F4458D">
            <w:pPr>
              <w:rPr>
                <w:rFonts w:eastAsia="Calibri"/>
              </w:rPr>
            </w:pPr>
            <w:r w:rsidRPr="00A65E70">
              <w:rPr>
                <w:rFonts w:eastAsia="Calibri"/>
                <w:lang w:eastAsia="en-US"/>
              </w:rPr>
              <w:t>$2,612</w:t>
            </w:r>
          </w:p>
        </w:tc>
        <w:tc>
          <w:tcPr>
            <w:tcW w:w="1598" w:type="dxa"/>
            <w:tcBorders>
              <w:top w:val="nil"/>
              <w:left w:val="nil"/>
              <w:bottom w:val="nil"/>
              <w:right w:val="nil"/>
            </w:tcBorders>
            <w:shd w:val="clear" w:color="auto" w:fill="auto"/>
            <w:noWrap/>
            <w:vAlign w:val="bottom"/>
            <w:hideMark/>
          </w:tcPr>
          <w:p w14:paraId="0A9CAFFE" w14:textId="77777777" w:rsidR="00F4458D" w:rsidRPr="00A65E70" w:rsidRDefault="00F4458D" w:rsidP="00F4458D">
            <w:pPr>
              <w:rPr>
                <w:rFonts w:eastAsia="Calibri"/>
              </w:rPr>
            </w:pPr>
            <w:r w:rsidRPr="00A65E70">
              <w:rPr>
                <w:rFonts w:eastAsia="Calibri"/>
                <w:lang w:eastAsia="en-US"/>
              </w:rPr>
              <w:t>$4,194</w:t>
            </w:r>
          </w:p>
        </w:tc>
        <w:tc>
          <w:tcPr>
            <w:tcW w:w="1123" w:type="dxa"/>
            <w:tcBorders>
              <w:top w:val="nil"/>
              <w:left w:val="nil"/>
              <w:bottom w:val="nil"/>
              <w:right w:val="nil"/>
            </w:tcBorders>
            <w:shd w:val="clear" w:color="auto" w:fill="auto"/>
            <w:noWrap/>
            <w:vAlign w:val="bottom"/>
            <w:hideMark/>
          </w:tcPr>
          <w:p w14:paraId="38184956" w14:textId="77777777" w:rsidR="00F4458D" w:rsidRPr="00A65E70" w:rsidRDefault="00F4458D" w:rsidP="00F4458D">
            <w:pPr>
              <w:rPr>
                <w:rFonts w:eastAsia="Calibri"/>
              </w:rPr>
            </w:pPr>
            <w:r w:rsidRPr="00A65E70">
              <w:rPr>
                <w:rFonts w:eastAsia="Calibri"/>
                <w:lang w:eastAsia="en-US"/>
              </w:rPr>
              <w:t>-$320</w:t>
            </w:r>
          </w:p>
        </w:tc>
        <w:tc>
          <w:tcPr>
            <w:tcW w:w="1452" w:type="dxa"/>
            <w:tcBorders>
              <w:top w:val="nil"/>
              <w:left w:val="nil"/>
              <w:bottom w:val="nil"/>
              <w:right w:val="nil"/>
            </w:tcBorders>
            <w:shd w:val="clear" w:color="auto" w:fill="auto"/>
            <w:noWrap/>
            <w:vAlign w:val="bottom"/>
            <w:hideMark/>
          </w:tcPr>
          <w:p w14:paraId="16C24C93" w14:textId="77777777" w:rsidR="00F4458D" w:rsidRPr="00A65E70" w:rsidRDefault="00F4458D" w:rsidP="00F4458D">
            <w:pPr>
              <w:rPr>
                <w:rFonts w:eastAsia="Calibri"/>
              </w:rPr>
            </w:pPr>
            <w:r w:rsidRPr="00A65E70">
              <w:rPr>
                <w:rFonts w:eastAsia="Calibri"/>
                <w:lang w:eastAsia="en-US"/>
              </w:rPr>
              <w:t>$2,614</w:t>
            </w:r>
          </w:p>
        </w:tc>
        <w:tc>
          <w:tcPr>
            <w:tcW w:w="1374" w:type="dxa"/>
            <w:tcBorders>
              <w:top w:val="nil"/>
              <w:left w:val="nil"/>
              <w:bottom w:val="nil"/>
              <w:right w:val="nil"/>
            </w:tcBorders>
            <w:shd w:val="clear" w:color="auto" w:fill="auto"/>
            <w:noWrap/>
            <w:vAlign w:val="bottom"/>
            <w:hideMark/>
          </w:tcPr>
          <w:p w14:paraId="37005F32" w14:textId="77777777" w:rsidR="00F4458D" w:rsidRPr="00A65E70" w:rsidRDefault="00F4458D" w:rsidP="00F4458D">
            <w:pPr>
              <w:rPr>
                <w:rFonts w:eastAsia="Calibri"/>
              </w:rPr>
            </w:pPr>
            <w:r w:rsidRPr="00A65E70">
              <w:rPr>
                <w:rFonts w:eastAsia="Calibri"/>
                <w:lang w:eastAsia="en-US"/>
              </w:rPr>
              <w:t>$2,294</w:t>
            </w:r>
          </w:p>
        </w:tc>
      </w:tr>
      <w:tr w:rsidR="00F4458D" w:rsidRPr="00A65E70" w14:paraId="7CBCB3E1" w14:textId="77777777" w:rsidTr="00F4458D">
        <w:trPr>
          <w:trHeight w:val="239"/>
        </w:trPr>
        <w:tc>
          <w:tcPr>
            <w:tcW w:w="2638" w:type="dxa"/>
            <w:tcBorders>
              <w:top w:val="nil"/>
              <w:left w:val="nil"/>
              <w:right w:val="nil"/>
            </w:tcBorders>
            <w:shd w:val="clear" w:color="auto" w:fill="auto"/>
            <w:noWrap/>
            <w:vAlign w:val="center"/>
          </w:tcPr>
          <w:p w14:paraId="4CA3CA66" w14:textId="77777777" w:rsidR="00F4458D" w:rsidRPr="00A65E70" w:rsidRDefault="00F4458D" w:rsidP="00F4458D">
            <w:pPr>
              <w:rPr>
                <w:rFonts w:eastAsia="Calibri"/>
                <w:lang w:eastAsia="en-US"/>
              </w:rPr>
            </w:pPr>
            <w:r w:rsidRPr="00A65E70">
              <w:rPr>
                <w:rFonts w:eastAsia="Calibri"/>
                <w:lang w:eastAsia="en-US"/>
              </w:rPr>
              <w:t>Medium-High</w:t>
            </w:r>
          </w:p>
        </w:tc>
        <w:tc>
          <w:tcPr>
            <w:tcW w:w="1163" w:type="dxa"/>
            <w:tcBorders>
              <w:top w:val="nil"/>
              <w:left w:val="nil"/>
              <w:right w:val="nil"/>
            </w:tcBorders>
            <w:shd w:val="clear" w:color="auto" w:fill="auto"/>
            <w:noWrap/>
            <w:vAlign w:val="bottom"/>
          </w:tcPr>
          <w:p w14:paraId="42987C80" w14:textId="77777777" w:rsidR="00F4458D" w:rsidRPr="00A65E70" w:rsidRDefault="00F4458D" w:rsidP="00F4458D">
            <w:pPr>
              <w:rPr>
                <w:rFonts w:eastAsia="Calibri"/>
                <w:lang w:eastAsia="en-US"/>
              </w:rPr>
            </w:pPr>
            <w:r w:rsidRPr="00A65E70">
              <w:rPr>
                <w:rFonts w:eastAsia="Calibri"/>
                <w:lang w:eastAsia="en-US"/>
              </w:rPr>
              <w:t>41.2</w:t>
            </w:r>
          </w:p>
        </w:tc>
        <w:tc>
          <w:tcPr>
            <w:tcW w:w="1599" w:type="dxa"/>
            <w:tcBorders>
              <w:top w:val="nil"/>
              <w:left w:val="nil"/>
              <w:right w:val="nil"/>
            </w:tcBorders>
            <w:shd w:val="clear" w:color="auto" w:fill="auto"/>
            <w:noWrap/>
            <w:vAlign w:val="bottom"/>
          </w:tcPr>
          <w:p w14:paraId="6EED2558" w14:textId="77777777" w:rsidR="00F4458D" w:rsidRPr="00A65E70" w:rsidRDefault="00F4458D" w:rsidP="00F4458D">
            <w:pPr>
              <w:rPr>
                <w:rFonts w:eastAsia="Calibri"/>
                <w:lang w:eastAsia="en-US"/>
              </w:rPr>
            </w:pPr>
            <w:r w:rsidRPr="00A65E70">
              <w:rPr>
                <w:rFonts w:eastAsia="Calibri"/>
                <w:lang w:eastAsia="en-US"/>
              </w:rPr>
              <w:t>$1,440</w:t>
            </w:r>
          </w:p>
        </w:tc>
        <w:tc>
          <w:tcPr>
            <w:tcW w:w="1544" w:type="dxa"/>
            <w:tcBorders>
              <w:top w:val="nil"/>
              <w:left w:val="nil"/>
              <w:right w:val="nil"/>
            </w:tcBorders>
            <w:shd w:val="clear" w:color="auto" w:fill="auto"/>
            <w:noWrap/>
            <w:vAlign w:val="bottom"/>
          </w:tcPr>
          <w:p w14:paraId="1ABEA1EC" w14:textId="77777777" w:rsidR="00F4458D" w:rsidRPr="00A65E70" w:rsidRDefault="00F4458D" w:rsidP="00F4458D">
            <w:pPr>
              <w:rPr>
                <w:rFonts w:eastAsia="Calibri"/>
                <w:lang w:eastAsia="en-US"/>
              </w:rPr>
            </w:pPr>
            <w:r w:rsidRPr="00A65E70">
              <w:rPr>
                <w:rFonts w:eastAsia="Calibri"/>
                <w:lang w:eastAsia="en-US"/>
              </w:rPr>
              <w:t>3.4</w:t>
            </w:r>
          </w:p>
        </w:tc>
        <w:tc>
          <w:tcPr>
            <w:tcW w:w="1537" w:type="dxa"/>
            <w:tcBorders>
              <w:top w:val="nil"/>
              <w:left w:val="nil"/>
              <w:right w:val="nil"/>
            </w:tcBorders>
            <w:shd w:val="clear" w:color="auto" w:fill="auto"/>
            <w:noWrap/>
            <w:vAlign w:val="bottom"/>
          </w:tcPr>
          <w:p w14:paraId="1E56A571" w14:textId="77777777" w:rsidR="00F4458D" w:rsidRPr="00A65E70" w:rsidRDefault="00F4458D" w:rsidP="00F4458D">
            <w:pPr>
              <w:rPr>
                <w:rFonts w:eastAsia="Calibri"/>
                <w:lang w:eastAsia="en-US"/>
              </w:rPr>
            </w:pPr>
            <w:r w:rsidRPr="00A65E70">
              <w:rPr>
                <w:rFonts w:eastAsia="Calibri"/>
                <w:lang w:eastAsia="en-US"/>
              </w:rPr>
              <w:t>$1,950</w:t>
            </w:r>
          </w:p>
        </w:tc>
        <w:tc>
          <w:tcPr>
            <w:tcW w:w="1598" w:type="dxa"/>
            <w:tcBorders>
              <w:top w:val="nil"/>
              <w:left w:val="nil"/>
              <w:right w:val="nil"/>
            </w:tcBorders>
            <w:shd w:val="clear" w:color="auto" w:fill="auto"/>
            <w:noWrap/>
            <w:vAlign w:val="bottom"/>
          </w:tcPr>
          <w:p w14:paraId="7D159732" w14:textId="77777777" w:rsidR="00F4458D" w:rsidRPr="00A65E70" w:rsidRDefault="00F4458D" w:rsidP="00F4458D">
            <w:pPr>
              <w:rPr>
                <w:rFonts w:eastAsia="Calibri"/>
                <w:lang w:eastAsia="en-US"/>
              </w:rPr>
            </w:pPr>
            <w:r w:rsidRPr="00A65E70">
              <w:rPr>
                <w:rFonts w:eastAsia="Calibri"/>
                <w:lang w:eastAsia="en-US"/>
              </w:rPr>
              <w:t>$3,391</w:t>
            </w:r>
          </w:p>
        </w:tc>
        <w:tc>
          <w:tcPr>
            <w:tcW w:w="1123" w:type="dxa"/>
            <w:tcBorders>
              <w:top w:val="nil"/>
              <w:left w:val="nil"/>
              <w:right w:val="nil"/>
            </w:tcBorders>
            <w:shd w:val="clear" w:color="auto" w:fill="auto"/>
            <w:noWrap/>
            <w:vAlign w:val="bottom"/>
          </w:tcPr>
          <w:p w14:paraId="40564D61" w14:textId="77777777" w:rsidR="00F4458D" w:rsidRPr="00A65E70" w:rsidRDefault="00F4458D" w:rsidP="00F4458D">
            <w:pPr>
              <w:rPr>
                <w:rFonts w:eastAsia="Calibri"/>
                <w:lang w:eastAsia="en-US"/>
              </w:rPr>
            </w:pPr>
            <w:r w:rsidRPr="00A65E70">
              <w:rPr>
                <w:rFonts w:eastAsia="Calibri"/>
                <w:lang w:eastAsia="en-US"/>
              </w:rPr>
              <w:t>-$461</w:t>
            </w:r>
          </w:p>
        </w:tc>
        <w:tc>
          <w:tcPr>
            <w:tcW w:w="1452" w:type="dxa"/>
            <w:tcBorders>
              <w:top w:val="nil"/>
              <w:left w:val="nil"/>
              <w:right w:val="nil"/>
            </w:tcBorders>
            <w:shd w:val="clear" w:color="auto" w:fill="auto"/>
            <w:noWrap/>
            <w:vAlign w:val="bottom"/>
          </w:tcPr>
          <w:p w14:paraId="49E35196" w14:textId="77777777" w:rsidR="00F4458D" w:rsidRPr="00A65E70" w:rsidRDefault="00F4458D" w:rsidP="00F4458D">
            <w:pPr>
              <w:rPr>
                <w:rFonts w:eastAsia="Calibri"/>
                <w:lang w:eastAsia="en-US"/>
              </w:rPr>
            </w:pPr>
            <w:r w:rsidRPr="00A65E70">
              <w:rPr>
                <w:rFonts w:eastAsia="Calibri"/>
                <w:lang w:eastAsia="en-US"/>
              </w:rPr>
              <w:t>$1,952</w:t>
            </w:r>
          </w:p>
        </w:tc>
        <w:tc>
          <w:tcPr>
            <w:tcW w:w="1374" w:type="dxa"/>
            <w:tcBorders>
              <w:top w:val="nil"/>
              <w:left w:val="nil"/>
              <w:right w:val="nil"/>
            </w:tcBorders>
            <w:shd w:val="clear" w:color="auto" w:fill="auto"/>
            <w:noWrap/>
            <w:vAlign w:val="bottom"/>
          </w:tcPr>
          <w:p w14:paraId="30BDCF0B" w14:textId="77777777" w:rsidR="00F4458D" w:rsidRPr="00A65E70" w:rsidRDefault="00F4458D" w:rsidP="00F4458D">
            <w:pPr>
              <w:rPr>
                <w:rFonts w:eastAsia="Calibri"/>
                <w:lang w:eastAsia="en-US"/>
              </w:rPr>
            </w:pPr>
            <w:r w:rsidRPr="00A65E70">
              <w:rPr>
                <w:rFonts w:eastAsia="Calibri"/>
                <w:lang w:eastAsia="en-US"/>
              </w:rPr>
              <w:t>$1,491</w:t>
            </w:r>
          </w:p>
        </w:tc>
      </w:tr>
      <w:tr w:rsidR="00F4458D" w:rsidRPr="00A65E70" w14:paraId="3CB8519F" w14:textId="77777777" w:rsidTr="00F4458D">
        <w:trPr>
          <w:trHeight w:val="239"/>
        </w:trPr>
        <w:tc>
          <w:tcPr>
            <w:tcW w:w="2638" w:type="dxa"/>
            <w:tcBorders>
              <w:top w:val="nil"/>
              <w:left w:val="nil"/>
              <w:bottom w:val="single" w:sz="18" w:space="0" w:color="auto"/>
              <w:right w:val="nil"/>
            </w:tcBorders>
            <w:shd w:val="clear" w:color="auto" w:fill="auto"/>
            <w:noWrap/>
            <w:vAlign w:val="center"/>
          </w:tcPr>
          <w:p w14:paraId="6E4DCB9A" w14:textId="77777777" w:rsidR="00F4458D" w:rsidRPr="00A65E70" w:rsidRDefault="00F4458D" w:rsidP="00F4458D">
            <w:pPr>
              <w:rPr>
                <w:rFonts w:eastAsia="Calibri"/>
                <w:lang w:eastAsia="en-US"/>
              </w:rPr>
            </w:pPr>
            <w:r w:rsidRPr="00A65E70">
              <w:rPr>
                <w:rFonts w:eastAsia="Calibri"/>
                <w:lang w:eastAsia="en-US"/>
              </w:rPr>
              <w:t>High</w:t>
            </w:r>
          </w:p>
        </w:tc>
        <w:tc>
          <w:tcPr>
            <w:tcW w:w="1163" w:type="dxa"/>
            <w:tcBorders>
              <w:top w:val="nil"/>
              <w:left w:val="nil"/>
              <w:bottom w:val="single" w:sz="18" w:space="0" w:color="auto"/>
              <w:right w:val="nil"/>
            </w:tcBorders>
            <w:shd w:val="clear" w:color="auto" w:fill="auto"/>
            <w:noWrap/>
            <w:vAlign w:val="bottom"/>
          </w:tcPr>
          <w:p w14:paraId="3988BF5E" w14:textId="77777777" w:rsidR="00F4458D" w:rsidRPr="00A65E70" w:rsidRDefault="00F4458D" w:rsidP="00F4458D">
            <w:pPr>
              <w:rPr>
                <w:rFonts w:eastAsia="Calibri"/>
                <w:lang w:eastAsia="en-US"/>
              </w:rPr>
            </w:pPr>
            <w:r w:rsidRPr="00A65E70">
              <w:rPr>
                <w:rFonts w:eastAsia="Calibri"/>
                <w:lang w:eastAsia="en-US"/>
              </w:rPr>
              <w:t>54.3</w:t>
            </w:r>
          </w:p>
        </w:tc>
        <w:tc>
          <w:tcPr>
            <w:tcW w:w="1599" w:type="dxa"/>
            <w:tcBorders>
              <w:top w:val="nil"/>
              <w:left w:val="nil"/>
              <w:bottom w:val="single" w:sz="18" w:space="0" w:color="auto"/>
              <w:right w:val="nil"/>
            </w:tcBorders>
            <w:shd w:val="clear" w:color="auto" w:fill="auto"/>
            <w:noWrap/>
            <w:vAlign w:val="bottom"/>
          </w:tcPr>
          <w:p w14:paraId="4E224CB1" w14:textId="77777777" w:rsidR="00F4458D" w:rsidRPr="00A65E70" w:rsidRDefault="00F4458D" w:rsidP="00F4458D">
            <w:pPr>
              <w:rPr>
                <w:rFonts w:eastAsia="Calibri"/>
                <w:lang w:eastAsia="en-US"/>
              </w:rPr>
            </w:pPr>
            <w:r w:rsidRPr="00A65E70">
              <w:rPr>
                <w:rFonts w:eastAsia="Calibri"/>
                <w:lang w:eastAsia="en-US"/>
              </w:rPr>
              <w:t>$1,902</w:t>
            </w:r>
          </w:p>
        </w:tc>
        <w:tc>
          <w:tcPr>
            <w:tcW w:w="1544" w:type="dxa"/>
            <w:tcBorders>
              <w:top w:val="nil"/>
              <w:left w:val="nil"/>
              <w:bottom w:val="single" w:sz="18" w:space="0" w:color="auto"/>
              <w:right w:val="nil"/>
            </w:tcBorders>
            <w:shd w:val="clear" w:color="auto" w:fill="auto"/>
            <w:noWrap/>
            <w:vAlign w:val="bottom"/>
          </w:tcPr>
          <w:p w14:paraId="14E51073" w14:textId="77777777" w:rsidR="00F4458D" w:rsidRPr="00A65E70" w:rsidRDefault="00F4458D" w:rsidP="00F4458D">
            <w:pPr>
              <w:rPr>
                <w:rFonts w:eastAsia="Calibri"/>
                <w:lang w:eastAsia="en-US"/>
              </w:rPr>
            </w:pPr>
            <w:r w:rsidRPr="00A65E70">
              <w:rPr>
                <w:rFonts w:eastAsia="Calibri"/>
                <w:lang w:eastAsia="en-US"/>
              </w:rPr>
              <w:t>0.0</w:t>
            </w:r>
          </w:p>
        </w:tc>
        <w:tc>
          <w:tcPr>
            <w:tcW w:w="1537" w:type="dxa"/>
            <w:tcBorders>
              <w:top w:val="nil"/>
              <w:left w:val="nil"/>
              <w:bottom w:val="single" w:sz="18" w:space="0" w:color="auto"/>
              <w:right w:val="nil"/>
            </w:tcBorders>
            <w:shd w:val="clear" w:color="auto" w:fill="auto"/>
            <w:noWrap/>
            <w:vAlign w:val="bottom"/>
          </w:tcPr>
          <w:p w14:paraId="32B4BFB4" w14:textId="77777777" w:rsidR="00F4458D" w:rsidRPr="00A65E70" w:rsidRDefault="00F4458D" w:rsidP="00F4458D">
            <w:pPr>
              <w:rPr>
                <w:rFonts w:eastAsia="Calibri"/>
                <w:lang w:eastAsia="en-US"/>
              </w:rPr>
            </w:pPr>
            <w:r w:rsidRPr="00A65E70">
              <w:rPr>
                <w:rFonts w:eastAsia="Calibri"/>
                <w:lang w:eastAsia="en-US"/>
              </w:rPr>
              <w:t>-$2</w:t>
            </w:r>
          </w:p>
        </w:tc>
        <w:tc>
          <w:tcPr>
            <w:tcW w:w="1598" w:type="dxa"/>
            <w:tcBorders>
              <w:top w:val="nil"/>
              <w:left w:val="nil"/>
              <w:bottom w:val="single" w:sz="18" w:space="0" w:color="auto"/>
              <w:right w:val="nil"/>
            </w:tcBorders>
            <w:shd w:val="clear" w:color="auto" w:fill="auto"/>
            <w:noWrap/>
            <w:vAlign w:val="bottom"/>
          </w:tcPr>
          <w:p w14:paraId="5B2B3182" w14:textId="77777777" w:rsidR="00F4458D" w:rsidRPr="00A65E70" w:rsidRDefault="00F4458D" w:rsidP="00F4458D">
            <w:pPr>
              <w:rPr>
                <w:rFonts w:eastAsia="Calibri"/>
                <w:lang w:eastAsia="en-US"/>
              </w:rPr>
            </w:pPr>
            <w:r w:rsidRPr="00A65E70">
              <w:rPr>
                <w:rFonts w:eastAsia="Calibri"/>
                <w:lang w:eastAsia="en-US"/>
              </w:rPr>
              <w:t>$1,900</w:t>
            </w:r>
          </w:p>
        </w:tc>
        <w:tc>
          <w:tcPr>
            <w:tcW w:w="1123" w:type="dxa"/>
            <w:tcBorders>
              <w:top w:val="nil"/>
              <w:left w:val="nil"/>
              <w:bottom w:val="single" w:sz="18" w:space="0" w:color="auto"/>
              <w:right w:val="nil"/>
            </w:tcBorders>
            <w:shd w:val="clear" w:color="auto" w:fill="auto"/>
            <w:noWrap/>
            <w:vAlign w:val="bottom"/>
          </w:tcPr>
          <w:p w14:paraId="23172F41" w14:textId="77777777" w:rsidR="00F4458D" w:rsidRPr="00A65E70" w:rsidRDefault="00F4458D" w:rsidP="00F4458D">
            <w:pPr>
              <w:rPr>
                <w:rFonts w:eastAsia="Calibri"/>
                <w:lang w:eastAsia="en-US"/>
              </w:rPr>
            </w:pPr>
            <w:r w:rsidRPr="00A65E70">
              <w:rPr>
                <w:rFonts w:eastAsia="Calibri"/>
                <w:lang w:eastAsia="en-US"/>
              </w:rPr>
              <w:t>NA</w:t>
            </w:r>
          </w:p>
        </w:tc>
        <w:tc>
          <w:tcPr>
            <w:tcW w:w="1452" w:type="dxa"/>
            <w:tcBorders>
              <w:top w:val="nil"/>
              <w:left w:val="nil"/>
              <w:bottom w:val="single" w:sz="18" w:space="0" w:color="auto"/>
              <w:right w:val="nil"/>
            </w:tcBorders>
            <w:shd w:val="clear" w:color="auto" w:fill="auto"/>
            <w:noWrap/>
            <w:vAlign w:val="bottom"/>
          </w:tcPr>
          <w:p w14:paraId="4B7CA116" w14:textId="77777777" w:rsidR="00F4458D" w:rsidRPr="00A65E70" w:rsidRDefault="00F4458D" w:rsidP="00F4458D">
            <w:pPr>
              <w:rPr>
                <w:rFonts w:eastAsia="Calibri"/>
                <w:lang w:eastAsia="en-US"/>
              </w:rPr>
            </w:pPr>
            <w:r w:rsidRPr="00A65E70">
              <w:rPr>
                <w:rFonts w:eastAsia="Calibri"/>
                <w:lang w:eastAsia="en-US"/>
              </w:rPr>
              <w:t>NA</w:t>
            </w:r>
          </w:p>
        </w:tc>
        <w:tc>
          <w:tcPr>
            <w:tcW w:w="1374" w:type="dxa"/>
            <w:tcBorders>
              <w:top w:val="nil"/>
              <w:left w:val="nil"/>
              <w:bottom w:val="single" w:sz="18" w:space="0" w:color="auto"/>
              <w:right w:val="nil"/>
            </w:tcBorders>
            <w:shd w:val="clear" w:color="auto" w:fill="auto"/>
            <w:noWrap/>
            <w:vAlign w:val="bottom"/>
          </w:tcPr>
          <w:p w14:paraId="073CA5FB" w14:textId="77777777" w:rsidR="00F4458D" w:rsidRPr="00A65E70" w:rsidRDefault="00F4458D" w:rsidP="00F4458D">
            <w:pPr>
              <w:rPr>
                <w:rFonts w:eastAsia="Calibri"/>
                <w:lang w:eastAsia="en-US"/>
              </w:rPr>
            </w:pPr>
            <w:r w:rsidRPr="00A65E70">
              <w:rPr>
                <w:rFonts w:eastAsia="Calibri"/>
                <w:lang w:eastAsia="en-US"/>
              </w:rPr>
              <w:t>NA</w:t>
            </w:r>
          </w:p>
        </w:tc>
      </w:tr>
    </w:tbl>
    <w:p w14:paraId="22DF4698" w14:textId="24A599B3" w:rsidR="00A65E70" w:rsidRPr="00A65E70" w:rsidRDefault="00A65E70" w:rsidP="00F4458D">
      <w:pPr>
        <w:pStyle w:val="SWA-FOOTER"/>
        <w:ind w:left="0" w:firstLine="0"/>
      </w:pPr>
      <w:r w:rsidRPr="00A65E70">
        <w:t>Low is ≤</w:t>
      </w:r>
      <w:r w:rsidR="005355BD">
        <w:t xml:space="preserve"> </w:t>
      </w:r>
      <w:r w:rsidRPr="00A65E70">
        <w:t>46. Medium-Low is 46.01-51.99. Medium-High is 52-57.99. High is ≥</w:t>
      </w:r>
      <w:r w:rsidR="005355BD">
        <w:t xml:space="preserve"> </w:t>
      </w:r>
      <w:r w:rsidRPr="00A65E70">
        <w:t>58. Based on average income of $58</w:t>
      </w:r>
      <w:r w:rsidR="00AB056C">
        <w:t>,</w:t>
      </w:r>
      <w:r w:rsidRPr="00A65E70">
        <w:t>702.</w:t>
      </w:r>
    </w:p>
    <w:p w14:paraId="5271ED3D" w14:textId="77777777" w:rsidR="00EE707B" w:rsidRDefault="00A65E70" w:rsidP="00DF442A">
      <w:pPr>
        <w:rPr>
          <w:rFonts w:eastAsia="Calibri"/>
        </w:rPr>
      </w:pPr>
      <w:r w:rsidRPr="00A65E70">
        <w:rPr>
          <w:rFonts w:eastAsia="Calibri"/>
          <w:lang w:eastAsia="en-US"/>
        </w:rPr>
        <w:t xml:space="preserve">As shown in Table 8, people with low engagement have </w:t>
      </w:r>
      <w:r w:rsidR="00C33510" w:rsidRPr="00A65E70">
        <w:rPr>
          <w:rFonts w:eastAsia="Calibri"/>
          <w:lang w:eastAsia="en-US"/>
        </w:rPr>
        <w:t>1</w:t>
      </w:r>
      <w:r w:rsidR="00C33510">
        <w:rPr>
          <w:rFonts w:eastAsia="Calibri"/>
          <w:lang w:eastAsia="en-US"/>
        </w:rPr>
        <w:t xml:space="preserve">0.6 </w:t>
      </w:r>
      <w:r w:rsidR="005355BD">
        <w:rPr>
          <w:rFonts w:eastAsia="Calibri"/>
          <w:lang w:eastAsia="en-US"/>
        </w:rPr>
        <w:t>per cent</w:t>
      </w:r>
      <w:r w:rsidRPr="00A65E70">
        <w:rPr>
          <w:rFonts w:eastAsia="Calibri"/>
          <w:lang w:eastAsia="en-US"/>
        </w:rPr>
        <w:t xml:space="preserve"> more sick days than those with high engagement, costing an average of $200 per person per year respectively. People with moderate levels of engagement took the fewest sick days, but still had higher presenteeism than the most engaged workers. Those with high engagement meet the benchmark productivity level considered to have no performance loss, whereas the disengaged have an average of 8.1</w:t>
      </w:r>
      <w:r w:rsidR="005355BD">
        <w:rPr>
          <w:rFonts w:eastAsia="Calibri"/>
          <w:lang w:eastAsia="en-US"/>
        </w:rPr>
        <w:t xml:space="preserve"> per cent</w:t>
      </w:r>
      <w:r w:rsidRPr="00A65E70">
        <w:rPr>
          <w:rFonts w:eastAsia="Calibri"/>
          <w:lang w:eastAsia="en-US"/>
        </w:rPr>
        <w:t xml:space="preserve"> performance loss, costing an average of $4,596 per person per year. </w:t>
      </w:r>
    </w:p>
    <w:p w14:paraId="611433EA" w14:textId="371C4438" w:rsidR="00A65E70" w:rsidRPr="00A65E70" w:rsidRDefault="00A65E70" w:rsidP="00A65E70">
      <w:pPr>
        <w:spacing w:after="160" w:line="259" w:lineRule="auto"/>
        <w:rPr>
          <w:rFonts w:ascii="Adobe Garamond Pro" w:eastAsia="Calibri" w:hAnsi="Adobe Garamond Pro"/>
          <w:sz w:val="24"/>
          <w:szCs w:val="22"/>
          <w:lang w:eastAsia="en-US"/>
        </w:rPr>
      </w:pPr>
    </w:p>
    <w:p w14:paraId="5F188AF2" w14:textId="77777777" w:rsidR="00A65E70" w:rsidRPr="00A65E70" w:rsidRDefault="00A65E70" w:rsidP="00A65E70">
      <w:pPr>
        <w:spacing w:after="160" w:line="259" w:lineRule="auto"/>
        <w:rPr>
          <w:rFonts w:ascii="Adobe Garamond Pro" w:eastAsia="Calibri" w:hAnsi="Adobe Garamond Pro"/>
          <w:sz w:val="24"/>
          <w:szCs w:val="22"/>
          <w:lang w:eastAsia="en-US"/>
        </w:rPr>
        <w:sectPr w:rsidR="00A65E70" w:rsidRPr="00A65E70" w:rsidSect="007032DD">
          <w:pgSz w:w="16838" w:h="11906" w:orient="landscape"/>
          <w:pgMar w:top="1440" w:right="1440" w:bottom="1440" w:left="1440" w:header="708" w:footer="708" w:gutter="0"/>
          <w:cols w:space="708"/>
          <w:docGrid w:linePitch="360"/>
        </w:sectPr>
      </w:pPr>
    </w:p>
    <w:p w14:paraId="4B97582E" w14:textId="77777777" w:rsidR="00A65E70" w:rsidRPr="00A65E70" w:rsidRDefault="00A65E70" w:rsidP="00DF442A">
      <w:pPr>
        <w:pStyle w:val="Heading1"/>
        <w:rPr>
          <w:lang w:eastAsia="en-US"/>
        </w:rPr>
      </w:pPr>
      <w:r w:rsidRPr="00A65E70">
        <w:rPr>
          <w:lang w:eastAsia="en-US"/>
        </w:rPr>
        <w:lastRenderedPageBreak/>
        <w:t>Discussion</w:t>
      </w:r>
    </w:p>
    <w:p w14:paraId="5F0219FE" w14:textId="27B28144" w:rsidR="00EE707B" w:rsidRDefault="00A65E70" w:rsidP="00DF442A">
      <w:pPr>
        <w:rPr>
          <w:rFonts w:eastAsia="Calibri"/>
          <w:lang w:eastAsia="en-US"/>
        </w:rPr>
      </w:pPr>
      <w:r w:rsidRPr="00A65E70">
        <w:rPr>
          <w:rFonts w:eastAsia="Calibri"/>
          <w:lang w:eastAsia="en-US"/>
        </w:rPr>
        <w:t>In this study, we estimated the combined annual costs to organisations from presenteeism and absenteeism attributable to low PSC, depression (clinical and sub-clinical), psychological distress, and low engagement in Australian workplaces to be $6 billion,</w:t>
      </w:r>
      <w:r w:rsidR="00A93B61">
        <w:rPr>
          <w:rFonts w:eastAsia="Calibri"/>
          <w:lang w:eastAsia="en-US"/>
        </w:rPr>
        <w:br/>
      </w:r>
      <w:r w:rsidRPr="00A65E70">
        <w:rPr>
          <w:rFonts w:eastAsia="Calibri"/>
          <w:lang w:eastAsia="en-US"/>
        </w:rPr>
        <w:t xml:space="preserve">$6.3 billion, $1 billion, and $5.4 billion respectively.  </w:t>
      </w:r>
    </w:p>
    <w:p w14:paraId="1D50F0C5" w14:textId="77A70F47" w:rsidR="00A65E70" w:rsidRPr="00A65E70" w:rsidRDefault="00A65E70" w:rsidP="00DF442A">
      <w:pPr>
        <w:pStyle w:val="Heading2"/>
        <w:rPr>
          <w:lang w:eastAsia="en-US"/>
        </w:rPr>
      </w:pPr>
      <w:r w:rsidRPr="00A65E70">
        <w:rPr>
          <w:lang w:eastAsia="en-US"/>
        </w:rPr>
        <w:t>Sickness Absence</w:t>
      </w:r>
    </w:p>
    <w:p w14:paraId="57B74996" w14:textId="78E94A60" w:rsidR="00EE707B" w:rsidRDefault="00A65E70" w:rsidP="00DF442A">
      <w:pPr>
        <w:rPr>
          <w:rFonts w:eastAsia="Calibri"/>
          <w:lang w:eastAsia="en-US"/>
        </w:rPr>
      </w:pPr>
      <w:r w:rsidRPr="00A65E70">
        <w:rPr>
          <w:rFonts w:eastAsia="Calibri"/>
          <w:lang w:eastAsia="en-US"/>
        </w:rPr>
        <w:t>Lost productivity due to sick days is 43</w:t>
      </w:r>
      <w:r w:rsidR="005355BD">
        <w:rPr>
          <w:rFonts w:eastAsia="Calibri"/>
          <w:lang w:eastAsia="en-US"/>
        </w:rPr>
        <w:t xml:space="preserve"> per cent</w:t>
      </w:r>
      <w:r w:rsidRPr="00A65E70">
        <w:rPr>
          <w:rFonts w:eastAsia="Calibri"/>
          <w:lang w:eastAsia="en-US"/>
        </w:rPr>
        <w:t xml:space="preserve"> higher for those in low PSC work environments, 20 times higher in severely depressed workers, </w:t>
      </w:r>
      <w:r w:rsidR="0056632C">
        <w:rPr>
          <w:rFonts w:eastAsia="Calibri"/>
          <w:lang w:eastAsia="en-US"/>
        </w:rPr>
        <w:t xml:space="preserve">285 </w:t>
      </w:r>
      <w:r w:rsidR="005355BD">
        <w:rPr>
          <w:rFonts w:eastAsia="Calibri"/>
          <w:lang w:eastAsia="en-US"/>
        </w:rPr>
        <w:t>per cent</w:t>
      </w:r>
      <w:r w:rsidRPr="00A65E70">
        <w:rPr>
          <w:rFonts w:eastAsia="Calibri"/>
          <w:lang w:eastAsia="en-US"/>
        </w:rPr>
        <w:t xml:space="preserve"> higher in psychologically distressed workers, and </w:t>
      </w:r>
      <w:r w:rsidR="0006098C" w:rsidRPr="00A65E70">
        <w:rPr>
          <w:rFonts w:eastAsia="Calibri"/>
          <w:lang w:eastAsia="en-US"/>
        </w:rPr>
        <w:t>1</w:t>
      </w:r>
      <w:r w:rsidR="0006098C">
        <w:rPr>
          <w:rFonts w:eastAsia="Calibri"/>
          <w:lang w:eastAsia="en-US"/>
        </w:rPr>
        <w:t xml:space="preserve">1 </w:t>
      </w:r>
      <w:r w:rsidR="005355BD">
        <w:rPr>
          <w:rFonts w:eastAsia="Calibri"/>
          <w:lang w:eastAsia="en-US"/>
        </w:rPr>
        <w:t>per cent</w:t>
      </w:r>
      <w:r w:rsidRPr="00A65E70">
        <w:rPr>
          <w:rFonts w:eastAsia="Calibri"/>
          <w:lang w:eastAsia="en-US"/>
        </w:rPr>
        <w:t xml:space="preserve"> higher in disengaged workers. The combined cost of depression and psychological distress via sickness absence is over </w:t>
      </w:r>
      <w:r w:rsidR="00F97D36">
        <w:rPr>
          <w:rFonts w:eastAsia="Calibri"/>
          <w:lang w:eastAsia="en-US"/>
        </w:rPr>
        <w:t xml:space="preserve">  </w:t>
      </w:r>
      <w:r w:rsidRPr="00A65E70">
        <w:rPr>
          <w:rFonts w:eastAsia="Calibri"/>
          <w:lang w:eastAsia="en-US"/>
        </w:rPr>
        <w:t>$5.1 billion per year, according to our relative risk PAR estimates. Low PSC accounts for almost $2.4 billion per year via sickness absence.</w:t>
      </w:r>
    </w:p>
    <w:p w14:paraId="12E8448F" w14:textId="6EAC0135" w:rsidR="00A65E70" w:rsidRPr="00A65E70" w:rsidRDefault="00A65E70" w:rsidP="00DF442A">
      <w:pPr>
        <w:pStyle w:val="Heading2"/>
        <w:rPr>
          <w:lang w:eastAsia="en-US"/>
        </w:rPr>
      </w:pPr>
      <w:r w:rsidRPr="00A65E70">
        <w:rPr>
          <w:lang w:eastAsia="en-US"/>
        </w:rPr>
        <w:t>Presenteeism</w:t>
      </w:r>
    </w:p>
    <w:p w14:paraId="5C17A4D8" w14:textId="54FB981D" w:rsidR="00EE707B" w:rsidRDefault="00A65E70" w:rsidP="00DF442A">
      <w:pPr>
        <w:rPr>
          <w:rFonts w:eastAsia="Calibri"/>
          <w:lang w:eastAsia="en-US"/>
        </w:rPr>
      </w:pPr>
      <w:r w:rsidRPr="00A65E70">
        <w:rPr>
          <w:rFonts w:eastAsia="Calibri"/>
          <w:lang w:eastAsia="en-US"/>
        </w:rPr>
        <w:t>A strong PSC is crucial for workers to be productive at work; people in low PSC environments were found to have 72</w:t>
      </w:r>
      <w:r w:rsidR="005355BD">
        <w:rPr>
          <w:rFonts w:eastAsia="Calibri"/>
          <w:lang w:eastAsia="en-US"/>
        </w:rPr>
        <w:t xml:space="preserve"> per cent</w:t>
      </w:r>
      <w:r w:rsidRPr="00A65E70">
        <w:rPr>
          <w:rFonts w:eastAsia="Calibri"/>
          <w:lang w:eastAsia="en-US"/>
        </w:rPr>
        <w:t xml:space="preserve"> higher performance loss at work than those in high PSC environments, costing approximately $1,257 per worker per year. These results are consistent with previous research in the area showing that psychologically unhealthy workplaces suffer greater productivity costs than their psychologically healthy counterparts due </w:t>
      </w:r>
      <w:r w:rsidR="00F97D36">
        <w:rPr>
          <w:rFonts w:eastAsia="Calibri"/>
          <w:lang w:eastAsia="en-US"/>
        </w:rPr>
        <w:t>to absenteeism and presenteeism</w:t>
      </w:r>
      <w:r w:rsidRPr="00A65E70">
        <w:rPr>
          <w:rFonts w:eastAsia="Calibri"/>
          <w:lang w:eastAsia="en-US"/>
        </w:rPr>
        <w:t xml:space="preserve"> (e.g., </w:t>
      </w:r>
      <w:r w:rsidRPr="000E3FEB">
        <w:rPr>
          <w:rFonts w:eastAsia="Calibri"/>
          <w:i/>
          <w:noProof/>
          <w:lang w:eastAsia="en-US"/>
        </w:rPr>
        <w:t>beyondblue</w:t>
      </w:r>
      <w:r w:rsidRPr="00A65E70">
        <w:rPr>
          <w:rFonts w:eastAsia="Calibri"/>
          <w:noProof/>
          <w:lang w:eastAsia="en-US"/>
        </w:rPr>
        <w:t>, 2015)</w:t>
      </w:r>
      <w:r w:rsidRPr="00A65E70">
        <w:rPr>
          <w:rFonts w:eastAsia="Calibri"/>
          <w:lang w:eastAsia="en-US"/>
        </w:rPr>
        <w:t>. The combined cost of depression and low engagement via presenteeism is approximately</w:t>
      </w:r>
      <w:r w:rsidR="00F97D36">
        <w:rPr>
          <w:rFonts w:eastAsia="Calibri"/>
          <w:lang w:eastAsia="en-US"/>
        </w:rPr>
        <w:t xml:space="preserve">  </w:t>
      </w:r>
      <w:r w:rsidRPr="00A65E70">
        <w:rPr>
          <w:rFonts w:eastAsia="Calibri"/>
          <w:lang w:eastAsia="en-US"/>
        </w:rPr>
        <w:t xml:space="preserve"> $7.5 billion per year to employers, according to our relative risk PAR estimates. Low PSC accounts for approximately $3.6 billion per year via presenteeism.</w:t>
      </w:r>
    </w:p>
    <w:p w14:paraId="1916C473" w14:textId="2D8ED895" w:rsidR="00A65E70" w:rsidRPr="00A65E70" w:rsidRDefault="00A65E70" w:rsidP="00C35466">
      <w:pPr>
        <w:pStyle w:val="Heading2"/>
        <w:rPr>
          <w:lang w:eastAsia="en-US"/>
        </w:rPr>
      </w:pPr>
      <w:r w:rsidRPr="00A65E70">
        <w:rPr>
          <w:lang w:eastAsia="en-US"/>
        </w:rPr>
        <w:t>Alternate projections</w:t>
      </w:r>
    </w:p>
    <w:p w14:paraId="4FD5C03B" w14:textId="77777777" w:rsidR="00EE707B" w:rsidRDefault="00A65E70" w:rsidP="00C35466">
      <w:pPr>
        <w:rPr>
          <w:rFonts w:eastAsia="Calibri"/>
          <w:lang w:eastAsia="en-US"/>
        </w:rPr>
      </w:pPr>
      <w:r w:rsidRPr="00A65E70">
        <w:rPr>
          <w:rFonts w:eastAsia="Calibri"/>
          <w:lang w:eastAsia="en-US"/>
        </w:rPr>
        <w:t>Many studies use log odds instead of relative risk ratios to determine the cost burden of disease via population attributable risk analysis. We have chosen to use relative risk due to its suitability for more common risks (i.e. &gt;10</w:t>
      </w:r>
      <w:r w:rsidR="005355BD">
        <w:rPr>
          <w:rFonts w:eastAsia="Calibri"/>
          <w:lang w:eastAsia="en-US"/>
        </w:rPr>
        <w:t xml:space="preserve"> per cent</w:t>
      </w:r>
      <w:r w:rsidRPr="00A65E70">
        <w:rPr>
          <w:rFonts w:eastAsia="Calibri"/>
          <w:lang w:eastAsia="en-US"/>
        </w:rPr>
        <w:t xml:space="preserve"> prevalence) and for its ease of comprehension. </w:t>
      </w:r>
    </w:p>
    <w:p w14:paraId="6AFCF7A1" w14:textId="2E4654FB" w:rsidR="00EE707B" w:rsidRDefault="00A65E70" w:rsidP="00C35466">
      <w:pPr>
        <w:rPr>
          <w:rFonts w:eastAsia="Calibri"/>
          <w:lang w:eastAsia="en-US"/>
        </w:rPr>
      </w:pPr>
      <w:r w:rsidRPr="00A65E70">
        <w:rPr>
          <w:rFonts w:eastAsia="Calibri"/>
          <w:lang w:eastAsia="en-US"/>
        </w:rPr>
        <w:t xml:space="preserve">Previous studies </w:t>
      </w:r>
      <w:r w:rsidRPr="00A65E70">
        <w:rPr>
          <w:rFonts w:eastAsia="Calibri"/>
          <w:noProof/>
          <w:lang w:eastAsia="en-US"/>
        </w:rPr>
        <w:t>(e.g., McTernan et al., 2013)</w:t>
      </w:r>
      <w:r w:rsidRPr="00A65E70">
        <w:rPr>
          <w:rFonts w:eastAsia="Calibri"/>
          <w:lang w:eastAsia="en-US"/>
        </w:rPr>
        <w:t xml:space="preserve"> used different baseline measurements of productivity compared to our method. For example, McTernan et al. used a baseline productivity of 10/10, and described presenteeism as the percentage below this rate that the participant achieved (e.g., 8/10 = 20</w:t>
      </w:r>
      <w:r w:rsidR="005355BD">
        <w:rPr>
          <w:rFonts w:eastAsia="Calibri"/>
          <w:lang w:eastAsia="en-US"/>
        </w:rPr>
        <w:t xml:space="preserve"> per cent</w:t>
      </w:r>
      <w:r w:rsidRPr="00A65E70">
        <w:rPr>
          <w:rFonts w:eastAsia="Calibri"/>
          <w:lang w:eastAsia="en-US"/>
        </w:rPr>
        <w:t xml:space="preserve"> presenteeism). We used a more conservative baseline productivity of 8.36. We believe that 100</w:t>
      </w:r>
      <w:r w:rsidR="005355BD">
        <w:rPr>
          <w:rFonts w:eastAsia="Calibri"/>
          <w:lang w:eastAsia="en-US"/>
        </w:rPr>
        <w:t xml:space="preserve"> per cent</w:t>
      </w:r>
      <w:r w:rsidRPr="00A65E70">
        <w:rPr>
          <w:rFonts w:eastAsia="Calibri"/>
          <w:lang w:eastAsia="en-US"/>
        </w:rPr>
        <w:t xml:space="preserve"> self-rated productivity possibly overestimates levels of productivity loss. Using a baseline of 10, all-cause presenteeism costs would be</w:t>
      </w:r>
      <w:r w:rsidR="00F97D36">
        <w:rPr>
          <w:rFonts w:eastAsia="Calibri"/>
          <w:lang w:eastAsia="en-US"/>
        </w:rPr>
        <w:t xml:space="preserve"> approximately $140 billion per annum</w:t>
      </w:r>
      <w:r w:rsidRPr="00A65E70">
        <w:rPr>
          <w:rFonts w:eastAsia="Calibri"/>
          <w:lang w:eastAsia="en-US"/>
        </w:rPr>
        <w:t>, whereas our method suggests all-cause presenteeism costs ar</w:t>
      </w:r>
      <w:r w:rsidR="00F97D36">
        <w:rPr>
          <w:rFonts w:eastAsia="Calibri"/>
          <w:lang w:eastAsia="en-US"/>
        </w:rPr>
        <w:t>e approximately $27 billion per annum.</w:t>
      </w:r>
      <w:r w:rsidRPr="00A65E70">
        <w:rPr>
          <w:rFonts w:eastAsia="Calibri"/>
          <w:lang w:eastAsia="en-US"/>
        </w:rPr>
        <w:t xml:space="preserve"> While any baseline is somewhat arbitrary, the baseline of 8.36 was established based on the average performance of mentally healthy employees. That is, those with high PSC and engagement, and low depression and psychological distress. As such, we believe that an average of 8.36 is a realistic benchmark to set for employees and organisations.</w:t>
      </w:r>
    </w:p>
    <w:p w14:paraId="040ADACB" w14:textId="563C8667" w:rsidR="00A65E70" w:rsidRPr="00A65E70" w:rsidRDefault="00A65E70" w:rsidP="00C35466">
      <w:pPr>
        <w:pStyle w:val="Heading2"/>
        <w:rPr>
          <w:lang w:eastAsia="en-US"/>
        </w:rPr>
      </w:pPr>
      <w:r w:rsidRPr="00A65E70">
        <w:rPr>
          <w:lang w:eastAsia="en-US"/>
        </w:rPr>
        <w:t>Implications for business</w:t>
      </w:r>
    </w:p>
    <w:p w14:paraId="049C7B3A" w14:textId="77777777" w:rsidR="00EE707B" w:rsidRDefault="00A65E70" w:rsidP="00C35466">
      <w:pPr>
        <w:rPr>
          <w:rFonts w:eastAsia="Calibri"/>
          <w:lang w:eastAsia="en-US"/>
        </w:rPr>
      </w:pPr>
      <w:r w:rsidRPr="00A65E70">
        <w:rPr>
          <w:rFonts w:eastAsia="Calibri"/>
          <w:lang w:eastAsia="en-US"/>
        </w:rPr>
        <w:t>These results establish a financial impetus for organisational action on employee psychological health. A medium-sized business with 100 employees and poor PSC could expect to save over $180</w:t>
      </w:r>
      <w:r w:rsidR="00104E09">
        <w:rPr>
          <w:rFonts w:eastAsia="Calibri"/>
          <w:lang w:eastAsia="en-US"/>
        </w:rPr>
        <w:t>,</w:t>
      </w:r>
      <w:r w:rsidRPr="00A65E70">
        <w:rPr>
          <w:rFonts w:eastAsia="Calibri"/>
          <w:lang w:eastAsia="en-US"/>
        </w:rPr>
        <w:t>000 in lost productivity per year by improving their organisation to meet high PSC benchmarks, based on a difference of $1</w:t>
      </w:r>
      <w:r w:rsidR="00104E09">
        <w:rPr>
          <w:rFonts w:eastAsia="Calibri"/>
          <w:lang w:eastAsia="en-US"/>
        </w:rPr>
        <w:t>,</w:t>
      </w:r>
      <w:r w:rsidRPr="00A65E70">
        <w:rPr>
          <w:rFonts w:eastAsia="Calibri"/>
          <w:lang w:eastAsia="en-US"/>
        </w:rPr>
        <w:t>887 per employee between low and high PSC organisations. Other per employee costs include $2</w:t>
      </w:r>
      <w:r w:rsidR="00104E09">
        <w:rPr>
          <w:rFonts w:eastAsia="Calibri"/>
          <w:lang w:eastAsia="en-US"/>
        </w:rPr>
        <w:t>,</w:t>
      </w:r>
      <w:r w:rsidRPr="00A65E70">
        <w:rPr>
          <w:rFonts w:eastAsia="Calibri"/>
          <w:lang w:eastAsia="en-US"/>
        </w:rPr>
        <w:t xml:space="preserve">791 for mild </w:t>
      </w:r>
      <w:r w:rsidRPr="00A65E70">
        <w:rPr>
          <w:rFonts w:eastAsia="Calibri"/>
          <w:lang w:eastAsia="en-US"/>
        </w:rPr>
        <w:lastRenderedPageBreak/>
        <w:t>depression, $23</w:t>
      </w:r>
      <w:r w:rsidR="00104E09">
        <w:rPr>
          <w:rFonts w:eastAsia="Calibri"/>
          <w:lang w:eastAsia="en-US"/>
        </w:rPr>
        <w:t>,</w:t>
      </w:r>
      <w:r w:rsidRPr="00A65E70">
        <w:rPr>
          <w:rFonts w:eastAsia="Calibri"/>
          <w:lang w:eastAsia="en-US"/>
        </w:rPr>
        <w:t>143 for severe depression, $6</w:t>
      </w:r>
      <w:r w:rsidR="00104E09">
        <w:rPr>
          <w:rFonts w:eastAsia="Calibri"/>
          <w:lang w:eastAsia="en-US"/>
        </w:rPr>
        <w:t>,</w:t>
      </w:r>
      <w:r w:rsidRPr="00A65E70">
        <w:rPr>
          <w:rFonts w:eastAsia="Calibri"/>
          <w:lang w:eastAsia="en-US"/>
        </w:rPr>
        <w:t>309 for psychological distress, and $4</w:t>
      </w:r>
      <w:r w:rsidR="00104E09">
        <w:rPr>
          <w:rFonts w:eastAsia="Calibri"/>
          <w:lang w:eastAsia="en-US"/>
        </w:rPr>
        <w:t>,</w:t>
      </w:r>
      <w:r w:rsidRPr="00A65E70">
        <w:rPr>
          <w:rFonts w:eastAsia="Calibri"/>
          <w:lang w:eastAsia="en-US"/>
        </w:rPr>
        <w:t xml:space="preserve">796 for low engagement. Addressing any of these areas has potential for cost savings. </w:t>
      </w:r>
    </w:p>
    <w:p w14:paraId="09005852" w14:textId="471C451C" w:rsidR="00EE707B" w:rsidRDefault="00A65E70" w:rsidP="00C35466">
      <w:pPr>
        <w:rPr>
          <w:rFonts w:eastAsia="Calibri"/>
          <w:lang w:eastAsia="en-US"/>
        </w:rPr>
      </w:pPr>
      <w:r w:rsidRPr="00A65E70">
        <w:rPr>
          <w:rFonts w:eastAsia="Calibri"/>
          <w:lang w:eastAsia="en-US"/>
        </w:rPr>
        <w:t xml:space="preserve">The Productivity Commission outlines improvements in technical efficiency such as improving labour outputs as a means to improve productive efficiency at an organisational level. Within this report, we outline psychosocial obstacles to productive efficiency within the labour market. Specifically, we highlight how poor PSC, engagement, and high levels of depression and psychological distress can impact </w:t>
      </w:r>
      <w:r w:rsidR="00441394">
        <w:rPr>
          <w:rFonts w:eastAsia="Calibri"/>
          <w:lang w:eastAsia="en-US"/>
        </w:rPr>
        <w:t>organisations</w:t>
      </w:r>
      <w:r w:rsidRPr="00A65E70">
        <w:rPr>
          <w:rFonts w:eastAsia="Calibri"/>
          <w:lang w:eastAsia="en-US"/>
        </w:rPr>
        <w:t xml:space="preserve">’ output due to sickness absence and presenteeism. </w:t>
      </w:r>
    </w:p>
    <w:p w14:paraId="22BF7CD4" w14:textId="4A6BE8E4" w:rsidR="00EE707B" w:rsidRDefault="00A65E70" w:rsidP="00C35466">
      <w:pPr>
        <w:rPr>
          <w:rFonts w:eastAsia="Calibri"/>
          <w:lang w:eastAsia="en-US"/>
        </w:rPr>
      </w:pPr>
      <w:r w:rsidRPr="00A65E70">
        <w:rPr>
          <w:rFonts w:eastAsia="Calibri"/>
          <w:lang w:eastAsia="en-US"/>
        </w:rPr>
        <w:t>Improvements in technical efficiency are achieved through more efficient resource use with existing technologies. Technological progress an</w:t>
      </w:r>
      <w:r w:rsidR="009004CD">
        <w:rPr>
          <w:rFonts w:eastAsia="Calibri"/>
          <w:lang w:eastAsia="en-US"/>
        </w:rPr>
        <w:t>d organisational change involve</w:t>
      </w:r>
      <w:r w:rsidRPr="00A65E70">
        <w:rPr>
          <w:rFonts w:eastAsia="Calibri"/>
          <w:lang w:eastAsia="en-US"/>
        </w:rPr>
        <w:t xml:space="preserve"> the use of new, more efficient technologies and improving labour or capital outputs with changes to organisational structure or strategy.</w:t>
      </w:r>
    </w:p>
    <w:p w14:paraId="41404D52" w14:textId="6C79A7F8" w:rsidR="00EE707B" w:rsidRDefault="00A65E70" w:rsidP="00C35466">
      <w:pPr>
        <w:rPr>
          <w:rFonts w:eastAsia="Calibri"/>
          <w:lang w:eastAsia="en-US"/>
        </w:rPr>
      </w:pPr>
      <w:r w:rsidRPr="00A65E70">
        <w:rPr>
          <w:rFonts w:eastAsia="Calibri"/>
          <w:lang w:eastAsia="en-US"/>
        </w:rPr>
        <w:t>We propose that employers prioritise measures to protect e</w:t>
      </w:r>
      <w:r w:rsidR="009004CD">
        <w:rPr>
          <w:rFonts w:eastAsia="Calibri"/>
          <w:lang w:eastAsia="en-US"/>
        </w:rPr>
        <w:t>mployee psychological health. Pricewaterhouse</w:t>
      </w:r>
      <w:r w:rsidRPr="00A65E70">
        <w:rPr>
          <w:rFonts w:eastAsia="Calibri"/>
          <w:lang w:eastAsia="en-US"/>
        </w:rPr>
        <w:t>C</w:t>
      </w:r>
      <w:r w:rsidR="009004CD">
        <w:rPr>
          <w:rFonts w:eastAsia="Calibri"/>
          <w:lang w:eastAsia="en-US"/>
        </w:rPr>
        <w:t>ooper</w:t>
      </w:r>
      <w:r w:rsidRPr="00A65E70">
        <w:rPr>
          <w:rFonts w:eastAsia="Calibri"/>
          <w:lang w:eastAsia="en-US"/>
        </w:rPr>
        <w:t>’s projections suggested that these secondary measures have a 130</w:t>
      </w:r>
      <w:r w:rsidR="005355BD">
        <w:rPr>
          <w:rFonts w:eastAsia="Calibri"/>
          <w:lang w:eastAsia="en-US"/>
        </w:rPr>
        <w:t xml:space="preserve"> per cent</w:t>
      </w:r>
      <w:r w:rsidRPr="00A65E70">
        <w:rPr>
          <w:rFonts w:eastAsia="Calibri"/>
          <w:lang w:eastAsia="en-US"/>
        </w:rPr>
        <w:t xml:space="preserve"> return on investment. That means that the cost of initiatives such as encouraging employee involvement, free mental health screenings, and Cognitive Behaviour Therapy (CBT)-based return to work programs are significantly outweighed by the reduced employers’ costs related to sickness absence, presenteeism and workers compensation.</w:t>
      </w:r>
      <w:r w:rsidR="00775050">
        <w:rPr>
          <w:rFonts w:eastAsia="Calibri"/>
          <w:lang w:eastAsia="en-US"/>
        </w:rPr>
        <w:t xml:space="preserve"> </w:t>
      </w:r>
      <w:r w:rsidR="00775050" w:rsidRPr="007C2EAD">
        <w:rPr>
          <w:rFonts w:eastAsia="Calibri"/>
          <w:lang w:eastAsia="en-US"/>
        </w:rPr>
        <w:t>Establishing PSC as a KPI in organi</w:t>
      </w:r>
      <w:r w:rsidR="00D87AC6" w:rsidRPr="007C2EAD">
        <w:rPr>
          <w:rFonts w:eastAsia="Calibri"/>
          <w:lang w:eastAsia="en-US"/>
        </w:rPr>
        <w:t>s</w:t>
      </w:r>
      <w:r w:rsidR="00775050" w:rsidRPr="007C2EAD">
        <w:rPr>
          <w:rFonts w:eastAsia="Calibri"/>
          <w:lang w:eastAsia="en-US"/>
        </w:rPr>
        <w:t>ations, alongside common KPIs such as sales</w:t>
      </w:r>
      <w:r w:rsidR="00867421" w:rsidRPr="007C2EAD">
        <w:rPr>
          <w:rFonts w:eastAsia="Calibri"/>
          <w:lang w:eastAsia="en-US"/>
        </w:rPr>
        <w:t xml:space="preserve"> and turnover, will encourage management to prioritise psychological health and therefore reduce productivity loss.</w:t>
      </w:r>
      <w:r w:rsidRPr="00A65E70">
        <w:rPr>
          <w:rFonts w:eastAsia="Calibri"/>
          <w:lang w:eastAsia="en-US"/>
        </w:rPr>
        <w:t xml:space="preserve"> In order to remain competitive, making these changes may soon become a necessity.</w:t>
      </w:r>
    </w:p>
    <w:p w14:paraId="29C42F83" w14:textId="272493A1" w:rsidR="00A65E70" w:rsidRPr="00A65E70" w:rsidRDefault="00A65E70" w:rsidP="00C35466">
      <w:pPr>
        <w:pStyle w:val="Heading2"/>
        <w:rPr>
          <w:lang w:eastAsia="en-US"/>
        </w:rPr>
      </w:pPr>
      <w:r w:rsidRPr="00A65E70">
        <w:rPr>
          <w:lang w:eastAsia="en-US"/>
        </w:rPr>
        <w:t>Limitations</w:t>
      </w:r>
    </w:p>
    <w:p w14:paraId="57778B05" w14:textId="77777777" w:rsidR="00EE707B" w:rsidRDefault="00A65E70" w:rsidP="00C35466">
      <w:pPr>
        <w:rPr>
          <w:rFonts w:eastAsia="Calibri"/>
          <w:lang w:eastAsia="en-US"/>
        </w:rPr>
      </w:pPr>
      <w:r w:rsidRPr="00A65E70">
        <w:rPr>
          <w:rFonts w:eastAsia="Calibri"/>
          <w:lang w:eastAsia="en-US"/>
        </w:rPr>
        <w:t xml:space="preserve">It is important to note that the estimate of lost productivity is a conservative one, due to the use of average wages to calculate lost productivity losses. In most cases, a worker’s economic input to their organisation will exceed their income, so that the organisation will profit. Therefore, if the worker’s actual productive contribution to their organisation was measured, the estimated costs of productivity loss due to absenteeism and presenteeism would likely be significantly higher. The use of average wages to estimate lost productivity has precedent in peer-reviewed research </w:t>
      </w:r>
      <w:r w:rsidRPr="00A65E70">
        <w:rPr>
          <w:rFonts w:eastAsia="Calibri"/>
          <w:noProof/>
          <w:lang w:eastAsia="en-US"/>
        </w:rPr>
        <w:t>(Gates, Succop, Brehm, Gillespie, &amp; Sommers, 2008; Goetzel et al., 2004)</w:t>
      </w:r>
      <w:r w:rsidRPr="00A65E70">
        <w:rPr>
          <w:rFonts w:eastAsia="Calibri"/>
          <w:lang w:eastAsia="en-US"/>
        </w:rPr>
        <w:t>. Also, the use of self-report performance data may be inaccurate, as participants’ perception of their own productivity may be influenced by their appraisal style.</w:t>
      </w:r>
    </w:p>
    <w:p w14:paraId="78BFFC76" w14:textId="5AE327B7" w:rsidR="00A65E70" w:rsidRPr="00A65E70" w:rsidRDefault="00A65E70" w:rsidP="00C35466">
      <w:pPr>
        <w:pStyle w:val="Heading2"/>
        <w:rPr>
          <w:lang w:eastAsia="en-US"/>
        </w:rPr>
      </w:pPr>
      <w:r w:rsidRPr="00A65E70">
        <w:rPr>
          <w:lang w:eastAsia="en-US"/>
        </w:rPr>
        <w:t>Areas for future research</w:t>
      </w:r>
    </w:p>
    <w:p w14:paraId="17CBF0C2" w14:textId="77777777" w:rsidR="00EE707B" w:rsidRDefault="00A65E70" w:rsidP="00C35466">
      <w:pPr>
        <w:rPr>
          <w:rFonts w:eastAsia="Calibri"/>
          <w:lang w:eastAsia="en-US"/>
        </w:rPr>
      </w:pPr>
      <w:r w:rsidRPr="00A65E70">
        <w:rPr>
          <w:rFonts w:eastAsia="Calibri"/>
          <w:lang w:eastAsia="en-US"/>
        </w:rPr>
        <w:t xml:space="preserve">Addressing the self-report performance data problem in future research is critical. Linking self-reported performance to an objective, measureable measure of performance will improve confidence in interpreting self-report performance data in survey-based studies. While PSC, depression, psychological distress, and engagement are significant predictors of sickness absence and presenteeism, they do not explain all of the variance. Including other predictors in future studies will provide businesses with more avenues to improve productivity via human capital. </w:t>
      </w:r>
    </w:p>
    <w:p w14:paraId="10BECCE5" w14:textId="201D1C1B" w:rsidR="00A65E70" w:rsidRPr="00A65E70" w:rsidRDefault="00A65E70" w:rsidP="00C35466">
      <w:pPr>
        <w:pStyle w:val="Heading2"/>
        <w:rPr>
          <w:lang w:eastAsia="en-US"/>
        </w:rPr>
      </w:pPr>
      <w:r w:rsidRPr="00A65E70">
        <w:rPr>
          <w:lang w:eastAsia="en-US"/>
        </w:rPr>
        <w:t>Policy Implications</w:t>
      </w:r>
    </w:p>
    <w:p w14:paraId="7C306035" w14:textId="77777777" w:rsidR="00EE707B" w:rsidRDefault="00A65E70" w:rsidP="00C35466">
      <w:pPr>
        <w:rPr>
          <w:rFonts w:eastAsia="Calibri"/>
          <w:lang w:eastAsia="en-US"/>
        </w:rPr>
      </w:pPr>
      <w:r w:rsidRPr="00A65E70">
        <w:rPr>
          <w:rFonts w:eastAsia="Calibri"/>
          <w:lang w:eastAsia="en-US"/>
        </w:rPr>
        <w:t xml:space="preserve">This study highlights the importance of addressing psychosocial and human capital costs in order to improve living standards in Australia. Given that productivity growth has declined in recent years, addressing PSC and </w:t>
      </w:r>
      <w:r w:rsidR="006C3C81">
        <w:rPr>
          <w:rFonts w:eastAsia="Calibri"/>
          <w:lang w:eastAsia="en-US"/>
        </w:rPr>
        <w:t>psychological health outcomes</w:t>
      </w:r>
      <w:r w:rsidRPr="00A65E70">
        <w:rPr>
          <w:rFonts w:eastAsia="Calibri"/>
          <w:lang w:eastAsia="en-US"/>
        </w:rPr>
        <w:t xml:space="preserve"> appears to be an innovative method of improving productivity. While organisations can make changes to reduce these costs associated with human capital, policy makers also have the power to make changes via increased standards for psychologically healthy workplaces. </w:t>
      </w:r>
      <w:r w:rsidRPr="00A65E70">
        <w:rPr>
          <w:rFonts w:eastAsia="Calibri"/>
          <w:lang w:eastAsia="en-US"/>
        </w:rPr>
        <w:lastRenderedPageBreak/>
        <w:t xml:space="preserve">Workplaces are currently required to meet certain standards for the physical safety of their workplace. </w:t>
      </w:r>
    </w:p>
    <w:p w14:paraId="2EC6B491" w14:textId="2DB6A067" w:rsidR="0017496E" w:rsidRPr="00CA1F07" w:rsidRDefault="0017496E" w:rsidP="00C35466">
      <w:pPr>
        <w:rPr>
          <w:rFonts w:eastAsia="Calibri"/>
          <w:lang w:eastAsia="en-US"/>
        </w:rPr>
      </w:pPr>
      <w:r w:rsidRPr="00CA1F07">
        <w:rPr>
          <w:rFonts w:eastAsia="Calibri"/>
          <w:lang w:eastAsia="en-US"/>
        </w:rPr>
        <w:t xml:space="preserve">Seven jurisdictions (ACT, Cth, NSW, NT, Qld, SA, Tas) have implemented the model Work Health and Safety (WHS) laws. These laws impose a primary duty of care on a person conducting a business or undertaking (PCBU) to ensure the health and safety of their workers at work, so far as is reasonably practicable. The model </w:t>
      </w:r>
      <w:r w:rsidR="009004CD">
        <w:rPr>
          <w:rFonts w:eastAsia="Calibri"/>
          <w:lang w:eastAsia="en-US"/>
        </w:rPr>
        <w:t>WHS</w:t>
      </w:r>
      <w:r w:rsidRPr="00CA1F07">
        <w:rPr>
          <w:rFonts w:eastAsia="Calibri"/>
          <w:lang w:eastAsia="en-US"/>
        </w:rPr>
        <w:t xml:space="preserve"> laws explicitly define health to include physical and psychological healt</w:t>
      </w:r>
      <w:r>
        <w:rPr>
          <w:rFonts w:eastAsia="Calibri"/>
          <w:lang w:eastAsia="en-US"/>
        </w:rPr>
        <w:t xml:space="preserve">h. </w:t>
      </w:r>
    </w:p>
    <w:p w14:paraId="62F72E4E" w14:textId="77777777" w:rsidR="00EE707B" w:rsidRDefault="0017496E" w:rsidP="00C35466">
      <w:pPr>
        <w:rPr>
          <w:rFonts w:eastAsia="Calibri"/>
          <w:lang w:eastAsia="en-US"/>
        </w:rPr>
      </w:pPr>
      <w:r w:rsidRPr="00CA1F07">
        <w:rPr>
          <w:rFonts w:eastAsia="Calibri"/>
          <w:lang w:eastAsia="en-US"/>
        </w:rPr>
        <w:t xml:space="preserve">Victoria and Western Australia have not implemented the model WHS laws, but the occupational health and safety laws in those jurisdictions impose an equivalent duty on employers.  </w:t>
      </w:r>
    </w:p>
    <w:p w14:paraId="1E06878B" w14:textId="77777777" w:rsidR="00EE707B" w:rsidRDefault="0017496E" w:rsidP="00C35466">
      <w:pPr>
        <w:rPr>
          <w:rFonts w:eastAsia="Calibri"/>
          <w:lang w:eastAsia="en-US"/>
        </w:rPr>
      </w:pPr>
      <w:r w:rsidRPr="00CA1F07">
        <w:rPr>
          <w:rFonts w:eastAsia="Calibri"/>
          <w:lang w:eastAsia="en-US"/>
        </w:rPr>
        <w:t xml:space="preserve">A worker’s physical and psychological health can be adversely affected by exposure to a poorly designed or managed work environment, a traumatic event, workplace violence, fatigue, bullying, harassment or excessive or prolonged work pressures. Any of these factors can increase the likelihood of a worker experiencing a stress response. If job stress is excessive or prolonged, it may lead to psychological or physical injury. </w:t>
      </w:r>
    </w:p>
    <w:p w14:paraId="104EB3F3" w14:textId="77777777" w:rsidR="00EE707B" w:rsidRDefault="0017496E" w:rsidP="00C35466">
      <w:pPr>
        <w:rPr>
          <w:rFonts w:eastAsia="Calibri"/>
          <w:lang w:eastAsia="en-US"/>
        </w:rPr>
      </w:pPr>
      <w:r w:rsidRPr="00CA1F07">
        <w:rPr>
          <w:rFonts w:eastAsia="Calibri"/>
          <w:lang w:eastAsia="en-US"/>
        </w:rPr>
        <w:t>A PCBU (or employer, in Vic or WA) must manage the risks of physical or psychological harm by eliminating the risks, so far as is reasonably practicable. If elimination is not reasonably practicable, the risks must be minimised so far as is reasonably practicable. They can do this by implementing effective control measures aimed at the work environment and systems of work. Control measures aimed at individuals are usually less effective. The types of controls that should be used may vary depending on what is reasonably practicable for the PCBU (or employer) or workplace. A combinatio</w:t>
      </w:r>
      <w:r>
        <w:rPr>
          <w:rFonts w:eastAsia="Calibri"/>
          <w:lang w:eastAsia="en-US"/>
        </w:rPr>
        <w:t xml:space="preserve">n of controls may be required. </w:t>
      </w:r>
    </w:p>
    <w:p w14:paraId="3AB11841" w14:textId="77777777" w:rsidR="00EE707B" w:rsidRDefault="0017496E" w:rsidP="00C35466">
      <w:pPr>
        <w:rPr>
          <w:rFonts w:eastAsia="Calibri"/>
          <w:lang w:eastAsia="en-US"/>
        </w:rPr>
      </w:pPr>
      <w:r w:rsidRPr="00CA1F07">
        <w:rPr>
          <w:rFonts w:eastAsia="Calibri"/>
          <w:lang w:eastAsia="en-US"/>
        </w:rPr>
        <w:t>At a workplace level, possible controls may include leadership commitment to a mentally healthy workplace, policies and procedures for the prevention of unreasonable behaviours such as bullying, aggression or violence, managing work-related fatigue and a process for consultation with workers.</w:t>
      </w:r>
    </w:p>
    <w:p w14:paraId="04D2113C" w14:textId="43A50979" w:rsidR="00EE707B" w:rsidRDefault="0017496E" w:rsidP="00C35466">
      <w:pPr>
        <w:rPr>
          <w:rFonts w:eastAsia="Calibri"/>
          <w:lang w:eastAsia="en-US"/>
        </w:rPr>
      </w:pPr>
      <w:r w:rsidRPr="00CA1F07">
        <w:rPr>
          <w:rFonts w:eastAsia="Calibri"/>
          <w:lang w:eastAsia="en-US"/>
        </w:rPr>
        <w:t xml:space="preserve">At an organisational level, possible controls may include designing safe systems of work, workforce planning to ensure the balance between work demands and time pressures are within the workers’ capacity, role clarity, autonomy, recognition and reward and flexible work arrangements. </w:t>
      </w:r>
    </w:p>
    <w:p w14:paraId="3A02A65C" w14:textId="433B6723" w:rsidR="00EE707B" w:rsidRDefault="00F17337" w:rsidP="00C35466">
      <w:pPr>
        <w:rPr>
          <w:rFonts w:eastAsia="Calibri"/>
          <w:lang w:eastAsia="en-US"/>
        </w:rPr>
      </w:pPr>
      <w:r w:rsidRPr="00F17337">
        <w:rPr>
          <w:rFonts w:eastAsia="Calibri"/>
          <w:lang w:eastAsia="en-US"/>
        </w:rPr>
        <w:t>Safe Work Australia and work health and safety jurisdictions have published a wide</w:t>
      </w:r>
      <w:r w:rsidR="00C70BCA">
        <w:rPr>
          <w:rFonts w:eastAsia="Calibri"/>
          <w:lang w:eastAsia="en-US"/>
        </w:rPr>
        <w:t xml:space="preserve"> range of material relating to </w:t>
      </w:r>
      <w:r w:rsidRPr="00F17337">
        <w:rPr>
          <w:rFonts w:eastAsia="Calibri"/>
          <w:lang w:eastAsia="en-US"/>
        </w:rPr>
        <w:t>psychosocial hazards and their health effects including the Fact Sheet on Preventing Psychological Injury under Work Health and Safety Laws, the Guide for Preventing and Responding to Workplace Bullying, Dealing with Workplace Bullying – a Worker’s Guide, the Guide for Managing the Risk of Fatigue at Work, and Fatigue Management – a Worker’s Guide (Safe Work Australia 2014; 2013a,b,c,d).</w:t>
      </w:r>
    </w:p>
    <w:p w14:paraId="411CFA15" w14:textId="77777777" w:rsidR="00EE707B" w:rsidRDefault="00A65E70" w:rsidP="00C35466">
      <w:pPr>
        <w:rPr>
          <w:rFonts w:eastAsia="Calibri"/>
          <w:lang w:eastAsia="en-US"/>
        </w:rPr>
      </w:pPr>
      <w:r w:rsidRPr="00A65E70">
        <w:rPr>
          <w:rFonts w:eastAsia="Calibri"/>
          <w:lang w:eastAsia="en-US"/>
        </w:rPr>
        <w:t>Given the evident societal and economic benefits of a psychologically healthy workplace, policy makers could consider legislating to ensure all organisations provide a psychologically healthy workplace, i.e. an organisation high in PSC. While legislation exists to curtail these risks, there appears to be a gap between policy and practice in this area; psychosocial risk management is still somewhat of a rarity in Australian workplaces. Policy developments in some countries (e.g., the Management Standard for work-related stress in the UK) highlight the future of government’s role and responsibility in psychosocial risk management. Legislative requirements for organisations to meet certain safe thresholds for psychosocial risks provides a similar level of consideration to psychosocial safety as is currently afforded to physical safety; a necessary measure to reduce workplace psychological injury.</w:t>
      </w:r>
    </w:p>
    <w:p w14:paraId="5B11EF24" w14:textId="5E3A4F9A" w:rsidR="00EE707B" w:rsidRDefault="00B602D2" w:rsidP="00C35466">
      <w:pPr>
        <w:rPr>
          <w:rFonts w:eastAsia="Calibri"/>
          <w:lang w:eastAsia="en-US"/>
        </w:rPr>
      </w:pPr>
      <w:r w:rsidRPr="007C2EAD">
        <w:rPr>
          <w:rFonts w:eastAsia="Calibri"/>
          <w:lang w:eastAsia="en-US"/>
        </w:rPr>
        <w:t xml:space="preserve">To improve PSC in their </w:t>
      </w:r>
      <w:r w:rsidR="00D87AC6" w:rsidRPr="007C2EAD">
        <w:rPr>
          <w:rFonts w:eastAsia="Calibri"/>
          <w:lang w:eastAsia="en-US"/>
        </w:rPr>
        <w:t>organis</w:t>
      </w:r>
      <w:r w:rsidRPr="007C2EAD">
        <w:rPr>
          <w:rFonts w:eastAsia="Calibri"/>
          <w:lang w:eastAsia="en-US"/>
        </w:rPr>
        <w:t xml:space="preserve">ation, employers should conduct monitoring of PSC and psychosocial risk levels. This strategy is considered best practice and has been recently adopted by the Australian Public Service Commission as part of </w:t>
      </w:r>
      <w:r w:rsidR="00C70BCA">
        <w:rPr>
          <w:rFonts w:eastAsia="Calibri"/>
          <w:lang w:eastAsia="en-US"/>
        </w:rPr>
        <w:t>ITS</w:t>
      </w:r>
      <w:r w:rsidRPr="007C2EAD">
        <w:rPr>
          <w:rFonts w:eastAsia="Calibri"/>
          <w:lang w:eastAsia="en-US"/>
        </w:rPr>
        <w:t xml:space="preserve"> annual census </w:t>
      </w:r>
      <w:r w:rsidRPr="007C2EAD">
        <w:rPr>
          <w:rFonts w:eastAsia="Calibri"/>
          <w:lang w:eastAsia="en-US"/>
        </w:rPr>
        <w:lastRenderedPageBreak/>
        <w:t>(APSC, 2015). We recommend that employers allow and encourage employees at all levels of the organi</w:t>
      </w:r>
      <w:r w:rsidR="00D87AC6" w:rsidRPr="007C2EAD">
        <w:rPr>
          <w:rFonts w:eastAsia="Calibri"/>
          <w:lang w:eastAsia="en-US"/>
        </w:rPr>
        <w:t>s</w:t>
      </w:r>
      <w:r w:rsidRPr="007C2EAD">
        <w:rPr>
          <w:rFonts w:eastAsia="Calibri"/>
          <w:lang w:eastAsia="en-US"/>
        </w:rPr>
        <w:t>ation to monitor, establish controls, raise awareness, and participate in education and training, regarding factors that affect psych</w:t>
      </w:r>
      <w:r w:rsidR="00C70BCA">
        <w:rPr>
          <w:rFonts w:eastAsia="Calibri"/>
          <w:lang w:eastAsia="en-US"/>
        </w:rPr>
        <w:t>ological health. Finally, utiliS</w:t>
      </w:r>
      <w:r w:rsidRPr="007C2EAD">
        <w:rPr>
          <w:rFonts w:eastAsia="Calibri"/>
          <w:lang w:eastAsia="en-US"/>
        </w:rPr>
        <w:t>ing job redesign interventions by reducing work conditions that predispose poor psychological health, such as excessive demands and work pressure, and insufficient control and power, will have a positive effect on PSC in the organi</w:t>
      </w:r>
      <w:r w:rsidR="00D87AC6" w:rsidRPr="007C2EAD">
        <w:rPr>
          <w:rFonts w:eastAsia="Calibri"/>
          <w:lang w:eastAsia="en-US"/>
        </w:rPr>
        <w:t>s</w:t>
      </w:r>
      <w:r w:rsidRPr="007C2EAD">
        <w:rPr>
          <w:rFonts w:eastAsia="Calibri"/>
          <w:lang w:eastAsia="en-US"/>
        </w:rPr>
        <w:t>ation.</w:t>
      </w:r>
    </w:p>
    <w:p w14:paraId="4C9954E7" w14:textId="0FB2D7EA" w:rsidR="004B4AEB" w:rsidRDefault="00720BF6" w:rsidP="00C35466">
      <w:pPr>
        <w:rPr>
          <w:rFonts w:eastAsia="Calibri"/>
          <w:lang w:eastAsia="en-US"/>
        </w:rPr>
      </w:pPr>
      <w:r w:rsidRPr="00AD2FA6">
        <w:rPr>
          <w:rFonts w:eastAsia="Calibri"/>
          <w:lang w:eastAsia="en-US"/>
        </w:rPr>
        <w:t xml:space="preserve">These findings suggest that establishing and maintaining good PSC in organisations mitigates psychosocial hazards that can result in poor psychological health outcomes. The outcomes of this report are designed to support employers to ensure psychologically healthy workplace for their workers, rather than be used to justify </w:t>
      </w:r>
      <w:r w:rsidR="00CE5476" w:rsidRPr="00AD2FA6">
        <w:rPr>
          <w:rFonts w:eastAsia="Calibri"/>
          <w:lang w:eastAsia="en-US"/>
        </w:rPr>
        <w:t xml:space="preserve">not </w:t>
      </w:r>
      <w:r w:rsidRPr="00AD2FA6">
        <w:rPr>
          <w:rFonts w:eastAsia="Calibri"/>
          <w:lang w:eastAsia="en-US"/>
        </w:rPr>
        <w:t>employing workers with mental illnesses.</w:t>
      </w:r>
      <w:r w:rsidR="00775050">
        <w:rPr>
          <w:rFonts w:eastAsia="Calibri"/>
          <w:lang w:eastAsia="en-US"/>
        </w:rPr>
        <w:t xml:space="preserve"> </w:t>
      </w:r>
      <w:r w:rsidR="004B4AEB">
        <w:rPr>
          <w:rFonts w:eastAsia="Calibri"/>
          <w:lang w:eastAsia="en-US"/>
        </w:rPr>
        <w:br w:type="page"/>
      </w:r>
    </w:p>
    <w:p w14:paraId="084B6C3E" w14:textId="767951BA" w:rsidR="00A65E70" w:rsidRPr="005E71B7" w:rsidRDefault="00A65E70" w:rsidP="005E71B7">
      <w:pPr>
        <w:pStyle w:val="Heading1"/>
        <w:rPr>
          <w:lang w:eastAsia="en-US"/>
        </w:rPr>
      </w:pPr>
      <w:r w:rsidRPr="00A65E70">
        <w:rPr>
          <w:lang w:eastAsia="en-US"/>
        </w:rPr>
        <w:lastRenderedPageBreak/>
        <w:t>References</w:t>
      </w:r>
    </w:p>
    <w:p w14:paraId="50843368"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Andrews, G., &amp; Slade, T. (2001). Interpreting scores on the Kessler psychological distress scale (K10). </w:t>
      </w:r>
      <w:r w:rsidRPr="00A65E70">
        <w:rPr>
          <w:rFonts w:eastAsia="Calibri"/>
          <w:i/>
          <w:noProof/>
          <w:lang w:val="en-US" w:eastAsia="en-US"/>
        </w:rPr>
        <w:t>Australian and New Zealand Journal of Public Health</w:t>
      </w:r>
      <w:r w:rsidRPr="00A65E70">
        <w:rPr>
          <w:rFonts w:eastAsia="Calibri"/>
          <w:noProof/>
          <w:lang w:val="en-US" w:eastAsia="en-US"/>
        </w:rPr>
        <w:t xml:space="preserve">, </w:t>
      </w:r>
      <w:r w:rsidRPr="00A65E70">
        <w:rPr>
          <w:rFonts w:eastAsia="Calibri"/>
          <w:i/>
          <w:noProof/>
          <w:lang w:val="en-US" w:eastAsia="en-US"/>
        </w:rPr>
        <w:t>25</w:t>
      </w:r>
      <w:r w:rsidRPr="00A65E70">
        <w:rPr>
          <w:rFonts w:eastAsia="Calibri"/>
          <w:noProof/>
          <w:lang w:val="en-US" w:eastAsia="en-US"/>
        </w:rPr>
        <w:t>(6), 494-497.</w:t>
      </w:r>
    </w:p>
    <w:p w14:paraId="7AB4EF0D"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Arnold, K. A., Turner, N., Barling, J., Kelloway, E. K., &amp; McKee, M. C. (2007). Transformational leadership and psychological well-being: the mediating role of meaningful work. </w:t>
      </w:r>
      <w:r w:rsidRPr="00A65E70">
        <w:rPr>
          <w:rFonts w:eastAsia="Calibri"/>
          <w:i/>
          <w:noProof/>
          <w:lang w:val="en-US" w:eastAsia="en-US"/>
        </w:rPr>
        <w:t>Journal of Occupational Health Psychology, 12</w:t>
      </w:r>
      <w:r w:rsidRPr="00A65E70">
        <w:rPr>
          <w:rFonts w:eastAsia="Calibri"/>
          <w:noProof/>
          <w:lang w:val="en-US" w:eastAsia="en-US"/>
        </w:rPr>
        <w:t xml:space="preserve">(3), 193. </w:t>
      </w:r>
    </w:p>
    <w:p w14:paraId="0A43B080"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Australian Bureau of Statistics. (2008). 2007 National Survey of Mental Health and Wellbeing: Summary of Results, Table 1. April 28, 2015, from http://www.ausstats.abs.gov.au/ausstats/subscriber.nsf/0/6AE6DA447F985FC2CA2574EA00122BD6/$File/43260_2007</w:t>
      </w:r>
    </w:p>
    <w:p w14:paraId="61D6CBD4"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Australian Bureau of Statistics. (2015a). 6202.0 - Labour Force, Australia, Mar 2015 Retrieved May 6, 2015, from http://www.abs.gov.au/AUSSTATS/abs@.nsf/Lookup/6202.0Main+Features1Mar%202015?OpenDocument</w:t>
      </w:r>
    </w:p>
    <w:p w14:paraId="0856801A" w14:textId="697BCC49" w:rsidR="00A65E70" w:rsidRDefault="00A65E70" w:rsidP="00C35466">
      <w:pPr>
        <w:ind w:left="709" w:hanging="720"/>
        <w:rPr>
          <w:rFonts w:eastAsia="Calibri"/>
          <w:noProof/>
          <w:color w:val="0000FF"/>
          <w:u w:val="single"/>
          <w:lang w:val="en-US" w:eastAsia="en-US"/>
        </w:rPr>
      </w:pPr>
      <w:r w:rsidRPr="00A65E70">
        <w:rPr>
          <w:rFonts w:eastAsia="Calibri"/>
          <w:noProof/>
          <w:lang w:val="en-US" w:eastAsia="en-US"/>
        </w:rPr>
        <w:t xml:space="preserve">Australian Bureau of Statistics. (2015b). 6302.0 - Average Weekly Earnings, Australia, Nov 2014. April 16 2015, from </w:t>
      </w:r>
      <w:r w:rsidRPr="00A44B46">
        <w:rPr>
          <w:rFonts w:eastAsia="Calibri"/>
          <w:noProof/>
          <w:u w:val="single"/>
          <w:lang w:val="en-US" w:eastAsia="en-US"/>
        </w:rPr>
        <w:t>http://www.abs.gov.au/ausstats/abs@.nsf/mf/6302.0</w:t>
      </w:r>
    </w:p>
    <w:p w14:paraId="06224F6F" w14:textId="5B388FC8" w:rsidR="00A44B46" w:rsidRPr="00D87AC6" w:rsidRDefault="00A44B46" w:rsidP="00C35466">
      <w:pPr>
        <w:ind w:left="709" w:hanging="720"/>
        <w:rPr>
          <w:rFonts w:eastAsia="Calibri"/>
          <w:noProof/>
          <w:lang w:val="en-US" w:eastAsia="en-US"/>
        </w:rPr>
      </w:pPr>
      <w:r w:rsidRPr="001D755E">
        <w:rPr>
          <w:rFonts w:eastAsia="Calibri"/>
          <w:noProof/>
          <w:lang w:val="en-US" w:eastAsia="en-US"/>
        </w:rPr>
        <w:t xml:space="preserve">Australian Public Service Commission. (2015). State of the service report, psychosocial safety climate. Retrieved from: </w:t>
      </w:r>
      <w:r w:rsidRPr="001D755E">
        <w:rPr>
          <w:rFonts w:eastAsia="Calibri"/>
          <w:noProof/>
          <w:u w:val="single"/>
          <w:lang w:val="en-US" w:eastAsia="en-US"/>
        </w:rPr>
        <w:t>http://stateoftheservice.apsc.gov.au/2015/11/psychosocial-safety-climate/</w:t>
      </w:r>
    </w:p>
    <w:p w14:paraId="797D1120"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Bailey, T. S., Dollard, M. F., &amp; Richards, P. A. (2015). A national standard for psychosocial safety climate (PSC): PSC 41 as the benchmark for low risk of job strain and depressive symptoms. </w:t>
      </w:r>
      <w:r w:rsidRPr="00A65E70">
        <w:rPr>
          <w:rFonts w:eastAsia="Calibri"/>
          <w:i/>
          <w:noProof/>
          <w:lang w:val="en-US" w:eastAsia="en-US"/>
        </w:rPr>
        <w:t>Journal of Occupational Health Psychology, 20</w:t>
      </w:r>
      <w:r w:rsidRPr="00A65E70">
        <w:rPr>
          <w:rFonts w:eastAsia="Calibri"/>
          <w:noProof/>
          <w:lang w:val="en-US" w:eastAsia="en-US"/>
        </w:rPr>
        <w:t>(1), 15.</w:t>
      </w:r>
    </w:p>
    <w:p w14:paraId="4E06F4DB"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Barnes, P. (2011). </w:t>
      </w:r>
      <w:r w:rsidRPr="00A65E70">
        <w:rPr>
          <w:rFonts w:eastAsia="Calibri"/>
          <w:i/>
          <w:noProof/>
          <w:lang w:val="en-US" w:eastAsia="en-US"/>
        </w:rPr>
        <w:t>Multifactor productivity growth cycles at the industry level</w:t>
      </w:r>
      <w:r w:rsidRPr="00A65E70">
        <w:rPr>
          <w:rFonts w:eastAsia="Calibri"/>
          <w:noProof/>
          <w:lang w:val="en-US" w:eastAsia="en-US"/>
        </w:rPr>
        <w:t>.</w:t>
      </w:r>
      <w:r w:rsidRPr="00A65E70">
        <w:rPr>
          <w:rFonts w:eastAsia="Calibri"/>
          <w:i/>
          <w:noProof/>
          <w:lang w:val="en-US" w:eastAsia="en-US"/>
        </w:rPr>
        <w:t xml:space="preserve"> </w:t>
      </w:r>
      <w:r w:rsidRPr="00A65E70">
        <w:rPr>
          <w:rFonts w:eastAsia="Calibri"/>
          <w:noProof/>
          <w:lang w:val="en-US" w:eastAsia="en-US"/>
        </w:rPr>
        <w:t>Productivity Comission Staff Working Paper, Canberra.</w:t>
      </w:r>
    </w:p>
    <w:p w14:paraId="7BEC55B0"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Barnett, R. C., &amp; Brennan, R. T. (1995). The relationship between job experiences and psychological distress: A structural equation approach. </w:t>
      </w:r>
      <w:r w:rsidRPr="00A65E70">
        <w:rPr>
          <w:rFonts w:eastAsia="Calibri"/>
          <w:i/>
          <w:noProof/>
          <w:lang w:val="en-US" w:eastAsia="en-US"/>
        </w:rPr>
        <w:t>Journal of Organizational Behavior, 16</w:t>
      </w:r>
      <w:r w:rsidRPr="00A65E70">
        <w:rPr>
          <w:rFonts w:eastAsia="Calibri"/>
          <w:noProof/>
          <w:lang w:val="en-US" w:eastAsia="en-US"/>
        </w:rPr>
        <w:t xml:space="preserve">(3), 259-276. </w:t>
      </w:r>
    </w:p>
    <w:p w14:paraId="34A042DD" w14:textId="77777777" w:rsidR="00A65E70" w:rsidRPr="00A65E70" w:rsidRDefault="00A65E70" w:rsidP="00C35466">
      <w:pPr>
        <w:ind w:left="709" w:hanging="720"/>
        <w:rPr>
          <w:rFonts w:eastAsia="Calibri"/>
          <w:noProof/>
          <w:lang w:val="en-US" w:eastAsia="en-US"/>
        </w:rPr>
      </w:pPr>
      <w:r w:rsidRPr="000E3FEB">
        <w:rPr>
          <w:rFonts w:eastAsia="Calibri"/>
          <w:i/>
          <w:noProof/>
          <w:lang w:val="en-US" w:eastAsia="en-US"/>
        </w:rPr>
        <w:t>beyondblue</w:t>
      </w:r>
      <w:r w:rsidRPr="00A65E70">
        <w:rPr>
          <w:rFonts w:eastAsia="Calibri"/>
          <w:noProof/>
          <w:lang w:val="en-US" w:eastAsia="en-US"/>
        </w:rPr>
        <w:t>. (2015). State of Workplace Mental Health in Australia. Sydney: Beyond Blue.</w:t>
      </w:r>
    </w:p>
    <w:p w14:paraId="0331F0EE"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Blinder, A. S. (2011). </w:t>
      </w:r>
      <w:r w:rsidRPr="00A65E70">
        <w:rPr>
          <w:rFonts w:eastAsia="Calibri"/>
          <w:i/>
          <w:noProof/>
          <w:lang w:val="en-US" w:eastAsia="en-US"/>
        </w:rPr>
        <w:t>Paying for productivity: A look at the evidence</w:t>
      </w:r>
      <w:r w:rsidRPr="00A65E70">
        <w:rPr>
          <w:rFonts w:eastAsia="Calibri"/>
          <w:noProof/>
          <w:lang w:val="en-US" w:eastAsia="en-US"/>
        </w:rPr>
        <w:t>: Brookings Institution Press.</w:t>
      </w:r>
    </w:p>
    <w:p w14:paraId="2DF4895E"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Bond, S., Tuckey, M., &amp; Dollard, M. (2010). Psychosocial safety climate, workplace bullying, and symptoms of posttraumatic stress. </w:t>
      </w:r>
      <w:r w:rsidRPr="00A65E70">
        <w:rPr>
          <w:rFonts w:eastAsia="Calibri"/>
          <w:i/>
          <w:noProof/>
          <w:lang w:val="en-US" w:eastAsia="en-US"/>
        </w:rPr>
        <w:t>Organization Development Journal, 28</w:t>
      </w:r>
      <w:r w:rsidRPr="00A65E70">
        <w:rPr>
          <w:rFonts w:eastAsia="Calibri"/>
          <w:noProof/>
          <w:lang w:val="en-US" w:eastAsia="en-US"/>
        </w:rPr>
        <w:t xml:space="preserve">, 37–56. </w:t>
      </w:r>
    </w:p>
    <w:p w14:paraId="1946A9C1"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Chen, C. J. (2004). The effects of knowledge attribute, alliance characteristics, and absorptive capacity on knowledge transfer performance. </w:t>
      </w:r>
      <w:r w:rsidRPr="00A65E70">
        <w:rPr>
          <w:rFonts w:eastAsia="Calibri"/>
          <w:i/>
          <w:noProof/>
          <w:lang w:val="en-US" w:eastAsia="en-US"/>
        </w:rPr>
        <w:t>R&amp;D Management, 34</w:t>
      </w:r>
      <w:r w:rsidRPr="00A65E70">
        <w:rPr>
          <w:rFonts w:eastAsia="Calibri"/>
          <w:noProof/>
          <w:lang w:val="en-US" w:eastAsia="en-US"/>
        </w:rPr>
        <w:t xml:space="preserve">(3), 311-321. </w:t>
      </w:r>
    </w:p>
    <w:p w14:paraId="46EB09FC"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Chen, C. J., &amp; Huang, J. W. (2007). How organizational climate and structure affect knowledge management—The social interaction perspective. </w:t>
      </w:r>
      <w:r w:rsidRPr="00A65E70">
        <w:rPr>
          <w:rFonts w:eastAsia="Calibri"/>
          <w:i/>
          <w:noProof/>
          <w:lang w:val="en-US" w:eastAsia="en-US"/>
        </w:rPr>
        <w:t>International Journal of Information Management, 27</w:t>
      </w:r>
      <w:r w:rsidRPr="00A65E70">
        <w:rPr>
          <w:rFonts w:eastAsia="Calibri"/>
          <w:noProof/>
          <w:lang w:val="en-US" w:eastAsia="en-US"/>
        </w:rPr>
        <w:t xml:space="preserve">(2), 104-118. </w:t>
      </w:r>
    </w:p>
    <w:p w14:paraId="41EADD37"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Dollard, M. F., &amp; Bakker, A. B. (2010). Psychosocial safety climate as a precursor to conducive work environments, psychological health problems, and employee engagement. </w:t>
      </w:r>
      <w:r w:rsidRPr="00A65E70">
        <w:rPr>
          <w:rFonts w:eastAsia="Calibri"/>
          <w:i/>
          <w:noProof/>
          <w:lang w:val="en-US" w:eastAsia="en-US"/>
        </w:rPr>
        <w:t>Journal of Occupational and Organizational Psychology, 83</w:t>
      </w:r>
      <w:r w:rsidRPr="00A65E70">
        <w:rPr>
          <w:rFonts w:eastAsia="Calibri"/>
          <w:noProof/>
          <w:lang w:val="en-US" w:eastAsia="en-US"/>
        </w:rPr>
        <w:t xml:space="preserve">(3), 579-599. </w:t>
      </w:r>
    </w:p>
    <w:p w14:paraId="6A356A8F"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Dollard, M. F., Hall, G. B., LaMontagne, A. D., Taylor, A. W., Winefield, A. H., Smith, P., &amp; Bakker, A. B. (2009). Australian Workplace Barometer (AWBQ2009). Centre For Applied Psychological Research, University of South Australia.</w:t>
      </w:r>
    </w:p>
    <w:p w14:paraId="1E45D927"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lastRenderedPageBreak/>
        <w:t xml:space="preserve">Dollard, M. F., &amp; Kang, S. (2007). Psychosocial safety climate measure. Work &amp; Stress Research Group, University of South Australia, Adelaide. </w:t>
      </w:r>
    </w:p>
    <w:p w14:paraId="78A8618A"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Flin, R., &amp; Yule, S. (2004). Leadership for safety: Industrial experience. </w:t>
      </w:r>
      <w:r w:rsidRPr="00A65E70">
        <w:rPr>
          <w:rFonts w:eastAsia="Calibri"/>
          <w:i/>
          <w:noProof/>
          <w:lang w:val="en-US" w:eastAsia="en-US"/>
        </w:rPr>
        <w:t>Quality and Safety in Health Care, 13</w:t>
      </w:r>
      <w:r w:rsidRPr="00A65E70">
        <w:rPr>
          <w:rFonts w:eastAsia="Calibri"/>
          <w:noProof/>
          <w:lang w:val="en-US" w:eastAsia="en-US"/>
        </w:rPr>
        <w:t xml:space="preserve">(2), 45. </w:t>
      </w:r>
    </w:p>
    <w:p w14:paraId="6EB2EA0F"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Gates, D. M., Succop, P., Brehm, B. J., Gillespie, G. L., &amp; Sommers, B. D. (2008). Obesity and presenteeism: the impact of body mass index on workplace productivity. </w:t>
      </w:r>
      <w:r w:rsidRPr="00A65E70">
        <w:rPr>
          <w:rFonts w:eastAsia="Calibri"/>
          <w:i/>
          <w:noProof/>
          <w:lang w:val="en-US" w:eastAsia="en-US"/>
        </w:rPr>
        <w:t>Journal of Occupational and Environmental Medicine, 50</w:t>
      </w:r>
      <w:r w:rsidRPr="00A65E70">
        <w:rPr>
          <w:rFonts w:eastAsia="Calibri"/>
          <w:noProof/>
          <w:lang w:val="en-US" w:eastAsia="en-US"/>
        </w:rPr>
        <w:t xml:space="preserve">(1), 39-45. </w:t>
      </w:r>
    </w:p>
    <w:p w14:paraId="60CA3643"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Goetzel, R. Z., Long, S. R., Ozminkowski, R. J., Hawkins, K., Wang, S., &amp; Lynch, W. (2004). Health, absence, disability, and presenteeism cost estimates of certain physical and mental health conditions affecting US employers. </w:t>
      </w:r>
      <w:r w:rsidRPr="00A65E70">
        <w:rPr>
          <w:rFonts w:eastAsia="Calibri"/>
          <w:i/>
          <w:noProof/>
          <w:lang w:val="en-US" w:eastAsia="en-US"/>
        </w:rPr>
        <w:t>Journal of Occupational and Environmental Medicine, 46</w:t>
      </w:r>
      <w:r w:rsidRPr="00A65E70">
        <w:rPr>
          <w:rFonts w:eastAsia="Calibri"/>
          <w:noProof/>
          <w:lang w:val="en-US" w:eastAsia="en-US"/>
        </w:rPr>
        <w:t xml:space="preserve">(4), 398-412. </w:t>
      </w:r>
    </w:p>
    <w:p w14:paraId="48908912"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Gordon, J., Zhao, S., &amp; Gretton, P. (2015). </w:t>
      </w:r>
      <w:r w:rsidRPr="00A65E70">
        <w:rPr>
          <w:rFonts w:eastAsia="Calibri"/>
          <w:i/>
          <w:noProof/>
          <w:lang w:val="en-US" w:eastAsia="en-US"/>
        </w:rPr>
        <w:t>On Productivity: Concepts and measurement</w:t>
      </w:r>
      <w:r w:rsidRPr="00A65E70">
        <w:rPr>
          <w:rFonts w:eastAsia="Calibri"/>
          <w:noProof/>
          <w:lang w:val="en-US" w:eastAsia="en-US"/>
        </w:rPr>
        <w:t>.  Canberra: Productivity Commission.</w:t>
      </w:r>
    </w:p>
    <w:p w14:paraId="6BE7647C"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Hardy, G. E., Woods, D., &amp; Wall, T. D. (2003). The impact of psychological distress on absence from work. </w:t>
      </w:r>
      <w:r w:rsidRPr="00A65E70">
        <w:rPr>
          <w:rFonts w:eastAsia="Calibri"/>
          <w:i/>
          <w:noProof/>
          <w:lang w:val="en-US" w:eastAsia="en-US"/>
        </w:rPr>
        <w:t>Journal of Applied Psychology, 88</w:t>
      </w:r>
      <w:r w:rsidRPr="00A65E70">
        <w:rPr>
          <w:rFonts w:eastAsia="Calibri"/>
          <w:noProof/>
          <w:lang w:val="en-US" w:eastAsia="en-US"/>
        </w:rPr>
        <w:t xml:space="preserve">(2), 306. </w:t>
      </w:r>
    </w:p>
    <w:p w14:paraId="2706C6EF"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Helliwell, J. F., Layard, R., &amp; Sachs J. (Eds.). 2015. </w:t>
      </w:r>
      <w:r w:rsidRPr="00A65E70">
        <w:rPr>
          <w:rFonts w:eastAsia="Calibri"/>
          <w:i/>
          <w:noProof/>
          <w:lang w:val="en-US" w:eastAsia="en-US"/>
        </w:rPr>
        <w:t>World Happiness Report 2015</w:t>
      </w:r>
      <w:r w:rsidRPr="00A65E70">
        <w:rPr>
          <w:rFonts w:eastAsia="Calibri"/>
          <w:noProof/>
          <w:lang w:val="en-US" w:eastAsia="en-US"/>
        </w:rPr>
        <w:t>. New York: Sustainable Development Solutions Network.</w:t>
      </w:r>
    </w:p>
    <w:p w14:paraId="4A0A893A"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HSE [Health and Safety Executive] (2007). </w:t>
      </w:r>
      <w:r w:rsidRPr="00A65E70">
        <w:rPr>
          <w:rFonts w:eastAsia="Calibri"/>
          <w:i/>
          <w:noProof/>
          <w:lang w:val="en-US" w:eastAsia="en-US"/>
        </w:rPr>
        <w:t>Managing the causes of work-related stress: A step-by-step approach using the management standards (HSG218)</w:t>
      </w:r>
      <w:r w:rsidRPr="00A65E70">
        <w:rPr>
          <w:rFonts w:eastAsia="Calibri"/>
          <w:noProof/>
          <w:lang w:val="en-US" w:eastAsia="en-US"/>
        </w:rPr>
        <w:t>. 2nd ed. Sudbury: HSE Books.</w:t>
      </w:r>
    </w:p>
    <w:p w14:paraId="113F5E13"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Iavicoli, S., Leka, S., Jain, A., Persechino, B., Rondinone, B. M., Ronchetti, M., &amp; Valenti, A. (2014). Hard and soft law approaches to addressing psychosocial risks in Europe: Lessons learned in the development of the Italian approach. </w:t>
      </w:r>
      <w:r w:rsidRPr="00A65E70">
        <w:rPr>
          <w:rFonts w:eastAsia="Calibri"/>
          <w:i/>
          <w:noProof/>
          <w:lang w:val="en-US" w:eastAsia="en-US"/>
        </w:rPr>
        <w:t>Journal of Risk Research</w:t>
      </w:r>
      <w:r w:rsidRPr="00A65E70">
        <w:rPr>
          <w:rFonts w:eastAsia="Calibri"/>
          <w:noProof/>
          <w:lang w:val="en-US" w:eastAsia="en-US"/>
        </w:rPr>
        <w:t xml:space="preserve">, 17(7), 855-869. </w:t>
      </w:r>
    </w:p>
    <w:p w14:paraId="4708B6E0"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Kahn, R. L., &amp; Byosserie, P. (1992). Stress in organizations. In M. D. Dunnete &amp; L. M. Hough (Eds.), </w:t>
      </w:r>
      <w:r w:rsidRPr="00A65E70">
        <w:rPr>
          <w:rFonts w:eastAsia="Calibri"/>
          <w:i/>
          <w:noProof/>
          <w:lang w:val="en-US" w:eastAsia="en-US"/>
        </w:rPr>
        <w:t>Handbook of Industrial and Organizational Psychology</w:t>
      </w:r>
      <w:r w:rsidRPr="00A65E70">
        <w:rPr>
          <w:rFonts w:eastAsia="Calibri"/>
          <w:noProof/>
          <w:lang w:val="en-US" w:eastAsia="en-US"/>
        </w:rPr>
        <w:t xml:space="preserve"> (Vol. 3, pp. 571-650). Palo Alto, CA: Consulting Psychologists Press.</w:t>
      </w:r>
    </w:p>
    <w:p w14:paraId="345C7D27"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Kahn, W. A. (1992). To be fully there: Psychological presence at work. </w:t>
      </w:r>
      <w:r w:rsidRPr="00A65E70">
        <w:rPr>
          <w:rFonts w:eastAsia="Calibri"/>
          <w:i/>
          <w:noProof/>
          <w:lang w:val="en-US" w:eastAsia="en-US"/>
        </w:rPr>
        <w:t>Human Relations, 45</w:t>
      </w:r>
      <w:r w:rsidRPr="00A65E70">
        <w:rPr>
          <w:rFonts w:eastAsia="Calibri"/>
          <w:noProof/>
          <w:lang w:val="en-US" w:eastAsia="en-US"/>
        </w:rPr>
        <w:t xml:space="preserve">(4), 321-349. </w:t>
      </w:r>
    </w:p>
    <w:p w14:paraId="5B3A0979"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Kessler, R. C., Ames, M., Hymel, P. A., Loeppke, R., McKenas, D. K., Richling, D. E., . . . Ustun, T. B. (2004). Using the World Health Organization Health and Work Performance Questionnaire (HPQ) to evaluate the indirect workplace costs of illness. </w:t>
      </w:r>
      <w:r w:rsidRPr="00A65E70">
        <w:rPr>
          <w:rFonts w:eastAsia="Calibri"/>
          <w:i/>
          <w:noProof/>
          <w:lang w:val="en-US" w:eastAsia="en-US"/>
        </w:rPr>
        <w:t>Journal of Occupational and Environmental Medicine, 46</w:t>
      </w:r>
      <w:r w:rsidRPr="00A65E70">
        <w:rPr>
          <w:rFonts w:eastAsia="Calibri"/>
          <w:noProof/>
          <w:lang w:val="en-US" w:eastAsia="en-US"/>
        </w:rPr>
        <w:t xml:space="preserve">(6), S23-S37. </w:t>
      </w:r>
    </w:p>
    <w:p w14:paraId="5C8A4BA9"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Kessler, R. C., Barber, C., Beck, A., Berglund, P., Cleary, P. D., McKenas, D., . . . Ustun, T. B. (2003). The world health organization health and work performance questionnaire (HPQ). </w:t>
      </w:r>
      <w:r w:rsidRPr="00A65E70">
        <w:rPr>
          <w:rFonts w:eastAsia="Calibri"/>
          <w:i/>
          <w:noProof/>
          <w:lang w:val="en-US" w:eastAsia="en-US"/>
        </w:rPr>
        <w:t>Journal of Occupational and Environmental Medicine, 45</w:t>
      </w:r>
      <w:r w:rsidRPr="00A65E70">
        <w:rPr>
          <w:rFonts w:eastAsia="Calibri"/>
          <w:noProof/>
          <w:lang w:val="en-US" w:eastAsia="en-US"/>
        </w:rPr>
        <w:t xml:space="preserve">(2), 156-174. </w:t>
      </w:r>
    </w:p>
    <w:p w14:paraId="40857107"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Kessler, R. C., Barber, C., Birnbaum, H. G., Frank, R. G., Greenberg, P. E., Rose, R. M., . . . Wang, P. (1999). Depression in the workplace: effects on short-term disability. </w:t>
      </w:r>
      <w:r w:rsidRPr="00A65E70">
        <w:rPr>
          <w:rFonts w:eastAsia="Calibri"/>
          <w:i/>
          <w:noProof/>
          <w:lang w:val="en-US" w:eastAsia="en-US"/>
        </w:rPr>
        <w:t>Health Affairs, 18</w:t>
      </w:r>
      <w:r w:rsidRPr="00A65E70">
        <w:rPr>
          <w:rFonts w:eastAsia="Calibri"/>
          <w:noProof/>
          <w:lang w:val="en-US" w:eastAsia="en-US"/>
        </w:rPr>
        <w:t xml:space="preserve">(5), 163-171. </w:t>
      </w:r>
    </w:p>
    <w:p w14:paraId="5A4E0331"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Kessler, R. C., &amp; Mroczek, D. (1994). </w:t>
      </w:r>
      <w:r w:rsidRPr="00A65E70">
        <w:rPr>
          <w:rFonts w:eastAsia="Calibri"/>
          <w:i/>
          <w:noProof/>
          <w:lang w:val="en-US" w:eastAsia="en-US"/>
        </w:rPr>
        <w:t>Final versions of our non-specific psychological distress scale</w:t>
      </w:r>
      <w:r w:rsidRPr="00A65E70">
        <w:rPr>
          <w:rFonts w:eastAsia="Calibri"/>
          <w:noProof/>
          <w:lang w:val="en-US" w:eastAsia="en-US"/>
        </w:rPr>
        <w:t xml:space="preserve"> (Vol. 10). Ann Arbor, MI: Survey Research Centre of the Institute for Social Research.</w:t>
      </w:r>
    </w:p>
    <w:p w14:paraId="7DDD4CFB"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Kroenke, K., Spitzer, R. L., &amp; Williams, J. B. (2001). The PHQ</w:t>
      </w:r>
      <w:r w:rsidRPr="00A65E70">
        <w:rPr>
          <w:rFonts w:ascii="Cambria Math" w:eastAsia="Calibri" w:hAnsi="Cambria Math" w:cs="Cambria Math"/>
          <w:noProof/>
          <w:lang w:val="en-US" w:eastAsia="en-US"/>
        </w:rPr>
        <w:t>‐</w:t>
      </w:r>
      <w:r w:rsidRPr="00A65E70">
        <w:rPr>
          <w:rFonts w:eastAsia="Calibri"/>
          <w:noProof/>
          <w:lang w:val="en-US" w:eastAsia="en-US"/>
        </w:rPr>
        <w:t xml:space="preserve">9. </w:t>
      </w:r>
      <w:r w:rsidRPr="00A65E70">
        <w:rPr>
          <w:rFonts w:eastAsia="Calibri"/>
          <w:i/>
          <w:noProof/>
          <w:lang w:val="en-US" w:eastAsia="en-US"/>
        </w:rPr>
        <w:t>Journal of General Internal Medicine, 16</w:t>
      </w:r>
      <w:r w:rsidRPr="00A65E70">
        <w:rPr>
          <w:rFonts w:eastAsia="Calibri"/>
          <w:noProof/>
          <w:lang w:val="en-US" w:eastAsia="en-US"/>
        </w:rPr>
        <w:t xml:space="preserve">(9), 606-613. </w:t>
      </w:r>
    </w:p>
    <w:p w14:paraId="2DDF45C0"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Laitinen-Krispijn, S., &amp; Bijl, R. (2000). Mental disorders and employee sickness absence: the NEMESIS study. </w:t>
      </w:r>
      <w:r w:rsidRPr="00A65E70">
        <w:rPr>
          <w:rFonts w:eastAsia="Calibri"/>
          <w:i/>
          <w:noProof/>
          <w:lang w:val="en-US" w:eastAsia="en-US"/>
        </w:rPr>
        <w:t>Social Psychiatry and Psychiatric Epidemiology, 35</w:t>
      </w:r>
      <w:r w:rsidRPr="00A65E70">
        <w:rPr>
          <w:rFonts w:eastAsia="Calibri"/>
          <w:noProof/>
          <w:lang w:val="en-US" w:eastAsia="en-US"/>
        </w:rPr>
        <w:t xml:space="preserve">(2), 71-77. </w:t>
      </w:r>
    </w:p>
    <w:p w14:paraId="6983A74C"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lastRenderedPageBreak/>
        <w:t>Lamontagne, A. D., Keegel, T., Louie, A. M., Ostry, A., &amp; Landsbergis, P. A. (2007). A systematic review of the job-stress intervention evaluation literature, 1990–2005</w:t>
      </w:r>
      <w:r w:rsidRPr="00A65E70">
        <w:rPr>
          <w:rFonts w:eastAsia="Calibri"/>
          <w:i/>
          <w:noProof/>
          <w:lang w:val="en-US" w:eastAsia="en-US"/>
        </w:rPr>
        <w:t>. International Journal of Occupational and Environmental Health</w:t>
      </w:r>
      <w:r w:rsidRPr="00A65E70">
        <w:rPr>
          <w:rFonts w:eastAsia="Calibri"/>
          <w:noProof/>
          <w:lang w:val="en-US" w:eastAsia="en-US"/>
        </w:rPr>
        <w:t>, 13(3), 268-280.</w:t>
      </w:r>
    </w:p>
    <w:p w14:paraId="7AB5F28F"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LaMontagne, A. D., Keegel, T., Vallance, D., Ostry, A., &amp; Wolfe, R. (2008). Job strain-attributable depression in a sample of working Australians: Assessing the contribution to health equalities. </w:t>
      </w:r>
      <w:r w:rsidRPr="00A65E70">
        <w:rPr>
          <w:rFonts w:eastAsia="Calibri"/>
          <w:i/>
          <w:noProof/>
          <w:lang w:val="en-US" w:eastAsia="en-US"/>
        </w:rPr>
        <w:t>BMC Public Health, 8</w:t>
      </w:r>
      <w:r w:rsidRPr="00A65E70">
        <w:rPr>
          <w:rFonts w:eastAsia="Calibri"/>
          <w:noProof/>
          <w:lang w:val="en-US" w:eastAsia="en-US"/>
        </w:rPr>
        <w:t xml:space="preserve">, 1-9. </w:t>
      </w:r>
    </w:p>
    <w:p w14:paraId="312763FE"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Law, R., Dollard, M. F., Tuckey, M. R., &amp; Dormann, C. (2011). Psychosocial safety climate as a lead indicator of workplace bullying and harassment, job resources, psychological health and employee engagement. </w:t>
      </w:r>
      <w:r w:rsidRPr="00A65E70">
        <w:rPr>
          <w:rFonts w:eastAsia="Calibri"/>
          <w:i/>
          <w:noProof/>
          <w:lang w:val="en-US" w:eastAsia="en-US"/>
        </w:rPr>
        <w:t>Accident Analysis &amp; Prevention</w:t>
      </w:r>
      <w:r w:rsidRPr="00A65E70">
        <w:rPr>
          <w:rFonts w:eastAsia="Calibri"/>
          <w:noProof/>
          <w:lang w:val="en-US" w:eastAsia="en-US"/>
        </w:rPr>
        <w:t xml:space="preserve">, </w:t>
      </w:r>
      <w:r w:rsidRPr="00A65E70">
        <w:rPr>
          <w:rFonts w:eastAsia="Calibri"/>
          <w:i/>
          <w:noProof/>
          <w:lang w:val="en-US" w:eastAsia="en-US"/>
        </w:rPr>
        <w:t>43</w:t>
      </w:r>
      <w:r w:rsidRPr="00A65E70">
        <w:rPr>
          <w:rFonts w:eastAsia="Calibri"/>
          <w:noProof/>
          <w:lang w:val="en-US" w:eastAsia="en-US"/>
        </w:rPr>
        <w:t xml:space="preserve">(5), 1782-1793). </w:t>
      </w:r>
    </w:p>
    <w:p w14:paraId="4F33CD7B"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Lerner, D., &amp; Henke, R. M. (2008). What does research tell us about depression, job performance, and work productivity? </w:t>
      </w:r>
      <w:r w:rsidRPr="00A65E70">
        <w:rPr>
          <w:rFonts w:eastAsia="Calibri"/>
          <w:i/>
          <w:noProof/>
          <w:lang w:val="en-US" w:eastAsia="en-US"/>
        </w:rPr>
        <w:t>Journal of Occupational and Environmental Medicine, 50</w:t>
      </w:r>
      <w:r w:rsidRPr="00A65E70">
        <w:rPr>
          <w:rFonts w:eastAsia="Calibri"/>
          <w:noProof/>
          <w:lang w:val="en-US" w:eastAsia="en-US"/>
        </w:rPr>
        <w:t xml:space="preserve">(4), 401-410. </w:t>
      </w:r>
    </w:p>
    <w:p w14:paraId="115EC918"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Lim, D., Sanderson, K., &amp; Andrews, G. (2000). Lost productivity among full</w:t>
      </w:r>
      <w:r w:rsidRPr="00A65E70">
        <w:rPr>
          <w:rFonts w:ascii="Cambria Math" w:eastAsia="Calibri" w:hAnsi="Cambria Math" w:cs="Cambria Math"/>
          <w:noProof/>
          <w:lang w:val="en-US" w:eastAsia="en-US"/>
        </w:rPr>
        <w:t>‐</w:t>
      </w:r>
      <w:r w:rsidRPr="00A65E70">
        <w:rPr>
          <w:rFonts w:eastAsia="Calibri"/>
          <w:noProof/>
          <w:lang w:val="en-US" w:eastAsia="en-US"/>
        </w:rPr>
        <w:t xml:space="preserve">time workers with mental disorders. </w:t>
      </w:r>
      <w:r w:rsidRPr="00A65E70">
        <w:rPr>
          <w:rFonts w:eastAsia="Calibri"/>
          <w:i/>
          <w:noProof/>
          <w:lang w:val="en-US" w:eastAsia="en-US"/>
        </w:rPr>
        <w:t>The Journal of Mental Health Policy and Economics, 3</w:t>
      </w:r>
      <w:r w:rsidRPr="00A65E70">
        <w:rPr>
          <w:rFonts w:eastAsia="Calibri"/>
          <w:noProof/>
          <w:lang w:val="en-US" w:eastAsia="en-US"/>
        </w:rPr>
        <w:t xml:space="preserve">(3), 139-146. </w:t>
      </w:r>
    </w:p>
    <w:p w14:paraId="7C555649"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Matusik, S. F., &amp; Hill, C. W. (1998). The utilization of contingent work, knowledge creation, and competitive advantage. </w:t>
      </w:r>
      <w:r w:rsidRPr="00A65E70">
        <w:rPr>
          <w:rFonts w:eastAsia="Calibri"/>
          <w:i/>
          <w:noProof/>
          <w:lang w:val="en-US" w:eastAsia="en-US"/>
        </w:rPr>
        <w:t>Academy of Management Review, 23</w:t>
      </w:r>
      <w:r w:rsidRPr="00A65E70">
        <w:rPr>
          <w:rFonts w:eastAsia="Calibri"/>
          <w:noProof/>
          <w:lang w:val="en-US" w:eastAsia="en-US"/>
        </w:rPr>
        <w:t xml:space="preserve">(4), 680-697. </w:t>
      </w:r>
    </w:p>
    <w:p w14:paraId="70DC340A"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McLinton, S., &amp; Dollard, M. (2014). Outcomes that influence workplace productivity: Sickness absence, presenteeism, and engagement. In M. Dollard &amp; T. Bailey (Eds.), </w:t>
      </w:r>
      <w:r w:rsidRPr="00A65E70">
        <w:rPr>
          <w:rFonts w:eastAsia="Calibri"/>
          <w:i/>
          <w:noProof/>
          <w:lang w:val="en-US" w:eastAsia="en-US"/>
        </w:rPr>
        <w:t>The Australian Workplace Barometer: Psychosocial safety climate and working conditions in Australia</w:t>
      </w:r>
      <w:r w:rsidRPr="00A65E70">
        <w:rPr>
          <w:rFonts w:eastAsia="Calibri"/>
          <w:noProof/>
          <w:lang w:val="en-US" w:eastAsia="en-US"/>
        </w:rPr>
        <w:t>. Sydney: Australian Academic Press.</w:t>
      </w:r>
    </w:p>
    <w:p w14:paraId="4AC557D9"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McTernan, W. P., Dollard, M. F., &amp; LaMontagne, A. D. (2013). Depression in the workplace: An economic cost analysis of depression-related productivity loss attributable to job strain and bullying. </w:t>
      </w:r>
      <w:r w:rsidRPr="00A65E70">
        <w:rPr>
          <w:rFonts w:eastAsia="Calibri"/>
          <w:i/>
          <w:noProof/>
          <w:lang w:val="en-US" w:eastAsia="en-US"/>
        </w:rPr>
        <w:t>Work &amp; Stress, 27</w:t>
      </w:r>
      <w:r w:rsidRPr="00A65E70">
        <w:rPr>
          <w:rFonts w:eastAsia="Calibri"/>
          <w:noProof/>
          <w:lang w:val="en-US" w:eastAsia="en-US"/>
        </w:rPr>
        <w:t xml:space="preserve">(4), 321-338. </w:t>
      </w:r>
    </w:p>
    <w:p w14:paraId="0FC7EF2F"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Merrill, R. M., Aldana, S. G., Pope, J. E., Anderson, D. R., Coberley, C. R., Grossmeier, J. J., &amp; Whitmer, R. W. (2013). Self-rated job performance and absenteeism according to employee engagement, health behaviors, and physical health. </w:t>
      </w:r>
      <w:r w:rsidRPr="00A65E70">
        <w:rPr>
          <w:rFonts w:eastAsia="Calibri"/>
          <w:i/>
          <w:noProof/>
          <w:lang w:val="en-US" w:eastAsia="en-US"/>
        </w:rPr>
        <w:t>Journal of Occupational and Environmental Medicine, 55</w:t>
      </w:r>
      <w:r w:rsidRPr="00A65E70">
        <w:rPr>
          <w:rFonts w:eastAsia="Calibri"/>
          <w:noProof/>
          <w:lang w:val="en-US" w:eastAsia="en-US"/>
        </w:rPr>
        <w:t xml:space="preserve">(1), 10-18. </w:t>
      </w:r>
    </w:p>
    <w:p w14:paraId="042F9F44"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Mirowsky, J., &amp; Ross, C. E. (1992). Age and depression. </w:t>
      </w:r>
      <w:r w:rsidRPr="00A65E70">
        <w:rPr>
          <w:rFonts w:eastAsia="Calibri"/>
          <w:i/>
          <w:noProof/>
          <w:lang w:val="en-US" w:eastAsia="en-US"/>
        </w:rPr>
        <w:t>Journal of Health and Social Behavior</w:t>
      </w:r>
      <w:r w:rsidRPr="00A65E70">
        <w:rPr>
          <w:rFonts w:eastAsia="Calibri"/>
          <w:noProof/>
          <w:lang w:val="en-US" w:eastAsia="en-US"/>
        </w:rPr>
        <w:t xml:space="preserve">, 187-205. </w:t>
      </w:r>
    </w:p>
    <w:p w14:paraId="31FDA83B"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Nolen-Hoeksema, S. (2001). Gender differences in depression. </w:t>
      </w:r>
      <w:r w:rsidRPr="00A65E70">
        <w:rPr>
          <w:rFonts w:eastAsia="Calibri"/>
          <w:i/>
          <w:noProof/>
          <w:lang w:val="en-US" w:eastAsia="en-US"/>
        </w:rPr>
        <w:t>Current Directions In Psychological Science, 10</w:t>
      </w:r>
      <w:r w:rsidRPr="00A65E70">
        <w:rPr>
          <w:rFonts w:eastAsia="Calibri"/>
          <w:noProof/>
          <w:lang w:val="en-US" w:eastAsia="en-US"/>
        </w:rPr>
        <w:t xml:space="preserve">(5), 173-176. </w:t>
      </w:r>
    </w:p>
    <w:p w14:paraId="6B2B9F92"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Nurminen, M., &amp; Karjalainen, A. (2001). Epidemiologic estimate of the proportion of fatalities related to occupational factors in Finland</w:t>
      </w:r>
      <w:r w:rsidRPr="00A65E70">
        <w:rPr>
          <w:rFonts w:eastAsia="Calibri"/>
          <w:i/>
          <w:noProof/>
          <w:lang w:val="en-US" w:eastAsia="en-US"/>
        </w:rPr>
        <w:t>. Scandinavian Journal of Work, Environment &amp; Health</w:t>
      </w:r>
      <w:r w:rsidRPr="00A65E70">
        <w:rPr>
          <w:rFonts w:eastAsia="Calibri"/>
          <w:noProof/>
          <w:lang w:val="en-US" w:eastAsia="en-US"/>
        </w:rPr>
        <w:t xml:space="preserve">, </w:t>
      </w:r>
      <w:r w:rsidRPr="00A65E70">
        <w:rPr>
          <w:rFonts w:eastAsia="Calibri"/>
          <w:i/>
          <w:noProof/>
          <w:lang w:val="en-US" w:eastAsia="en-US"/>
        </w:rPr>
        <w:t>27</w:t>
      </w:r>
      <w:r w:rsidRPr="00A65E70">
        <w:rPr>
          <w:rFonts w:eastAsia="Calibri"/>
          <w:noProof/>
          <w:lang w:val="en-US" w:eastAsia="en-US"/>
        </w:rPr>
        <w:t>(3), 161-213.</w:t>
      </w:r>
    </w:p>
    <w:p w14:paraId="03959077"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Kahn, R. L., &amp; Byosserie, P. (1992). Stress in organizations. In M. D. Dunnete &amp; L. M. Hough (Eds.), Handbook of Industrial and Organizational Psychology (Vol. 3, pp. 571-650). Palo Alto, CA: Consulting Psychologists Press.</w:t>
      </w:r>
    </w:p>
    <w:p w14:paraId="1BD3D26A"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Owen, M. S., Bailey, T. B., &amp; Dollard, M. F. (in press, 2015). Work stress in Australia. In J. Siegrist &amp; M. Wahrendorf (Ed.), </w:t>
      </w:r>
      <w:r w:rsidRPr="00A65E70">
        <w:rPr>
          <w:rFonts w:eastAsia="Calibri"/>
          <w:i/>
          <w:noProof/>
          <w:lang w:val="en-US" w:eastAsia="en-US"/>
        </w:rPr>
        <w:t>Work stress and health in a globalized economy: The model of effort-reward imbalance</w:t>
      </w:r>
      <w:r w:rsidRPr="00A65E70">
        <w:rPr>
          <w:rFonts w:eastAsia="Calibri"/>
          <w:noProof/>
          <w:lang w:val="en-US" w:eastAsia="en-US"/>
        </w:rPr>
        <w:t xml:space="preserve"> (pp.xx-xx). Location, Location (TBC): Springer.</w:t>
      </w:r>
    </w:p>
    <w:p w14:paraId="283BF44A"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Parker, S. (2015). Does the evidence and theory support the good work design principles. Canberra: Safe Work Australia.</w:t>
      </w:r>
    </w:p>
    <w:p w14:paraId="1F17952C"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Pirkis, J., &amp; Callaly, T. (2010). Mental health outcome measurement in Australia.</w:t>
      </w:r>
      <w:r w:rsidRPr="00A65E70">
        <w:rPr>
          <w:rFonts w:eastAsia="Calibri"/>
          <w:i/>
          <w:noProof/>
          <w:lang w:val="en-US" w:eastAsia="en-US"/>
        </w:rPr>
        <w:t xml:space="preserve"> </w:t>
      </w:r>
      <w:r w:rsidRPr="00A65E70">
        <w:rPr>
          <w:rFonts w:eastAsia="Calibri"/>
          <w:noProof/>
          <w:lang w:val="en-US" w:eastAsia="en-US"/>
        </w:rPr>
        <w:t>In T. Trauer (Ed.)</w:t>
      </w:r>
      <w:r w:rsidRPr="00A65E70">
        <w:rPr>
          <w:rFonts w:eastAsia="Calibri"/>
          <w:i/>
          <w:noProof/>
          <w:lang w:val="en-US" w:eastAsia="en-US"/>
        </w:rPr>
        <w:t xml:space="preserve"> Outcome Measurement in Mental Health: Theory and Practice</w:t>
      </w:r>
      <w:r w:rsidRPr="00A65E70">
        <w:rPr>
          <w:rFonts w:eastAsia="Calibri"/>
          <w:noProof/>
          <w:lang w:val="en-US" w:eastAsia="en-US"/>
        </w:rPr>
        <w:t xml:space="preserve"> (pp. 15–23). New York, NY: Cambridge University Press.</w:t>
      </w:r>
    </w:p>
    <w:p w14:paraId="66C28E1A"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lastRenderedPageBreak/>
        <w:t>PricewaterhouseCoopers. (2014). Creating a mentally health workplace: Return on investment analysis. National Mental Health Commission.</w:t>
      </w:r>
    </w:p>
    <w:p w14:paraId="50D26279"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Productivity Commission. (2008). </w:t>
      </w:r>
      <w:r w:rsidRPr="00A65E70">
        <w:rPr>
          <w:rFonts w:eastAsia="Calibri"/>
          <w:i/>
          <w:noProof/>
          <w:lang w:val="en-US" w:eastAsia="en-US"/>
        </w:rPr>
        <w:t>Annual Report 2007-2008</w:t>
      </w:r>
      <w:r w:rsidRPr="00A65E70">
        <w:rPr>
          <w:rFonts w:eastAsia="Calibri"/>
          <w:noProof/>
          <w:lang w:val="en-US" w:eastAsia="en-US"/>
        </w:rPr>
        <w:t>.  Canberra: Annual Report Series.</w:t>
      </w:r>
    </w:p>
    <w:p w14:paraId="1C90277C" w14:textId="77777777" w:rsidR="009B4643" w:rsidRPr="009B4643" w:rsidRDefault="009B4643" w:rsidP="00C35466">
      <w:pPr>
        <w:ind w:left="709" w:hanging="720"/>
        <w:rPr>
          <w:rFonts w:eastAsia="Calibri"/>
          <w:noProof/>
          <w:lang w:val="en-US" w:eastAsia="en-US"/>
        </w:rPr>
      </w:pPr>
      <w:r w:rsidRPr="009B4643">
        <w:rPr>
          <w:rFonts w:eastAsia="Calibri"/>
          <w:noProof/>
          <w:lang w:val="en-US" w:eastAsia="en-US"/>
        </w:rPr>
        <w:t>Safe Work Australia (2014). Preventing Psychological Injury Under Work Health and Safety Laws. Canberra: Safe Work Australia.</w:t>
      </w:r>
    </w:p>
    <w:p w14:paraId="61477C5D" w14:textId="77777777" w:rsidR="009B4643" w:rsidRPr="009B4643" w:rsidRDefault="009B4643" w:rsidP="00C35466">
      <w:pPr>
        <w:ind w:left="709" w:hanging="720"/>
        <w:rPr>
          <w:rFonts w:eastAsia="Calibri"/>
          <w:noProof/>
          <w:lang w:val="en-US" w:eastAsia="en-US"/>
        </w:rPr>
      </w:pPr>
      <w:r w:rsidRPr="009B4643">
        <w:rPr>
          <w:rFonts w:eastAsia="Calibri"/>
          <w:noProof/>
          <w:lang w:val="en-US" w:eastAsia="en-US"/>
        </w:rPr>
        <w:tab/>
        <w:t xml:space="preserve">Retrieved August 310, 2016. Retrieved from: </w:t>
      </w:r>
    </w:p>
    <w:p w14:paraId="0E7ADE18" w14:textId="77777777" w:rsidR="009B4643" w:rsidRPr="009B4643" w:rsidRDefault="009B4643" w:rsidP="00C35466">
      <w:pPr>
        <w:ind w:left="709" w:hanging="720"/>
        <w:rPr>
          <w:rFonts w:eastAsia="Calibri"/>
          <w:noProof/>
          <w:lang w:val="en-US" w:eastAsia="en-US"/>
        </w:rPr>
      </w:pPr>
      <w:r w:rsidRPr="009B4643">
        <w:rPr>
          <w:rFonts w:eastAsia="Calibri"/>
          <w:noProof/>
          <w:lang w:val="en-US" w:eastAsia="en-US"/>
        </w:rPr>
        <w:t xml:space="preserve">http://www.safeworkaustralia.gov.au/sites/SWA/about/Publications/Documents/855/Preventing-Psychological-Injury-Under-WHS-Laws.pdf </w:t>
      </w:r>
    </w:p>
    <w:p w14:paraId="13722526" w14:textId="4E9B3660" w:rsidR="009B4643" w:rsidRPr="009B4643" w:rsidRDefault="009B4643" w:rsidP="00C35466">
      <w:pPr>
        <w:ind w:left="709" w:hanging="720"/>
        <w:rPr>
          <w:rFonts w:eastAsia="Calibri"/>
          <w:noProof/>
          <w:lang w:val="en-US" w:eastAsia="en-US"/>
        </w:rPr>
      </w:pPr>
      <w:r w:rsidRPr="009B4643">
        <w:rPr>
          <w:rFonts w:eastAsia="Calibri"/>
          <w:noProof/>
          <w:lang w:val="en-US" w:eastAsia="en-US"/>
        </w:rPr>
        <w:t>Safe Work Aus</w:t>
      </w:r>
      <w:r>
        <w:rPr>
          <w:rFonts w:eastAsia="Calibri"/>
          <w:noProof/>
          <w:lang w:val="en-US" w:eastAsia="en-US"/>
        </w:rPr>
        <w:t>tralia (2013a</w:t>
      </w:r>
      <w:r w:rsidRPr="009B4643">
        <w:rPr>
          <w:rFonts w:eastAsia="Calibri"/>
          <w:noProof/>
          <w:lang w:val="en-US" w:eastAsia="en-US"/>
        </w:rPr>
        <w:t>). Guide For Preventing and Responding to Workplace Bullying, November 2013. Retrieved April 5 2016. Retrieved from: http://www.safeworkaustralia.gov.au/sites/SWA/about/Publications/Documents/827/Guide-preventing-responding-workplace-bullying.pdf</w:t>
      </w:r>
    </w:p>
    <w:p w14:paraId="1D07CEA4" w14:textId="3381F0BE" w:rsidR="009B4643" w:rsidRPr="009B4643" w:rsidRDefault="009B4643" w:rsidP="00C35466">
      <w:pPr>
        <w:ind w:left="709" w:hanging="720"/>
        <w:rPr>
          <w:rFonts w:eastAsia="Calibri"/>
          <w:noProof/>
          <w:lang w:val="en-US" w:eastAsia="en-US"/>
        </w:rPr>
      </w:pPr>
      <w:r>
        <w:rPr>
          <w:rFonts w:eastAsia="Calibri"/>
          <w:noProof/>
          <w:lang w:val="en-US" w:eastAsia="en-US"/>
        </w:rPr>
        <w:t>Safe Work Australia (2013b</w:t>
      </w:r>
      <w:r w:rsidRPr="009B4643">
        <w:rPr>
          <w:rFonts w:eastAsia="Calibri"/>
          <w:noProof/>
          <w:lang w:val="en-US" w:eastAsia="en-US"/>
        </w:rPr>
        <w:t>). Dealing with Workplace Bullying – A Worker’s Guide. Canberra: Safe Work Australia.</w:t>
      </w:r>
    </w:p>
    <w:p w14:paraId="4F8F2705" w14:textId="77777777" w:rsidR="009B4643" w:rsidRPr="009B4643" w:rsidRDefault="009B4643" w:rsidP="00C35466">
      <w:pPr>
        <w:ind w:left="709" w:hanging="720"/>
        <w:rPr>
          <w:rFonts w:eastAsia="Calibri"/>
          <w:noProof/>
          <w:lang w:val="en-US" w:eastAsia="en-US"/>
        </w:rPr>
      </w:pPr>
      <w:r w:rsidRPr="009B4643">
        <w:rPr>
          <w:rFonts w:eastAsia="Calibri"/>
          <w:noProof/>
          <w:lang w:val="en-US" w:eastAsia="en-US"/>
        </w:rPr>
        <w:tab/>
        <w:t>Retrieved on 310 August, 2016.</w:t>
      </w:r>
    </w:p>
    <w:p w14:paraId="41D8C28F" w14:textId="77777777" w:rsidR="009B4643" w:rsidRPr="009B4643" w:rsidRDefault="009B4643" w:rsidP="00C35466">
      <w:pPr>
        <w:ind w:left="709" w:hanging="720"/>
        <w:rPr>
          <w:rFonts w:eastAsia="Calibri"/>
          <w:noProof/>
          <w:lang w:val="en-US" w:eastAsia="en-US"/>
        </w:rPr>
      </w:pPr>
      <w:r w:rsidRPr="009B4643">
        <w:rPr>
          <w:rFonts w:eastAsia="Calibri"/>
          <w:noProof/>
          <w:lang w:val="en-US" w:eastAsia="en-US"/>
        </w:rPr>
        <w:tab/>
        <w:t xml:space="preserve">Retrieved from: http://www.safeworkaustralia.gov.au/sites/SWA/about/Publications/Documents/828/Workers-Guide-workplace-bullying.pdf </w:t>
      </w:r>
    </w:p>
    <w:p w14:paraId="33ACB653" w14:textId="77777777" w:rsidR="009B4643" w:rsidRPr="009B4643" w:rsidRDefault="009B4643" w:rsidP="00C35466">
      <w:pPr>
        <w:ind w:left="709" w:hanging="720"/>
        <w:rPr>
          <w:rFonts w:eastAsia="Calibri"/>
          <w:noProof/>
          <w:lang w:val="en-US" w:eastAsia="en-US"/>
        </w:rPr>
      </w:pPr>
      <w:r w:rsidRPr="009B4643">
        <w:rPr>
          <w:rFonts w:eastAsia="Calibri"/>
          <w:noProof/>
          <w:lang w:val="en-US" w:eastAsia="en-US"/>
        </w:rPr>
        <w:t>Safe Work Australia (2013c). Safe Work Australia (2013c). Guide for Managing the Risk of Fatigue at Work. Canberra: Safe Work Australia.</w:t>
      </w:r>
    </w:p>
    <w:p w14:paraId="03DB67D8" w14:textId="77777777" w:rsidR="009B4643" w:rsidRPr="009B4643" w:rsidRDefault="009B4643" w:rsidP="00C35466">
      <w:pPr>
        <w:ind w:left="709" w:hanging="720"/>
        <w:rPr>
          <w:rFonts w:eastAsia="Calibri"/>
          <w:noProof/>
          <w:lang w:val="en-US" w:eastAsia="en-US"/>
        </w:rPr>
      </w:pPr>
      <w:r w:rsidRPr="009B4643">
        <w:rPr>
          <w:rFonts w:eastAsia="Calibri"/>
          <w:noProof/>
          <w:lang w:val="en-US" w:eastAsia="en-US"/>
        </w:rPr>
        <w:tab/>
        <w:t>Retrieved August 31, 2016.</w:t>
      </w:r>
    </w:p>
    <w:p w14:paraId="132B8D35" w14:textId="77777777" w:rsidR="009B4643" w:rsidRPr="009B4643" w:rsidRDefault="009B4643" w:rsidP="00C35466">
      <w:pPr>
        <w:ind w:left="709" w:hanging="720"/>
        <w:rPr>
          <w:rFonts w:eastAsia="Calibri"/>
          <w:noProof/>
          <w:lang w:val="en-US" w:eastAsia="en-US"/>
        </w:rPr>
      </w:pPr>
      <w:r w:rsidRPr="009B4643">
        <w:rPr>
          <w:rFonts w:eastAsia="Calibri"/>
          <w:noProof/>
          <w:lang w:val="en-US" w:eastAsia="en-US"/>
        </w:rPr>
        <w:tab/>
        <w:t>Retrieved from: http://www.safeworkaustralia.gov.au/sites/SWA/about/Publications/Documents/825/Managing-the-risk-of-fatigue.pdf</w:t>
      </w:r>
    </w:p>
    <w:p w14:paraId="08D4E587" w14:textId="77777777" w:rsidR="009B4643" w:rsidRPr="009B4643" w:rsidRDefault="009B4643" w:rsidP="00C35466">
      <w:pPr>
        <w:ind w:left="709" w:hanging="720"/>
        <w:rPr>
          <w:rFonts w:eastAsia="Calibri"/>
          <w:noProof/>
          <w:lang w:val="en-US" w:eastAsia="en-US"/>
        </w:rPr>
      </w:pPr>
      <w:r w:rsidRPr="009B4643">
        <w:rPr>
          <w:rFonts w:eastAsia="Calibri"/>
          <w:noProof/>
          <w:lang w:val="en-US" w:eastAsia="en-US"/>
        </w:rPr>
        <w:t>Safe Work Australia (2013d). Fatigue Management: A Worker’s Guide. Canberra: Safe Work Australia.</w:t>
      </w:r>
    </w:p>
    <w:p w14:paraId="6A761327" w14:textId="77777777" w:rsidR="009B4643" w:rsidRPr="009B4643" w:rsidRDefault="009B4643" w:rsidP="00C35466">
      <w:pPr>
        <w:ind w:left="709" w:hanging="720"/>
        <w:rPr>
          <w:rFonts w:eastAsia="Calibri"/>
          <w:noProof/>
          <w:lang w:val="en-US" w:eastAsia="en-US"/>
        </w:rPr>
      </w:pPr>
      <w:r w:rsidRPr="009B4643">
        <w:rPr>
          <w:rFonts w:eastAsia="Calibri"/>
          <w:noProof/>
          <w:lang w:val="en-US" w:eastAsia="en-US"/>
        </w:rPr>
        <w:tab/>
        <w:t>Retrieved on 31 August 2016.</w:t>
      </w:r>
    </w:p>
    <w:p w14:paraId="73AC32C2" w14:textId="455297BA" w:rsidR="009B4643" w:rsidRDefault="009B4643" w:rsidP="00C35466">
      <w:pPr>
        <w:ind w:left="709" w:hanging="720"/>
        <w:rPr>
          <w:rFonts w:eastAsia="Calibri"/>
          <w:noProof/>
          <w:lang w:val="en-US" w:eastAsia="en-US"/>
        </w:rPr>
      </w:pPr>
      <w:r w:rsidRPr="009B4643">
        <w:rPr>
          <w:rFonts w:eastAsia="Calibri"/>
          <w:noProof/>
          <w:lang w:val="en-US" w:eastAsia="en-US"/>
        </w:rPr>
        <w:tab/>
        <w:t>Retrieved from: http://www.safeworkaustralia.gov.au/sites/SWA/about/Publications/Documents/826/Fatigue-Management-A-Workers-Guide.pdf</w:t>
      </w:r>
      <w:r w:rsidR="00C35466">
        <w:rPr>
          <w:rFonts w:eastAsia="Calibri"/>
          <w:noProof/>
          <w:lang w:val="en-US" w:eastAsia="en-US"/>
        </w:rPr>
        <w:t xml:space="preserve"> </w:t>
      </w:r>
    </w:p>
    <w:p w14:paraId="32188C6E"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Schaufeli, W. B., Bakker, A. B., &amp; Salanova, M. (2006). The measurement of work engagement with a short questionnaire a cross-national study. </w:t>
      </w:r>
      <w:r w:rsidRPr="00A65E70">
        <w:rPr>
          <w:rFonts w:eastAsia="Calibri"/>
          <w:i/>
          <w:noProof/>
          <w:lang w:val="en-US" w:eastAsia="en-US"/>
        </w:rPr>
        <w:t>Educational and Psychological Measurement, 66</w:t>
      </w:r>
      <w:r w:rsidRPr="00A65E70">
        <w:rPr>
          <w:rFonts w:eastAsia="Calibri"/>
          <w:noProof/>
          <w:lang w:val="en-US" w:eastAsia="en-US"/>
        </w:rPr>
        <w:t xml:space="preserve">(4), 701-716. </w:t>
      </w:r>
    </w:p>
    <w:p w14:paraId="72D034F2"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Schaufeli, W. B., Salanova, M., González-Romá, V., &amp; Bakker, A. B. (2002). The measurement of engagement and burnout: A two sample confirmatory factor analytic approach. </w:t>
      </w:r>
      <w:r w:rsidRPr="00A65E70">
        <w:rPr>
          <w:rFonts w:eastAsia="Calibri"/>
          <w:i/>
          <w:noProof/>
          <w:lang w:val="en-US" w:eastAsia="en-US"/>
        </w:rPr>
        <w:t>Journal of Happiness Studies, 3</w:t>
      </w:r>
      <w:r w:rsidRPr="00A65E70">
        <w:rPr>
          <w:rFonts w:eastAsia="Calibri"/>
          <w:noProof/>
          <w:lang w:val="en-US" w:eastAsia="en-US"/>
        </w:rPr>
        <w:t xml:space="preserve">(1), 71-92. </w:t>
      </w:r>
    </w:p>
    <w:p w14:paraId="388C11B7"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Silva, A. A., Souza, J. M. P. d., Borges, F. N. d. S., &amp; Fischer, F. M. (2010). Health-related quality of life and working conditions among nursing providers. </w:t>
      </w:r>
      <w:r w:rsidRPr="00A65E70">
        <w:rPr>
          <w:rFonts w:eastAsia="Calibri"/>
          <w:i/>
          <w:noProof/>
          <w:lang w:val="en-US" w:eastAsia="en-US"/>
        </w:rPr>
        <w:t>Revista de Saúde Pública, 44</w:t>
      </w:r>
      <w:r w:rsidRPr="00A65E70">
        <w:rPr>
          <w:rFonts w:eastAsia="Calibri"/>
          <w:noProof/>
          <w:lang w:val="en-US" w:eastAsia="en-US"/>
        </w:rPr>
        <w:t xml:space="preserve">(4), 718-725. </w:t>
      </w:r>
    </w:p>
    <w:p w14:paraId="70905F3C" w14:textId="77777777" w:rsidR="00A65E70" w:rsidRPr="00A65E70" w:rsidRDefault="00A65E70" w:rsidP="00C35466">
      <w:pPr>
        <w:ind w:left="709" w:hanging="720"/>
        <w:rPr>
          <w:rFonts w:eastAsia="Calibri"/>
          <w:noProof/>
          <w:lang w:val="en-US" w:eastAsia="en-US"/>
        </w:rPr>
      </w:pPr>
      <w:r w:rsidRPr="00A65E70">
        <w:rPr>
          <w:rFonts w:eastAsia="Calibri"/>
          <w:noProof/>
          <w:lang w:val="en-US" w:eastAsia="en-US"/>
        </w:rPr>
        <w:t xml:space="preserve">Spender, J. C., &amp; Grant, R. M. (1996). Knowledge and the firm: overview. </w:t>
      </w:r>
      <w:r w:rsidRPr="00A65E70">
        <w:rPr>
          <w:rFonts w:eastAsia="Calibri"/>
          <w:i/>
          <w:noProof/>
          <w:lang w:val="en-US" w:eastAsia="en-US"/>
        </w:rPr>
        <w:t>Strategic Management Journal, 17</w:t>
      </w:r>
      <w:r w:rsidRPr="00A65E70">
        <w:rPr>
          <w:rFonts w:eastAsia="Calibri"/>
          <w:noProof/>
          <w:lang w:val="en-US" w:eastAsia="en-US"/>
        </w:rPr>
        <w:t xml:space="preserve">(S2), 5-9. </w:t>
      </w:r>
    </w:p>
    <w:p w14:paraId="39DC0462" w14:textId="77777777" w:rsidR="00EE707B" w:rsidRDefault="00A65E70" w:rsidP="00C35466">
      <w:pPr>
        <w:ind w:left="709" w:hanging="720"/>
        <w:rPr>
          <w:rFonts w:eastAsia="Calibri"/>
          <w:noProof/>
          <w:lang w:val="en-US" w:eastAsia="en-US"/>
        </w:rPr>
      </w:pPr>
      <w:r w:rsidRPr="00A65E70">
        <w:rPr>
          <w:rFonts w:eastAsia="Calibri"/>
          <w:noProof/>
          <w:lang w:val="en-US" w:eastAsia="en-US"/>
        </w:rPr>
        <w:t xml:space="preserve">Zhang, M., Rost, K. M., Fortney, J. C., &amp; Smith, G. R. (1999). A community study of depression treatment and employment earnings. </w:t>
      </w:r>
      <w:r w:rsidRPr="00A65E70">
        <w:rPr>
          <w:rFonts w:eastAsia="Calibri"/>
          <w:i/>
          <w:noProof/>
          <w:lang w:val="en-US" w:eastAsia="en-US"/>
        </w:rPr>
        <w:t>Psychiatric Services, 50</w:t>
      </w:r>
      <w:r w:rsidRPr="00A65E70">
        <w:rPr>
          <w:rFonts w:eastAsia="Calibri"/>
          <w:noProof/>
          <w:lang w:val="en-US" w:eastAsia="en-US"/>
        </w:rPr>
        <w:t xml:space="preserve">(9), 1209-1213. </w:t>
      </w:r>
    </w:p>
    <w:p w14:paraId="5416AF67" w14:textId="031EC7EA" w:rsidR="00A65E70" w:rsidRPr="00A65E70" w:rsidRDefault="00A65E70" w:rsidP="00C35466">
      <w:pPr>
        <w:pStyle w:val="Heading1"/>
        <w:rPr>
          <w:lang w:eastAsia="en-US"/>
        </w:rPr>
      </w:pPr>
      <w:r w:rsidRPr="00A65E70">
        <w:rPr>
          <w:lang w:eastAsia="en-US"/>
        </w:rPr>
        <w:lastRenderedPageBreak/>
        <w:t>Appendix</w:t>
      </w:r>
      <w:r w:rsidR="00513F0E">
        <w:rPr>
          <w:lang w:eastAsia="en-US"/>
        </w:rPr>
        <w:t xml:space="preserve"> 1</w:t>
      </w:r>
    </w:p>
    <w:p w14:paraId="000FC0CE" w14:textId="77777777" w:rsidR="00A65E70" w:rsidRPr="00A65E70" w:rsidRDefault="00A65E70" w:rsidP="00C35466">
      <w:pPr>
        <w:rPr>
          <w:rFonts w:eastAsia="Calibri"/>
          <w:lang w:eastAsia="en-US"/>
        </w:rPr>
      </w:pPr>
      <w:r w:rsidRPr="00A65E70">
        <w:rPr>
          <w:rFonts w:eastAsia="Calibri"/>
          <w:lang w:eastAsia="en-US"/>
        </w:rPr>
        <w:t>The formula to calculate sickness absence costs is as follows:</w:t>
      </w:r>
    </w:p>
    <w:p w14:paraId="776446EB" w14:textId="77777777" w:rsidR="00A65E70" w:rsidRPr="00A65E70" w:rsidRDefault="00A65E70" w:rsidP="00C35466">
      <w:pPr>
        <w:rPr>
          <w:lang w:eastAsia="en-US"/>
        </w:rPr>
      </w:pPr>
      <w:r w:rsidRPr="00A65E70">
        <w:rPr>
          <w:i/>
          <w:lang w:eastAsia="en-US"/>
        </w:rPr>
        <w:t>Sickness absence costs</w:t>
      </w:r>
      <w:r w:rsidRPr="00A65E70">
        <w:rPr>
          <w:lang w:eastAsia="en-US"/>
        </w:rPr>
        <w:t xml:space="preserve"> = (days missed in past 4 weeks) x (7.5 hours worked per day) x (12 months per year) x (average wage $34.99 per hour).</w:t>
      </w:r>
    </w:p>
    <w:p w14:paraId="61A67B0D" w14:textId="77777777" w:rsidR="00EE707B" w:rsidRDefault="00A65E70" w:rsidP="00C35466">
      <w:pPr>
        <w:rPr>
          <w:lang w:eastAsia="en-US"/>
        </w:rPr>
      </w:pPr>
      <w:r w:rsidRPr="00A65E70">
        <w:rPr>
          <w:lang w:eastAsia="en-US"/>
        </w:rPr>
        <w:t xml:space="preserve">The average hours per day lost due to a sick day is set at 7.5 hours, despite the presence of part-time and casual workers in the dataset. Participants’ shift lengths were not measured. While some part-time workers may have shorter shifts, this is likely offset by other part-time workers and some full-time workers who work considerably more than 7.5 hours per shift. The amount of lost hours in the past month were multiplied by 12 to extrapolate to a year, even though most full time workers only work 11 months per year after recreational leave. We operated under the assumption that participants were equally as likely to take recreational leave during the study period as any other time, and so any recreational leave would be automatically accounted for. </w:t>
      </w:r>
    </w:p>
    <w:p w14:paraId="359311A6" w14:textId="48A0F366" w:rsidR="00513F0E" w:rsidRDefault="00513F0E">
      <w:pPr>
        <w:rPr>
          <w:rFonts w:eastAsiaTheme="majorEastAsia" w:cstheme="majorBidi"/>
          <w:b/>
          <w:color w:val="1F497D" w:themeColor="text2"/>
          <w:sz w:val="28"/>
          <w:szCs w:val="28"/>
          <w:lang w:eastAsia="en-US"/>
        </w:rPr>
      </w:pPr>
      <w:r>
        <w:rPr>
          <w:lang w:eastAsia="en-US"/>
        </w:rPr>
        <w:br w:type="page"/>
      </w:r>
    </w:p>
    <w:p w14:paraId="243F6C18" w14:textId="4EE8019F" w:rsidR="00A65E70" w:rsidRPr="00C42D08" w:rsidRDefault="00A65E70" w:rsidP="00513F0E">
      <w:pPr>
        <w:pStyle w:val="Heading1"/>
        <w:rPr>
          <w:lang w:eastAsia="en-US"/>
        </w:rPr>
      </w:pPr>
      <w:r w:rsidRPr="00A65E70">
        <w:rPr>
          <w:lang w:eastAsia="en-US"/>
        </w:rPr>
        <w:lastRenderedPageBreak/>
        <w:t>Appendix 2</w:t>
      </w:r>
      <w:r w:rsidRPr="00A65E70">
        <w:rPr>
          <w:i/>
          <w:lang w:eastAsia="en-US"/>
        </w:rPr>
        <w:t xml:space="preserve"> </w:t>
      </w:r>
    </w:p>
    <w:p w14:paraId="3022A08C" w14:textId="77777777" w:rsidR="00A65E70" w:rsidRPr="00A65E70" w:rsidRDefault="00A65E70" w:rsidP="00513F0E">
      <w:pPr>
        <w:pStyle w:val="Heading2"/>
      </w:pPr>
      <w:r w:rsidRPr="00A65E70">
        <w:t>Correlation matrix of dichotomised key variables</w:t>
      </w:r>
    </w:p>
    <w:tbl>
      <w:tblPr>
        <w:tblStyle w:val="TableGrid1"/>
        <w:tblpPr w:leftFromText="181" w:rightFromText="181" w:vertAnchor="text" w:horzAnchor="margin" w:tblpY="1"/>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rrelation matrix of dichotomised key variables"/>
        <w:tblDescription w:val="This table presents a correlation matrix of dichotomised key variables including low PSC, depression, psychological distress, low engagement, sickness absence and presenteeism. "/>
      </w:tblPr>
      <w:tblGrid>
        <w:gridCol w:w="2830"/>
        <w:gridCol w:w="794"/>
        <w:gridCol w:w="794"/>
        <w:gridCol w:w="794"/>
        <w:gridCol w:w="794"/>
        <w:gridCol w:w="794"/>
        <w:gridCol w:w="794"/>
      </w:tblGrid>
      <w:tr w:rsidR="00A65E70" w:rsidRPr="00A65E70" w14:paraId="2C0417E8" w14:textId="77777777" w:rsidTr="009B55B4">
        <w:trPr>
          <w:trHeight w:val="436"/>
          <w:tblHeader/>
        </w:trPr>
        <w:tc>
          <w:tcPr>
            <w:tcW w:w="2830" w:type="dxa"/>
            <w:tcBorders>
              <w:top w:val="single" w:sz="18" w:space="0" w:color="auto"/>
              <w:bottom w:val="single" w:sz="8" w:space="0" w:color="auto"/>
            </w:tcBorders>
            <w:hideMark/>
          </w:tcPr>
          <w:p w14:paraId="3B75EDCE" w14:textId="77777777" w:rsidR="00A65E70" w:rsidRPr="00A65E70" w:rsidRDefault="00A65E70" w:rsidP="00C35466">
            <w:pPr>
              <w:rPr>
                <w:lang w:val="en-AU"/>
              </w:rPr>
            </w:pPr>
            <w:r w:rsidRPr="00A65E70">
              <w:rPr>
                <w:lang w:val="en-AU"/>
              </w:rPr>
              <w:t> </w:t>
            </w:r>
          </w:p>
        </w:tc>
        <w:tc>
          <w:tcPr>
            <w:tcW w:w="794" w:type="dxa"/>
            <w:tcBorders>
              <w:top w:val="single" w:sz="18" w:space="0" w:color="auto"/>
              <w:bottom w:val="single" w:sz="8" w:space="0" w:color="auto"/>
            </w:tcBorders>
            <w:hideMark/>
          </w:tcPr>
          <w:p w14:paraId="3630D499" w14:textId="77777777" w:rsidR="00A65E70" w:rsidRPr="00A65E70" w:rsidRDefault="00A65E70" w:rsidP="00C35466">
            <w:pPr>
              <w:rPr>
                <w:lang w:val="en-AU"/>
              </w:rPr>
            </w:pPr>
            <w:r w:rsidRPr="00A65E70">
              <w:rPr>
                <w:lang w:val="en-AU"/>
              </w:rPr>
              <w:t>1</w:t>
            </w:r>
          </w:p>
        </w:tc>
        <w:tc>
          <w:tcPr>
            <w:tcW w:w="794" w:type="dxa"/>
            <w:tcBorders>
              <w:top w:val="single" w:sz="18" w:space="0" w:color="auto"/>
              <w:bottom w:val="single" w:sz="8" w:space="0" w:color="auto"/>
            </w:tcBorders>
            <w:hideMark/>
          </w:tcPr>
          <w:p w14:paraId="0A58C67B" w14:textId="77777777" w:rsidR="00A65E70" w:rsidRPr="00A65E70" w:rsidRDefault="00A65E70" w:rsidP="00C35466">
            <w:pPr>
              <w:rPr>
                <w:lang w:val="en-AU"/>
              </w:rPr>
            </w:pPr>
            <w:r w:rsidRPr="00A65E70">
              <w:rPr>
                <w:lang w:val="en-AU"/>
              </w:rPr>
              <w:t>2</w:t>
            </w:r>
          </w:p>
        </w:tc>
        <w:tc>
          <w:tcPr>
            <w:tcW w:w="794" w:type="dxa"/>
            <w:tcBorders>
              <w:top w:val="single" w:sz="18" w:space="0" w:color="auto"/>
              <w:bottom w:val="single" w:sz="8" w:space="0" w:color="auto"/>
            </w:tcBorders>
            <w:hideMark/>
          </w:tcPr>
          <w:p w14:paraId="0AC30872" w14:textId="77777777" w:rsidR="00A65E70" w:rsidRPr="00A65E70" w:rsidRDefault="00A65E70" w:rsidP="00C35466">
            <w:pPr>
              <w:rPr>
                <w:lang w:val="en-AU"/>
              </w:rPr>
            </w:pPr>
            <w:r w:rsidRPr="00A65E70">
              <w:rPr>
                <w:lang w:val="en-AU"/>
              </w:rPr>
              <w:t>3</w:t>
            </w:r>
          </w:p>
        </w:tc>
        <w:tc>
          <w:tcPr>
            <w:tcW w:w="794" w:type="dxa"/>
            <w:tcBorders>
              <w:top w:val="single" w:sz="18" w:space="0" w:color="auto"/>
              <w:bottom w:val="single" w:sz="8" w:space="0" w:color="auto"/>
            </w:tcBorders>
            <w:hideMark/>
          </w:tcPr>
          <w:p w14:paraId="7727B3E2" w14:textId="77777777" w:rsidR="00A65E70" w:rsidRPr="00A65E70" w:rsidRDefault="00A65E70" w:rsidP="00C35466">
            <w:pPr>
              <w:rPr>
                <w:lang w:val="en-AU"/>
              </w:rPr>
            </w:pPr>
            <w:r w:rsidRPr="00A65E70">
              <w:rPr>
                <w:lang w:val="en-AU"/>
              </w:rPr>
              <w:t>4</w:t>
            </w:r>
          </w:p>
        </w:tc>
        <w:tc>
          <w:tcPr>
            <w:tcW w:w="794" w:type="dxa"/>
            <w:tcBorders>
              <w:top w:val="single" w:sz="18" w:space="0" w:color="auto"/>
              <w:bottom w:val="single" w:sz="8" w:space="0" w:color="auto"/>
            </w:tcBorders>
            <w:hideMark/>
          </w:tcPr>
          <w:p w14:paraId="492CE754" w14:textId="77777777" w:rsidR="00A65E70" w:rsidRPr="00A65E70" w:rsidRDefault="00A65E70" w:rsidP="00C35466">
            <w:pPr>
              <w:rPr>
                <w:lang w:val="en-AU"/>
              </w:rPr>
            </w:pPr>
            <w:r w:rsidRPr="00A65E70">
              <w:rPr>
                <w:lang w:val="en-AU"/>
              </w:rPr>
              <w:t>5</w:t>
            </w:r>
          </w:p>
        </w:tc>
        <w:tc>
          <w:tcPr>
            <w:tcW w:w="794" w:type="dxa"/>
            <w:tcBorders>
              <w:top w:val="single" w:sz="18" w:space="0" w:color="auto"/>
              <w:bottom w:val="single" w:sz="8" w:space="0" w:color="auto"/>
            </w:tcBorders>
            <w:hideMark/>
          </w:tcPr>
          <w:p w14:paraId="5AB34FAA" w14:textId="77777777" w:rsidR="00A65E70" w:rsidRPr="00A65E70" w:rsidRDefault="00A65E70" w:rsidP="00C35466">
            <w:pPr>
              <w:rPr>
                <w:lang w:val="en-AU"/>
              </w:rPr>
            </w:pPr>
            <w:r w:rsidRPr="00A65E70">
              <w:rPr>
                <w:lang w:val="en-AU"/>
              </w:rPr>
              <w:t>6</w:t>
            </w:r>
          </w:p>
        </w:tc>
      </w:tr>
      <w:tr w:rsidR="00A65E70" w:rsidRPr="00A65E70" w14:paraId="56C0FE5A" w14:textId="77777777" w:rsidTr="007032DD">
        <w:trPr>
          <w:trHeight w:val="307"/>
        </w:trPr>
        <w:tc>
          <w:tcPr>
            <w:tcW w:w="2830" w:type="dxa"/>
            <w:tcBorders>
              <w:top w:val="single" w:sz="8" w:space="0" w:color="auto"/>
            </w:tcBorders>
            <w:hideMark/>
          </w:tcPr>
          <w:p w14:paraId="3415EF61" w14:textId="77777777" w:rsidR="00A65E70" w:rsidRPr="00A65E70" w:rsidRDefault="00A65E70" w:rsidP="00C35466">
            <w:pPr>
              <w:rPr>
                <w:lang w:val="en-AU"/>
              </w:rPr>
            </w:pPr>
            <w:r w:rsidRPr="00A65E70">
              <w:rPr>
                <w:lang w:val="en-AU"/>
              </w:rPr>
              <w:t>1. Low PSC</w:t>
            </w:r>
          </w:p>
        </w:tc>
        <w:tc>
          <w:tcPr>
            <w:tcW w:w="794" w:type="dxa"/>
            <w:tcBorders>
              <w:top w:val="single" w:sz="8" w:space="0" w:color="auto"/>
            </w:tcBorders>
            <w:noWrap/>
            <w:hideMark/>
          </w:tcPr>
          <w:p w14:paraId="488D3CBF" w14:textId="77777777" w:rsidR="00A65E70" w:rsidRPr="00A65E70" w:rsidRDefault="00A65E70" w:rsidP="00C35466">
            <w:pPr>
              <w:rPr>
                <w:lang w:val="en-AU"/>
              </w:rPr>
            </w:pPr>
            <w:r w:rsidRPr="00A65E70">
              <w:rPr>
                <w:lang w:val="en-AU"/>
              </w:rPr>
              <w:t> 1</w:t>
            </w:r>
          </w:p>
        </w:tc>
        <w:tc>
          <w:tcPr>
            <w:tcW w:w="794" w:type="dxa"/>
            <w:tcBorders>
              <w:top w:val="single" w:sz="8" w:space="0" w:color="auto"/>
            </w:tcBorders>
            <w:noWrap/>
          </w:tcPr>
          <w:p w14:paraId="6D60436D" w14:textId="77777777" w:rsidR="00A65E70" w:rsidRPr="00A65E70" w:rsidRDefault="00A65E70" w:rsidP="00C35466">
            <w:pPr>
              <w:rPr>
                <w:lang w:val="en-AU"/>
              </w:rPr>
            </w:pPr>
          </w:p>
        </w:tc>
        <w:tc>
          <w:tcPr>
            <w:tcW w:w="794" w:type="dxa"/>
            <w:tcBorders>
              <w:top w:val="single" w:sz="8" w:space="0" w:color="auto"/>
            </w:tcBorders>
            <w:noWrap/>
            <w:hideMark/>
          </w:tcPr>
          <w:p w14:paraId="210796D9" w14:textId="77777777" w:rsidR="00A65E70" w:rsidRPr="00A65E70" w:rsidRDefault="00A65E70" w:rsidP="00C35466">
            <w:pPr>
              <w:rPr>
                <w:lang w:val="en-AU"/>
              </w:rPr>
            </w:pPr>
          </w:p>
        </w:tc>
        <w:tc>
          <w:tcPr>
            <w:tcW w:w="794" w:type="dxa"/>
            <w:tcBorders>
              <w:top w:val="single" w:sz="8" w:space="0" w:color="auto"/>
            </w:tcBorders>
            <w:noWrap/>
            <w:hideMark/>
          </w:tcPr>
          <w:p w14:paraId="3B32CC30" w14:textId="77777777" w:rsidR="00A65E70" w:rsidRPr="00A65E70" w:rsidRDefault="00A65E70" w:rsidP="00C35466">
            <w:pPr>
              <w:rPr>
                <w:lang w:val="en-AU"/>
              </w:rPr>
            </w:pPr>
          </w:p>
        </w:tc>
        <w:tc>
          <w:tcPr>
            <w:tcW w:w="794" w:type="dxa"/>
            <w:tcBorders>
              <w:top w:val="single" w:sz="8" w:space="0" w:color="auto"/>
            </w:tcBorders>
            <w:noWrap/>
          </w:tcPr>
          <w:p w14:paraId="26D0209C" w14:textId="77777777" w:rsidR="00A65E70" w:rsidRPr="00A65E70" w:rsidRDefault="00A65E70" w:rsidP="00C35466">
            <w:pPr>
              <w:rPr>
                <w:lang w:val="en-AU"/>
              </w:rPr>
            </w:pPr>
          </w:p>
        </w:tc>
        <w:tc>
          <w:tcPr>
            <w:tcW w:w="794" w:type="dxa"/>
            <w:tcBorders>
              <w:top w:val="single" w:sz="8" w:space="0" w:color="auto"/>
            </w:tcBorders>
            <w:noWrap/>
          </w:tcPr>
          <w:p w14:paraId="197FCBFA" w14:textId="77777777" w:rsidR="00A65E70" w:rsidRPr="00A65E70" w:rsidRDefault="00A65E70" w:rsidP="00C35466">
            <w:pPr>
              <w:rPr>
                <w:lang w:val="en-AU"/>
              </w:rPr>
            </w:pPr>
          </w:p>
        </w:tc>
      </w:tr>
      <w:tr w:rsidR="00A65E70" w:rsidRPr="00A65E70" w14:paraId="563AB1C7" w14:textId="77777777" w:rsidTr="007032DD">
        <w:trPr>
          <w:trHeight w:val="293"/>
        </w:trPr>
        <w:tc>
          <w:tcPr>
            <w:tcW w:w="2830" w:type="dxa"/>
            <w:hideMark/>
          </w:tcPr>
          <w:p w14:paraId="44EA95F1" w14:textId="77777777" w:rsidR="00A65E70" w:rsidRPr="00A65E70" w:rsidRDefault="00A65E70" w:rsidP="00C35466">
            <w:pPr>
              <w:rPr>
                <w:lang w:val="en-AU"/>
              </w:rPr>
            </w:pPr>
            <w:r w:rsidRPr="00A65E70">
              <w:rPr>
                <w:lang w:val="en-AU"/>
              </w:rPr>
              <w:t>2. Depression</w:t>
            </w:r>
          </w:p>
        </w:tc>
        <w:tc>
          <w:tcPr>
            <w:tcW w:w="794" w:type="dxa"/>
            <w:noWrap/>
            <w:hideMark/>
          </w:tcPr>
          <w:p w14:paraId="768710D2" w14:textId="77777777" w:rsidR="00A65E70" w:rsidRPr="00A65E70" w:rsidRDefault="00A65E70" w:rsidP="00C35466">
            <w:pPr>
              <w:rPr>
                <w:lang w:val="en-AU"/>
              </w:rPr>
            </w:pPr>
            <w:r w:rsidRPr="00A65E70">
              <w:rPr>
                <w:lang w:val="en-AU"/>
              </w:rPr>
              <w:t>.22*</w:t>
            </w:r>
          </w:p>
        </w:tc>
        <w:tc>
          <w:tcPr>
            <w:tcW w:w="794" w:type="dxa"/>
            <w:noWrap/>
            <w:hideMark/>
          </w:tcPr>
          <w:p w14:paraId="369D3310" w14:textId="77777777" w:rsidR="00A65E70" w:rsidRPr="00A65E70" w:rsidRDefault="00A65E70" w:rsidP="00C35466">
            <w:pPr>
              <w:rPr>
                <w:lang w:val="en-AU"/>
              </w:rPr>
            </w:pPr>
            <w:r w:rsidRPr="00A65E70">
              <w:rPr>
                <w:lang w:val="en-AU"/>
              </w:rPr>
              <w:t> 1</w:t>
            </w:r>
          </w:p>
        </w:tc>
        <w:tc>
          <w:tcPr>
            <w:tcW w:w="794" w:type="dxa"/>
            <w:noWrap/>
            <w:hideMark/>
          </w:tcPr>
          <w:p w14:paraId="47BCC082" w14:textId="77777777" w:rsidR="00A65E70" w:rsidRPr="00A65E70" w:rsidRDefault="00A65E70" w:rsidP="00C35466">
            <w:pPr>
              <w:rPr>
                <w:lang w:val="en-AU"/>
              </w:rPr>
            </w:pPr>
          </w:p>
        </w:tc>
        <w:tc>
          <w:tcPr>
            <w:tcW w:w="794" w:type="dxa"/>
            <w:noWrap/>
            <w:hideMark/>
          </w:tcPr>
          <w:p w14:paraId="2F3210F2" w14:textId="77777777" w:rsidR="00A65E70" w:rsidRPr="00A65E70" w:rsidRDefault="00A65E70" w:rsidP="00C35466">
            <w:pPr>
              <w:rPr>
                <w:lang w:val="en-AU"/>
              </w:rPr>
            </w:pPr>
          </w:p>
        </w:tc>
        <w:tc>
          <w:tcPr>
            <w:tcW w:w="794" w:type="dxa"/>
            <w:noWrap/>
          </w:tcPr>
          <w:p w14:paraId="2EC0E5F6" w14:textId="77777777" w:rsidR="00A65E70" w:rsidRPr="00A65E70" w:rsidRDefault="00A65E70" w:rsidP="00C35466">
            <w:pPr>
              <w:rPr>
                <w:lang w:val="en-AU"/>
              </w:rPr>
            </w:pPr>
          </w:p>
        </w:tc>
        <w:tc>
          <w:tcPr>
            <w:tcW w:w="794" w:type="dxa"/>
            <w:noWrap/>
          </w:tcPr>
          <w:p w14:paraId="3942E43C" w14:textId="77777777" w:rsidR="00A65E70" w:rsidRPr="00A65E70" w:rsidRDefault="00A65E70" w:rsidP="00C35466">
            <w:pPr>
              <w:rPr>
                <w:lang w:val="en-AU"/>
              </w:rPr>
            </w:pPr>
          </w:p>
        </w:tc>
      </w:tr>
      <w:tr w:rsidR="00A65E70" w:rsidRPr="00A65E70" w14:paraId="6D708818" w14:textId="77777777" w:rsidTr="007032DD">
        <w:trPr>
          <w:trHeight w:val="293"/>
        </w:trPr>
        <w:tc>
          <w:tcPr>
            <w:tcW w:w="2830" w:type="dxa"/>
            <w:hideMark/>
          </w:tcPr>
          <w:p w14:paraId="24C31349" w14:textId="77777777" w:rsidR="00A65E70" w:rsidRPr="00A65E70" w:rsidRDefault="00A65E70" w:rsidP="00C35466">
            <w:pPr>
              <w:rPr>
                <w:lang w:val="en-AU"/>
              </w:rPr>
            </w:pPr>
            <w:r w:rsidRPr="00A65E70">
              <w:rPr>
                <w:lang w:val="en-AU"/>
              </w:rPr>
              <w:t>3. Psychological Distress</w:t>
            </w:r>
          </w:p>
        </w:tc>
        <w:tc>
          <w:tcPr>
            <w:tcW w:w="794" w:type="dxa"/>
            <w:noWrap/>
            <w:hideMark/>
          </w:tcPr>
          <w:p w14:paraId="6AC791E3" w14:textId="77777777" w:rsidR="00A65E70" w:rsidRPr="00A65E70" w:rsidRDefault="00A65E70" w:rsidP="00C35466">
            <w:pPr>
              <w:rPr>
                <w:lang w:val="en-AU"/>
              </w:rPr>
            </w:pPr>
            <w:r w:rsidRPr="00A65E70">
              <w:rPr>
                <w:lang w:val="en-AU"/>
              </w:rPr>
              <w:t>.17*</w:t>
            </w:r>
          </w:p>
        </w:tc>
        <w:tc>
          <w:tcPr>
            <w:tcW w:w="794" w:type="dxa"/>
            <w:noWrap/>
            <w:hideMark/>
          </w:tcPr>
          <w:p w14:paraId="05349E6A" w14:textId="77777777" w:rsidR="00A65E70" w:rsidRPr="00A65E70" w:rsidRDefault="00A65E70" w:rsidP="00C35466">
            <w:pPr>
              <w:rPr>
                <w:lang w:val="en-AU"/>
              </w:rPr>
            </w:pPr>
            <w:r w:rsidRPr="00A65E70">
              <w:rPr>
                <w:lang w:val="en-AU"/>
              </w:rPr>
              <w:t>.51*</w:t>
            </w:r>
          </w:p>
        </w:tc>
        <w:tc>
          <w:tcPr>
            <w:tcW w:w="794" w:type="dxa"/>
            <w:noWrap/>
            <w:hideMark/>
          </w:tcPr>
          <w:p w14:paraId="4EAE002E" w14:textId="77777777" w:rsidR="00A65E70" w:rsidRPr="00A65E70" w:rsidRDefault="00A65E70" w:rsidP="00C35466">
            <w:pPr>
              <w:rPr>
                <w:lang w:val="en-AU"/>
              </w:rPr>
            </w:pPr>
            <w:r w:rsidRPr="00A65E70">
              <w:rPr>
                <w:lang w:val="en-AU"/>
              </w:rPr>
              <w:t> 1</w:t>
            </w:r>
          </w:p>
        </w:tc>
        <w:tc>
          <w:tcPr>
            <w:tcW w:w="794" w:type="dxa"/>
            <w:noWrap/>
            <w:hideMark/>
          </w:tcPr>
          <w:p w14:paraId="0449BCFB" w14:textId="77777777" w:rsidR="00A65E70" w:rsidRPr="00A65E70" w:rsidRDefault="00A65E70" w:rsidP="00C35466">
            <w:pPr>
              <w:rPr>
                <w:lang w:val="en-AU"/>
              </w:rPr>
            </w:pPr>
          </w:p>
        </w:tc>
        <w:tc>
          <w:tcPr>
            <w:tcW w:w="794" w:type="dxa"/>
            <w:noWrap/>
          </w:tcPr>
          <w:p w14:paraId="1BE39B9D" w14:textId="77777777" w:rsidR="00A65E70" w:rsidRPr="00A65E70" w:rsidRDefault="00A65E70" w:rsidP="00C35466">
            <w:pPr>
              <w:rPr>
                <w:lang w:val="en-AU"/>
              </w:rPr>
            </w:pPr>
          </w:p>
        </w:tc>
        <w:tc>
          <w:tcPr>
            <w:tcW w:w="794" w:type="dxa"/>
            <w:noWrap/>
          </w:tcPr>
          <w:p w14:paraId="05D592E1" w14:textId="77777777" w:rsidR="00A65E70" w:rsidRPr="00A65E70" w:rsidRDefault="00A65E70" w:rsidP="00C35466">
            <w:pPr>
              <w:rPr>
                <w:lang w:val="en-AU"/>
              </w:rPr>
            </w:pPr>
          </w:p>
        </w:tc>
      </w:tr>
      <w:tr w:rsidR="00A65E70" w:rsidRPr="00A65E70" w14:paraId="7F65995F" w14:textId="77777777" w:rsidTr="007032DD">
        <w:trPr>
          <w:trHeight w:val="293"/>
        </w:trPr>
        <w:tc>
          <w:tcPr>
            <w:tcW w:w="2830" w:type="dxa"/>
            <w:hideMark/>
          </w:tcPr>
          <w:p w14:paraId="1121F011" w14:textId="77777777" w:rsidR="00A65E70" w:rsidRPr="00A65E70" w:rsidRDefault="00A65E70" w:rsidP="00C35466">
            <w:pPr>
              <w:rPr>
                <w:lang w:val="en-AU"/>
              </w:rPr>
            </w:pPr>
            <w:r w:rsidRPr="00A65E70">
              <w:rPr>
                <w:lang w:val="en-AU"/>
              </w:rPr>
              <w:t>4. Low Engagement</w:t>
            </w:r>
          </w:p>
        </w:tc>
        <w:tc>
          <w:tcPr>
            <w:tcW w:w="794" w:type="dxa"/>
            <w:noWrap/>
            <w:hideMark/>
          </w:tcPr>
          <w:p w14:paraId="5E036CA7" w14:textId="77777777" w:rsidR="00A65E70" w:rsidRPr="00A65E70" w:rsidRDefault="00A65E70" w:rsidP="00C35466">
            <w:pPr>
              <w:rPr>
                <w:lang w:val="en-AU"/>
              </w:rPr>
            </w:pPr>
            <w:r w:rsidRPr="00A65E70">
              <w:rPr>
                <w:lang w:val="en-AU"/>
              </w:rPr>
              <w:t>.25*</w:t>
            </w:r>
          </w:p>
        </w:tc>
        <w:tc>
          <w:tcPr>
            <w:tcW w:w="794" w:type="dxa"/>
            <w:noWrap/>
            <w:hideMark/>
          </w:tcPr>
          <w:p w14:paraId="446C3083" w14:textId="77777777" w:rsidR="00A65E70" w:rsidRPr="00A65E70" w:rsidRDefault="00A65E70" w:rsidP="00C35466">
            <w:pPr>
              <w:rPr>
                <w:lang w:val="en-AU"/>
              </w:rPr>
            </w:pPr>
            <w:r w:rsidRPr="00A65E70">
              <w:rPr>
                <w:lang w:val="en-AU"/>
              </w:rPr>
              <w:t>.23*</w:t>
            </w:r>
          </w:p>
        </w:tc>
        <w:tc>
          <w:tcPr>
            <w:tcW w:w="794" w:type="dxa"/>
            <w:noWrap/>
            <w:hideMark/>
          </w:tcPr>
          <w:p w14:paraId="058DF65F" w14:textId="77777777" w:rsidR="00A65E70" w:rsidRPr="00A65E70" w:rsidRDefault="00A65E70" w:rsidP="00C35466">
            <w:pPr>
              <w:rPr>
                <w:lang w:val="en-AU"/>
              </w:rPr>
            </w:pPr>
            <w:r w:rsidRPr="00A65E70">
              <w:rPr>
                <w:lang w:val="en-AU"/>
              </w:rPr>
              <w:t>.17*</w:t>
            </w:r>
          </w:p>
        </w:tc>
        <w:tc>
          <w:tcPr>
            <w:tcW w:w="794" w:type="dxa"/>
            <w:noWrap/>
            <w:hideMark/>
          </w:tcPr>
          <w:p w14:paraId="323159C1" w14:textId="77777777" w:rsidR="00A65E70" w:rsidRPr="00A65E70" w:rsidRDefault="00A65E70" w:rsidP="00C35466">
            <w:pPr>
              <w:rPr>
                <w:lang w:val="en-AU"/>
              </w:rPr>
            </w:pPr>
            <w:r w:rsidRPr="00A65E70">
              <w:rPr>
                <w:lang w:val="en-AU"/>
              </w:rPr>
              <w:t> 1</w:t>
            </w:r>
          </w:p>
        </w:tc>
        <w:tc>
          <w:tcPr>
            <w:tcW w:w="794" w:type="dxa"/>
            <w:noWrap/>
          </w:tcPr>
          <w:p w14:paraId="2A4D0048" w14:textId="77777777" w:rsidR="00A65E70" w:rsidRPr="00A65E70" w:rsidRDefault="00A65E70" w:rsidP="00C35466">
            <w:pPr>
              <w:rPr>
                <w:lang w:val="en-AU"/>
              </w:rPr>
            </w:pPr>
          </w:p>
        </w:tc>
        <w:tc>
          <w:tcPr>
            <w:tcW w:w="794" w:type="dxa"/>
            <w:noWrap/>
          </w:tcPr>
          <w:p w14:paraId="6710825A" w14:textId="77777777" w:rsidR="00A65E70" w:rsidRPr="00A65E70" w:rsidRDefault="00A65E70" w:rsidP="00C35466">
            <w:pPr>
              <w:rPr>
                <w:lang w:val="en-AU"/>
              </w:rPr>
            </w:pPr>
          </w:p>
        </w:tc>
      </w:tr>
      <w:tr w:rsidR="00A65E70" w:rsidRPr="00A65E70" w14:paraId="18B771A3" w14:textId="77777777" w:rsidTr="007032DD">
        <w:trPr>
          <w:trHeight w:val="293"/>
        </w:trPr>
        <w:tc>
          <w:tcPr>
            <w:tcW w:w="2830" w:type="dxa"/>
            <w:hideMark/>
          </w:tcPr>
          <w:p w14:paraId="77B9DA2E" w14:textId="77777777" w:rsidR="00A65E70" w:rsidRPr="00A65E70" w:rsidRDefault="00A65E70" w:rsidP="00C35466">
            <w:pPr>
              <w:rPr>
                <w:lang w:val="en-AU"/>
              </w:rPr>
            </w:pPr>
            <w:r w:rsidRPr="00A65E70">
              <w:rPr>
                <w:lang w:val="en-AU"/>
              </w:rPr>
              <w:t>5. Sickness Absence</w:t>
            </w:r>
          </w:p>
        </w:tc>
        <w:tc>
          <w:tcPr>
            <w:tcW w:w="794" w:type="dxa"/>
            <w:noWrap/>
            <w:hideMark/>
          </w:tcPr>
          <w:p w14:paraId="2FF3FC8A" w14:textId="77777777" w:rsidR="00A65E70" w:rsidRPr="00A65E70" w:rsidRDefault="00A65E70" w:rsidP="00C35466">
            <w:pPr>
              <w:rPr>
                <w:lang w:val="en-AU"/>
              </w:rPr>
            </w:pPr>
            <w:r w:rsidRPr="00A65E70">
              <w:rPr>
                <w:lang w:val="en-AU"/>
              </w:rPr>
              <w:t>.09*</w:t>
            </w:r>
          </w:p>
        </w:tc>
        <w:tc>
          <w:tcPr>
            <w:tcW w:w="794" w:type="dxa"/>
            <w:noWrap/>
            <w:hideMark/>
          </w:tcPr>
          <w:p w14:paraId="3E2C0E47" w14:textId="77777777" w:rsidR="00A65E70" w:rsidRPr="00A65E70" w:rsidRDefault="00A65E70" w:rsidP="00C35466">
            <w:pPr>
              <w:rPr>
                <w:lang w:val="en-AU"/>
              </w:rPr>
            </w:pPr>
            <w:r w:rsidRPr="00A65E70">
              <w:rPr>
                <w:lang w:val="en-AU"/>
              </w:rPr>
              <w:t>.21*</w:t>
            </w:r>
          </w:p>
        </w:tc>
        <w:tc>
          <w:tcPr>
            <w:tcW w:w="794" w:type="dxa"/>
            <w:noWrap/>
            <w:hideMark/>
          </w:tcPr>
          <w:p w14:paraId="3B2C92F5" w14:textId="77777777" w:rsidR="00A65E70" w:rsidRPr="00A65E70" w:rsidRDefault="00A65E70" w:rsidP="00C35466">
            <w:pPr>
              <w:rPr>
                <w:lang w:val="en-AU"/>
              </w:rPr>
            </w:pPr>
            <w:r w:rsidRPr="00A65E70">
              <w:rPr>
                <w:lang w:val="en-AU"/>
              </w:rPr>
              <w:t>.21*</w:t>
            </w:r>
          </w:p>
        </w:tc>
        <w:tc>
          <w:tcPr>
            <w:tcW w:w="794" w:type="dxa"/>
            <w:noWrap/>
            <w:hideMark/>
          </w:tcPr>
          <w:p w14:paraId="380EA0B0" w14:textId="77777777" w:rsidR="00A65E70" w:rsidRPr="00A65E70" w:rsidRDefault="00A65E70" w:rsidP="00C35466">
            <w:pPr>
              <w:rPr>
                <w:lang w:val="en-AU"/>
              </w:rPr>
            </w:pPr>
            <w:r w:rsidRPr="00A65E70">
              <w:rPr>
                <w:lang w:val="en-AU"/>
              </w:rPr>
              <w:t>.08*</w:t>
            </w:r>
          </w:p>
        </w:tc>
        <w:tc>
          <w:tcPr>
            <w:tcW w:w="794" w:type="dxa"/>
            <w:noWrap/>
            <w:hideMark/>
          </w:tcPr>
          <w:p w14:paraId="2437580E" w14:textId="77777777" w:rsidR="00A65E70" w:rsidRPr="00A65E70" w:rsidRDefault="00A65E70" w:rsidP="00C35466">
            <w:pPr>
              <w:rPr>
                <w:lang w:val="en-AU"/>
              </w:rPr>
            </w:pPr>
            <w:r w:rsidRPr="00A65E70">
              <w:rPr>
                <w:lang w:val="en-AU"/>
              </w:rPr>
              <w:t> 1</w:t>
            </w:r>
          </w:p>
        </w:tc>
        <w:tc>
          <w:tcPr>
            <w:tcW w:w="794" w:type="dxa"/>
            <w:noWrap/>
          </w:tcPr>
          <w:p w14:paraId="7A39DBF0" w14:textId="77777777" w:rsidR="00A65E70" w:rsidRPr="00A65E70" w:rsidRDefault="00A65E70" w:rsidP="00C35466">
            <w:pPr>
              <w:rPr>
                <w:lang w:val="en-AU"/>
              </w:rPr>
            </w:pPr>
          </w:p>
        </w:tc>
      </w:tr>
      <w:tr w:rsidR="00A65E70" w:rsidRPr="00A65E70" w14:paraId="613F1CE7" w14:textId="77777777" w:rsidTr="007032DD">
        <w:trPr>
          <w:trHeight w:val="307"/>
        </w:trPr>
        <w:tc>
          <w:tcPr>
            <w:tcW w:w="2830" w:type="dxa"/>
            <w:tcBorders>
              <w:bottom w:val="single" w:sz="18" w:space="0" w:color="auto"/>
            </w:tcBorders>
            <w:hideMark/>
          </w:tcPr>
          <w:p w14:paraId="508F3FF9" w14:textId="77777777" w:rsidR="00A65E70" w:rsidRPr="00A65E70" w:rsidRDefault="00A65E70" w:rsidP="00C35466">
            <w:pPr>
              <w:rPr>
                <w:lang w:val="en-AU"/>
              </w:rPr>
            </w:pPr>
            <w:r w:rsidRPr="00A65E70">
              <w:rPr>
                <w:lang w:val="en-AU"/>
              </w:rPr>
              <w:t>6. Presenteeism</w:t>
            </w:r>
          </w:p>
        </w:tc>
        <w:tc>
          <w:tcPr>
            <w:tcW w:w="794" w:type="dxa"/>
            <w:tcBorders>
              <w:bottom w:val="single" w:sz="18" w:space="0" w:color="auto"/>
            </w:tcBorders>
            <w:noWrap/>
            <w:hideMark/>
          </w:tcPr>
          <w:p w14:paraId="2296116B" w14:textId="77777777" w:rsidR="00A65E70" w:rsidRPr="00A65E70" w:rsidRDefault="00A65E70" w:rsidP="00C35466">
            <w:pPr>
              <w:rPr>
                <w:lang w:val="en-AU"/>
              </w:rPr>
            </w:pPr>
            <w:r w:rsidRPr="00A65E70">
              <w:rPr>
                <w:lang w:val="en-AU"/>
              </w:rPr>
              <w:t>.08*</w:t>
            </w:r>
          </w:p>
        </w:tc>
        <w:tc>
          <w:tcPr>
            <w:tcW w:w="794" w:type="dxa"/>
            <w:tcBorders>
              <w:bottom w:val="single" w:sz="18" w:space="0" w:color="auto"/>
            </w:tcBorders>
            <w:noWrap/>
            <w:hideMark/>
          </w:tcPr>
          <w:p w14:paraId="7227072A" w14:textId="77777777" w:rsidR="00A65E70" w:rsidRPr="00A65E70" w:rsidRDefault="00A65E70" w:rsidP="00C35466">
            <w:pPr>
              <w:rPr>
                <w:lang w:val="en-AU"/>
              </w:rPr>
            </w:pPr>
            <w:r w:rsidRPr="00A65E70">
              <w:rPr>
                <w:lang w:val="en-AU"/>
              </w:rPr>
              <w:t>.14*</w:t>
            </w:r>
          </w:p>
        </w:tc>
        <w:tc>
          <w:tcPr>
            <w:tcW w:w="794" w:type="dxa"/>
            <w:tcBorders>
              <w:bottom w:val="single" w:sz="18" w:space="0" w:color="auto"/>
            </w:tcBorders>
            <w:noWrap/>
            <w:hideMark/>
          </w:tcPr>
          <w:p w14:paraId="5E4AD988" w14:textId="77777777" w:rsidR="00A65E70" w:rsidRPr="00A65E70" w:rsidRDefault="00A65E70" w:rsidP="00C35466">
            <w:pPr>
              <w:rPr>
                <w:lang w:val="en-AU"/>
              </w:rPr>
            </w:pPr>
            <w:r w:rsidRPr="00A65E70">
              <w:rPr>
                <w:lang w:val="en-AU"/>
              </w:rPr>
              <w:t>.14*</w:t>
            </w:r>
          </w:p>
        </w:tc>
        <w:tc>
          <w:tcPr>
            <w:tcW w:w="794" w:type="dxa"/>
            <w:tcBorders>
              <w:bottom w:val="single" w:sz="18" w:space="0" w:color="auto"/>
            </w:tcBorders>
            <w:noWrap/>
            <w:hideMark/>
          </w:tcPr>
          <w:p w14:paraId="7888193C" w14:textId="77777777" w:rsidR="00A65E70" w:rsidRPr="00A65E70" w:rsidRDefault="00A65E70" w:rsidP="00C35466">
            <w:pPr>
              <w:rPr>
                <w:lang w:val="en-AU"/>
              </w:rPr>
            </w:pPr>
            <w:r w:rsidRPr="00A65E70">
              <w:rPr>
                <w:lang w:val="en-AU"/>
              </w:rPr>
              <w:t>.21*</w:t>
            </w:r>
          </w:p>
        </w:tc>
        <w:tc>
          <w:tcPr>
            <w:tcW w:w="794" w:type="dxa"/>
            <w:tcBorders>
              <w:bottom w:val="single" w:sz="18" w:space="0" w:color="auto"/>
            </w:tcBorders>
            <w:noWrap/>
            <w:hideMark/>
          </w:tcPr>
          <w:p w14:paraId="183D030B" w14:textId="77777777" w:rsidR="00A65E70" w:rsidRPr="00A65E70" w:rsidRDefault="00A65E70" w:rsidP="00C35466">
            <w:pPr>
              <w:rPr>
                <w:lang w:val="en-AU"/>
              </w:rPr>
            </w:pPr>
            <w:r w:rsidRPr="00A65E70">
              <w:rPr>
                <w:lang w:val="en-AU"/>
              </w:rPr>
              <w:t>.08*</w:t>
            </w:r>
          </w:p>
        </w:tc>
        <w:tc>
          <w:tcPr>
            <w:tcW w:w="794" w:type="dxa"/>
            <w:tcBorders>
              <w:bottom w:val="single" w:sz="18" w:space="0" w:color="auto"/>
            </w:tcBorders>
            <w:noWrap/>
            <w:hideMark/>
          </w:tcPr>
          <w:p w14:paraId="77AA745D" w14:textId="77777777" w:rsidR="00A65E70" w:rsidRPr="00A65E70" w:rsidRDefault="00A65E70" w:rsidP="00C35466">
            <w:pPr>
              <w:rPr>
                <w:lang w:val="en-AU"/>
              </w:rPr>
            </w:pPr>
            <w:r w:rsidRPr="00A65E70">
              <w:rPr>
                <w:lang w:val="en-AU"/>
              </w:rPr>
              <w:t> 1</w:t>
            </w:r>
          </w:p>
        </w:tc>
      </w:tr>
    </w:tbl>
    <w:p w14:paraId="4ACB8A3F" w14:textId="77777777" w:rsidR="00EE707B" w:rsidRDefault="00EE707B" w:rsidP="00A65E70">
      <w:pPr>
        <w:spacing w:after="200" w:line="276" w:lineRule="auto"/>
        <w:rPr>
          <w:rFonts w:ascii="Adobe Garamond Pro" w:eastAsia="Calibri" w:hAnsi="Adobe Garamond Pro"/>
          <w:sz w:val="24"/>
          <w:szCs w:val="22"/>
          <w:lang w:eastAsia="en-US"/>
        </w:rPr>
      </w:pPr>
    </w:p>
    <w:p w14:paraId="7D837BA2" w14:textId="77777777" w:rsidR="00EE707B" w:rsidRDefault="00EE707B" w:rsidP="00A65E70">
      <w:pPr>
        <w:spacing w:after="200" w:line="276" w:lineRule="auto"/>
        <w:rPr>
          <w:rFonts w:ascii="Adobe Garamond Pro" w:eastAsia="Calibri" w:hAnsi="Adobe Garamond Pro"/>
          <w:sz w:val="24"/>
          <w:szCs w:val="22"/>
          <w:lang w:eastAsia="en-US"/>
        </w:rPr>
      </w:pPr>
    </w:p>
    <w:p w14:paraId="3F300AD5" w14:textId="77777777" w:rsidR="00A65E70" w:rsidRPr="00A65E70" w:rsidRDefault="00A65E70" w:rsidP="00A65E70">
      <w:pPr>
        <w:spacing w:after="200" w:line="276" w:lineRule="auto"/>
        <w:rPr>
          <w:rFonts w:ascii="Adobe Garamond Pro" w:eastAsia="Calibri" w:hAnsi="Adobe Garamond Pro"/>
          <w:sz w:val="24"/>
          <w:szCs w:val="22"/>
          <w:lang w:eastAsia="en-US"/>
        </w:rPr>
      </w:pPr>
    </w:p>
    <w:p w14:paraId="7E0CA38E" w14:textId="77777777" w:rsidR="00C70BCA" w:rsidRDefault="00C70BCA" w:rsidP="00D8244B">
      <w:pPr>
        <w:pStyle w:val="SWA-FOOTER"/>
      </w:pPr>
    </w:p>
    <w:p w14:paraId="45EB6BE8" w14:textId="77777777" w:rsidR="00C70BCA" w:rsidRDefault="00C70BCA" w:rsidP="00D8244B">
      <w:pPr>
        <w:pStyle w:val="SWA-FOOTER"/>
      </w:pPr>
    </w:p>
    <w:p w14:paraId="73977DB8" w14:textId="77777777" w:rsidR="00C70BCA" w:rsidRDefault="00C70BCA" w:rsidP="00D8244B">
      <w:pPr>
        <w:pStyle w:val="SWA-FOOTER"/>
      </w:pPr>
    </w:p>
    <w:p w14:paraId="15BEDEE7" w14:textId="77777777" w:rsidR="00C70BCA" w:rsidRDefault="00C70BCA" w:rsidP="00D8244B">
      <w:pPr>
        <w:pStyle w:val="SWA-FOOTER"/>
      </w:pPr>
    </w:p>
    <w:p w14:paraId="5679FC57" w14:textId="77777777" w:rsidR="00C70BCA" w:rsidRDefault="00C70BCA" w:rsidP="00D8244B">
      <w:pPr>
        <w:pStyle w:val="SWA-FOOTER"/>
      </w:pPr>
    </w:p>
    <w:p w14:paraId="20D266D4" w14:textId="77777777" w:rsidR="00C70BCA" w:rsidRDefault="00C70BCA" w:rsidP="00D8244B">
      <w:pPr>
        <w:pStyle w:val="SWA-FOOTER"/>
      </w:pPr>
    </w:p>
    <w:p w14:paraId="62CC8D3A" w14:textId="77777777" w:rsidR="00EE707B" w:rsidRDefault="00A65E70" w:rsidP="00D8244B">
      <w:pPr>
        <w:pStyle w:val="SWA-FOOTER"/>
      </w:pPr>
      <w:r w:rsidRPr="00A65E70">
        <w:t>* Significant at the &lt;</w:t>
      </w:r>
      <w:r w:rsidR="00255B62">
        <w:t xml:space="preserve"> </w:t>
      </w:r>
      <w:r w:rsidRPr="00A65E70">
        <w:t>.01 level (two-tailed).</w:t>
      </w:r>
    </w:p>
    <w:p w14:paraId="5C52E374" w14:textId="77777777" w:rsidR="00EE707B" w:rsidRDefault="00EE707B" w:rsidP="00A65E70">
      <w:pPr>
        <w:spacing w:after="200" w:line="276" w:lineRule="auto"/>
        <w:rPr>
          <w:rFonts w:ascii="Adobe Garamond Pro" w:eastAsia="Calibri" w:hAnsi="Adobe Garamond Pro"/>
          <w:sz w:val="24"/>
          <w:szCs w:val="22"/>
          <w:lang w:eastAsia="en-US"/>
        </w:rPr>
      </w:pPr>
    </w:p>
    <w:p w14:paraId="6D0D3397" w14:textId="6618D276" w:rsidR="00513F0E" w:rsidRDefault="00513F0E">
      <w:pPr>
        <w:rPr>
          <w:rFonts w:ascii="Adobe Garamond Pro" w:eastAsia="Calibri" w:hAnsi="Adobe Garamond Pro"/>
          <w:sz w:val="24"/>
          <w:szCs w:val="22"/>
          <w:lang w:eastAsia="en-US"/>
        </w:rPr>
      </w:pPr>
      <w:r>
        <w:rPr>
          <w:rFonts w:ascii="Adobe Garamond Pro" w:eastAsia="Calibri" w:hAnsi="Adobe Garamond Pro"/>
          <w:sz w:val="24"/>
          <w:szCs w:val="22"/>
          <w:lang w:eastAsia="en-US"/>
        </w:rPr>
        <w:br w:type="page"/>
      </w:r>
    </w:p>
    <w:p w14:paraId="197A3B88" w14:textId="77777777" w:rsidR="00A65E70" w:rsidRPr="00A65E70" w:rsidRDefault="00A65E70" w:rsidP="00513F0E">
      <w:pPr>
        <w:pStyle w:val="Heading1"/>
        <w:rPr>
          <w:lang w:eastAsia="en-US"/>
        </w:rPr>
      </w:pPr>
      <w:r w:rsidRPr="00A65E70">
        <w:rPr>
          <w:lang w:eastAsia="en-US"/>
        </w:rPr>
        <w:lastRenderedPageBreak/>
        <w:t>Appendix 3</w:t>
      </w:r>
    </w:p>
    <w:p w14:paraId="7F675731" w14:textId="77777777" w:rsidR="00EE707B" w:rsidRDefault="00A65E70" w:rsidP="00513F0E">
      <w:pPr>
        <w:pStyle w:val="Heading2"/>
      </w:pPr>
      <w:r w:rsidRPr="00A65E70">
        <w:t>Combined costs of absenteeism and presenteeism attributable to key variables</w:t>
      </w:r>
    </w:p>
    <w:p w14:paraId="233F2070" w14:textId="7CDB2D57" w:rsidR="00A65E70" w:rsidRPr="00A65E70" w:rsidRDefault="00A65E70" w:rsidP="00C35466">
      <w:pPr>
        <w:rPr>
          <w:rFonts w:eastAsia="Calibri"/>
          <w:lang w:eastAsia="en-US"/>
        </w:rPr>
      </w:pPr>
      <w:r w:rsidRPr="00A65E70">
        <w:rPr>
          <w:rFonts w:eastAsia="Calibri"/>
          <w:lang w:eastAsia="en-US"/>
        </w:rPr>
        <w:t xml:space="preserve">Estimations based on univariate relative risk, therefore not accounting for covariance. All univariate relative risks were significant, </w:t>
      </w:r>
      <w:r w:rsidRPr="00A65E70">
        <w:rPr>
          <w:rFonts w:eastAsia="Calibri"/>
          <w:i/>
          <w:lang w:eastAsia="en-US"/>
        </w:rPr>
        <w:t xml:space="preserve">p </w:t>
      </w:r>
      <w:r w:rsidRPr="00A65E70">
        <w:rPr>
          <w:rFonts w:eastAsia="Calibri"/>
          <w:lang w:eastAsia="en-US"/>
        </w:rPr>
        <w:t>&lt; .001.</w:t>
      </w:r>
    </w:p>
    <w:tbl>
      <w:tblPr>
        <w:tblpPr w:leftFromText="181" w:rightFromText="181" w:vertAnchor="text" w:horzAnchor="margin" w:tblpY="1"/>
        <w:tblOverlap w:val="never"/>
        <w:tblW w:w="8601" w:type="dxa"/>
        <w:tblLayout w:type="fixed"/>
        <w:tblLook w:val="04A0" w:firstRow="1" w:lastRow="0" w:firstColumn="1" w:lastColumn="0" w:noHBand="0" w:noVBand="1"/>
        <w:tblCaption w:val="Combined costs of absenteeism and presenteeism attributable to key variables"/>
        <w:tblDescription w:val="This table shows the combined costs of absenteeism and presenteeism attributable to key variables including low PSC, depression, psychological distress, low engagement and all factors. "/>
      </w:tblPr>
      <w:tblGrid>
        <w:gridCol w:w="2552"/>
        <w:gridCol w:w="2148"/>
        <w:gridCol w:w="1916"/>
        <w:gridCol w:w="1985"/>
      </w:tblGrid>
      <w:tr w:rsidR="00A65E70" w:rsidRPr="00A65E70" w14:paraId="7409A874" w14:textId="77777777" w:rsidTr="007032DD">
        <w:trPr>
          <w:trHeight w:val="355"/>
        </w:trPr>
        <w:tc>
          <w:tcPr>
            <w:tcW w:w="2552" w:type="dxa"/>
            <w:tcBorders>
              <w:top w:val="single" w:sz="12" w:space="0" w:color="auto"/>
              <w:left w:val="nil"/>
              <w:bottom w:val="single" w:sz="4" w:space="0" w:color="auto"/>
              <w:right w:val="nil"/>
            </w:tcBorders>
            <w:shd w:val="clear" w:color="auto" w:fill="auto"/>
            <w:noWrap/>
            <w:hideMark/>
          </w:tcPr>
          <w:p w14:paraId="47CC37F6" w14:textId="77777777" w:rsidR="00A65E70" w:rsidRPr="00A65E70" w:rsidRDefault="00A65E70" w:rsidP="00C35466">
            <w:pPr>
              <w:rPr>
                <w:rFonts w:eastAsia="Calibri"/>
                <w:lang w:eastAsia="en-US"/>
              </w:rPr>
            </w:pPr>
            <w:r w:rsidRPr="00A65E70">
              <w:rPr>
                <w:rFonts w:eastAsia="Calibri"/>
                <w:lang w:eastAsia="en-US"/>
              </w:rPr>
              <w:t>Condition</w:t>
            </w:r>
          </w:p>
        </w:tc>
        <w:tc>
          <w:tcPr>
            <w:tcW w:w="2148" w:type="dxa"/>
            <w:tcBorders>
              <w:top w:val="single" w:sz="12" w:space="0" w:color="auto"/>
              <w:left w:val="nil"/>
              <w:bottom w:val="single" w:sz="4" w:space="0" w:color="auto"/>
              <w:right w:val="nil"/>
            </w:tcBorders>
            <w:shd w:val="clear" w:color="auto" w:fill="auto"/>
            <w:noWrap/>
            <w:hideMark/>
          </w:tcPr>
          <w:p w14:paraId="008BC475" w14:textId="77777777" w:rsidR="00A65E70" w:rsidRPr="00A65E70" w:rsidRDefault="00A65E70" w:rsidP="00C35466">
            <w:pPr>
              <w:rPr>
                <w:rFonts w:eastAsia="Calibri"/>
                <w:lang w:eastAsia="en-US"/>
              </w:rPr>
            </w:pPr>
            <w:r w:rsidRPr="00A65E70">
              <w:rPr>
                <w:rFonts w:eastAsia="Calibri"/>
                <w:lang w:eastAsia="en-US"/>
              </w:rPr>
              <w:t>Sickness Absence</w:t>
            </w:r>
          </w:p>
        </w:tc>
        <w:tc>
          <w:tcPr>
            <w:tcW w:w="1916" w:type="dxa"/>
            <w:tcBorders>
              <w:top w:val="single" w:sz="12" w:space="0" w:color="auto"/>
              <w:left w:val="nil"/>
              <w:bottom w:val="single" w:sz="4" w:space="0" w:color="auto"/>
              <w:right w:val="nil"/>
            </w:tcBorders>
            <w:shd w:val="clear" w:color="auto" w:fill="auto"/>
            <w:noWrap/>
            <w:hideMark/>
          </w:tcPr>
          <w:p w14:paraId="0CFC5D7A" w14:textId="77777777" w:rsidR="00A65E70" w:rsidRPr="00A65E70" w:rsidRDefault="00A65E70" w:rsidP="00C35466">
            <w:pPr>
              <w:rPr>
                <w:rFonts w:eastAsia="Calibri"/>
                <w:lang w:eastAsia="en-US"/>
              </w:rPr>
            </w:pPr>
            <w:r w:rsidRPr="00A65E70">
              <w:rPr>
                <w:rFonts w:eastAsia="Calibri"/>
                <w:lang w:eastAsia="en-US"/>
              </w:rPr>
              <w:t>Presenteeism</w:t>
            </w:r>
          </w:p>
        </w:tc>
        <w:tc>
          <w:tcPr>
            <w:tcW w:w="1985" w:type="dxa"/>
            <w:tcBorders>
              <w:top w:val="single" w:sz="12" w:space="0" w:color="auto"/>
              <w:left w:val="nil"/>
              <w:bottom w:val="single" w:sz="4" w:space="0" w:color="auto"/>
              <w:right w:val="nil"/>
            </w:tcBorders>
            <w:shd w:val="clear" w:color="auto" w:fill="auto"/>
            <w:noWrap/>
            <w:hideMark/>
          </w:tcPr>
          <w:p w14:paraId="489AC1CD" w14:textId="77777777" w:rsidR="00A65E70" w:rsidRPr="00A65E70" w:rsidRDefault="00A65E70" w:rsidP="00C35466">
            <w:pPr>
              <w:rPr>
                <w:rFonts w:eastAsia="Calibri"/>
                <w:lang w:eastAsia="en-US"/>
              </w:rPr>
            </w:pPr>
            <w:r w:rsidRPr="00A65E70">
              <w:rPr>
                <w:rFonts w:eastAsia="Calibri"/>
                <w:lang w:eastAsia="en-US"/>
              </w:rPr>
              <w:t>Combined</w:t>
            </w:r>
          </w:p>
        </w:tc>
      </w:tr>
      <w:tr w:rsidR="00A65E70" w:rsidRPr="00A65E70" w14:paraId="7B94AC71" w14:textId="77777777" w:rsidTr="007032DD">
        <w:trPr>
          <w:trHeight w:val="355"/>
        </w:trPr>
        <w:tc>
          <w:tcPr>
            <w:tcW w:w="2552" w:type="dxa"/>
            <w:tcBorders>
              <w:top w:val="nil"/>
              <w:left w:val="nil"/>
              <w:bottom w:val="nil"/>
              <w:right w:val="nil"/>
            </w:tcBorders>
            <w:shd w:val="clear" w:color="auto" w:fill="auto"/>
            <w:noWrap/>
            <w:hideMark/>
          </w:tcPr>
          <w:p w14:paraId="31905D88" w14:textId="77777777" w:rsidR="00A65E70" w:rsidRPr="00A65E70" w:rsidRDefault="00A65E70" w:rsidP="00C35466">
            <w:pPr>
              <w:rPr>
                <w:rFonts w:eastAsia="Calibri"/>
                <w:lang w:eastAsia="en-US"/>
              </w:rPr>
            </w:pPr>
            <w:r w:rsidRPr="00A65E70">
              <w:rPr>
                <w:rFonts w:eastAsia="Calibri"/>
                <w:lang w:eastAsia="en-US"/>
              </w:rPr>
              <w:t>Low PSC</w:t>
            </w:r>
          </w:p>
        </w:tc>
        <w:tc>
          <w:tcPr>
            <w:tcW w:w="2148" w:type="dxa"/>
            <w:tcBorders>
              <w:top w:val="nil"/>
              <w:left w:val="nil"/>
              <w:bottom w:val="nil"/>
              <w:right w:val="nil"/>
            </w:tcBorders>
            <w:shd w:val="clear" w:color="auto" w:fill="auto"/>
            <w:noWrap/>
            <w:hideMark/>
          </w:tcPr>
          <w:p w14:paraId="0A60F9C2" w14:textId="77777777" w:rsidR="00A65E70" w:rsidRPr="00A65E70" w:rsidRDefault="00A65E70" w:rsidP="00C35466">
            <w:pPr>
              <w:rPr>
                <w:rFonts w:eastAsia="Calibri"/>
                <w:lang w:eastAsia="en-US"/>
              </w:rPr>
            </w:pPr>
            <w:r w:rsidRPr="00A65E70">
              <w:rPr>
                <w:rFonts w:eastAsia="Calibri"/>
                <w:lang w:eastAsia="en-US"/>
              </w:rPr>
              <w:t xml:space="preserve"> $2,441,223,910</w:t>
            </w:r>
          </w:p>
        </w:tc>
        <w:tc>
          <w:tcPr>
            <w:tcW w:w="1916" w:type="dxa"/>
            <w:tcBorders>
              <w:top w:val="nil"/>
              <w:left w:val="nil"/>
              <w:bottom w:val="nil"/>
              <w:right w:val="nil"/>
            </w:tcBorders>
            <w:shd w:val="clear" w:color="auto" w:fill="auto"/>
            <w:noWrap/>
            <w:hideMark/>
          </w:tcPr>
          <w:p w14:paraId="455A48AA" w14:textId="77777777" w:rsidR="00A65E70" w:rsidRPr="00A65E70" w:rsidRDefault="00A65E70" w:rsidP="00C35466">
            <w:pPr>
              <w:rPr>
                <w:rFonts w:eastAsia="Calibri"/>
                <w:lang w:eastAsia="en-US"/>
              </w:rPr>
            </w:pPr>
            <w:r w:rsidRPr="00A65E70">
              <w:rPr>
                <w:rFonts w:eastAsia="Calibri"/>
                <w:lang w:eastAsia="en-US"/>
              </w:rPr>
              <w:t xml:space="preserve"> $2,933,037,137 </w:t>
            </w:r>
          </w:p>
        </w:tc>
        <w:tc>
          <w:tcPr>
            <w:tcW w:w="1985" w:type="dxa"/>
            <w:tcBorders>
              <w:top w:val="nil"/>
              <w:left w:val="nil"/>
              <w:bottom w:val="nil"/>
              <w:right w:val="nil"/>
            </w:tcBorders>
            <w:shd w:val="clear" w:color="auto" w:fill="auto"/>
            <w:noWrap/>
            <w:hideMark/>
          </w:tcPr>
          <w:p w14:paraId="33A27CA6" w14:textId="77777777" w:rsidR="00A65E70" w:rsidRPr="00A65E70" w:rsidRDefault="00A65E70" w:rsidP="00C35466">
            <w:pPr>
              <w:rPr>
                <w:rFonts w:eastAsia="Calibri"/>
                <w:lang w:eastAsia="en-US"/>
              </w:rPr>
            </w:pPr>
            <w:r w:rsidRPr="00A65E70">
              <w:rPr>
                <w:rFonts w:eastAsia="Calibri"/>
                <w:lang w:eastAsia="en-US"/>
              </w:rPr>
              <w:t xml:space="preserve"> $5,374,261,047 </w:t>
            </w:r>
          </w:p>
        </w:tc>
      </w:tr>
      <w:tr w:rsidR="00A65E70" w:rsidRPr="00A65E70" w14:paraId="1C09538F" w14:textId="77777777" w:rsidTr="007032DD">
        <w:trPr>
          <w:trHeight w:val="355"/>
        </w:trPr>
        <w:tc>
          <w:tcPr>
            <w:tcW w:w="2552" w:type="dxa"/>
            <w:tcBorders>
              <w:top w:val="nil"/>
              <w:left w:val="nil"/>
              <w:bottom w:val="nil"/>
              <w:right w:val="nil"/>
            </w:tcBorders>
            <w:shd w:val="clear" w:color="auto" w:fill="auto"/>
            <w:noWrap/>
            <w:hideMark/>
          </w:tcPr>
          <w:p w14:paraId="11A8577A" w14:textId="77777777" w:rsidR="00A65E70" w:rsidRPr="00A65E70" w:rsidRDefault="00A65E70" w:rsidP="00C35466">
            <w:pPr>
              <w:rPr>
                <w:rFonts w:eastAsia="Calibri"/>
                <w:lang w:eastAsia="en-US"/>
              </w:rPr>
            </w:pPr>
            <w:r w:rsidRPr="00A65E70">
              <w:rPr>
                <w:rFonts w:eastAsia="Calibri"/>
                <w:lang w:eastAsia="en-US"/>
              </w:rPr>
              <w:t>Depression</w:t>
            </w:r>
          </w:p>
        </w:tc>
        <w:tc>
          <w:tcPr>
            <w:tcW w:w="2148" w:type="dxa"/>
            <w:tcBorders>
              <w:top w:val="nil"/>
              <w:left w:val="nil"/>
              <w:bottom w:val="nil"/>
              <w:right w:val="nil"/>
            </w:tcBorders>
            <w:shd w:val="clear" w:color="auto" w:fill="auto"/>
            <w:noWrap/>
            <w:hideMark/>
          </w:tcPr>
          <w:p w14:paraId="02309082" w14:textId="77777777" w:rsidR="00A65E70" w:rsidRPr="00A65E70" w:rsidRDefault="00A65E70" w:rsidP="00C35466">
            <w:pPr>
              <w:rPr>
                <w:rFonts w:eastAsia="Calibri"/>
                <w:lang w:eastAsia="en-US"/>
              </w:rPr>
            </w:pPr>
            <w:r w:rsidRPr="00A65E70">
              <w:rPr>
                <w:rFonts w:eastAsia="Calibri"/>
                <w:lang w:eastAsia="en-US"/>
              </w:rPr>
              <w:t xml:space="preserve"> $6,430,544,077 </w:t>
            </w:r>
          </w:p>
        </w:tc>
        <w:tc>
          <w:tcPr>
            <w:tcW w:w="1916" w:type="dxa"/>
            <w:tcBorders>
              <w:top w:val="nil"/>
              <w:left w:val="nil"/>
              <w:bottom w:val="nil"/>
              <w:right w:val="nil"/>
            </w:tcBorders>
            <w:shd w:val="clear" w:color="auto" w:fill="auto"/>
            <w:noWrap/>
            <w:hideMark/>
          </w:tcPr>
          <w:p w14:paraId="1C246CA6" w14:textId="77777777" w:rsidR="00A65E70" w:rsidRPr="00A65E70" w:rsidRDefault="00A65E70" w:rsidP="00C35466">
            <w:pPr>
              <w:rPr>
                <w:rFonts w:eastAsia="Calibri"/>
                <w:lang w:eastAsia="en-US"/>
              </w:rPr>
            </w:pPr>
            <w:r w:rsidRPr="00A65E70">
              <w:rPr>
                <w:rFonts w:eastAsia="Calibri"/>
                <w:lang w:eastAsia="en-US"/>
              </w:rPr>
              <w:t xml:space="preserve"> $4,459,866,213 </w:t>
            </w:r>
          </w:p>
        </w:tc>
        <w:tc>
          <w:tcPr>
            <w:tcW w:w="1985" w:type="dxa"/>
            <w:tcBorders>
              <w:top w:val="nil"/>
              <w:left w:val="nil"/>
              <w:bottom w:val="nil"/>
              <w:right w:val="nil"/>
            </w:tcBorders>
            <w:shd w:val="clear" w:color="auto" w:fill="auto"/>
            <w:noWrap/>
            <w:hideMark/>
          </w:tcPr>
          <w:p w14:paraId="3C68D03C" w14:textId="77777777" w:rsidR="00A65E70" w:rsidRPr="00A65E70" w:rsidRDefault="00A65E70" w:rsidP="00C35466">
            <w:pPr>
              <w:rPr>
                <w:rFonts w:eastAsia="Calibri"/>
                <w:lang w:eastAsia="en-US"/>
              </w:rPr>
            </w:pPr>
            <w:r w:rsidRPr="00A65E70">
              <w:rPr>
                <w:rFonts w:eastAsia="Calibri"/>
                <w:lang w:eastAsia="en-US"/>
              </w:rPr>
              <w:t xml:space="preserve"> $10,890,410,290 </w:t>
            </w:r>
          </w:p>
        </w:tc>
      </w:tr>
      <w:tr w:rsidR="00A65E70" w:rsidRPr="00A65E70" w14:paraId="42E88FFB" w14:textId="77777777" w:rsidTr="007032DD">
        <w:trPr>
          <w:trHeight w:val="355"/>
        </w:trPr>
        <w:tc>
          <w:tcPr>
            <w:tcW w:w="2552" w:type="dxa"/>
            <w:tcBorders>
              <w:top w:val="nil"/>
              <w:left w:val="nil"/>
              <w:bottom w:val="nil"/>
              <w:right w:val="nil"/>
            </w:tcBorders>
            <w:shd w:val="clear" w:color="auto" w:fill="auto"/>
            <w:noWrap/>
            <w:hideMark/>
          </w:tcPr>
          <w:p w14:paraId="2CD74C8C" w14:textId="77777777" w:rsidR="00A65E70" w:rsidRPr="00A65E70" w:rsidRDefault="00A65E70" w:rsidP="00C35466">
            <w:pPr>
              <w:rPr>
                <w:rFonts w:eastAsia="Calibri"/>
                <w:lang w:eastAsia="en-US"/>
              </w:rPr>
            </w:pPr>
            <w:r w:rsidRPr="00A65E70">
              <w:rPr>
                <w:rFonts w:eastAsia="Calibri"/>
                <w:lang w:eastAsia="en-US"/>
              </w:rPr>
              <w:t>Psychological Distress</w:t>
            </w:r>
          </w:p>
        </w:tc>
        <w:tc>
          <w:tcPr>
            <w:tcW w:w="2148" w:type="dxa"/>
            <w:tcBorders>
              <w:top w:val="nil"/>
              <w:left w:val="nil"/>
              <w:bottom w:val="nil"/>
              <w:right w:val="nil"/>
            </w:tcBorders>
            <w:shd w:val="clear" w:color="auto" w:fill="auto"/>
            <w:noWrap/>
            <w:hideMark/>
          </w:tcPr>
          <w:p w14:paraId="5AA06828" w14:textId="77777777" w:rsidR="00A65E70" w:rsidRPr="00A65E70" w:rsidRDefault="00A65E70" w:rsidP="00C35466">
            <w:pPr>
              <w:rPr>
                <w:rFonts w:eastAsia="Calibri"/>
                <w:lang w:eastAsia="en-US"/>
              </w:rPr>
            </w:pPr>
            <w:r w:rsidRPr="00A65E70">
              <w:rPr>
                <w:rFonts w:eastAsia="Calibri"/>
                <w:lang w:eastAsia="en-US"/>
              </w:rPr>
              <w:t xml:space="preserve"> $3,969,982,195 </w:t>
            </w:r>
          </w:p>
        </w:tc>
        <w:tc>
          <w:tcPr>
            <w:tcW w:w="1916" w:type="dxa"/>
            <w:tcBorders>
              <w:top w:val="nil"/>
              <w:left w:val="nil"/>
              <w:bottom w:val="nil"/>
              <w:right w:val="nil"/>
            </w:tcBorders>
            <w:shd w:val="clear" w:color="auto" w:fill="auto"/>
            <w:noWrap/>
            <w:hideMark/>
          </w:tcPr>
          <w:p w14:paraId="56C8A371" w14:textId="77777777" w:rsidR="00A65E70" w:rsidRPr="00A65E70" w:rsidRDefault="00A65E70" w:rsidP="00C35466">
            <w:pPr>
              <w:rPr>
                <w:rFonts w:eastAsia="Calibri"/>
                <w:lang w:eastAsia="en-US"/>
              </w:rPr>
            </w:pPr>
            <w:r w:rsidRPr="00A65E70">
              <w:rPr>
                <w:rFonts w:eastAsia="Calibri"/>
                <w:lang w:eastAsia="en-US"/>
              </w:rPr>
              <w:t xml:space="preserve"> $2,742,146,189 </w:t>
            </w:r>
          </w:p>
        </w:tc>
        <w:tc>
          <w:tcPr>
            <w:tcW w:w="1985" w:type="dxa"/>
            <w:tcBorders>
              <w:top w:val="nil"/>
              <w:left w:val="nil"/>
              <w:bottom w:val="nil"/>
              <w:right w:val="nil"/>
            </w:tcBorders>
            <w:shd w:val="clear" w:color="auto" w:fill="auto"/>
            <w:noWrap/>
            <w:hideMark/>
          </w:tcPr>
          <w:p w14:paraId="6A3308E1" w14:textId="77777777" w:rsidR="00A65E70" w:rsidRPr="00A65E70" w:rsidRDefault="00A65E70" w:rsidP="00C35466">
            <w:pPr>
              <w:rPr>
                <w:rFonts w:eastAsia="Calibri"/>
                <w:lang w:eastAsia="en-US"/>
              </w:rPr>
            </w:pPr>
            <w:r w:rsidRPr="00A65E70">
              <w:rPr>
                <w:rFonts w:eastAsia="Calibri"/>
                <w:lang w:eastAsia="en-US"/>
              </w:rPr>
              <w:t xml:space="preserve"> $6,712,128,384 </w:t>
            </w:r>
          </w:p>
        </w:tc>
      </w:tr>
      <w:tr w:rsidR="00A65E70" w:rsidRPr="00A65E70" w14:paraId="4DE5580C" w14:textId="77777777" w:rsidTr="007032DD">
        <w:trPr>
          <w:trHeight w:val="355"/>
        </w:trPr>
        <w:tc>
          <w:tcPr>
            <w:tcW w:w="2552" w:type="dxa"/>
            <w:tcBorders>
              <w:top w:val="nil"/>
              <w:left w:val="nil"/>
              <w:bottom w:val="nil"/>
              <w:right w:val="nil"/>
            </w:tcBorders>
            <w:shd w:val="clear" w:color="auto" w:fill="auto"/>
            <w:noWrap/>
            <w:hideMark/>
          </w:tcPr>
          <w:p w14:paraId="6EE86DC4" w14:textId="77777777" w:rsidR="00A65E70" w:rsidRPr="00A65E70" w:rsidRDefault="00A65E70" w:rsidP="00C35466">
            <w:pPr>
              <w:rPr>
                <w:rFonts w:eastAsia="Calibri"/>
                <w:lang w:eastAsia="en-US"/>
              </w:rPr>
            </w:pPr>
            <w:r w:rsidRPr="00A65E70">
              <w:rPr>
                <w:rFonts w:eastAsia="Calibri"/>
                <w:lang w:eastAsia="en-US"/>
              </w:rPr>
              <w:t>Low Engagement</w:t>
            </w:r>
          </w:p>
        </w:tc>
        <w:tc>
          <w:tcPr>
            <w:tcW w:w="2148" w:type="dxa"/>
            <w:tcBorders>
              <w:top w:val="nil"/>
              <w:left w:val="nil"/>
              <w:bottom w:val="nil"/>
              <w:right w:val="nil"/>
            </w:tcBorders>
            <w:shd w:val="clear" w:color="auto" w:fill="auto"/>
            <w:noWrap/>
            <w:hideMark/>
          </w:tcPr>
          <w:p w14:paraId="65C7F362" w14:textId="77777777" w:rsidR="00A65E70" w:rsidRPr="00A65E70" w:rsidRDefault="00A65E70" w:rsidP="00C35466">
            <w:pPr>
              <w:rPr>
                <w:rFonts w:eastAsia="Calibri"/>
                <w:lang w:eastAsia="en-US"/>
              </w:rPr>
            </w:pPr>
            <w:r w:rsidRPr="00A65E70">
              <w:rPr>
                <w:rFonts w:eastAsia="Calibri"/>
                <w:lang w:eastAsia="en-US"/>
              </w:rPr>
              <w:t xml:space="preserve"> $3,442,718,935 </w:t>
            </w:r>
          </w:p>
        </w:tc>
        <w:tc>
          <w:tcPr>
            <w:tcW w:w="1916" w:type="dxa"/>
            <w:tcBorders>
              <w:top w:val="nil"/>
              <w:left w:val="nil"/>
              <w:bottom w:val="nil"/>
              <w:right w:val="nil"/>
            </w:tcBorders>
            <w:shd w:val="clear" w:color="auto" w:fill="auto"/>
            <w:noWrap/>
            <w:hideMark/>
          </w:tcPr>
          <w:p w14:paraId="42D0E81E" w14:textId="77777777" w:rsidR="00A65E70" w:rsidRPr="00A65E70" w:rsidRDefault="00A65E70" w:rsidP="00C35466">
            <w:pPr>
              <w:rPr>
                <w:rFonts w:eastAsia="Calibri"/>
                <w:lang w:eastAsia="en-US"/>
              </w:rPr>
            </w:pPr>
            <w:r w:rsidRPr="00A65E70">
              <w:rPr>
                <w:rFonts w:eastAsia="Calibri"/>
                <w:lang w:eastAsia="en-US"/>
              </w:rPr>
              <w:t xml:space="preserve"> $9,238,180,746 </w:t>
            </w:r>
          </w:p>
        </w:tc>
        <w:tc>
          <w:tcPr>
            <w:tcW w:w="1985" w:type="dxa"/>
            <w:tcBorders>
              <w:top w:val="nil"/>
              <w:left w:val="nil"/>
              <w:bottom w:val="nil"/>
              <w:right w:val="nil"/>
            </w:tcBorders>
            <w:shd w:val="clear" w:color="auto" w:fill="auto"/>
            <w:noWrap/>
            <w:hideMark/>
          </w:tcPr>
          <w:p w14:paraId="6365A7DB" w14:textId="77777777" w:rsidR="00A65E70" w:rsidRPr="00A65E70" w:rsidRDefault="00A65E70" w:rsidP="00C35466">
            <w:pPr>
              <w:rPr>
                <w:rFonts w:eastAsia="Calibri"/>
                <w:lang w:eastAsia="en-US"/>
              </w:rPr>
            </w:pPr>
            <w:r w:rsidRPr="00A65E70">
              <w:rPr>
                <w:rFonts w:eastAsia="Calibri"/>
                <w:lang w:eastAsia="en-US"/>
              </w:rPr>
              <w:t xml:space="preserve"> $12,680,899,681 </w:t>
            </w:r>
          </w:p>
        </w:tc>
      </w:tr>
      <w:tr w:rsidR="00A65E70" w:rsidRPr="00A65E70" w14:paraId="2C840345" w14:textId="77777777" w:rsidTr="007032DD">
        <w:trPr>
          <w:trHeight w:val="355"/>
        </w:trPr>
        <w:tc>
          <w:tcPr>
            <w:tcW w:w="2552" w:type="dxa"/>
            <w:tcBorders>
              <w:top w:val="nil"/>
              <w:left w:val="nil"/>
              <w:bottom w:val="single" w:sz="4" w:space="0" w:color="auto"/>
              <w:right w:val="nil"/>
            </w:tcBorders>
            <w:shd w:val="clear" w:color="auto" w:fill="auto"/>
            <w:noWrap/>
          </w:tcPr>
          <w:p w14:paraId="726F95E1" w14:textId="77777777" w:rsidR="00A65E70" w:rsidRPr="00A65E70" w:rsidRDefault="00A65E70" w:rsidP="00C35466">
            <w:pPr>
              <w:rPr>
                <w:rFonts w:eastAsia="Calibri"/>
                <w:lang w:eastAsia="en-US"/>
              </w:rPr>
            </w:pPr>
            <w:r w:rsidRPr="00A65E70">
              <w:rPr>
                <w:rFonts w:eastAsia="Calibri"/>
                <w:lang w:eastAsia="en-US"/>
              </w:rPr>
              <w:t>All factors</w:t>
            </w:r>
          </w:p>
        </w:tc>
        <w:tc>
          <w:tcPr>
            <w:tcW w:w="2148" w:type="dxa"/>
            <w:tcBorders>
              <w:top w:val="nil"/>
              <w:left w:val="nil"/>
              <w:bottom w:val="single" w:sz="4" w:space="0" w:color="auto"/>
              <w:right w:val="nil"/>
            </w:tcBorders>
            <w:shd w:val="clear" w:color="auto" w:fill="auto"/>
            <w:noWrap/>
          </w:tcPr>
          <w:p w14:paraId="3DD5CA8E" w14:textId="77777777" w:rsidR="00A65E70" w:rsidRPr="00A65E70" w:rsidRDefault="00A65E70" w:rsidP="00C35466">
            <w:pPr>
              <w:rPr>
                <w:rFonts w:eastAsia="Calibri"/>
                <w:lang w:eastAsia="en-US"/>
              </w:rPr>
            </w:pPr>
            <w:r w:rsidRPr="00A65E70">
              <w:rPr>
                <w:rFonts w:eastAsia="Calibri"/>
                <w:lang w:eastAsia="en-US"/>
              </w:rPr>
              <w:t xml:space="preserve"> $12,218,100,342 </w:t>
            </w:r>
          </w:p>
        </w:tc>
        <w:tc>
          <w:tcPr>
            <w:tcW w:w="1916" w:type="dxa"/>
            <w:tcBorders>
              <w:top w:val="nil"/>
              <w:left w:val="nil"/>
              <w:bottom w:val="single" w:sz="4" w:space="0" w:color="auto"/>
              <w:right w:val="nil"/>
            </w:tcBorders>
            <w:shd w:val="clear" w:color="auto" w:fill="auto"/>
            <w:noWrap/>
          </w:tcPr>
          <w:p w14:paraId="4DC88021" w14:textId="74051E33" w:rsidR="00A65E70" w:rsidRPr="00A65E70" w:rsidRDefault="00A65E70" w:rsidP="00C35466">
            <w:pPr>
              <w:rPr>
                <w:rFonts w:eastAsia="Calibri"/>
                <w:lang w:eastAsia="en-US"/>
              </w:rPr>
            </w:pPr>
            <w:r w:rsidRPr="00A65E70">
              <w:rPr>
                <w:rFonts w:eastAsia="Calibri"/>
                <w:lang w:eastAsia="en-US"/>
              </w:rPr>
              <w:t xml:space="preserve">$15,171,398,378 </w:t>
            </w:r>
          </w:p>
        </w:tc>
        <w:tc>
          <w:tcPr>
            <w:tcW w:w="1985" w:type="dxa"/>
            <w:tcBorders>
              <w:top w:val="nil"/>
              <w:left w:val="nil"/>
              <w:bottom w:val="single" w:sz="4" w:space="0" w:color="auto"/>
              <w:right w:val="nil"/>
            </w:tcBorders>
            <w:shd w:val="clear" w:color="auto" w:fill="auto"/>
            <w:noWrap/>
          </w:tcPr>
          <w:p w14:paraId="1FE843F6" w14:textId="77777777" w:rsidR="00A65E70" w:rsidRPr="00A65E70" w:rsidRDefault="00A65E70" w:rsidP="00C35466">
            <w:pPr>
              <w:rPr>
                <w:rFonts w:eastAsia="Calibri"/>
                <w:lang w:eastAsia="en-US"/>
              </w:rPr>
            </w:pPr>
            <w:r w:rsidRPr="00A65E70">
              <w:rPr>
                <w:rFonts w:eastAsia="Calibri"/>
                <w:lang w:eastAsia="en-US"/>
              </w:rPr>
              <w:t xml:space="preserve"> $27,389,498,720 </w:t>
            </w:r>
          </w:p>
        </w:tc>
      </w:tr>
    </w:tbl>
    <w:p w14:paraId="3A88E4EB" w14:textId="77777777" w:rsidR="00EE707B" w:rsidRDefault="00EE707B" w:rsidP="00A65E70">
      <w:pPr>
        <w:spacing w:after="200" w:line="276" w:lineRule="auto"/>
        <w:rPr>
          <w:rFonts w:ascii="Adobe Garamond Pro" w:eastAsia="Calibri" w:hAnsi="Adobe Garamond Pro"/>
          <w:sz w:val="24"/>
          <w:szCs w:val="22"/>
          <w:lang w:eastAsia="en-US"/>
        </w:rPr>
      </w:pPr>
    </w:p>
    <w:sectPr w:rsidR="00EE707B" w:rsidSect="00DF442A">
      <w:headerReference w:type="default" r:id="rId19"/>
      <w:footerReference w:type="default" r:id="rId20"/>
      <w:pgSz w:w="11906" w:h="16838"/>
      <w:pgMar w:top="1276" w:right="1800" w:bottom="1440" w:left="1276" w:header="62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C06AB" w14:textId="77777777" w:rsidR="00D54C52" w:rsidRDefault="00D54C52" w:rsidP="0054159E">
      <w:r>
        <w:separator/>
      </w:r>
    </w:p>
  </w:endnote>
  <w:endnote w:type="continuationSeparator" w:id="0">
    <w:p w14:paraId="5ED0DABE" w14:textId="77777777" w:rsidR="00D54C52" w:rsidRDefault="00D54C52" w:rsidP="00541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07C70" w14:textId="09FD3E6C" w:rsidR="00D54C52" w:rsidRPr="00C2001B" w:rsidRDefault="00D54C52" w:rsidP="00FA5E23">
    <w:pPr>
      <w:pStyle w:val="Footer"/>
      <w:jc w:val="right"/>
      <w:rPr>
        <w:sz w:val="18"/>
        <w:szCs w:val="18"/>
      </w:rPr>
    </w:pPr>
    <w:r>
      <w:tab/>
    </w:r>
    <w:r w:rsidRPr="00C2001B">
      <w:rPr>
        <w:sz w:val="18"/>
        <w:szCs w:val="18"/>
      </w:rPr>
      <w:t xml:space="preserve">Page </w:t>
    </w:r>
    <w:r w:rsidRPr="00C2001B">
      <w:rPr>
        <w:sz w:val="18"/>
        <w:szCs w:val="18"/>
      </w:rPr>
      <w:fldChar w:fldCharType="begin"/>
    </w:r>
    <w:r w:rsidRPr="00C2001B">
      <w:rPr>
        <w:sz w:val="18"/>
        <w:szCs w:val="18"/>
      </w:rPr>
      <w:instrText xml:space="preserve"> PAGE   \* MERGEFORMAT </w:instrText>
    </w:r>
    <w:r w:rsidRPr="00C2001B">
      <w:rPr>
        <w:sz w:val="18"/>
        <w:szCs w:val="18"/>
      </w:rPr>
      <w:fldChar w:fldCharType="separate"/>
    </w:r>
    <w:r w:rsidR="00935E78">
      <w:rPr>
        <w:noProof/>
        <w:sz w:val="18"/>
        <w:szCs w:val="18"/>
      </w:rPr>
      <w:t>23</w:t>
    </w:r>
    <w:r w:rsidRPr="00C2001B">
      <w:rPr>
        <w:sz w:val="18"/>
        <w:szCs w:val="18"/>
      </w:rPr>
      <w:fldChar w:fldCharType="end"/>
    </w:r>
    <w:r w:rsidRPr="00C2001B">
      <w:rPr>
        <w:sz w:val="18"/>
        <w:szCs w:val="18"/>
      </w:rPr>
      <w:t xml:space="preserve"> of </w:t>
    </w:r>
    <w:r w:rsidRPr="00C2001B">
      <w:rPr>
        <w:sz w:val="18"/>
        <w:szCs w:val="18"/>
      </w:rPr>
      <w:fldChar w:fldCharType="begin"/>
    </w:r>
    <w:r w:rsidRPr="00C2001B">
      <w:rPr>
        <w:sz w:val="18"/>
        <w:szCs w:val="18"/>
      </w:rPr>
      <w:instrText xml:space="preserve"> NUMPAGES  \* Arabic  \* MERGEFORMAT </w:instrText>
    </w:r>
    <w:r w:rsidRPr="00C2001B">
      <w:rPr>
        <w:sz w:val="18"/>
        <w:szCs w:val="18"/>
      </w:rPr>
      <w:fldChar w:fldCharType="separate"/>
    </w:r>
    <w:r w:rsidR="00935E78">
      <w:rPr>
        <w:noProof/>
        <w:sz w:val="18"/>
        <w:szCs w:val="18"/>
      </w:rPr>
      <w:t>39</w:t>
    </w:r>
    <w:r w:rsidRPr="00C2001B">
      <w:rPr>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7BF04" w14:textId="77777777" w:rsidR="00D54C52" w:rsidRDefault="00D54C52" w:rsidP="0073038F">
    <w:pPr>
      <w:pStyle w:val="SWA-FOOTER"/>
      <w:jc w:val="right"/>
    </w:pPr>
    <w:r w:rsidRPr="00E37A08">
      <w:t xml:space="preserve">Page </w:t>
    </w:r>
    <w:r w:rsidRPr="00E37A08">
      <w:fldChar w:fldCharType="begin"/>
    </w:r>
    <w:r w:rsidRPr="00E37A08">
      <w:instrText xml:space="preserve"> PAGE   \* MERGEFORMAT </w:instrText>
    </w:r>
    <w:r w:rsidRPr="00E37A08">
      <w:fldChar w:fldCharType="separate"/>
    </w:r>
    <w:r w:rsidR="00935E78">
      <w:rPr>
        <w:noProof/>
      </w:rPr>
      <w:t>3</w:t>
    </w:r>
    <w:r w:rsidRPr="00E37A08">
      <w:fldChar w:fldCharType="end"/>
    </w:r>
    <w:r w:rsidRPr="00E37A08">
      <w:t xml:space="preserve"> of </w:t>
    </w:r>
    <w:fldSimple w:instr=" NUMPAGES  \* Arabic  \* MERGEFORMAT ">
      <w:r w:rsidR="00935E78">
        <w:rPr>
          <w:noProof/>
        </w:rPr>
        <w:t>39</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0A14D" w14:textId="77777777" w:rsidR="00D54C52" w:rsidRPr="00C2001B" w:rsidRDefault="00D54C52" w:rsidP="00FA5E23">
    <w:pPr>
      <w:pStyle w:val="Footer"/>
      <w:tabs>
        <w:tab w:val="clear" w:pos="4513"/>
        <w:tab w:val="clear" w:pos="9026"/>
        <w:tab w:val="left" w:pos="1783"/>
      </w:tabs>
      <w:jc w:val="right"/>
      <w:rPr>
        <w:sz w:val="18"/>
        <w:szCs w:val="18"/>
      </w:rPr>
    </w:pPr>
    <w:r w:rsidRPr="00C2001B">
      <w:rPr>
        <w:sz w:val="18"/>
        <w:szCs w:val="18"/>
      </w:rPr>
      <w:t xml:space="preserve">Page </w:t>
    </w:r>
    <w:r w:rsidRPr="00C2001B">
      <w:rPr>
        <w:sz w:val="18"/>
        <w:szCs w:val="18"/>
      </w:rPr>
      <w:fldChar w:fldCharType="begin"/>
    </w:r>
    <w:r w:rsidRPr="00C2001B">
      <w:rPr>
        <w:sz w:val="18"/>
        <w:szCs w:val="18"/>
      </w:rPr>
      <w:instrText xml:space="preserve"> PAGE   \* MERGEFORMAT </w:instrText>
    </w:r>
    <w:r w:rsidRPr="00C2001B">
      <w:rPr>
        <w:sz w:val="18"/>
        <w:szCs w:val="18"/>
      </w:rPr>
      <w:fldChar w:fldCharType="separate"/>
    </w:r>
    <w:r w:rsidR="00935E78">
      <w:rPr>
        <w:noProof/>
        <w:sz w:val="18"/>
        <w:szCs w:val="18"/>
      </w:rPr>
      <w:t>33</w:t>
    </w:r>
    <w:r w:rsidRPr="00C2001B">
      <w:rPr>
        <w:sz w:val="18"/>
        <w:szCs w:val="18"/>
      </w:rPr>
      <w:fldChar w:fldCharType="end"/>
    </w:r>
    <w:r w:rsidRPr="00C2001B">
      <w:rPr>
        <w:sz w:val="18"/>
        <w:szCs w:val="18"/>
      </w:rPr>
      <w:t xml:space="preserve"> of </w:t>
    </w:r>
    <w:r w:rsidRPr="00C2001B">
      <w:rPr>
        <w:sz w:val="18"/>
        <w:szCs w:val="18"/>
      </w:rPr>
      <w:fldChar w:fldCharType="begin"/>
    </w:r>
    <w:r w:rsidRPr="00C2001B">
      <w:rPr>
        <w:sz w:val="18"/>
        <w:szCs w:val="18"/>
      </w:rPr>
      <w:instrText xml:space="preserve"> NUMPAGES  \* Arabic  \* MERGEFORMAT </w:instrText>
    </w:r>
    <w:r w:rsidRPr="00C2001B">
      <w:rPr>
        <w:sz w:val="18"/>
        <w:szCs w:val="18"/>
      </w:rPr>
      <w:fldChar w:fldCharType="separate"/>
    </w:r>
    <w:r w:rsidR="00935E78">
      <w:rPr>
        <w:noProof/>
        <w:sz w:val="18"/>
        <w:szCs w:val="18"/>
      </w:rPr>
      <w:t>39</w:t>
    </w:r>
    <w:r w:rsidRPr="00C2001B">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D8E02" w14:textId="77777777" w:rsidR="00D54C52" w:rsidRDefault="00D54C52" w:rsidP="0054159E">
      <w:r>
        <w:separator/>
      </w:r>
    </w:p>
  </w:footnote>
  <w:footnote w:type="continuationSeparator" w:id="0">
    <w:p w14:paraId="2D411FDA" w14:textId="77777777" w:rsidR="00D54C52" w:rsidRDefault="00D54C52" w:rsidP="0054159E">
      <w:r>
        <w:continuationSeparator/>
      </w:r>
    </w:p>
  </w:footnote>
  <w:footnote w:id="1">
    <w:p w14:paraId="4C7269CF" w14:textId="02B34A68" w:rsidR="00D54C52" w:rsidRPr="00771DBB" w:rsidRDefault="00D54C52">
      <w:pPr>
        <w:pStyle w:val="FootnoteText"/>
        <w:rPr>
          <w:sz w:val="18"/>
          <w:szCs w:val="18"/>
        </w:rPr>
      </w:pPr>
      <w:r w:rsidRPr="00771DBB">
        <w:rPr>
          <w:rStyle w:val="FootnoteReference"/>
          <w:sz w:val="18"/>
          <w:szCs w:val="18"/>
        </w:rPr>
        <w:footnoteRef/>
      </w:r>
      <w:r w:rsidRPr="00771DBB">
        <w:rPr>
          <w:sz w:val="18"/>
          <w:szCs w:val="18"/>
        </w:rPr>
        <w:t xml:space="preserve"> Sick days were calculated from annual sickness absence hours.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4B04F" w14:textId="77777777" w:rsidR="00D54C52" w:rsidRPr="001048BB" w:rsidRDefault="00D54C52" w:rsidP="007032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F23E2" w14:textId="77777777" w:rsidR="00D54C52" w:rsidRDefault="00D54C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EEA87" w14:textId="77777777" w:rsidR="00D54C52" w:rsidRPr="00BA7605" w:rsidRDefault="00D54C52" w:rsidP="00BA76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406"/>
    <w:multiLevelType w:val="hybridMultilevel"/>
    <w:tmpl w:val="A8DEF1B8"/>
    <w:lvl w:ilvl="0" w:tplc="9F8ADA9E">
      <w:start w:val="1"/>
      <w:numFmt w:val="bullet"/>
      <w:pStyle w:val="Style6"/>
      <w:lvlText w:val=""/>
      <w:lvlJc w:val="left"/>
      <w:pPr>
        <w:ind w:left="1637" w:hanging="360"/>
      </w:pPr>
      <w:rPr>
        <w:rFonts w:ascii="Symbol" w:hAnsi="Symbol" w:hint="default"/>
      </w:rPr>
    </w:lvl>
    <w:lvl w:ilvl="1" w:tplc="0C090003" w:tentative="1">
      <w:start w:val="1"/>
      <w:numFmt w:val="bullet"/>
      <w:lvlText w:val="o"/>
      <w:lvlJc w:val="left"/>
      <w:pPr>
        <w:ind w:left="2357" w:hanging="360"/>
      </w:pPr>
      <w:rPr>
        <w:rFonts w:ascii="Courier New" w:hAnsi="Courier New" w:cs="Courier New" w:hint="default"/>
      </w:rPr>
    </w:lvl>
    <w:lvl w:ilvl="2" w:tplc="0C090005" w:tentative="1">
      <w:start w:val="1"/>
      <w:numFmt w:val="bullet"/>
      <w:lvlText w:val=""/>
      <w:lvlJc w:val="left"/>
      <w:pPr>
        <w:ind w:left="3077" w:hanging="360"/>
      </w:pPr>
      <w:rPr>
        <w:rFonts w:ascii="Wingdings" w:hAnsi="Wingdings" w:hint="default"/>
      </w:rPr>
    </w:lvl>
    <w:lvl w:ilvl="3" w:tplc="0C090001" w:tentative="1">
      <w:start w:val="1"/>
      <w:numFmt w:val="bullet"/>
      <w:lvlText w:val=""/>
      <w:lvlJc w:val="left"/>
      <w:pPr>
        <w:ind w:left="3797" w:hanging="360"/>
      </w:pPr>
      <w:rPr>
        <w:rFonts w:ascii="Symbol" w:hAnsi="Symbol" w:hint="default"/>
      </w:rPr>
    </w:lvl>
    <w:lvl w:ilvl="4" w:tplc="0C090003" w:tentative="1">
      <w:start w:val="1"/>
      <w:numFmt w:val="bullet"/>
      <w:lvlText w:val="o"/>
      <w:lvlJc w:val="left"/>
      <w:pPr>
        <w:ind w:left="4517" w:hanging="360"/>
      </w:pPr>
      <w:rPr>
        <w:rFonts w:ascii="Courier New" w:hAnsi="Courier New" w:cs="Courier New" w:hint="default"/>
      </w:rPr>
    </w:lvl>
    <w:lvl w:ilvl="5" w:tplc="0C090005" w:tentative="1">
      <w:start w:val="1"/>
      <w:numFmt w:val="bullet"/>
      <w:lvlText w:val=""/>
      <w:lvlJc w:val="left"/>
      <w:pPr>
        <w:ind w:left="5237" w:hanging="360"/>
      </w:pPr>
      <w:rPr>
        <w:rFonts w:ascii="Wingdings" w:hAnsi="Wingdings" w:hint="default"/>
      </w:rPr>
    </w:lvl>
    <w:lvl w:ilvl="6" w:tplc="0C090001" w:tentative="1">
      <w:start w:val="1"/>
      <w:numFmt w:val="bullet"/>
      <w:lvlText w:val=""/>
      <w:lvlJc w:val="left"/>
      <w:pPr>
        <w:ind w:left="5957" w:hanging="360"/>
      </w:pPr>
      <w:rPr>
        <w:rFonts w:ascii="Symbol" w:hAnsi="Symbol" w:hint="default"/>
      </w:rPr>
    </w:lvl>
    <w:lvl w:ilvl="7" w:tplc="0C090003" w:tentative="1">
      <w:start w:val="1"/>
      <w:numFmt w:val="bullet"/>
      <w:lvlText w:val="o"/>
      <w:lvlJc w:val="left"/>
      <w:pPr>
        <w:ind w:left="6677" w:hanging="360"/>
      </w:pPr>
      <w:rPr>
        <w:rFonts w:ascii="Courier New" w:hAnsi="Courier New" w:cs="Courier New" w:hint="default"/>
      </w:rPr>
    </w:lvl>
    <w:lvl w:ilvl="8" w:tplc="0C090005" w:tentative="1">
      <w:start w:val="1"/>
      <w:numFmt w:val="bullet"/>
      <w:lvlText w:val=""/>
      <w:lvlJc w:val="left"/>
      <w:pPr>
        <w:ind w:left="7397" w:hanging="360"/>
      </w:pPr>
      <w:rPr>
        <w:rFonts w:ascii="Wingdings" w:hAnsi="Wingdings" w:hint="default"/>
      </w:rPr>
    </w:lvl>
  </w:abstractNum>
  <w:abstractNum w:abstractNumId="1">
    <w:nsid w:val="02EC3BD7"/>
    <w:multiLevelType w:val="hybridMultilevel"/>
    <w:tmpl w:val="5FD038D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944111"/>
    <w:multiLevelType w:val="hybridMultilevel"/>
    <w:tmpl w:val="94F632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261E2"/>
    <w:multiLevelType w:val="hybridMultilevel"/>
    <w:tmpl w:val="B6F2F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7372F0"/>
    <w:multiLevelType w:val="hybridMultilevel"/>
    <w:tmpl w:val="70BAEF2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6D01E6"/>
    <w:multiLevelType w:val="hybridMultilevel"/>
    <w:tmpl w:val="289686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47C0A1B"/>
    <w:multiLevelType w:val="hybridMultilevel"/>
    <w:tmpl w:val="6AE673B8"/>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nsid w:val="15743416"/>
    <w:multiLevelType w:val="hybridMultilevel"/>
    <w:tmpl w:val="BCF8E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2B30B6"/>
    <w:multiLevelType w:val="hybridMultilevel"/>
    <w:tmpl w:val="2F10E2C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3C76DAD4">
      <w:numFmt w:val="bullet"/>
      <w:lvlText w:val="·"/>
      <w:lvlJc w:val="left"/>
      <w:pPr>
        <w:ind w:left="2340" w:hanging="540"/>
      </w:pPr>
      <w:rPr>
        <w:rFonts w:ascii="Arial" w:eastAsia="Times New Roman" w:hAnsi="Arial"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647514F"/>
    <w:multiLevelType w:val="hybridMultilevel"/>
    <w:tmpl w:val="F8B84400"/>
    <w:lvl w:ilvl="0" w:tplc="0C090001">
      <w:start w:val="1"/>
      <w:numFmt w:val="bullet"/>
      <w:lvlText w:val=""/>
      <w:lvlJc w:val="left"/>
      <w:pPr>
        <w:ind w:left="2847" w:hanging="360"/>
      </w:pPr>
      <w:rPr>
        <w:rFonts w:ascii="Symbol" w:hAnsi="Symbol" w:hint="default"/>
      </w:rPr>
    </w:lvl>
    <w:lvl w:ilvl="1" w:tplc="0C090003" w:tentative="1">
      <w:start w:val="1"/>
      <w:numFmt w:val="bullet"/>
      <w:lvlText w:val="o"/>
      <w:lvlJc w:val="left"/>
      <w:pPr>
        <w:ind w:left="3567" w:hanging="360"/>
      </w:pPr>
      <w:rPr>
        <w:rFonts w:ascii="Courier New" w:hAnsi="Courier New" w:cs="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10">
    <w:nsid w:val="20505B1E"/>
    <w:multiLevelType w:val="hybridMultilevel"/>
    <w:tmpl w:val="316664B0"/>
    <w:lvl w:ilvl="0" w:tplc="0C090001">
      <w:start w:val="1"/>
      <w:numFmt w:val="bullet"/>
      <w:lvlText w:val=""/>
      <w:lvlJc w:val="left"/>
      <w:pPr>
        <w:ind w:left="2421" w:hanging="360"/>
      </w:pPr>
      <w:rPr>
        <w:rFonts w:ascii="Symbol" w:hAnsi="Symbol" w:hint="default"/>
      </w:rPr>
    </w:lvl>
    <w:lvl w:ilvl="1" w:tplc="0C090003">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1">
    <w:nsid w:val="229F6238"/>
    <w:multiLevelType w:val="hybridMultilevel"/>
    <w:tmpl w:val="A6E07394"/>
    <w:lvl w:ilvl="0" w:tplc="574A3E48">
      <w:start w:val="1"/>
      <w:numFmt w:val="lowerLetter"/>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F661E04"/>
    <w:multiLevelType w:val="hybridMultilevel"/>
    <w:tmpl w:val="E9F61AF6"/>
    <w:lvl w:ilvl="0" w:tplc="6D4C9B5E">
      <w:numFmt w:val="bullet"/>
      <w:lvlText w:val="-"/>
      <w:lvlJc w:val="left"/>
      <w:pPr>
        <w:ind w:left="720" w:hanging="360"/>
      </w:pPr>
      <w:rPr>
        <w:rFonts w:ascii="Adobe Garamond Pro" w:eastAsiaTheme="minorHAnsi" w:hAnsi="Adobe Garamond Pro"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D2158A"/>
    <w:multiLevelType w:val="hybridMultilevel"/>
    <w:tmpl w:val="F934C2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23A0C0A"/>
    <w:multiLevelType w:val="hybridMultilevel"/>
    <w:tmpl w:val="DFEC0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827216"/>
    <w:multiLevelType w:val="hybridMultilevel"/>
    <w:tmpl w:val="FD7295AA"/>
    <w:lvl w:ilvl="0" w:tplc="0C090003">
      <w:start w:val="1"/>
      <w:numFmt w:val="bullet"/>
      <w:lvlText w:val="o"/>
      <w:lvlJc w:val="left"/>
      <w:pPr>
        <w:ind w:left="2421" w:hanging="360"/>
      </w:pPr>
      <w:rPr>
        <w:rFonts w:ascii="Courier New" w:hAnsi="Courier New" w:cs="Courier New" w:hint="default"/>
      </w:rPr>
    </w:lvl>
    <w:lvl w:ilvl="1" w:tplc="0C090003">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6">
    <w:nsid w:val="32C151F4"/>
    <w:multiLevelType w:val="hybridMultilevel"/>
    <w:tmpl w:val="89EEFB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33917C0F"/>
    <w:multiLevelType w:val="hybridMultilevel"/>
    <w:tmpl w:val="2AC89590"/>
    <w:lvl w:ilvl="0" w:tplc="2A405EC6">
      <w:start w:val="1"/>
      <w:numFmt w:val="decimal"/>
      <w:lvlText w:val="%1."/>
      <w:lvlJc w:val="left"/>
      <w:pPr>
        <w:ind w:left="360" w:hanging="360"/>
      </w:pPr>
      <w:rPr>
        <w:rFonts w:cs="Arial" w:hint="default"/>
      </w:rPr>
    </w:lvl>
    <w:lvl w:ilvl="1" w:tplc="0C090019" w:tentative="1">
      <w:start w:val="1"/>
      <w:numFmt w:val="lowerLetter"/>
      <w:lvlText w:val="%2."/>
      <w:lvlJc w:val="left"/>
      <w:pPr>
        <w:ind w:left="-55" w:hanging="360"/>
      </w:pPr>
    </w:lvl>
    <w:lvl w:ilvl="2" w:tplc="0C09001B" w:tentative="1">
      <w:start w:val="1"/>
      <w:numFmt w:val="lowerRoman"/>
      <w:lvlText w:val="%3."/>
      <w:lvlJc w:val="right"/>
      <w:pPr>
        <w:ind w:left="665" w:hanging="180"/>
      </w:pPr>
    </w:lvl>
    <w:lvl w:ilvl="3" w:tplc="0C09000F" w:tentative="1">
      <w:start w:val="1"/>
      <w:numFmt w:val="decimal"/>
      <w:lvlText w:val="%4."/>
      <w:lvlJc w:val="left"/>
      <w:pPr>
        <w:ind w:left="1385" w:hanging="360"/>
      </w:pPr>
    </w:lvl>
    <w:lvl w:ilvl="4" w:tplc="0C090019" w:tentative="1">
      <w:start w:val="1"/>
      <w:numFmt w:val="lowerLetter"/>
      <w:lvlText w:val="%5."/>
      <w:lvlJc w:val="left"/>
      <w:pPr>
        <w:ind w:left="2105" w:hanging="360"/>
      </w:pPr>
    </w:lvl>
    <w:lvl w:ilvl="5" w:tplc="0C09001B" w:tentative="1">
      <w:start w:val="1"/>
      <w:numFmt w:val="lowerRoman"/>
      <w:lvlText w:val="%6."/>
      <w:lvlJc w:val="right"/>
      <w:pPr>
        <w:ind w:left="2825" w:hanging="180"/>
      </w:pPr>
    </w:lvl>
    <w:lvl w:ilvl="6" w:tplc="0C09000F" w:tentative="1">
      <w:start w:val="1"/>
      <w:numFmt w:val="decimal"/>
      <w:lvlText w:val="%7."/>
      <w:lvlJc w:val="left"/>
      <w:pPr>
        <w:ind w:left="3545" w:hanging="360"/>
      </w:pPr>
    </w:lvl>
    <w:lvl w:ilvl="7" w:tplc="0C090019" w:tentative="1">
      <w:start w:val="1"/>
      <w:numFmt w:val="lowerLetter"/>
      <w:lvlText w:val="%8."/>
      <w:lvlJc w:val="left"/>
      <w:pPr>
        <w:ind w:left="4265" w:hanging="360"/>
      </w:pPr>
    </w:lvl>
    <w:lvl w:ilvl="8" w:tplc="0C09001B" w:tentative="1">
      <w:start w:val="1"/>
      <w:numFmt w:val="lowerRoman"/>
      <w:lvlText w:val="%9."/>
      <w:lvlJc w:val="right"/>
      <w:pPr>
        <w:ind w:left="4985" w:hanging="180"/>
      </w:pPr>
    </w:lvl>
  </w:abstractNum>
  <w:abstractNum w:abstractNumId="18">
    <w:nsid w:val="357D3675"/>
    <w:multiLevelType w:val="hybridMultilevel"/>
    <w:tmpl w:val="7C1E1DF2"/>
    <w:lvl w:ilvl="0" w:tplc="0C090001">
      <w:start w:val="1"/>
      <w:numFmt w:val="bullet"/>
      <w:lvlText w:val=""/>
      <w:lvlJc w:val="left"/>
      <w:pPr>
        <w:tabs>
          <w:tab w:val="num" w:pos="1134"/>
        </w:tabs>
        <w:ind w:left="567" w:hanging="567"/>
      </w:pPr>
      <w:rPr>
        <w:rFonts w:ascii="Symbol" w:hAnsi="Symbol" w:hint="default"/>
        <w:b w:val="0"/>
        <w:i w:val="0"/>
        <w:color w:val="auto"/>
        <w:sz w:val="22"/>
      </w:rPr>
    </w:lvl>
    <w:lvl w:ilvl="1" w:tplc="0C090003">
      <w:start w:val="1"/>
      <w:numFmt w:val="bullet"/>
      <w:lvlText w:val="o"/>
      <w:lvlJc w:val="left"/>
      <w:pPr>
        <w:tabs>
          <w:tab w:val="num" w:pos="1440"/>
        </w:tabs>
        <w:ind w:left="1440" w:hanging="360"/>
      </w:pPr>
      <w:rPr>
        <w:rFonts w:ascii="Courier New" w:hAnsi="Courier New" w:cs="Courier New" w:hint="default"/>
        <w:b w:val="0"/>
        <w:i w:val="0"/>
        <w:color w:val="auto"/>
        <w:sz w:val="22"/>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b w:val="0"/>
        <w:i w:val="0"/>
        <w:color w:val="auto"/>
        <w:sz w:val="22"/>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3772607A"/>
    <w:multiLevelType w:val="hybridMultilevel"/>
    <w:tmpl w:val="E53CD37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9471673"/>
    <w:multiLevelType w:val="hybridMultilevel"/>
    <w:tmpl w:val="BB1CD122"/>
    <w:lvl w:ilvl="0" w:tplc="3E06F8F6">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6621C0"/>
    <w:multiLevelType w:val="hybridMultilevel"/>
    <w:tmpl w:val="93F6F08A"/>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22">
    <w:nsid w:val="40A0013D"/>
    <w:multiLevelType w:val="hybridMultilevel"/>
    <w:tmpl w:val="F8E87CDA"/>
    <w:lvl w:ilvl="0" w:tplc="224C01A0">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178503D"/>
    <w:multiLevelType w:val="hybridMultilevel"/>
    <w:tmpl w:val="AF4EBDA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8E23AA4"/>
    <w:multiLevelType w:val="hybridMultilevel"/>
    <w:tmpl w:val="1A12706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A6D04EB"/>
    <w:multiLevelType w:val="hybridMultilevel"/>
    <w:tmpl w:val="D0C81E4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07679AB"/>
    <w:multiLevelType w:val="hybridMultilevel"/>
    <w:tmpl w:val="2BFCCDD4"/>
    <w:lvl w:ilvl="0" w:tplc="B9D243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567AEE"/>
    <w:multiLevelType w:val="hybridMultilevel"/>
    <w:tmpl w:val="B3622D68"/>
    <w:lvl w:ilvl="0" w:tplc="0C090001">
      <w:start w:val="1"/>
      <w:numFmt w:val="bullet"/>
      <w:lvlText w:val=""/>
      <w:lvlJc w:val="left"/>
      <w:pPr>
        <w:tabs>
          <w:tab w:val="num" w:pos="1134"/>
        </w:tabs>
        <w:ind w:left="567" w:hanging="567"/>
      </w:pPr>
      <w:rPr>
        <w:rFonts w:ascii="Symbol" w:hAnsi="Symbol" w:hint="default"/>
        <w:b w:val="0"/>
        <w:i w:val="0"/>
        <w:color w:val="auto"/>
        <w:sz w:val="22"/>
      </w:rPr>
    </w:lvl>
    <w:lvl w:ilvl="1" w:tplc="0C090011">
      <w:start w:val="1"/>
      <w:numFmt w:val="decimal"/>
      <w:lvlText w:val="%2)"/>
      <w:lvlJc w:val="left"/>
      <w:pPr>
        <w:tabs>
          <w:tab w:val="num" w:pos="1440"/>
        </w:tabs>
        <w:ind w:left="1440" w:hanging="360"/>
      </w:pPr>
      <w:rPr>
        <w:rFonts w:hint="default"/>
        <w:b w:val="0"/>
        <w:i w:val="0"/>
        <w:color w:val="auto"/>
        <w:sz w:val="22"/>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b w:val="0"/>
        <w:i w:val="0"/>
        <w:color w:val="auto"/>
        <w:sz w:val="22"/>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D5C635E"/>
    <w:multiLevelType w:val="hybridMultilevel"/>
    <w:tmpl w:val="C03E9E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4B003A"/>
    <w:multiLevelType w:val="hybridMultilevel"/>
    <w:tmpl w:val="D0D049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nsid w:val="67BB3E91"/>
    <w:multiLevelType w:val="multilevel"/>
    <w:tmpl w:val="0CF0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036E5E"/>
    <w:multiLevelType w:val="hybridMultilevel"/>
    <w:tmpl w:val="211C85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C5A1A62"/>
    <w:multiLevelType w:val="hybridMultilevel"/>
    <w:tmpl w:val="1CD8F38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D4717EB"/>
    <w:multiLevelType w:val="hybridMultilevel"/>
    <w:tmpl w:val="5FBC3E14"/>
    <w:lvl w:ilvl="0" w:tplc="3544DE6C">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5F07E7"/>
    <w:multiLevelType w:val="hybridMultilevel"/>
    <w:tmpl w:val="E53CD37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F5D0C60"/>
    <w:multiLevelType w:val="hybridMultilevel"/>
    <w:tmpl w:val="4FD0343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FF018EA"/>
    <w:multiLevelType w:val="hybridMultilevel"/>
    <w:tmpl w:val="D8EC5B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15C2ECA"/>
    <w:multiLevelType w:val="hybridMultilevel"/>
    <w:tmpl w:val="1A12706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7CE6F33"/>
    <w:multiLevelType w:val="hybridMultilevel"/>
    <w:tmpl w:val="74B4C016"/>
    <w:lvl w:ilvl="0" w:tplc="94DC3CE8">
      <w:start w:val="1"/>
      <w:numFmt w:val="bullet"/>
      <w:pStyle w:val="ListParagraph"/>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9">
    <w:nsid w:val="77FE0F9A"/>
    <w:multiLevelType w:val="hybridMultilevel"/>
    <w:tmpl w:val="1A12706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A1009E2"/>
    <w:multiLevelType w:val="hybridMultilevel"/>
    <w:tmpl w:val="03E0EB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A322488"/>
    <w:multiLevelType w:val="hybridMultilevel"/>
    <w:tmpl w:val="6AE673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7"/>
  </w:num>
  <w:num w:numId="3">
    <w:abstractNumId w:val="3"/>
  </w:num>
  <w:num w:numId="4">
    <w:abstractNumId w:val="16"/>
  </w:num>
  <w:num w:numId="5">
    <w:abstractNumId w:val="7"/>
  </w:num>
  <w:num w:numId="6">
    <w:abstractNumId w:val="8"/>
  </w:num>
  <w:num w:numId="7">
    <w:abstractNumId w:val="11"/>
  </w:num>
  <w:num w:numId="8">
    <w:abstractNumId w:val="5"/>
  </w:num>
  <w:num w:numId="9">
    <w:abstractNumId w:val="22"/>
  </w:num>
  <w:num w:numId="10">
    <w:abstractNumId w:val="36"/>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13"/>
  </w:num>
  <w:num w:numId="14">
    <w:abstractNumId w:val="18"/>
  </w:num>
  <w:num w:numId="15">
    <w:abstractNumId w:val="27"/>
  </w:num>
  <w:num w:numId="16">
    <w:abstractNumId w:val="30"/>
  </w:num>
  <w:num w:numId="17">
    <w:abstractNumId w:val="26"/>
  </w:num>
  <w:num w:numId="18">
    <w:abstractNumId w:val="12"/>
  </w:num>
  <w:num w:numId="19">
    <w:abstractNumId w:val="1"/>
  </w:num>
  <w:num w:numId="20">
    <w:abstractNumId w:val="23"/>
  </w:num>
  <w:num w:numId="21">
    <w:abstractNumId w:val="37"/>
  </w:num>
  <w:num w:numId="22">
    <w:abstractNumId w:val="34"/>
  </w:num>
  <w:num w:numId="23">
    <w:abstractNumId w:val="39"/>
  </w:num>
  <w:num w:numId="24">
    <w:abstractNumId w:val="24"/>
  </w:num>
  <w:num w:numId="25">
    <w:abstractNumId w:val="33"/>
  </w:num>
  <w:num w:numId="26">
    <w:abstractNumId w:val="20"/>
  </w:num>
  <w:num w:numId="27">
    <w:abstractNumId w:val="25"/>
  </w:num>
  <w:num w:numId="28">
    <w:abstractNumId w:val="19"/>
  </w:num>
  <w:num w:numId="29">
    <w:abstractNumId w:val="2"/>
  </w:num>
  <w:num w:numId="30">
    <w:abstractNumId w:val="28"/>
  </w:num>
  <w:num w:numId="31">
    <w:abstractNumId w:val="14"/>
  </w:num>
  <w:num w:numId="32">
    <w:abstractNumId w:val="41"/>
  </w:num>
  <w:num w:numId="33">
    <w:abstractNumId w:val="6"/>
  </w:num>
  <w:num w:numId="34">
    <w:abstractNumId w:val="31"/>
  </w:num>
  <w:num w:numId="35">
    <w:abstractNumId w:val="0"/>
  </w:num>
  <w:num w:numId="36">
    <w:abstractNumId w:val="21"/>
  </w:num>
  <w:num w:numId="37">
    <w:abstractNumId w:val="9"/>
  </w:num>
  <w:num w:numId="38">
    <w:abstractNumId w:val="10"/>
  </w:num>
  <w:num w:numId="39">
    <w:abstractNumId w:val="4"/>
  </w:num>
  <w:num w:numId="40">
    <w:abstractNumId w:val="15"/>
  </w:num>
  <w:num w:numId="41">
    <w:abstractNumId w:val="38"/>
  </w:num>
  <w:num w:numId="42">
    <w:abstractNumId w:val="32"/>
  </w:num>
  <w:num w:numId="43">
    <w:abstractNumId w:val="35"/>
  </w:num>
  <w:num w:numId="44">
    <w:abstractNumId w:val="40"/>
  </w:num>
  <w:num w:numId="45">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ureen Dollard">
    <w15:presenceInfo w15:providerId="AD" w15:userId="S-1-5-21-1818349276-1015700856-800089250-71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59E"/>
    <w:rsid w:val="00000DFE"/>
    <w:rsid w:val="00004E7F"/>
    <w:rsid w:val="00005283"/>
    <w:rsid w:val="0001222C"/>
    <w:rsid w:val="00014F05"/>
    <w:rsid w:val="00025A25"/>
    <w:rsid w:val="00026D65"/>
    <w:rsid w:val="00027ADB"/>
    <w:rsid w:val="0003322D"/>
    <w:rsid w:val="00043AAC"/>
    <w:rsid w:val="000508AF"/>
    <w:rsid w:val="00050E04"/>
    <w:rsid w:val="000527BB"/>
    <w:rsid w:val="00053344"/>
    <w:rsid w:val="000563A6"/>
    <w:rsid w:val="0006098C"/>
    <w:rsid w:val="00065192"/>
    <w:rsid w:val="00070C58"/>
    <w:rsid w:val="00075EC2"/>
    <w:rsid w:val="00077293"/>
    <w:rsid w:val="000804C6"/>
    <w:rsid w:val="00082CEA"/>
    <w:rsid w:val="0009109F"/>
    <w:rsid w:val="00091F0E"/>
    <w:rsid w:val="000932E9"/>
    <w:rsid w:val="00093546"/>
    <w:rsid w:val="00093745"/>
    <w:rsid w:val="0009693A"/>
    <w:rsid w:val="000A6306"/>
    <w:rsid w:val="000B3EB4"/>
    <w:rsid w:val="000B4C4B"/>
    <w:rsid w:val="000B61F9"/>
    <w:rsid w:val="000C0950"/>
    <w:rsid w:val="000C42AD"/>
    <w:rsid w:val="000C75E8"/>
    <w:rsid w:val="000D17CF"/>
    <w:rsid w:val="000D7394"/>
    <w:rsid w:val="000E3B6B"/>
    <w:rsid w:val="000E3FEB"/>
    <w:rsid w:val="000F219B"/>
    <w:rsid w:val="000F26CA"/>
    <w:rsid w:val="000F3A4D"/>
    <w:rsid w:val="000F428D"/>
    <w:rsid w:val="000F5157"/>
    <w:rsid w:val="000F67DF"/>
    <w:rsid w:val="00103C47"/>
    <w:rsid w:val="00104E09"/>
    <w:rsid w:val="001052A8"/>
    <w:rsid w:val="0010675D"/>
    <w:rsid w:val="00107067"/>
    <w:rsid w:val="00113B97"/>
    <w:rsid w:val="00114DA5"/>
    <w:rsid w:val="00120A9F"/>
    <w:rsid w:val="00126A76"/>
    <w:rsid w:val="0012791B"/>
    <w:rsid w:val="00134EA5"/>
    <w:rsid w:val="00136F9D"/>
    <w:rsid w:val="0014145F"/>
    <w:rsid w:val="001457B2"/>
    <w:rsid w:val="001462F5"/>
    <w:rsid w:val="00154D25"/>
    <w:rsid w:val="001572E5"/>
    <w:rsid w:val="00170366"/>
    <w:rsid w:val="00172323"/>
    <w:rsid w:val="00172CFD"/>
    <w:rsid w:val="0017496E"/>
    <w:rsid w:val="00177304"/>
    <w:rsid w:val="00192787"/>
    <w:rsid w:val="001A3904"/>
    <w:rsid w:val="001A73DB"/>
    <w:rsid w:val="001B33D8"/>
    <w:rsid w:val="001B7EE9"/>
    <w:rsid w:val="001D00BB"/>
    <w:rsid w:val="001D755E"/>
    <w:rsid w:val="001E0D2C"/>
    <w:rsid w:val="001E7227"/>
    <w:rsid w:val="001F5AE9"/>
    <w:rsid w:val="001F64ED"/>
    <w:rsid w:val="001F7C25"/>
    <w:rsid w:val="00201FAE"/>
    <w:rsid w:val="00220439"/>
    <w:rsid w:val="0022357A"/>
    <w:rsid w:val="002339D9"/>
    <w:rsid w:val="00234A88"/>
    <w:rsid w:val="00234E6A"/>
    <w:rsid w:val="00235D55"/>
    <w:rsid w:val="00235DEE"/>
    <w:rsid w:val="00243AB3"/>
    <w:rsid w:val="0025277E"/>
    <w:rsid w:val="00255B62"/>
    <w:rsid w:val="002629AC"/>
    <w:rsid w:val="00266C1A"/>
    <w:rsid w:val="00270C8A"/>
    <w:rsid w:val="002878FF"/>
    <w:rsid w:val="002924A7"/>
    <w:rsid w:val="002926C9"/>
    <w:rsid w:val="002934A8"/>
    <w:rsid w:val="00296341"/>
    <w:rsid w:val="002977BE"/>
    <w:rsid w:val="002A12E8"/>
    <w:rsid w:val="002A1BD6"/>
    <w:rsid w:val="002A42E9"/>
    <w:rsid w:val="002A61A3"/>
    <w:rsid w:val="002B6078"/>
    <w:rsid w:val="002B7ED6"/>
    <w:rsid w:val="002C134F"/>
    <w:rsid w:val="002D07FD"/>
    <w:rsid w:val="002D28A9"/>
    <w:rsid w:val="002D6389"/>
    <w:rsid w:val="002E48B5"/>
    <w:rsid w:val="002F16DD"/>
    <w:rsid w:val="002F2F94"/>
    <w:rsid w:val="003029F1"/>
    <w:rsid w:val="00305915"/>
    <w:rsid w:val="00305CB8"/>
    <w:rsid w:val="0031001C"/>
    <w:rsid w:val="0031039D"/>
    <w:rsid w:val="00313C20"/>
    <w:rsid w:val="003140DC"/>
    <w:rsid w:val="003203DE"/>
    <w:rsid w:val="00321DFB"/>
    <w:rsid w:val="00322D54"/>
    <w:rsid w:val="0033029E"/>
    <w:rsid w:val="003425AD"/>
    <w:rsid w:val="003451DB"/>
    <w:rsid w:val="0036337C"/>
    <w:rsid w:val="003645D3"/>
    <w:rsid w:val="00364DD7"/>
    <w:rsid w:val="003735CE"/>
    <w:rsid w:val="00375997"/>
    <w:rsid w:val="003811F8"/>
    <w:rsid w:val="003854B3"/>
    <w:rsid w:val="003956D9"/>
    <w:rsid w:val="003B02A5"/>
    <w:rsid w:val="003B08EB"/>
    <w:rsid w:val="003B5EF2"/>
    <w:rsid w:val="003C147C"/>
    <w:rsid w:val="003D1132"/>
    <w:rsid w:val="003D29CD"/>
    <w:rsid w:val="003D655C"/>
    <w:rsid w:val="003D7726"/>
    <w:rsid w:val="003E2735"/>
    <w:rsid w:val="003E394D"/>
    <w:rsid w:val="003E51BA"/>
    <w:rsid w:val="003E644A"/>
    <w:rsid w:val="003F09A5"/>
    <w:rsid w:val="003F3937"/>
    <w:rsid w:val="00401855"/>
    <w:rsid w:val="00401B92"/>
    <w:rsid w:val="00405A74"/>
    <w:rsid w:val="00417F9C"/>
    <w:rsid w:val="00421E5C"/>
    <w:rsid w:val="00430F19"/>
    <w:rsid w:val="00441394"/>
    <w:rsid w:val="0044210C"/>
    <w:rsid w:val="00455338"/>
    <w:rsid w:val="00456CB7"/>
    <w:rsid w:val="004601A3"/>
    <w:rsid w:val="004623A4"/>
    <w:rsid w:val="004630C6"/>
    <w:rsid w:val="0046489A"/>
    <w:rsid w:val="0046538D"/>
    <w:rsid w:val="00475889"/>
    <w:rsid w:val="00476567"/>
    <w:rsid w:val="00485A3C"/>
    <w:rsid w:val="004928F0"/>
    <w:rsid w:val="00493D02"/>
    <w:rsid w:val="004960DE"/>
    <w:rsid w:val="004A0C39"/>
    <w:rsid w:val="004A0C49"/>
    <w:rsid w:val="004B4AEB"/>
    <w:rsid w:val="004B71C3"/>
    <w:rsid w:val="004C0C5A"/>
    <w:rsid w:val="004C2A10"/>
    <w:rsid w:val="004C4B66"/>
    <w:rsid w:val="004C4F3E"/>
    <w:rsid w:val="004C5581"/>
    <w:rsid w:val="004C6E58"/>
    <w:rsid w:val="004D2324"/>
    <w:rsid w:val="004D437C"/>
    <w:rsid w:val="00502E38"/>
    <w:rsid w:val="00506296"/>
    <w:rsid w:val="00513F0E"/>
    <w:rsid w:val="00514D6A"/>
    <w:rsid w:val="00520A9B"/>
    <w:rsid w:val="005246A4"/>
    <w:rsid w:val="00524FB5"/>
    <w:rsid w:val="005264BC"/>
    <w:rsid w:val="0052742D"/>
    <w:rsid w:val="0052783A"/>
    <w:rsid w:val="00532266"/>
    <w:rsid w:val="005355BD"/>
    <w:rsid w:val="00537260"/>
    <w:rsid w:val="00537F94"/>
    <w:rsid w:val="0054159E"/>
    <w:rsid w:val="005435BD"/>
    <w:rsid w:val="00543A87"/>
    <w:rsid w:val="00545206"/>
    <w:rsid w:val="00547314"/>
    <w:rsid w:val="0055519E"/>
    <w:rsid w:val="0056632C"/>
    <w:rsid w:val="00585C1E"/>
    <w:rsid w:val="00587EDB"/>
    <w:rsid w:val="00591C4F"/>
    <w:rsid w:val="0059439B"/>
    <w:rsid w:val="0059525D"/>
    <w:rsid w:val="005A01A4"/>
    <w:rsid w:val="005A0687"/>
    <w:rsid w:val="005A28C6"/>
    <w:rsid w:val="005A637F"/>
    <w:rsid w:val="005B5C19"/>
    <w:rsid w:val="005C0681"/>
    <w:rsid w:val="005C1F22"/>
    <w:rsid w:val="005C3CBE"/>
    <w:rsid w:val="005D1641"/>
    <w:rsid w:val="005D387B"/>
    <w:rsid w:val="005D70D6"/>
    <w:rsid w:val="005E365B"/>
    <w:rsid w:val="005E71B7"/>
    <w:rsid w:val="005F02BA"/>
    <w:rsid w:val="005F2FA9"/>
    <w:rsid w:val="005F4D3B"/>
    <w:rsid w:val="00600C56"/>
    <w:rsid w:val="0060351B"/>
    <w:rsid w:val="00603A8F"/>
    <w:rsid w:val="006055D3"/>
    <w:rsid w:val="00607324"/>
    <w:rsid w:val="00607BEB"/>
    <w:rsid w:val="006100EB"/>
    <w:rsid w:val="006104F8"/>
    <w:rsid w:val="0061147E"/>
    <w:rsid w:val="0061505F"/>
    <w:rsid w:val="006176FB"/>
    <w:rsid w:val="00630937"/>
    <w:rsid w:val="006315B6"/>
    <w:rsid w:val="00632541"/>
    <w:rsid w:val="00637F37"/>
    <w:rsid w:val="0064339C"/>
    <w:rsid w:val="00645EFC"/>
    <w:rsid w:val="006536B5"/>
    <w:rsid w:val="00663AE0"/>
    <w:rsid w:val="0066743D"/>
    <w:rsid w:val="00673BC4"/>
    <w:rsid w:val="00674FD8"/>
    <w:rsid w:val="00692C7F"/>
    <w:rsid w:val="0069771E"/>
    <w:rsid w:val="006A551B"/>
    <w:rsid w:val="006A5661"/>
    <w:rsid w:val="006B1428"/>
    <w:rsid w:val="006B2C89"/>
    <w:rsid w:val="006B47A9"/>
    <w:rsid w:val="006C3C81"/>
    <w:rsid w:val="006C4128"/>
    <w:rsid w:val="006C64C6"/>
    <w:rsid w:val="006C7FB5"/>
    <w:rsid w:val="006D0594"/>
    <w:rsid w:val="006D2346"/>
    <w:rsid w:val="006D3975"/>
    <w:rsid w:val="006E0BF6"/>
    <w:rsid w:val="006E4774"/>
    <w:rsid w:val="006F2911"/>
    <w:rsid w:val="006F487B"/>
    <w:rsid w:val="00700E38"/>
    <w:rsid w:val="007032DD"/>
    <w:rsid w:val="007160BA"/>
    <w:rsid w:val="00717FD9"/>
    <w:rsid w:val="00720BF6"/>
    <w:rsid w:val="00723968"/>
    <w:rsid w:val="00723F63"/>
    <w:rsid w:val="00724792"/>
    <w:rsid w:val="0073038F"/>
    <w:rsid w:val="00737EA1"/>
    <w:rsid w:val="007410A5"/>
    <w:rsid w:val="00742C4F"/>
    <w:rsid w:val="0074379C"/>
    <w:rsid w:val="00744137"/>
    <w:rsid w:val="00745817"/>
    <w:rsid w:val="00745E2E"/>
    <w:rsid w:val="007500FE"/>
    <w:rsid w:val="0075329D"/>
    <w:rsid w:val="0076471A"/>
    <w:rsid w:val="00765DCE"/>
    <w:rsid w:val="007667D5"/>
    <w:rsid w:val="00770B27"/>
    <w:rsid w:val="00771DBB"/>
    <w:rsid w:val="00775050"/>
    <w:rsid w:val="00775673"/>
    <w:rsid w:val="00777421"/>
    <w:rsid w:val="00777A6E"/>
    <w:rsid w:val="00783752"/>
    <w:rsid w:val="007908D1"/>
    <w:rsid w:val="00793AA5"/>
    <w:rsid w:val="007A0051"/>
    <w:rsid w:val="007A4753"/>
    <w:rsid w:val="007A61C3"/>
    <w:rsid w:val="007B2C54"/>
    <w:rsid w:val="007B6151"/>
    <w:rsid w:val="007B7D87"/>
    <w:rsid w:val="007B7EAA"/>
    <w:rsid w:val="007C065A"/>
    <w:rsid w:val="007C2EAD"/>
    <w:rsid w:val="007E3B91"/>
    <w:rsid w:val="007E6AE2"/>
    <w:rsid w:val="007F0305"/>
    <w:rsid w:val="007F5809"/>
    <w:rsid w:val="008036A0"/>
    <w:rsid w:val="00804F95"/>
    <w:rsid w:val="008108A6"/>
    <w:rsid w:val="00810DC0"/>
    <w:rsid w:val="00814501"/>
    <w:rsid w:val="00817183"/>
    <w:rsid w:val="008174A2"/>
    <w:rsid w:val="0082668B"/>
    <w:rsid w:val="00827C66"/>
    <w:rsid w:val="008326D6"/>
    <w:rsid w:val="00834D14"/>
    <w:rsid w:val="00837485"/>
    <w:rsid w:val="008446E7"/>
    <w:rsid w:val="00845346"/>
    <w:rsid w:val="00845839"/>
    <w:rsid w:val="00845EA2"/>
    <w:rsid w:val="00846311"/>
    <w:rsid w:val="008466B9"/>
    <w:rsid w:val="0085172C"/>
    <w:rsid w:val="0085292B"/>
    <w:rsid w:val="008532AE"/>
    <w:rsid w:val="008615F9"/>
    <w:rsid w:val="00863529"/>
    <w:rsid w:val="00864A80"/>
    <w:rsid w:val="00867421"/>
    <w:rsid w:val="00871DC5"/>
    <w:rsid w:val="00895B3A"/>
    <w:rsid w:val="008A4462"/>
    <w:rsid w:val="008A4E4C"/>
    <w:rsid w:val="008A7F3C"/>
    <w:rsid w:val="008B0DD9"/>
    <w:rsid w:val="008B1B8F"/>
    <w:rsid w:val="008B24E1"/>
    <w:rsid w:val="008B3F47"/>
    <w:rsid w:val="008B5864"/>
    <w:rsid w:val="008B68F6"/>
    <w:rsid w:val="008C150A"/>
    <w:rsid w:val="008C1E00"/>
    <w:rsid w:val="008C2140"/>
    <w:rsid w:val="008C22A4"/>
    <w:rsid w:val="008C309C"/>
    <w:rsid w:val="008C6092"/>
    <w:rsid w:val="008D3764"/>
    <w:rsid w:val="008D76ED"/>
    <w:rsid w:val="008E7E2A"/>
    <w:rsid w:val="008F0822"/>
    <w:rsid w:val="008F7BA1"/>
    <w:rsid w:val="009004CD"/>
    <w:rsid w:val="00901D37"/>
    <w:rsid w:val="00906756"/>
    <w:rsid w:val="00914334"/>
    <w:rsid w:val="00920E04"/>
    <w:rsid w:val="0092227B"/>
    <w:rsid w:val="00922BB3"/>
    <w:rsid w:val="00924942"/>
    <w:rsid w:val="00925C71"/>
    <w:rsid w:val="00931A4B"/>
    <w:rsid w:val="009321A4"/>
    <w:rsid w:val="00935E78"/>
    <w:rsid w:val="0095006E"/>
    <w:rsid w:val="00951D0C"/>
    <w:rsid w:val="0096303F"/>
    <w:rsid w:val="00972557"/>
    <w:rsid w:val="00984680"/>
    <w:rsid w:val="00986C34"/>
    <w:rsid w:val="00990995"/>
    <w:rsid w:val="00993545"/>
    <w:rsid w:val="009975C7"/>
    <w:rsid w:val="009A1548"/>
    <w:rsid w:val="009B4643"/>
    <w:rsid w:val="009B49A6"/>
    <w:rsid w:val="009B55B4"/>
    <w:rsid w:val="009C01C5"/>
    <w:rsid w:val="009C06ED"/>
    <w:rsid w:val="009C0E3E"/>
    <w:rsid w:val="009D7474"/>
    <w:rsid w:val="009E0BC8"/>
    <w:rsid w:val="009E2980"/>
    <w:rsid w:val="009E4479"/>
    <w:rsid w:val="009E61C1"/>
    <w:rsid w:val="009E68F5"/>
    <w:rsid w:val="009F2336"/>
    <w:rsid w:val="00A00375"/>
    <w:rsid w:val="00A04AD6"/>
    <w:rsid w:val="00A06694"/>
    <w:rsid w:val="00A14A4E"/>
    <w:rsid w:val="00A15561"/>
    <w:rsid w:val="00A1792B"/>
    <w:rsid w:val="00A257F1"/>
    <w:rsid w:val="00A34819"/>
    <w:rsid w:val="00A3598A"/>
    <w:rsid w:val="00A42094"/>
    <w:rsid w:val="00A449BD"/>
    <w:rsid w:val="00A44B46"/>
    <w:rsid w:val="00A46857"/>
    <w:rsid w:val="00A46AF7"/>
    <w:rsid w:val="00A51456"/>
    <w:rsid w:val="00A5474F"/>
    <w:rsid w:val="00A57D90"/>
    <w:rsid w:val="00A64611"/>
    <w:rsid w:val="00A649F5"/>
    <w:rsid w:val="00A6572F"/>
    <w:rsid w:val="00A65E70"/>
    <w:rsid w:val="00A74184"/>
    <w:rsid w:val="00A77021"/>
    <w:rsid w:val="00A80B14"/>
    <w:rsid w:val="00A924A7"/>
    <w:rsid w:val="00A932ED"/>
    <w:rsid w:val="00A93B61"/>
    <w:rsid w:val="00AA196B"/>
    <w:rsid w:val="00AA33D0"/>
    <w:rsid w:val="00AA5A3C"/>
    <w:rsid w:val="00AB056C"/>
    <w:rsid w:val="00AC39F1"/>
    <w:rsid w:val="00AC4A45"/>
    <w:rsid w:val="00AD0D98"/>
    <w:rsid w:val="00AD0E85"/>
    <w:rsid w:val="00AD2FA6"/>
    <w:rsid w:val="00AD796C"/>
    <w:rsid w:val="00AE17C5"/>
    <w:rsid w:val="00AE642E"/>
    <w:rsid w:val="00AF5417"/>
    <w:rsid w:val="00AF5C56"/>
    <w:rsid w:val="00AF62BD"/>
    <w:rsid w:val="00AF7322"/>
    <w:rsid w:val="00B0130E"/>
    <w:rsid w:val="00B01A07"/>
    <w:rsid w:val="00B160AB"/>
    <w:rsid w:val="00B229D4"/>
    <w:rsid w:val="00B27ED2"/>
    <w:rsid w:val="00B304C8"/>
    <w:rsid w:val="00B32FFE"/>
    <w:rsid w:val="00B33FEF"/>
    <w:rsid w:val="00B41930"/>
    <w:rsid w:val="00B44963"/>
    <w:rsid w:val="00B602D2"/>
    <w:rsid w:val="00B707C7"/>
    <w:rsid w:val="00B74294"/>
    <w:rsid w:val="00B74E6F"/>
    <w:rsid w:val="00B81A18"/>
    <w:rsid w:val="00B826B4"/>
    <w:rsid w:val="00B934C3"/>
    <w:rsid w:val="00B954FC"/>
    <w:rsid w:val="00BA458E"/>
    <w:rsid w:val="00BA4A0A"/>
    <w:rsid w:val="00BA7605"/>
    <w:rsid w:val="00BC43E7"/>
    <w:rsid w:val="00BD1753"/>
    <w:rsid w:val="00BD5B17"/>
    <w:rsid w:val="00BD65C6"/>
    <w:rsid w:val="00BD77EC"/>
    <w:rsid w:val="00BE2560"/>
    <w:rsid w:val="00BE275B"/>
    <w:rsid w:val="00BE6A3F"/>
    <w:rsid w:val="00BE6B4F"/>
    <w:rsid w:val="00BF4932"/>
    <w:rsid w:val="00BF61A9"/>
    <w:rsid w:val="00C038DE"/>
    <w:rsid w:val="00C137FC"/>
    <w:rsid w:val="00C13E31"/>
    <w:rsid w:val="00C13E67"/>
    <w:rsid w:val="00C15CF8"/>
    <w:rsid w:val="00C2001B"/>
    <w:rsid w:val="00C2069A"/>
    <w:rsid w:val="00C20D70"/>
    <w:rsid w:val="00C27919"/>
    <w:rsid w:val="00C31A1B"/>
    <w:rsid w:val="00C33510"/>
    <w:rsid w:val="00C35466"/>
    <w:rsid w:val="00C376CF"/>
    <w:rsid w:val="00C41579"/>
    <w:rsid w:val="00C425B5"/>
    <w:rsid w:val="00C42D08"/>
    <w:rsid w:val="00C4627C"/>
    <w:rsid w:val="00C470B6"/>
    <w:rsid w:val="00C517FC"/>
    <w:rsid w:val="00C5205D"/>
    <w:rsid w:val="00C628DE"/>
    <w:rsid w:val="00C666F9"/>
    <w:rsid w:val="00C67554"/>
    <w:rsid w:val="00C70BCA"/>
    <w:rsid w:val="00C73F87"/>
    <w:rsid w:val="00C76612"/>
    <w:rsid w:val="00C77E11"/>
    <w:rsid w:val="00C85838"/>
    <w:rsid w:val="00C8696A"/>
    <w:rsid w:val="00C97A7A"/>
    <w:rsid w:val="00CA1443"/>
    <w:rsid w:val="00CA1F07"/>
    <w:rsid w:val="00CA2D68"/>
    <w:rsid w:val="00CA5D2A"/>
    <w:rsid w:val="00CA79D6"/>
    <w:rsid w:val="00CD2C68"/>
    <w:rsid w:val="00CD4234"/>
    <w:rsid w:val="00CE5476"/>
    <w:rsid w:val="00CF5FC5"/>
    <w:rsid w:val="00CF6265"/>
    <w:rsid w:val="00CF73A3"/>
    <w:rsid w:val="00CF73F8"/>
    <w:rsid w:val="00CF7960"/>
    <w:rsid w:val="00D02E70"/>
    <w:rsid w:val="00D03D01"/>
    <w:rsid w:val="00D054A7"/>
    <w:rsid w:val="00D071AC"/>
    <w:rsid w:val="00D1766F"/>
    <w:rsid w:val="00D22395"/>
    <w:rsid w:val="00D2370F"/>
    <w:rsid w:val="00D25520"/>
    <w:rsid w:val="00D25F44"/>
    <w:rsid w:val="00D32C40"/>
    <w:rsid w:val="00D33563"/>
    <w:rsid w:val="00D35A06"/>
    <w:rsid w:val="00D37567"/>
    <w:rsid w:val="00D375F4"/>
    <w:rsid w:val="00D422D7"/>
    <w:rsid w:val="00D43842"/>
    <w:rsid w:val="00D4474B"/>
    <w:rsid w:val="00D45320"/>
    <w:rsid w:val="00D459B6"/>
    <w:rsid w:val="00D474F3"/>
    <w:rsid w:val="00D5030A"/>
    <w:rsid w:val="00D51866"/>
    <w:rsid w:val="00D521E5"/>
    <w:rsid w:val="00D54C52"/>
    <w:rsid w:val="00D60000"/>
    <w:rsid w:val="00D64D3D"/>
    <w:rsid w:val="00D65C2B"/>
    <w:rsid w:val="00D714E8"/>
    <w:rsid w:val="00D746C6"/>
    <w:rsid w:val="00D8186B"/>
    <w:rsid w:val="00D8244B"/>
    <w:rsid w:val="00D87AC6"/>
    <w:rsid w:val="00D90DA1"/>
    <w:rsid w:val="00D94702"/>
    <w:rsid w:val="00D95458"/>
    <w:rsid w:val="00DA59F4"/>
    <w:rsid w:val="00DB0BE0"/>
    <w:rsid w:val="00DB29EE"/>
    <w:rsid w:val="00DD3369"/>
    <w:rsid w:val="00DD6048"/>
    <w:rsid w:val="00DE23EB"/>
    <w:rsid w:val="00DE73D3"/>
    <w:rsid w:val="00DE7FE7"/>
    <w:rsid w:val="00DF2D93"/>
    <w:rsid w:val="00DF3DA8"/>
    <w:rsid w:val="00DF442A"/>
    <w:rsid w:val="00DF4858"/>
    <w:rsid w:val="00DF4EA5"/>
    <w:rsid w:val="00DF4F84"/>
    <w:rsid w:val="00DF5EE1"/>
    <w:rsid w:val="00E022D0"/>
    <w:rsid w:val="00E054C4"/>
    <w:rsid w:val="00E0637F"/>
    <w:rsid w:val="00E07D60"/>
    <w:rsid w:val="00E164CE"/>
    <w:rsid w:val="00E2092E"/>
    <w:rsid w:val="00E212B6"/>
    <w:rsid w:val="00E369F9"/>
    <w:rsid w:val="00E41EAC"/>
    <w:rsid w:val="00E503D6"/>
    <w:rsid w:val="00E60191"/>
    <w:rsid w:val="00E6057F"/>
    <w:rsid w:val="00E61293"/>
    <w:rsid w:val="00E61FFF"/>
    <w:rsid w:val="00E65487"/>
    <w:rsid w:val="00E807D4"/>
    <w:rsid w:val="00E80BF5"/>
    <w:rsid w:val="00E8484C"/>
    <w:rsid w:val="00E90436"/>
    <w:rsid w:val="00E9306B"/>
    <w:rsid w:val="00E97453"/>
    <w:rsid w:val="00EA113A"/>
    <w:rsid w:val="00EA3DF4"/>
    <w:rsid w:val="00EA64F2"/>
    <w:rsid w:val="00EB39E9"/>
    <w:rsid w:val="00EB59D0"/>
    <w:rsid w:val="00EB78ED"/>
    <w:rsid w:val="00EC0F5D"/>
    <w:rsid w:val="00EC28E6"/>
    <w:rsid w:val="00EC5434"/>
    <w:rsid w:val="00EC5802"/>
    <w:rsid w:val="00EC6330"/>
    <w:rsid w:val="00EC79A8"/>
    <w:rsid w:val="00ED51B7"/>
    <w:rsid w:val="00EE610E"/>
    <w:rsid w:val="00EE707B"/>
    <w:rsid w:val="00EF46E5"/>
    <w:rsid w:val="00F13617"/>
    <w:rsid w:val="00F15536"/>
    <w:rsid w:val="00F17337"/>
    <w:rsid w:val="00F2173C"/>
    <w:rsid w:val="00F31789"/>
    <w:rsid w:val="00F32B25"/>
    <w:rsid w:val="00F33B12"/>
    <w:rsid w:val="00F3451F"/>
    <w:rsid w:val="00F354FF"/>
    <w:rsid w:val="00F35D8E"/>
    <w:rsid w:val="00F4009D"/>
    <w:rsid w:val="00F4458D"/>
    <w:rsid w:val="00F543FD"/>
    <w:rsid w:val="00F54B16"/>
    <w:rsid w:val="00F6081B"/>
    <w:rsid w:val="00F61F28"/>
    <w:rsid w:val="00F62848"/>
    <w:rsid w:val="00F80649"/>
    <w:rsid w:val="00F82D15"/>
    <w:rsid w:val="00F845F7"/>
    <w:rsid w:val="00F901A6"/>
    <w:rsid w:val="00F92113"/>
    <w:rsid w:val="00F949EF"/>
    <w:rsid w:val="00F97D36"/>
    <w:rsid w:val="00FA2C9E"/>
    <w:rsid w:val="00FA2EB8"/>
    <w:rsid w:val="00FA5E23"/>
    <w:rsid w:val="00FC6A62"/>
    <w:rsid w:val="00FD5ECB"/>
    <w:rsid w:val="00FD6751"/>
    <w:rsid w:val="00FD68B5"/>
    <w:rsid w:val="00FF2017"/>
    <w:rsid w:val="00FF301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2CA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uiPriority="35" w:qFormat="1"/>
    <w:lsdException w:name="table of figure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07B"/>
    <w:pPr>
      <w:spacing w:after="120"/>
    </w:pPr>
    <w:rPr>
      <w:rFonts w:ascii="Arial" w:hAnsi="Arial"/>
      <w:sz w:val="22"/>
      <w:szCs w:val="24"/>
    </w:rPr>
  </w:style>
  <w:style w:type="paragraph" w:styleId="Heading1">
    <w:name w:val="heading 1"/>
    <w:basedOn w:val="Normal"/>
    <w:next w:val="Normal"/>
    <w:link w:val="Heading1Char"/>
    <w:uiPriority w:val="9"/>
    <w:qFormat/>
    <w:rsid w:val="002924A7"/>
    <w:pPr>
      <w:keepNext/>
      <w:spacing w:after="240"/>
      <w:outlineLvl w:val="0"/>
    </w:pPr>
    <w:rPr>
      <w:rFonts w:ascii="Arial Bold" w:eastAsiaTheme="majorEastAsia" w:hAnsi="Arial Bold" w:cs="Arial"/>
      <w:b/>
      <w:color w:val="1F497D" w:themeColor="text2"/>
      <w:kern w:val="32"/>
      <w:sz w:val="48"/>
      <w:szCs w:val="22"/>
    </w:rPr>
  </w:style>
  <w:style w:type="paragraph" w:styleId="Heading2">
    <w:name w:val="heading 2"/>
    <w:basedOn w:val="Normal"/>
    <w:next w:val="Normal"/>
    <w:link w:val="Heading2Char"/>
    <w:qFormat/>
    <w:rsid w:val="00EE707B"/>
    <w:pPr>
      <w:keepNext/>
      <w:spacing w:before="240"/>
      <w:outlineLvl w:val="1"/>
    </w:pPr>
    <w:rPr>
      <w:rFonts w:eastAsiaTheme="majorEastAsia" w:cstheme="majorBidi"/>
      <w:b/>
      <w:color w:val="1F497D" w:themeColor="text2"/>
      <w:sz w:val="28"/>
      <w:szCs w:val="28"/>
    </w:rPr>
  </w:style>
  <w:style w:type="paragraph" w:styleId="Heading3">
    <w:name w:val="heading 3"/>
    <w:basedOn w:val="Normal"/>
    <w:next w:val="Normal"/>
    <w:link w:val="Heading3Char"/>
    <w:uiPriority w:val="9"/>
    <w:qFormat/>
    <w:rsid w:val="00EE707B"/>
    <w:pPr>
      <w:keepNext/>
      <w:overflowPunct w:val="0"/>
      <w:autoSpaceDE w:val="0"/>
      <w:autoSpaceDN w:val="0"/>
      <w:adjustRightInd w:val="0"/>
      <w:spacing w:before="120"/>
      <w:textAlignment w:val="baseline"/>
      <w:outlineLvl w:val="2"/>
    </w:pPr>
    <w:rPr>
      <w:rFonts w:eastAsiaTheme="majorEastAsia" w:cstheme="majorBidi"/>
      <w:b/>
      <w:color w:val="1F497D" w:themeColor="text2"/>
      <w:sz w:val="24"/>
      <w:szCs w:val="20"/>
      <w:lang w:eastAsia="en-US"/>
    </w:rPr>
  </w:style>
  <w:style w:type="paragraph" w:styleId="Heading4">
    <w:name w:val="heading 4"/>
    <w:basedOn w:val="Normal"/>
    <w:next w:val="Normal"/>
    <w:link w:val="Heading4Char"/>
    <w:uiPriority w:val="9"/>
    <w:qFormat/>
    <w:rsid w:val="002924A7"/>
    <w:pPr>
      <w:overflowPunct w:val="0"/>
      <w:autoSpaceDE w:val="0"/>
      <w:autoSpaceDN w:val="0"/>
      <w:adjustRightInd w:val="0"/>
      <w:ind w:left="360" w:hanging="360"/>
      <w:textAlignment w:val="baseline"/>
      <w:outlineLvl w:val="3"/>
    </w:pPr>
    <w:rPr>
      <w:rFonts w:ascii="Arial Bold" w:eastAsiaTheme="majorEastAsia" w:hAnsi="Arial Bold" w:cstheme="majorBidi"/>
      <w:b/>
      <w:color w:val="1F497D" w:themeColor="text2"/>
      <w:spacing w:val="-3"/>
      <w:szCs w:val="22"/>
      <w:lang w:eastAsia="en-US"/>
    </w:rPr>
  </w:style>
  <w:style w:type="paragraph" w:styleId="Heading5">
    <w:name w:val="heading 5"/>
    <w:basedOn w:val="Normal"/>
    <w:next w:val="Normal"/>
    <w:link w:val="Heading5Char"/>
    <w:qFormat/>
    <w:rsid w:val="004928F0"/>
    <w:pPr>
      <w:overflowPunct w:val="0"/>
      <w:autoSpaceDE w:val="0"/>
      <w:autoSpaceDN w:val="0"/>
      <w:adjustRightInd w:val="0"/>
      <w:spacing w:before="240" w:after="60"/>
      <w:textAlignment w:val="baseline"/>
      <w:outlineLvl w:val="4"/>
    </w:pPr>
    <w:rPr>
      <w:rFonts w:eastAsiaTheme="majorEastAsia" w:cstheme="majorBidi"/>
      <w:b/>
      <w:bCs/>
      <w:i/>
      <w:iCs/>
      <w:sz w:val="26"/>
      <w:szCs w:val="26"/>
      <w:lang w:eastAsia="en-US"/>
    </w:rPr>
  </w:style>
  <w:style w:type="paragraph" w:styleId="Heading6">
    <w:name w:val="heading 6"/>
    <w:basedOn w:val="Normal"/>
    <w:next w:val="Normal"/>
    <w:link w:val="Heading6Char"/>
    <w:rsid w:val="00136F9D"/>
    <w:pPr>
      <w:overflowPunct w:val="0"/>
      <w:autoSpaceDE w:val="0"/>
      <w:autoSpaceDN w:val="0"/>
      <w:adjustRightInd w:val="0"/>
      <w:spacing w:before="240" w:after="60"/>
      <w:textAlignment w:val="baseline"/>
      <w:outlineLvl w:val="5"/>
    </w:pPr>
    <w:rPr>
      <w:rFonts w:ascii="Times New Roman" w:eastAsiaTheme="majorEastAsia" w:hAnsi="Times New Roman" w:cstheme="majorBidi"/>
      <w:b/>
      <w:bCs/>
      <w:szCs w:val="22"/>
      <w:lang w:eastAsia="en-US"/>
    </w:rPr>
  </w:style>
  <w:style w:type="paragraph" w:styleId="Heading7">
    <w:name w:val="heading 7"/>
    <w:basedOn w:val="Normal"/>
    <w:next w:val="Normal"/>
    <w:link w:val="Heading7Char"/>
    <w:rsid w:val="00136F9D"/>
    <w:pPr>
      <w:overflowPunct w:val="0"/>
      <w:autoSpaceDE w:val="0"/>
      <w:autoSpaceDN w:val="0"/>
      <w:adjustRightInd w:val="0"/>
      <w:spacing w:before="240" w:after="60"/>
      <w:textAlignment w:val="baseline"/>
      <w:outlineLvl w:val="6"/>
    </w:pPr>
    <w:rPr>
      <w:rFonts w:ascii="Times New Roman" w:eastAsiaTheme="majorEastAsia" w:hAnsi="Times New Roman" w:cstheme="majorBidi"/>
      <w:sz w:val="24"/>
      <w:lang w:eastAsia="en-US"/>
    </w:rPr>
  </w:style>
  <w:style w:type="paragraph" w:styleId="Heading8">
    <w:name w:val="heading 8"/>
    <w:basedOn w:val="Normal"/>
    <w:next w:val="Normal"/>
    <w:link w:val="Heading8Char"/>
    <w:rsid w:val="00136F9D"/>
    <w:pPr>
      <w:overflowPunct w:val="0"/>
      <w:autoSpaceDE w:val="0"/>
      <w:autoSpaceDN w:val="0"/>
      <w:adjustRightInd w:val="0"/>
      <w:spacing w:before="240" w:after="60"/>
      <w:textAlignment w:val="baseline"/>
      <w:outlineLvl w:val="7"/>
    </w:pPr>
    <w:rPr>
      <w:rFonts w:ascii="Times New Roman" w:eastAsiaTheme="majorEastAsia" w:hAnsi="Times New Roman" w:cstheme="majorBidi"/>
      <w:i/>
      <w:iCs/>
      <w:sz w:val="24"/>
      <w:lang w:eastAsia="en-US"/>
    </w:rPr>
  </w:style>
  <w:style w:type="paragraph" w:styleId="Heading9">
    <w:name w:val="heading 9"/>
    <w:basedOn w:val="Normal"/>
    <w:next w:val="Normal"/>
    <w:link w:val="Heading9Char"/>
    <w:rsid w:val="00136F9D"/>
    <w:pPr>
      <w:overflowPunct w:val="0"/>
      <w:autoSpaceDE w:val="0"/>
      <w:autoSpaceDN w:val="0"/>
      <w:adjustRightInd w:val="0"/>
      <w:spacing w:before="240" w:after="60"/>
      <w:textAlignment w:val="baseline"/>
      <w:outlineLvl w:val="8"/>
    </w:pPr>
    <w:rPr>
      <w:rFonts w:eastAsiaTheme="majorEastAsia"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heading">
    <w:name w:val="Chart heading"/>
    <w:basedOn w:val="Caption"/>
    <w:rsid w:val="00093546"/>
    <w:pPr>
      <w:ind w:left="990" w:hanging="990"/>
    </w:pPr>
  </w:style>
  <w:style w:type="paragraph" w:styleId="Caption">
    <w:name w:val="caption"/>
    <w:aliases w:val="Table heading"/>
    <w:basedOn w:val="Normal"/>
    <w:next w:val="Normal"/>
    <w:uiPriority w:val="35"/>
    <w:qFormat/>
    <w:rsid w:val="00D8244B"/>
    <w:pPr>
      <w:overflowPunct w:val="0"/>
      <w:autoSpaceDE w:val="0"/>
      <w:autoSpaceDN w:val="0"/>
      <w:adjustRightInd w:val="0"/>
      <w:spacing w:before="120"/>
      <w:textAlignment w:val="baseline"/>
    </w:pPr>
    <w:rPr>
      <w:b/>
      <w:bCs/>
      <w:color w:val="1F497D" w:themeColor="text2"/>
      <w:szCs w:val="20"/>
      <w:lang w:eastAsia="en-US"/>
    </w:rPr>
  </w:style>
  <w:style w:type="paragraph" w:customStyle="1" w:styleId="Chartheadingstyle">
    <w:name w:val="Chart heading style"/>
    <w:basedOn w:val="Caption"/>
    <w:rsid w:val="00E41EAC"/>
    <w:pPr>
      <w:ind w:left="990" w:hanging="990"/>
    </w:pPr>
  </w:style>
  <w:style w:type="paragraph" w:customStyle="1" w:styleId="StyleCaptionTableheadingAfter6pt">
    <w:name w:val="Style CaptionTable heading + After:  6 pt"/>
    <w:basedOn w:val="Caption"/>
    <w:rsid w:val="00E6057F"/>
  </w:style>
  <w:style w:type="paragraph" w:customStyle="1" w:styleId="CaptionTable">
    <w:name w:val="Caption_Table"/>
    <w:basedOn w:val="Normal"/>
    <w:next w:val="BodyText"/>
    <w:rsid w:val="00C20D70"/>
    <w:pPr>
      <w:keepNext/>
      <w:keepLines/>
      <w:spacing w:before="240" w:after="240"/>
      <w:jc w:val="center"/>
    </w:pPr>
    <w:rPr>
      <w:rFonts w:ascii="Calibri" w:hAnsi="Calibri"/>
      <w:b/>
      <w:color w:val="931638"/>
      <w:szCs w:val="20"/>
      <w:lang w:eastAsia="en-US"/>
    </w:rPr>
  </w:style>
  <w:style w:type="paragraph" w:styleId="BodyText">
    <w:name w:val="Body Text"/>
    <w:basedOn w:val="Normal"/>
    <w:rsid w:val="00C20D70"/>
  </w:style>
  <w:style w:type="paragraph" w:customStyle="1" w:styleId="CaptionTableheading">
    <w:name w:val="Caption_Table heading"/>
    <w:basedOn w:val="Normal"/>
    <w:next w:val="BodyText"/>
    <w:rsid w:val="00B707C7"/>
    <w:pPr>
      <w:keepNext/>
      <w:keepLines/>
      <w:spacing w:before="240" w:after="240"/>
      <w:jc w:val="center"/>
    </w:pPr>
    <w:rPr>
      <w:rFonts w:ascii="Calibri" w:hAnsi="Calibri"/>
      <w:b/>
      <w:color w:val="931638"/>
      <w:szCs w:val="20"/>
      <w:lang w:eastAsia="en-US"/>
    </w:rPr>
  </w:style>
  <w:style w:type="character" w:customStyle="1" w:styleId="Heading1Char">
    <w:name w:val="Heading 1 Char"/>
    <w:basedOn w:val="DefaultParagraphFont"/>
    <w:link w:val="Heading1"/>
    <w:uiPriority w:val="9"/>
    <w:rsid w:val="002924A7"/>
    <w:rPr>
      <w:rFonts w:ascii="Arial Bold" w:eastAsiaTheme="majorEastAsia" w:hAnsi="Arial Bold" w:cs="Arial"/>
      <w:b/>
      <w:color w:val="1F497D" w:themeColor="text2"/>
      <w:kern w:val="32"/>
      <w:sz w:val="48"/>
      <w:szCs w:val="22"/>
    </w:rPr>
  </w:style>
  <w:style w:type="paragraph" w:styleId="Title">
    <w:name w:val="Title"/>
    <w:basedOn w:val="Normal"/>
    <w:link w:val="TitleChar"/>
    <w:uiPriority w:val="10"/>
    <w:qFormat/>
    <w:rsid w:val="008615F9"/>
    <w:pPr>
      <w:overflowPunct w:val="0"/>
      <w:autoSpaceDE w:val="0"/>
      <w:autoSpaceDN w:val="0"/>
      <w:adjustRightInd w:val="0"/>
      <w:spacing w:before="240" w:after="60"/>
      <w:textAlignment w:val="baseline"/>
      <w:outlineLvl w:val="0"/>
    </w:pPr>
    <w:rPr>
      <w:rFonts w:ascii="Arial Bold" w:eastAsiaTheme="majorEastAsia" w:hAnsi="Arial Bold" w:cs="Arial"/>
      <w:b/>
      <w:bCs/>
      <w:caps/>
      <w:color w:val="C00000"/>
      <w:kern w:val="28"/>
      <w:sz w:val="36"/>
      <w:szCs w:val="32"/>
      <w:lang w:eastAsia="en-US"/>
    </w:rPr>
  </w:style>
  <w:style w:type="character" w:customStyle="1" w:styleId="TitleChar">
    <w:name w:val="Title Char"/>
    <w:basedOn w:val="DefaultParagraphFont"/>
    <w:link w:val="Title"/>
    <w:uiPriority w:val="10"/>
    <w:rsid w:val="008615F9"/>
    <w:rPr>
      <w:rFonts w:ascii="Arial Bold" w:eastAsiaTheme="majorEastAsia" w:hAnsi="Arial Bold" w:cs="Arial"/>
      <w:b/>
      <w:bCs/>
      <w:caps/>
      <w:color w:val="C00000"/>
      <w:kern w:val="28"/>
      <w:sz w:val="36"/>
      <w:szCs w:val="32"/>
      <w:lang w:eastAsia="en-US"/>
    </w:rPr>
  </w:style>
  <w:style w:type="paragraph" w:styleId="Subtitle">
    <w:name w:val="Subtitle"/>
    <w:aliases w:val="Figure heading"/>
    <w:basedOn w:val="Normal"/>
    <w:link w:val="SubtitleChar"/>
    <w:uiPriority w:val="11"/>
    <w:qFormat/>
    <w:rsid w:val="00D8244B"/>
    <w:pPr>
      <w:overflowPunct w:val="0"/>
      <w:autoSpaceDE w:val="0"/>
      <w:autoSpaceDN w:val="0"/>
      <w:adjustRightInd w:val="0"/>
      <w:spacing w:after="60"/>
      <w:jc w:val="center"/>
      <w:textAlignment w:val="baseline"/>
      <w:outlineLvl w:val="1"/>
    </w:pPr>
    <w:rPr>
      <w:rFonts w:eastAsiaTheme="majorEastAsia" w:cs="Arial"/>
      <w:b/>
      <w:color w:val="1F497D" w:themeColor="text2"/>
      <w:lang w:eastAsia="en-US"/>
    </w:rPr>
  </w:style>
  <w:style w:type="character" w:customStyle="1" w:styleId="SubtitleChar">
    <w:name w:val="Subtitle Char"/>
    <w:aliases w:val="Figure heading Char"/>
    <w:basedOn w:val="DefaultParagraphFont"/>
    <w:link w:val="Subtitle"/>
    <w:uiPriority w:val="11"/>
    <w:rsid w:val="00D8244B"/>
    <w:rPr>
      <w:rFonts w:ascii="Arial" w:eastAsiaTheme="majorEastAsia" w:hAnsi="Arial" w:cs="Arial"/>
      <w:b/>
      <w:color w:val="1F497D" w:themeColor="text2"/>
      <w:sz w:val="22"/>
      <w:szCs w:val="24"/>
      <w:lang w:eastAsia="en-US"/>
    </w:rPr>
  </w:style>
  <w:style w:type="character" w:styleId="Strong">
    <w:name w:val="Strong"/>
    <w:basedOn w:val="DefaultParagraphFont"/>
    <w:uiPriority w:val="22"/>
    <w:qFormat/>
    <w:rsid w:val="008615F9"/>
    <w:rPr>
      <w:rFonts w:ascii="Arial" w:hAnsi="Arial"/>
      <w:b/>
      <w:bCs/>
    </w:rPr>
  </w:style>
  <w:style w:type="paragraph" w:styleId="NoSpacing">
    <w:name w:val="No Spacing"/>
    <w:uiPriority w:val="1"/>
    <w:qFormat/>
    <w:rsid w:val="00136F9D"/>
    <w:rPr>
      <w:rFonts w:ascii="Arial" w:eastAsia="Calibri" w:hAnsi="Arial"/>
      <w:sz w:val="22"/>
      <w:szCs w:val="22"/>
      <w:lang w:eastAsia="en-US"/>
    </w:rPr>
  </w:style>
  <w:style w:type="paragraph" w:styleId="ListParagraph">
    <w:name w:val="List Paragraph"/>
    <w:aliases w:val="Bullet"/>
    <w:basedOn w:val="Normal"/>
    <w:link w:val="ListParagraphChar"/>
    <w:uiPriority w:val="34"/>
    <w:qFormat/>
    <w:rsid w:val="00AD796C"/>
    <w:pPr>
      <w:numPr>
        <w:numId w:val="41"/>
      </w:numPr>
      <w:overflowPunct w:val="0"/>
      <w:autoSpaceDE w:val="0"/>
      <w:autoSpaceDN w:val="0"/>
      <w:adjustRightInd w:val="0"/>
      <w:textAlignment w:val="baseline"/>
    </w:pPr>
    <w:rPr>
      <w:szCs w:val="20"/>
    </w:rPr>
  </w:style>
  <w:style w:type="character" w:customStyle="1" w:styleId="Heading2Char">
    <w:name w:val="Heading 2 Char"/>
    <w:basedOn w:val="DefaultParagraphFont"/>
    <w:link w:val="Heading2"/>
    <w:rsid w:val="00EE707B"/>
    <w:rPr>
      <w:rFonts w:ascii="Arial" w:eastAsiaTheme="majorEastAsia" w:hAnsi="Arial" w:cstheme="majorBidi"/>
      <w:b/>
      <w:color w:val="1F497D" w:themeColor="text2"/>
      <w:sz w:val="28"/>
      <w:szCs w:val="28"/>
    </w:rPr>
  </w:style>
  <w:style w:type="character" w:customStyle="1" w:styleId="Heading3Char">
    <w:name w:val="Heading 3 Char"/>
    <w:basedOn w:val="DefaultParagraphFont"/>
    <w:link w:val="Heading3"/>
    <w:uiPriority w:val="9"/>
    <w:rsid w:val="00EE707B"/>
    <w:rPr>
      <w:rFonts w:ascii="Arial" w:eastAsiaTheme="majorEastAsia" w:hAnsi="Arial" w:cstheme="majorBidi"/>
      <w:b/>
      <w:color w:val="1F497D" w:themeColor="text2"/>
      <w:sz w:val="24"/>
      <w:lang w:eastAsia="en-US"/>
    </w:rPr>
  </w:style>
  <w:style w:type="character" w:customStyle="1" w:styleId="Heading4Char">
    <w:name w:val="Heading 4 Char"/>
    <w:basedOn w:val="DefaultParagraphFont"/>
    <w:link w:val="Heading4"/>
    <w:uiPriority w:val="9"/>
    <w:rsid w:val="002924A7"/>
    <w:rPr>
      <w:rFonts w:ascii="Arial Bold" w:eastAsiaTheme="majorEastAsia" w:hAnsi="Arial Bold" w:cstheme="majorBidi"/>
      <w:b/>
      <w:color w:val="1F497D" w:themeColor="text2"/>
      <w:spacing w:val="-3"/>
      <w:sz w:val="22"/>
      <w:szCs w:val="22"/>
      <w:lang w:eastAsia="en-US"/>
    </w:rPr>
  </w:style>
  <w:style w:type="character" w:customStyle="1" w:styleId="Heading5Char">
    <w:name w:val="Heading 5 Char"/>
    <w:basedOn w:val="DefaultParagraphFont"/>
    <w:link w:val="Heading5"/>
    <w:rsid w:val="004928F0"/>
    <w:rPr>
      <w:rFonts w:ascii="Arial" w:eastAsiaTheme="majorEastAsia" w:hAnsi="Arial" w:cstheme="majorBidi"/>
      <w:b/>
      <w:bCs/>
      <w:i/>
      <w:iCs/>
      <w:sz w:val="26"/>
      <w:szCs w:val="26"/>
      <w:lang w:eastAsia="en-US"/>
    </w:rPr>
  </w:style>
  <w:style w:type="character" w:customStyle="1" w:styleId="Heading6Char">
    <w:name w:val="Heading 6 Char"/>
    <w:basedOn w:val="DefaultParagraphFont"/>
    <w:link w:val="Heading6"/>
    <w:rsid w:val="00136F9D"/>
    <w:rPr>
      <w:rFonts w:eastAsiaTheme="majorEastAsia" w:cstheme="majorBidi"/>
      <w:b/>
      <w:bCs/>
      <w:sz w:val="22"/>
      <w:szCs w:val="22"/>
      <w:lang w:eastAsia="en-US"/>
    </w:rPr>
  </w:style>
  <w:style w:type="character" w:customStyle="1" w:styleId="Heading7Char">
    <w:name w:val="Heading 7 Char"/>
    <w:basedOn w:val="DefaultParagraphFont"/>
    <w:link w:val="Heading7"/>
    <w:rsid w:val="00136F9D"/>
    <w:rPr>
      <w:rFonts w:eastAsiaTheme="majorEastAsia" w:cstheme="majorBidi"/>
      <w:sz w:val="24"/>
      <w:szCs w:val="24"/>
      <w:lang w:eastAsia="en-US"/>
    </w:rPr>
  </w:style>
  <w:style w:type="character" w:customStyle="1" w:styleId="Heading8Char">
    <w:name w:val="Heading 8 Char"/>
    <w:basedOn w:val="DefaultParagraphFont"/>
    <w:link w:val="Heading8"/>
    <w:rsid w:val="00136F9D"/>
    <w:rPr>
      <w:rFonts w:eastAsiaTheme="majorEastAsia" w:cstheme="majorBidi"/>
      <w:i/>
      <w:iCs/>
      <w:sz w:val="24"/>
      <w:szCs w:val="24"/>
      <w:lang w:eastAsia="en-US"/>
    </w:rPr>
  </w:style>
  <w:style w:type="character" w:customStyle="1" w:styleId="Heading9Char">
    <w:name w:val="Heading 9 Char"/>
    <w:basedOn w:val="DefaultParagraphFont"/>
    <w:link w:val="Heading9"/>
    <w:rsid w:val="00136F9D"/>
    <w:rPr>
      <w:rFonts w:ascii="Arial" w:eastAsiaTheme="majorEastAsia" w:hAnsi="Arial" w:cs="Arial"/>
      <w:sz w:val="22"/>
      <w:szCs w:val="22"/>
      <w:lang w:eastAsia="en-US"/>
    </w:rPr>
  </w:style>
  <w:style w:type="paragraph" w:styleId="TOC1">
    <w:name w:val="toc 1"/>
    <w:basedOn w:val="Normal"/>
    <w:next w:val="Normal"/>
    <w:autoRedefine/>
    <w:uiPriority w:val="39"/>
    <w:qFormat/>
    <w:rsid w:val="00136F9D"/>
    <w:pPr>
      <w:spacing w:before="120"/>
    </w:pPr>
    <w:rPr>
      <w:rFonts w:asciiTheme="minorHAnsi" w:hAnsiTheme="minorHAnsi" w:cstheme="minorHAnsi"/>
      <w:b/>
      <w:bCs/>
      <w:caps/>
      <w:szCs w:val="20"/>
    </w:rPr>
  </w:style>
  <w:style w:type="paragraph" w:styleId="TOC2">
    <w:name w:val="toc 2"/>
    <w:basedOn w:val="Normal"/>
    <w:next w:val="Normal"/>
    <w:autoRedefine/>
    <w:uiPriority w:val="39"/>
    <w:qFormat/>
    <w:rsid w:val="00136F9D"/>
    <w:pPr>
      <w:ind w:left="220"/>
    </w:pPr>
    <w:rPr>
      <w:rFonts w:asciiTheme="minorHAnsi" w:hAnsiTheme="minorHAnsi" w:cstheme="minorHAnsi"/>
      <w:smallCaps/>
      <w:szCs w:val="20"/>
    </w:rPr>
  </w:style>
  <w:style w:type="paragraph" w:styleId="TOC3">
    <w:name w:val="toc 3"/>
    <w:basedOn w:val="Normal"/>
    <w:next w:val="Normal"/>
    <w:autoRedefine/>
    <w:uiPriority w:val="39"/>
    <w:qFormat/>
    <w:rsid w:val="008615F9"/>
    <w:pPr>
      <w:ind w:left="440"/>
    </w:pPr>
    <w:rPr>
      <w:rFonts w:cstheme="minorHAnsi"/>
      <w:i/>
      <w:iCs/>
      <w:szCs w:val="20"/>
    </w:rPr>
  </w:style>
  <w:style w:type="character" w:styleId="Emphasis">
    <w:name w:val="Emphasis"/>
    <w:uiPriority w:val="20"/>
    <w:qFormat/>
    <w:rsid w:val="0054159E"/>
    <w:rPr>
      <w:rFonts w:ascii="Arial" w:hAnsi="Arial" w:cs="Arial"/>
      <w:b w:val="0"/>
      <w:i/>
      <w:szCs w:val="22"/>
    </w:rPr>
  </w:style>
  <w:style w:type="paragraph" w:styleId="TOCHeading">
    <w:name w:val="TOC Heading"/>
    <w:basedOn w:val="Heading1"/>
    <w:next w:val="Normal"/>
    <w:uiPriority w:val="39"/>
    <w:semiHidden/>
    <w:unhideWhenUsed/>
    <w:qFormat/>
    <w:rsid w:val="00136F9D"/>
    <w:pPr>
      <w:keepLines/>
      <w:spacing w:before="480" w:after="0" w:line="276" w:lineRule="auto"/>
      <w:outlineLvl w:val="9"/>
    </w:pPr>
    <w:rPr>
      <w:rFonts w:asciiTheme="majorHAnsi" w:hAnsiTheme="majorHAnsi" w:cstheme="majorBidi"/>
      <w:bCs/>
      <w:caps/>
      <w:color w:val="365F91" w:themeColor="accent1" w:themeShade="BF"/>
      <w:kern w:val="0"/>
      <w:szCs w:val="28"/>
      <w:lang w:val="en-US" w:eastAsia="en-US"/>
    </w:rPr>
  </w:style>
  <w:style w:type="paragraph" w:styleId="Header">
    <w:name w:val="header"/>
    <w:basedOn w:val="Normal"/>
    <w:link w:val="HeaderChar"/>
    <w:uiPriority w:val="99"/>
    <w:rsid w:val="0054159E"/>
    <w:pPr>
      <w:tabs>
        <w:tab w:val="center" w:pos="4513"/>
        <w:tab w:val="right" w:pos="9026"/>
      </w:tabs>
    </w:pPr>
  </w:style>
  <w:style w:type="character" w:customStyle="1" w:styleId="HeaderChar">
    <w:name w:val="Header Char"/>
    <w:basedOn w:val="DefaultParagraphFont"/>
    <w:link w:val="Header"/>
    <w:uiPriority w:val="99"/>
    <w:rsid w:val="0054159E"/>
    <w:rPr>
      <w:rFonts w:ascii="Arial" w:hAnsi="Arial"/>
      <w:sz w:val="22"/>
      <w:szCs w:val="24"/>
    </w:rPr>
  </w:style>
  <w:style w:type="paragraph" w:styleId="Footer">
    <w:name w:val="footer"/>
    <w:basedOn w:val="Normal"/>
    <w:link w:val="FooterChar"/>
    <w:uiPriority w:val="99"/>
    <w:rsid w:val="0054159E"/>
    <w:pPr>
      <w:tabs>
        <w:tab w:val="center" w:pos="4513"/>
        <w:tab w:val="right" w:pos="9026"/>
      </w:tabs>
    </w:pPr>
  </w:style>
  <w:style w:type="character" w:customStyle="1" w:styleId="FooterChar">
    <w:name w:val="Footer Char"/>
    <w:basedOn w:val="DefaultParagraphFont"/>
    <w:link w:val="Footer"/>
    <w:uiPriority w:val="99"/>
    <w:rsid w:val="0054159E"/>
    <w:rPr>
      <w:rFonts w:ascii="Arial" w:hAnsi="Arial"/>
      <w:sz w:val="22"/>
      <w:szCs w:val="24"/>
    </w:rPr>
  </w:style>
  <w:style w:type="paragraph" w:styleId="BalloonText">
    <w:name w:val="Balloon Text"/>
    <w:basedOn w:val="Normal"/>
    <w:link w:val="BalloonTextChar"/>
    <w:uiPriority w:val="99"/>
    <w:rsid w:val="0054159E"/>
    <w:rPr>
      <w:rFonts w:ascii="Tahoma" w:hAnsi="Tahoma" w:cs="Tahoma"/>
      <w:sz w:val="16"/>
      <w:szCs w:val="16"/>
    </w:rPr>
  </w:style>
  <w:style w:type="character" w:customStyle="1" w:styleId="BalloonTextChar">
    <w:name w:val="Balloon Text Char"/>
    <w:basedOn w:val="DefaultParagraphFont"/>
    <w:link w:val="BalloonText"/>
    <w:uiPriority w:val="99"/>
    <w:rsid w:val="0054159E"/>
    <w:rPr>
      <w:rFonts w:ascii="Tahoma" w:hAnsi="Tahoma" w:cs="Tahoma"/>
      <w:sz w:val="16"/>
      <w:szCs w:val="16"/>
    </w:rPr>
  </w:style>
  <w:style w:type="character" w:styleId="Hyperlink">
    <w:name w:val="Hyperlink"/>
    <w:basedOn w:val="DefaultParagraphFont"/>
    <w:uiPriority w:val="99"/>
    <w:rsid w:val="00B304C8"/>
    <w:rPr>
      <w:color w:val="0000FF" w:themeColor="hyperlink"/>
      <w:u w:val="single"/>
    </w:rPr>
  </w:style>
  <w:style w:type="paragraph" w:customStyle="1" w:styleId="Link">
    <w:name w:val="Link"/>
    <w:basedOn w:val="Normal"/>
    <w:link w:val="LinkChar"/>
    <w:qFormat/>
    <w:rsid w:val="00B304C8"/>
  </w:style>
  <w:style w:type="character" w:customStyle="1" w:styleId="LinkChar">
    <w:name w:val="Link Char"/>
    <w:basedOn w:val="DefaultParagraphFont"/>
    <w:link w:val="Link"/>
    <w:rsid w:val="00B304C8"/>
    <w:rPr>
      <w:rFonts w:ascii="Arial" w:hAnsi="Arial"/>
      <w:szCs w:val="24"/>
    </w:rPr>
  </w:style>
  <w:style w:type="character" w:styleId="SubtleEmphasis">
    <w:name w:val="Subtle Emphasis"/>
    <w:basedOn w:val="DefaultParagraphFont"/>
    <w:uiPriority w:val="19"/>
    <w:qFormat/>
    <w:rsid w:val="008615F9"/>
    <w:rPr>
      <w:rFonts w:ascii="Arial" w:hAnsi="Arial"/>
      <w:i/>
      <w:iCs/>
      <w:color w:val="808080" w:themeColor="text1" w:themeTint="7F"/>
    </w:rPr>
  </w:style>
  <w:style w:type="character" w:styleId="IntenseEmphasis">
    <w:name w:val="Intense Emphasis"/>
    <w:basedOn w:val="DefaultParagraphFont"/>
    <w:uiPriority w:val="21"/>
    <w:qFormat/>
    <w:rsid w:val="004928F0"/>
    <w:rPr>
      <w:rFonts w:ascii="Arial" w:hAnsi="Arial"/>
      <w:b/>
      <w:bCs/>
      <w:i/>
      <w:iCs/>
      <w:color w:val="C00000"/>
    </w:rPr>
  </w:style>
  <w:style w:type="character" w:styleId="SubtleReference">
    <w:name w:val="Subtle Reference"/>
    <w:basedOn w:val="DefaultParagraphFont"/>
    <w:uiPriority w:val="31"/>
    <w:qFormat/>
    <w:rsid w:val="008615F9"/>
    <w:rPr>
      <w:rFonts w:ascii="Arial" w:hAnsi="Arial"/>
      <w:smallCaps/>
      <w:color w:val="C0504D" w:themeColor="accent2"/>
      <w:u w:val="single"/>
    </w:rPr>
  </w:style>
  <w:style w:type="character" w:styleId="IntenseReference">
    <w:name w:val="Intense Reference"/>
    <w:basedOn w:val="DefaultParagraphFont"/>
    <w:uiPriority w:val="32"/>
    <w:qFormat/>
    <w:rsid w:val="008615F9"/>
    <w:rPr>
      <w:rFonts w:ascii="Arial" w:hAnsi="Arial"/>
      <w:b/>
      <w:bCs/>
      <w:smallCaps/>
      <w:color w:val="C0504D" w:themeColor="accent2"/>
      <w:spacing w:val="5"/>
      <w:u w:val="single"/>
    </w:rPr>
  </w:style>
  <w:style w:type="table" w:styleId="TableGrid">
    <w:name w:val="Table Grid"/>
    <w:basedOn w:val="TableNormal"/>
    <w:rsid w:val="00C15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Char"/>
    <w:basedOn w:val="DefaultParagraphFont"/>
    <w:link w:val="ListParagraph"/>
    <w:uiPriority w:val="34"/>
    <w:rsid w:val="00AD796C"/>
    <w:rPr>
      <w:rFonts w:ascii="Arial" w:hAnsi="Arial"/>
      <w:sz w:val="22"/>
    </w:rPr>
  </w:style>
  <w:style w:type="character" w:customStyle="1" w:styleId="PersonalReplyStyle">
    <w:name w:val="Personal Reply Style"/>
    <w:basedOn w:val="DefaultParagraphFont"/>
    <w:rsid w:val="006104F8"/>
    <w:rPr>
      <w:rFonts w:ascii="Arial" w:hAnsi="Arial" w:cs="Arial"/>
      <w:color w:val="auto"/>
      <w:sz w:val="20"/>
    </w:rPr>
  </w:style>
  <w:style w:type="paragraph" w:customStyle="1" w:styleId="Numbers">
    <w:name w:val="Numbers"/>
    <w:basedOn w:val="ListParagraph"/>
    <w:link w:val="NumbersChar"/>
    <w:qFormat/>
    <w:rsid w:val="0055519E"/>
    <w:pPr>
      <w:numPr>
        <w:numId w:val="9"/>
      </w:numPr>
      <w:spacing w:before="120"/>
      <w:ind w:hanging="720"/>
    </w:pPr>
    <w:rPr>
      <w:szCs w:val="22"/>
    </w:rPr>
  </w:style>
  <w:style w:type="character" w:customStyle="1" w:styleId="NumbersChar">
    <w:name w:val="Numbers Char"/>
    <w:basedOn w:val="ListParagraphChar"/>
    <w:link w:val="Numbers"/>
    <w:rsid w:val="0055519E"/>
    <w:rPr>
      <w:rFonts w:ascii="Arial" w:hAnsi="Arial"/>
      <w:sz w:val="22"/>
      <w:szCs w:val="22"/>
    </w:rPr>
  </w:style>
  <w:style w:type="character" w:styleId="CommentReference">
    <w:name w:val="annotation reference"/>
    <w:basedOn w:val="DefaultParagraphFont"/>
    <w:uiPriority w:val="99"/>
    <w:rsid w:val="00476567"/>
    <w:rPr>
      <w:sz w:val="16"/>
      <w:szCs w:val="16"/>
    </w:rPr>
  </w:style>
  <w:style w:type="paragraph" w:styleId="CommentText">
    <w:name w:val="annotation text"/>
    <w:basedOn w:val="Normal"/>
    <w:link w:val="CommentTextChar"/>
    <w:uiPriority w:val="99"/>
    <w:rsid w:val="00476567"/>
    <w:rPr>
      <w:szCs w:val="20"/>
    </w:rPr>
  </w:style>
  <w:style w:type="character" w:customStyle="1" w:styleId="CommentTextChar">
    <w:name w:val="Comment Text Char"/>
    <w:basedOn w:val="DefaultParagraphFont"/>
    <w:link w:val="CommentText"/>
    <w:uiPriority w:val="99"/>
    <w:rsid w:val="00476567"/>
    <w:rPr>
      <w:rFonts w:ascii="Arial" w:hAnsi="Arial"/>
    </w:rPr>
  </w:style>
  <w:style w:type="paragraph" w:styleId="CommentSubject">
    <w:name w:val="annotation subject"/>
    <w:basedOn w:val="CommentText"/>
    <w:next w:val="CommentText"/>
    <w:link w:val="CommentSubjectChar"/>
    <w:uiPriority w:val="99"/>
    <w:rsid w:val="00476567"/>
    <w:rPr>
      <w:b/>
      <w:bCs/>
    </w:rPr>
  </w:style>
  <w:style w:type="character" w:customStyle="1" w:styleId="CommentSubjectChar">
    <w:name w:val="Comment Subject Char"/>
    <w:basedOn w:val="CommentTextChar"/>
    <w:link w:val="CommentSubject"/>
    <w:uiPriority w:val="99"/>
    <w:rsid w:val="00476567"/>
    <w:rPr>
      <w:rFonts w:ascii="Arial" w:hAnsi="Arial"/>
      <w:b/>
      <w:bCs/>
    </w:rPr>
  </w:style>
  <w:style w:type="paragraph" w:styleId="Revision">
    <w:name w:val="Revision"/>
    <w:hidden/>
    <w:uiPriority w:val="99"/>
    <w:semiHidden/>
    <w:rsid w:val="0055519E"/>
    <w:rPr>
      <w:rFonts w:ascii="Arial" w:hAnsi="Arial"/>
      <w:szCs w:val="24"/>
    </w:rPr>
  </w:style>
  <w:style w:type="character" w:customStyle="1" w:styleId="Level2subbulletChar">
    <w:name w:val="Level 2 sub bullet Char"/>
    <w:basedOn w:val="ListParagraphChar"/>
    <w:link w:val="Level2subbullet"/>
    <w:locked/>
    <w:rsid w:val="003C147C"/>
    <w:rPr>
      <w:rFonts w:ascii="Arial" w:hAnsi="Arial" w:cs="Arial"/>
      <w:sz w:val="22"/>
      <w:szCs w:val="22"/>
      <w:lang w:eastAsia="en-US"/>
    </w:rPr>
  </w:style>
  <w:style w:type="paragraph" w:customStyle="1" w:styleId="Level2subbullet">
    <w:name w:val="Level 2 sub bullet"/>
    <w:basedOn w:val="ListParagraph"/>
    <w:link w:val="Level2subbulletChar"/>
    <w:qFormat/>
    <w:rsid w:val="003C147C"/>
    <w:pPr>
      <w:overflowPunct/>
      <w:adjustRightInd/>
      <w:spacing w:before="120"/>
      <w:ind w:left="1440"/>
      <w:textAlignment w:val="auto"/>
    </w:pPr>
    <w:rPr>
      <w:rFonts w:cs="Arial"/>
      <w:szCs w:val="22"/>
      <w:lang w:eastAsia="en-US"/>
    </w:rPr>
  </w:style>
  <w:style w:type="paragraph" w:customStyle="1" w:styleId="numberedpara">
    <w:name w:val="numbered para"/>
    <w:basedOn w:val="Normal"/>
    <w:rsid w:val="00CD4234"/>
    <w:pPr>
      <w:keepLines/>
    </w:pPr>
    <w:rPr>
      <w:rFonts w:ascii="Calibri" w:hAnsi="Calibri" w:cs="Arial"/>
      <w:szCs w:val="16"/>
      <w:lang w:eastAsia="en-US"/>
    </w:rPr>
  </w:style>
  <w:style w:type="numbering" w:customStyle="1" w:styleId="NoList1">
    <w:name w:val="No List1"/>
    <w:next w:val="NoList"/>
    <w:uiPriority w:val="99"/>
    <w:semiHidden/>
    <w:unhideWhenUsed/>
    <w:rsid w:val="00A65E70"/>
  </w:style>
  <w:style w:type="paragraph" w:customStyle="1" w:styleId="EndNoteBibliographyTitle">
    <w:name w:val="EndNote Bibliography Title"/>
    <w:basedOn w:val="Normal"/>
    <w:link w:val="EndNoteBibliographyTitleChar"/>
    <w:rsid w:val="00A65E70"/>
    <w:pPr>
      <w:spacing w:line="259" w:lineRule="auto"/>
      <w:jc w:val="center"/>
    </w:pPr>
    <w:rPr>
      <w:rFonts w:ascii="Garamond" w:eastAsia="Calibri" w:hAnsi="Garamond"/>
      <w:noProof/>
      <w:szCs w:val="22"/>
      <w:lang w:val="en-US" w:eastAsia="en-US"/>
    </w:rPr>
  </w:style>
  <w:style w:type="character" w:customStyle="1" w:styleId="EndNoteBibliographyTitleChar">
    <w:name w:val="EndNote Bibliography Title Char"/>
    <w:basedOn w:val="DefaultParagraphFont"/>
    <w:link w:val="EndNoteBibliographyTitle"/>
    <w:rsid w:val="00A65E70"/>
    <w:rPr>
      <w:rFonts w:ascii="Garamond" w:eastAsia="Calibri" w:hAnsi="Garamond"/>
      <w:noProof/>
      <w:sz w:val="22"/>
      <w:szCs w:val="22"/>
      <w:lang w:val="en-US" w:eastAsia="en-US"/>
    </w:rPr>
  </w:style>
  <w:style w:type="paragraph" w:customStyle="1" w:styleId="EndNoteBibliography">
    <w:name w:val="EndNote Bibliography"/>
    <w:basedOn w:val="Normal"/>
    <w:link w:val="EndNoteBibliographyChar"/>
    <w:rsid w:val="00A65E70"/>
    <w:pPr>
      <w:spacing w:after="160"/>
    </w:pPr>
    <w:rPr>
      <w:rFonts w:ascii="Garamond" w:eastAsia="Calibri" w:hAnsi="Garamond"/>
      <w:noProof/>
      <w:szCs w:val="22"/>
      <w:lang w:val="en-US" w:eastAsia="en-US"/>
    </w:rPr>
  </w:style>
  <w:style w:type="character" w:customStyle="1" w:styleId="EndNoteBibliographyChar">
    <w:name w:val="EndNote Bibliography Char"/>
    <w:basedOn w:val="DefaultParagraphFont"/>
    <w:link w:val="EndNoteBibliography"/>
    <w:rsid w:val="00A65E70"/>
    <w:rPr>
      <w:rFonts w:ascii="Garamond" w:eastAsia="Calibri" w:hAnsi="Garamond"/>
      <w:noProof/>
      <w:sz w:val="22"/>
      <w:szCs w:val="22"/>
      <w:lang w:val="en-US" w:eastAsia="en-US"/>
    </w:rPr>
  </w:style>
  <w:style w:type="paragraph" w:customStyle="1" w:styleId="Style1">
    <w:name w:val="Style1"/>
    <w:basedOn w:val="Normal"/>
    <w:link w:val="Style1Char"/>
    <w:qFormat/>
    <w:rsid w:val="00A65E70"/>
    <w:pPr>
      <w:spacing w:after="160" w:line="259" w:lineRule="auto"/>
    </w:pPr>
    <w:rPr>
      <w:rFonts w:ascii="Adobe Garamond Pro" w:eastAsia="Calibri" w:hAnsi="Adobe Garamond Pro"/>
      <w:sz w:val="24"/>
      <w:szCs w:val="22"/>
      <w:lang w:eastAsia="en-US"/>
    </w:rPr>
  </w:style>
  <w:style w:type="character" w:customStyle="1" w:styleId="Style1Char">
    <w:name w:val="Style1 Char"/>
    <w:basedOn w:val="DefaultParagraphFont"/>
    <w:link w:val="Style1"/>
    <w:rsid w:val="00A65E70"/>
    <w:rPr>
      <w:rFonts w:ascii="Adobe Garamond Pro" w:eastAsia="Calibri" w:hAnsi="Adobe Garamond Pro"/>
      <w:sz w:val="24"/>
      <w:szCs w:val="22"/>
      <w:lang w:eastAsia="en-US"/>
    </w:rPr>
  </w:style>
  <w:style w:type="character" w:styleId="PlaceholderText">
    <w:name w:val="Placeholder Text"/>
    <w:basedOn w:val="DefaultParagraphFont"/>
    <w:uiPriority w:val="99"/>
    <w:semiHidden/>
    <w:rsid w:val="00A65E70"/>
    <w:rPr>
      <w:color w:val="808080"/>
    </w:rPr>
  </w:style>
  <w:style w:type="paragraph" w:styleId="TableofFigures">
    <w:name w:val="table of figures"/>
    <w:basedOn w:val="Normal"/>
    <w:next w:val="Normal"/>
    <w:uiPriority w:val="99"/>
    <w:unhideWhenUsed/>
    <w:rsid w:val="00A65E70"/>
    <w:pPr>
      <w:spacing w:line="259" w:lineRule="auto"/>
    </w:pPr>
    <w:rPr>
      <w:rFonts w:ascii="Adobe Garamond Pro" w:eastAsia="Calibri" w:hAnsi="Adobe Garamond Pro"/>
      <w:sz w:val="24"/>
      <w:szCs w:val="22"/>
      <w:lang w:eastAsia="en-US"/>
    </w:rPr>
  </w:style>
  <w:style w:type="table" w:customStyle="1" w:styleId="TableGrid1">
    <w:name w:val="Table Grid1"/>
    <w:basedOn w:val="TableNormal"/>
    <w:next w:val="TableGrid"/>
    <w:uiPriority w:val="59"/>
    <w:rsid w:val="00A65E7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65E70"/>
    <w:rPr>
      <w:rFonts w:ascii="Times New Roman" w:eastAsia="Calibri" w:hAnsi="Times New Roman"/>
      <w:sz w:val="24"/>
    </w:rPr>
  </w:style>
  <w:style w:type="paragraph" w:customStyle="1" w:styleId="SWA-FOOTER">
    <w:name w:val="SWA - FOOTER"/>
    <w:basedOn w:val="Normal"/>
    <w:qFormat/>
    <w:rsid w:val="00F82D15"/>
    <w:pPr>
      <w:tabs>
        <w:tab w:val="left" w:pos="425"/>
        <w:tab w:val="right" w:pos="9072"/>
      </w:tabs>
      <w:ind w:left="425" w:hanging="425"/>
      <w:contextualSpacing/>
    </w:pPr>
    <w:rPr>
      <w:rFonts w:eastAsiaTheme="minorHAnsi" w:cstheme="minorBidi"/>
      <w:sz w:val="18"/>
      <w:lang w:eastAsia="en-US"/>
    </w:rPr>
  </w:style>
  <w:style w:type="paragraph" w:customStyle="1" w:styleId="Style5">
    <w:name w:val="Style5"/>
    <w:basedOn w:val="Normal"/>
    <w:link w:val="Style5Char"/>
    <w:qFormat/>
    <w:rsid w:val="0033029E"/>
    <w:pPr>
      <w:suppressAutoHyphens/>
      <w:autoSpaceDE w:val="0"/>
      <w:autoSpaceDN w:val="0"/>
      <w:adjustRightInd w:val="0"/>
      <w:spacing w:before="113" w:line="288" w:lineRule="auto"/>
      <w:ind w:left="284" w:right="-612" w:hanging="851"/>
      <w:textAlignment w:val="center"/>
      <w:outlineLvl w:val="3"/>
    </w:pPr>
    <w:rPr>
      <w:rFonts w:eastAsia="Calibri" w:cs="Arial"/>
      <w:b/>
      <w:bCs/>
      <w:color w:val="00456B"/>
      <w:szCs w:val="22"/>
      <w:lang w:val="en-GB" w:eastAsia="en-US"/>
    </w:rPr>
  </w:style>
  <w:style w:type="paragraph" w:customStyle="1" w:styleId="Style6">
    <w:name w:val="Style6"/>
    <w:basedOn w:val="Normal"/>
    <w:link w:val="Style6Char"/>
    <w:qFormat/>
    <w:rsid w:val="0033029E"/>
    <w:pPr>
      <w:numPr>
        <w:numId w:val="35"/>
      </w:numPr>
      <w:suppressAutoHyphens/>
      <w:autoSpaceDE w:val="0"/>
      <w:autoSpaceDN w:val="0"/>
      <w:adjustRightInd w:val="0"/>
      <w:spacing w:after="57" w:line="264" w:lineRule="atLeast"/>
      <w:ind w:left="1843" w:right="-613"/>
      <w:textAlignment w:val="center"/>
    </w:pPr>
    <w:rPr>
      <w:rFonts w:eastAsia="Calibri" w:cs="Arial"/>
      <w:color w:val="000000"/>
      <w:szCs w:val="22"/>
      <w:lang w:val="en-US" w:eastAsia="en-US"/>
    </w:rPr>
  </w:style>
  <w:style w:type="character" w:customStyle="1" w:styleId="Style5Char">
    <w:name w:val="Style5 Char"/>
    <w:basedOn w:val="DefaultParagraphFont"/>
    <w:link w:val="Style5"/>
    <w:rsid w:val="0033029E"/>
    <w:rPr>
      <w:rFonts w:ascii="Arial" w:eastAsia="Calibri" w:hAnsi="Arial" w:cs="Arial"/>
      <w:b/>
      <w:bCs/>
      <w:color w:val="00456B"/>
      <w:sz w:val="22"/>
      <w:szCs w:val="22"/>
      <w:lang w:val="en-GB" w:eastAsia="en-US"/>
    </w:rPr>
  </w:style>
  <w:style w:type="character" w:customStyle="1" w:styleId="Style6Char">
    <w:name w:val="Style6 Char"/>
    <w:basedOn w:val="DefaultParagraphFont"/>
    <w:link w:val="Style6"/>
    <w:rsid w:val="0033029E"/>
    <w:rPr>
      <w:rFonts w:ascii="Arial" w:eastAsia="Calibri" w:hAnsi="Arial" w:cs="Arial"/>
      <w:color w:val="000000"/>
      <w:sz w:val="22"/>
      <w:szCs w:val="22"/>
      <w:lang w:val="en-US" w:eastAsia="en-US"/>
    </w:rPr>
  </w:style>
  <w:style w:type="paragraph" w:styleId="FootnoteText">
    <w:name w:val="footnote text"/>
    <w:basedOn w:val="Normal"/>
    <w:link w:val="FootnoteTextChar"/>
    <w:semiHidden/>
    <w:unhideWhenUsed/>
    <w:rsid w:val="00637F37"/>
    <w:rPr>
      <w:sz w:val="20"/>
      <w:szCs w:val="20"/>
    </w:rPr>
  </w:style>
  <w:style w:type="character" w:customStyle="1" w:styleId="FootnoteTextChar">
    <w:name w:val="Footnote Text Char"/>
    <w:basedOn w:val="DefaultParagraphFont"/>
    <w:link w:val="FootnoteText"/>
    <w:semiHidden/>
    <w:rsid w:val="00637F37"/>
    <w:rPr>
      <w:rFonts w:ascii="Arial" w:hAnsi="Arial"/>
    </w:rPr>
  </w:style>
  <w:style w:type="character" w:styleId="FootnoteReference">
    <w:name w:val="footnote reference"/>
    <w:basedOn w:val="DefaultParagraphFont"/>
    <w:semiHidden/>
    <w:unhideWhenUsed/>
    <w:rsid w:val="00637F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uiPriority="35" w:qFormat="1"/>
    <w:lsdException w:name="table of figure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07B"/>
    <w:pPr>
      <w:spacing w:after="120"/>
    </w:pPr>
    <w:rPr>
      <w:rFonts w:ascii="Arial" w:hAnsi="Arial"/>
      <w:sz w:val="22"/>
      <w:szCs w:val="24"/>
    </w:rPr>
  </w:style>
  <w:style w:type="paragraph" w:styleId="Heading1">
    <w:name w:val="heading 1"/>
    <w:basedOn w:val="Normal"/>
    <w:next w:val="Normal"/>
    <w:link w:val="Heading1Char"/>
    <w:uiPriority w:val="9"/>
    <w:qFormat/>
    <w:rsid w:val="002924A7"/>
    <w:pPr>
      <w:keepNext/>
      <w:spacing w:after="240"/>
      <w:outlineLvl w:val="0"/>
    </w:pPr>
    <w:rPr>
      <w:rFonts w:ascii="Arial Bold" w:eastAsiaTheme="majorEastAsia" w:hAnsi="Arial Bold" w:cs="Arial"/>
      <w:b/>
      <w:color w:val="1F497D" w:themeColor="text2"/>
      <w:kern w:val="32"/>
      <w:sz w:val="48"/>
      <w:szCs w:val="22"/>
    </w:rPr>
  </w:style>
  <w:style w:type="paragraph" w:styleId="Heading2">
    <w:name w:val="heading 2"/>
    <w:basedOn w:val="Normal"/>
    <w:next w:val="Normal"/>
    <w:link w:val="Heading2Char"/>
    <w:qFormat/>
    <w:rsid w:val="00EE707B"/>
    <w:pPr>
      <w:keepNext/>
      <w:spacing w:before="240"/>
      <w:outlineLvl w:val="1"/>
    </w:pPr>
    <w:rPr>
      <w:rFonts w:eastAsiaTheme="majorEastAsia" w:cstheme="majorBidi"/>
      <w:b/>
      <w:color w:val="1F497D" w:themeColor="text2"/>
      <w:sz w:val="28"/>
      <w:szCs w:val="28"/>
    </w:rPr>
  </w:style>
  <w:style w:type="paragraph" w:styleId="Heading3">
    <w:name w:val="heading 3"/>
    <w:basedOn w:val="Normal"/>
    <w:next w:val="Normal"/>
    <w:link w:val="Heading3Char"/>
    <w:uiPriority w:val="9"/>
    <w:qFormat/>
    <w:rsid w:val="00EE707B"/>
    <w:pPr>
      <w:keepNext/>
      <w:overflowPunct w:val="0"/>
      <w:autoSpaceDE w:val="0"/>
      <w:autoSpaceDN w:val="0"/>
      <w:adjustRightInd w:val="0"/>
      <w:spacing w:before="120"/>
      <w:textAlignment w:val="baseline"/>
      <w:outlineLvl w:val="2"/>
    </w:pPr>
    <w:rPr>
      <w:rFonts w:eastAsiaTheme="majorEastAsia" w:cstheme="majorBidi"/>
      <w:b/>
      <w:color w:val="1F497D" w:themeColor="text2"/>
      <w:sz w:val="24"/>
      <w:szCs w:val="20"/>
      <w:lang w:eastAsia="en-US"/>
    </w:rPr>
  </w:style>
  <w:style w:type="paragraph" w:styleId="Heading4">
    <w:name w:val="heading 4"/>
    <w:basedOn w:val="Normal"/>
    <w:next w:val="Normal"/>
    <w:link w:val="Heading4Char"/>
    <w:uiPriority w:val="9"/>
    <w:qFormat/>
    <w:rsid w:val="002924A7"/>
    <w:pPr>
      <w:overflowPunct w:val="0"/>
      <w:autoSpaceDE w:val="0"/>
      <w:autoSpaceDN w:val="0"/>
      <w:adjustRightInd w:val="0"/>
      <w:ind w:left="360" w:hanging="360"/>
      <w:textAlignment w:val="baseline"/>
      <w:outlineLvl w:val="3"/>
    </w:pPr>
    <w:rPr>
      <w:rFonts w:ascii="Arial Bold" w:eastAsiaTheme="majorEastAsia" w:hAnsi="Arial Bold" w:cstheme="majorBidi"/>
      <w:b/>
      <w:color w:val="1F497D" w:themeColor="text2"/>
      <w:spacing w:val="-3"/>
      <w:szCs w:val="22"/>
      <w:lang w:eastAsia="en-US"/>
    </w:rPr>
  </w:style>
  <w:style w:type="paragraph" w:styleId="Heading5">
    <w:name w:val="heading 5"/>
    <w:basedOn w:val="Normal"/>
    <w:next w:val="Normal"/>
    <w:link w:val="Heading5Char"/>
    <w:qFormat/>
    <w:rsid w:val="004928F0"/>
    <w:pPr>
      <w:overflowPunct w:val="0"/>
      <w:autoSpaceDE w:val="0"/>
      <w:autoSpaceDN w:val="0"/>
      <w:adjustRightInd w:val="0"/>
      <w:spacing w:before="240" w:after="60"/>
      <w:textAlignment w:val="baseline"/>
      <w:outlineLvl w:val="4"/>
    </w:pPr>
    <w:rPr>
      <w:rFonts w:eastAsiaTheme="majorEastAsia" w:cstheme="majorBidi"/>
      <w:b/>
      <w:bCs/>
      <w:i/>
      <w:iCs/>
      <w:sz w:val="26"/>
      <w:szCs w:val="26"/>
      <w:lang w:eastAsia="en-US"/>
    </w:rPr>
  </w:style>
  <w:style w:type="paragraph" w:styleId="Heading6">
    <w:name w:val="heading 6"/>
    <w:basedOn w:val="Normal"/>
    <w:next w:val="Normal"/>
    <w:link w:val="Heading6Char"/>
    <w:rsid w:val="00136F9D"/>
    <w:pPr>
      <w:overflowPunct w:val="0"/>
      <w:autoSpaceDE w:val="0"/>
      <w:autoSpaceDN w:val="0"/>
      <w:adjustRightInd w:val="0"/>
      <w:spacing w:before="240" w:after="60"/>
      <w:textAlignment w:val="baseline"/>
      <w:outlineLvl w:val="5"/>
    </w:pPr>
    <w:rPr>
      <w:rFonts w:ascii="Times New Roman" w:eastAsiaTheme="majorEastAsia" w:hAnsi="Times New Roman" w:cstheme="majorBidi"/>
      <w:b/>
      <w:bCs/>
      <w:szCs w:val="22"/>
      <w:lang w:eastAsia="en-US"/>
    </w:rPr>
  </w:style>
  <w:style w:type="paragraph" w:styleId="Heading7">
    <w:name w:val="heading 7"/>
    <w:basedOn w:val="Normal"/>
    <w:next w:val="Normal"/>
    <w:link w:val="Heading7Char"/>
    <w:rsid w:val="00136F9D"/>
    <w:pPr>
      <w:overflowPunct w:val="0"/>
      <w:autoSpaceDE w:val="0"/>
      <w:autoSpaceDN w:val="0"/>
      <w:adjustRightInd w:val="0"/>
      <w:spacing w:before="240" w:after="60"/>
      <w:textAlignment w:val="baseline"/>
      <w:outlineLvl w:val="6"/>
    </w:pPr>
    <w:rPr>
      <w:rFonts w:ascii="Times New Roman" w:eastAsiaTheme="majorEastAsia" w:hAnsi="Times New Roman" w:cstheme="majorBidi"/>
      <w:sz w:val="24"/>
      <w:lang w:eastAsia="en-US"/>
    </w:rPr>
  </w:style>
  <w:style w:type="paragraph" w:styleId="Heading8">
    <w:name w:val="heading 8"/>
    <w:basedOn w:val="Normal"/>
    <w:next w:val="Normal"/>
    <w:link w:val="Heading8Char"/>
    <w:rsid w:val="00136F9D"/>
    <w:pPr>
      <w:overflowPunct w:val="0"/>
      <w:autoSpaceDE w:val="0"/>
      <w:autoSpaceDN w:val="0"/>
      <w:adjustRightInd w:val="0"/>
      <w:spacing w:before="240" w:after="60"/>
      <w:textAlignment w:val="baseline"/>
      <w:outlineLvl w:val="7"/>
    </w:pPr>
    <w:rPr>
      <w:rFonts w:ascii="Times New Roman" w:eastAsiaTheme="majorEastAsia" w:hAnsi="Times New Roman" w:cstheme="majorBidi"/>
      <w:i/>
      <w:iCs/>
      <w:sz w:val="24"/>
      <w:lang w:eastAsia="en-US"/>
    </w:rPr>
  </w:style>
  <w:style w:type="paragraph" w:styleId="Heading9">
    <w:name w:val="heading 9"/>
    <w:basedOn w:val="Normal"/>
    <w:next w:val="Normal"/>
    <w:link w:val="Heading9Char"/>
    <w:rsid w:val="00136F9D"/>
    <w:pPr>
      <w:overflowPunct w:val="0"/>
      <w:autoSpaceDE w:val="0"/>
      <w:autoSpaceDN w:val="0"/>
      <w:adjustRightInd w:val="0"/>
      <w:spacing w:before="240" w:after="60"/>
      <w:textAlignment w:val="baseline"/>
      <w:outlineLvl w:val="8"/>
    </w:pPr>
    <w:rPr>
      <w:rFonts w:eastAsiaTheme="majorEastAsia"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heading">
    <w:name w:val="Chart heading"/>
    <w:basedOn w:val="Caption"/>
    <w:rsid w:val="00093546"/>
    <w:pPr>
      <w:ind w:left="990" w:hanging="990"/>
    </w:pPr>
  </w:style>
  <w:style w:type="paragraph" w:styleId="Caption">
    <w:name w:val="caption"/>
    <w:aliases w:val="Table heading"/>
    <w:basedOn w:val="Normal"/>
    <w:next w:val="Normal"/>
    <w:uiPriority w:val="35"/>
    <w:qFormat/>
    <w:rsid w:val="00D8244B"/>
    <w:pPr>
      <w:overflowPunct w:val="0"/>
      <w:autoSpaceDE w:val="0"/>
      <w:autoSpaceDN w:val="0"/>
      <w:adjustRightInd w:val="0"/>
      <w:spacing w:before="120"/>
      <w:textAlignment w:val="baseline"/>
    </w:pPr>
    <w:rPr>
      <w:b/>
      <w:bCs/>
      <w:color w:val="1F497D" w:themeColor="text2"/>
      <w:szCs w:val="20"/>
      <w:lang w:eastAsia="en-US"/>
    </w:rPr>
  </w:style>
  <w:style w:type="paragraph" w:customStyle="1" w:styleId="Chartheadingstyle">
    <w:name w:val="Chart heading style"/>
    <w:basedOn w:val="Caption"/>
    <w:rsid w:val="00E41EAC"/>
    <w:pPr>
      <w:ind w:left="990" w:hanging="990"/>
    </w:pPr>
  </w:style>
  <w:style w:type="paragraph" w:customStyle="1" w:styleId="StyleCaptionTableheadingAfter6pt">
    <w:name w:val="Style CaptionTable heading + After:  6 pt"/>
    <w:basedOn w:val="Caption"/>
    <w:rsid w:val="00E6057F"/>
  </w:style>
  <w:style w:type="paragraph" w:customStyle="1" w:styleId="CaptionTable">
    <w:name w:val="Caption_Table"/>
    <w:basedOn w:val="Normal"/>
    <w:next w:val="BodyText"/>
    <w:rsid w:val="00C20D70"/>
    <w:pPr>
      <w:keepNext/>
      <w:keepLines/>
      <w:spacing w:before="240" w:after="240"/>
      <w:jc w:val="center"/>
    </w:pPr>
    <w:rPr>
      <w:rFonts w:ascii="Calibri" w:hAnsi="Calibri"/>
      <w:b/>
      <w:color w:val="931638"/>
      <w:szCs w:val="20"/>
      <w:lang w:eastAsia="en-US"/>
    </w:rPr>
  </w:style>
  <w:style w:type="paragraph" w:styleId="BodyText">
    <w:name w:val="Body Text"/>
    <w:basedOn w:val="Normal"/>
    <w:rsid w:val="00C20D70"/>
  </w:style>
  <w:style w:type="paragraph" w:customStyle="1" w:styleId="CaptionTableheading">
    <w:name w:val="Caption_Table heading"/>
    <w:basedOn w:val="Normal"/>
    <w:next w:val="BodyText"/>
    <w:rsid w:val="00B707C7"/>
    <w:pPr>
      <w:keepNext/>
      <w:keepLines/>
      <w:spacing w:before="240" w:after="240"/>
      <w:jc w:val="center"/>
    </w:pPr>
    <w:rPr>
      <w:rFonts w:ascii="Calibri" w:hAnsi="Calibri"/>
      <w:b/>
      <w:color w:val="931638"/>
      <w:szCs w:val="20"/>
      <w:lang w:eastAsia="en-US"/>
    </w:rPr>
  </w:style>
  <w:style w:type="character" w:customStyle="1" w:styleId="Heading1Char">
    <w:name w:val="Heading 1 Char"/>
    <w:basedOn w:val="DefaultParagraphFont"/>
    <w:link w:val="Heading1"/>
    <w:uiPriority w:val="9"/>
    <w:rsid w:val="002924A7"/>
    <w:rPr>
      <w:rFonts w:ascii="Arial Bold" w:eastAsiaTheme="majorEastAsia" w:hAnsi="Arial Bold" w:cs="Arial"/>
      <w:b/>
      <w:color w:val="1F497D" w:themeColor="text2"/>
      <w:kern w:val="32"/>
      <w:sz w:val="48"/>
      <w:szCs w:val="22"/>
    </w:rPr>
  </w:style>
  <w:style w:type="paragraph" w:styleId="Title">
    <w:name w:val="Title"/>
    <w:basedOn w:val="Normal"/>
    <w:link w:val="TitleChar"/>
    <w:uiPriority w:val="10"/>
    <w:qFormat/>
    <w:rsid w:val="008615F9"/>
    <w:pPr>
      <w:overflowPunct w:val="0"/>
      <w:autoSpaceDE w:val="0"/>
      <w:autoSpaceDN w:val="0"/>
      <w:adjustRightInd w:val="0"/>
      <w:spacing w:before="240" w:after="60"/>
      <w:textAlignment w:val="baseline"/>
      <w:outlineLvl w:val="0"/>
    </w:pPr>
    <w:rPr>
      <w:rFonts w:ascii="Arial Bold" w:eastAsiaTheme="majorEastAsia" w:hAnsi="Arial Bold" w:cs="Arial"/>
      <w:b/>
      <w:bCs/>
      <w:caps/>
      <w:color w:val="C00000"/>
      <w:kern w:val="28"/>
      <w:sz w:val="36"/>
      <w:szCs w:val="32"/>
      <w:lang w:eastAsia="en-US"/>
    </w:rPr>
  </w:style>
  <w:style w:type="character" w:customStyle="1" w:styleId="TitleChar">
    <w:name w:val="Title Char"/>
    <w:basedOn w:val="DefaultParagraphFont"/>
    <w:link w:val="Title"/>
    <w:uiPriority w:val="10"/>
    <w:rsid w:val="008615F9"/>
    <w:rPr>
      <w:rFonts w:ascii="Arial Bold" w:eastAsiaTheme="majorEastAsia" w:hAnsi="Arial Bold" w:cs="Arial"/>
      <w:b/>
      <w:bCs/>
      <w:caps/>
      <w:color w:val="C00000"/>
      <w:kern w:val="28"/>
      <w:sz w:val="36"/>
      <w:szCs w:val="32"/>
      <w:lang w:eastAsia="en-US"/>
    </w:rPr>
  </w:style>
  <w:style w:type="paragraph" w:styleId="Subtitle">
    <w:name w:val="Subtitle"/>
    <w:aliases w:val="Figure heading"/>
    <w:basedOn w:val="Normal"/>
    <w:link w:val="SubtitleChar"/>
    <w:uiPriority w:val="11"/>
    <w:qFormat/>
    <w:rsid w:val="00D8244B"/>
    <w:pPr>
      <w:overflowPunct w:val="0"/>
      <w:autoSpaceDE w:val="0"/>
      <w:autoSpaceDN w:val="0"/>
      <w:adjustRightInd w:val="0"/>
      <w:spacing w:after="60"/>
      <w:jc w:val="center"/>
      <w:textAlignment w:val="baseline"/>
      <w:outlineLvl w:val="1"/>
    </w:pPr>
    <w:rPr>
      <w:rFonts w:eastAsiaTheme="majorEastAsia" w:cs="Arial"/>
      <w:b/>
      <w:color w:val="1F497D" w:themeColor="text2"/>
      <w:lang w:eastAsia="en-US"/>
    </w:rPr>
  </w:style>
  <w:style w:type="character" w:customStyle="1" w:styleId="SubtitleChar">
    <w:name w:val="Subtitle Char"/>
    <w:aliases w:val="Figure heading Char"/>
    <w:basedOn w:val="DefaultParagraphFont"/>
    <w:link w:val="Subtitle"/>
    <w:uiPriority w:val="11"/>
    <w:rsid w:val="00D8244B"/>
    <w:rPr>
      <w:rFonts w:ascii="Arial" w:eastAsiaTheme="majorEastAsia" w:hAnsi="Arial" w:cs="Arial"/>
      <w:b/>
      <w:color w:val="1F497D" w:themeColor="text2"/>
      <w:sz w:val="22"/>
      <w:szCs w:val="24"/>
      <w:lang w:eastAsia="en-US"/>
    </w:rPr>
  </w:style>
  <w:style w:type="character" w:styleId="Strong">
    <w:name w:val="Strong"/>
    <w:basedOn w:val="DefaultParagraphFont"/>
    <w:uiPriority w:val="22"/>
    <w:qFormat/>
    <w:rsid w:val="008615F9"/>
    <w:rPr>
      <w:rFonts w:ascii="Arial" w:hAnsi="Arial"/>
      <w:b/>
      <w:bCs/>
    </w:rPr>
  </w:style>
  <w:style w:type="paragraph" w:styleId="NoSpacing">
    <w:name w:val="No Spacing"/>
    <w:uiPriority w:val="1"/>
    <w:qFormat/>
    <w:rsid w:val="00136F9D"/>
    <w:rPr>
      <w:rFonts w:ascii="Arial" w:eastAsia="Calibri" w:hAnsi="Arial"/>
      <w:sz w:val="22"/>
      <w:szCs w:val="22"/>
      <w:lang w:eastAsia="en-US"/>
    </w:rPr>
  </w:style>
  <w:style w:type="paragraph" w:styleId="ListParagraph">
    <w:name w:val="List Paragraph"/>
    <w:aliases w:val="Bullet"/>
    <w:basedOn w:val="Normal"/>
    <w:link w:val="ListParagraphChar"/>
    <w:uiPriority w:val="34"/>
    <w:qFormat/>
    <w:rsid w:val="00AD796C"/>
    <w:pPr>
      <w:numPr>
        <w:numId w:val="41"/>
      </w:numPr>
      <w:overflowPunct w:val="0"/>
      <w:autoSpaceDE w:val="0"/>
      <w:autoSpaceDN w:val="0"/>
      <w:adjustRightInd w:val="0"/>
      <w:textAlignment w:val="baseline"/>
    </w:pPr>
    <w:rPr>
      <w:szCs w:val="20"/>
    </w:rPr>
  </w:style>
  <w:style w:type="character" w:customStyle="1" w:styleId="Heading2Char">
    <w:name w:val="Heading 2 Char"/>
    <w:basedOn w:val="DefaultParagraphFont"/>
    <w:link w:val="Heading2"/>
    <w:rsid w:val="00EE707B"/>
    <w:rPr>
      <w:rFonts w:ascii="Arial" w:eastAsiaTheme="majorEastAsia" w:hAnsi="Arial" w:cstheme="majorBidi"/>
      <w:b/>
      <w:color w:val="1F497D" w:themeColor="text2"/>
      <w:sz w:val="28"/>
      <w:szCs w:val="28"/>
    </w:rPr>
  </w:style>
  <w:style w:type="character" w:customStyle="1" w:styleId="Heading3Char">
    <w:name w:val="Heading 3 Char"/>
    <w:basedOn w:val="DefaultParagraphFont"/>
    <w:link w:val="Heading3"/>
    <w:uiPriority w:val="9"/>
    <w:rsid w:val="00EE707B"/>
    <w:rPr>
      <w:rFonts w:ascii="Arial" w:eastAsiaTheme="majorEastAsia" w:hAnsi="Arial" w:cstheme="majorBidi"/>
      <w:b/>
      <w:color w:val="1F497D" w:themeColor="text2"/>
      <w:sz w:val="24"/>
      <w:lang w:eastAsia="en-US"/>
    </w:rPr>
  </w:style>
  <w:style w:type="character" w:customStyle="1" w:styleId="Heading4Char">
    <w:name w:val="Heading 4 Char"/>
    <w:basedOn w:val="DefaultParagraphFont"/>
    <w:link w:val="Heading4"/>
    <w:uiPriority w:val="9"/>
    <w:rsid w:val="002924A7"/>
    <w:rPr>
      <w:rFonts w:ascii="Arial Bold" w:eastAsiaTheme="majorEastAsia" w:hAnsi="Arial Bold" w:cstheme="majorBidi"/>
      <w:b/>
      <w:color w:val="1F497D" w:themeColor="text2"/>
      <w:spacing w:val="-3"/>
      <w:sz w:val="22"/>
      <w:szCs w:val="22"/>
      <w:lang w:eastAsia="en-US"/>
    </w:rPr>
  </w:style>
  <w:style w:type="character" w:customStyle="1" w:styleId="Heading5Char">
    <w:name w:val="Heading 5 Char"/>
    <w:basedOn w:val="DefaultParagraphFont"/>
    <w:link w:val="Heading5"/>
    <w:rsid w:val="004928F0"/>
    <w:rPr>
      <w:rFonts w:ascii="Arial" w:eastAsiaTheme="majorEastAsia" w:hAnsi="Arial" w:cstheme="majorBidi"/>
      <w:b/>
      <w:bCs/>
      <w:i/>
      <w:iCs/>
      <w:sz w:val="26"/>
      <w:szCs w:val="26"/>
      <w:lang w:eastAsia="en-US"/>
    </w:rPr>
  </w:style>
  <w:style w:type="character" w:customStyle="1" w:styleId="Heading6Char">
    <w:name w:val="Heading 6 Char"/>
    <w:basedOn w:val="DefaultParagraphFont"/>
    <w:link w:val="Heading6"/>
    <w:rsid w:val="00136F9D"/>
    <w:rPr>
      <w:rFonts w:eastAsiaTheme="majorEastAsia" w:cstheme="majorBidi"/>
      <w:b/>
      <w:bCs/>
      <w:sz w:val="22"/>
      <w:szCs w:val="22"/>
      <w:lang w:eastAsia="en-US"/>
    </w:rPr>
  </w:style>
  <w:style w:type="character" w:customStyle="1" w:styleId="Heading7Char">
    <w:name w:val="Heading 7 Char"/>
    <w:basedOn w:val="DefaultParagraphFont"/>
    <w:link w:val="Heading7"/>
    <w:rsid w:val="00136F9D"/>
    <w:rPr>
      <w:rFonts w:eastAsiaTheme="majorEastAsia" w:cstheme="majorBidi"/>
      <w:sz w:val="24"/>
      <w:szCs w:val="24"/>
      <w:lang w:eastAsia="en-US"/>
    </w:rPr>
  </w:style>
  <w:style w:type="character" w:customStyle="1" w:styleId="Heading8Char">
    <w:name w:val="Heading 8 Char"/>
    <w:basedOn w:val="DefaultParagraphFont"/>
    <w:link w:val="Heading8"/>
    <w:rsid w:val="00136F9D"/>
    <w:rPr>
      <w:rFonts w:eastAsiaTheme="majorEastAsia" w:cstheme="majorBidi"/>
      <w:i/>
      <w:iCs/>
      <w:sz w:val="24"/>
      <w:szCs w:val="24"/>
      <w:lang w:eastAsia="en-US"/>
    </w:rPr>
  </w:style>
  <w:style w:type="character" w:customStyle="1" w:styleId="Heading9Char">
    <w:name w:val="Heading 9 Char"/>
    <w:basedOn w:val="DefaultParagraphFont"/>
    <w:link w:val="Heading9"/>
    <w:rsid w:val="00136F9D"/>
    <w:rPr>
      <w:rFonts w:ascii="Arial" w:eastAsiaTheme="majorEastAsia" w:hAnsi="Arial" w:cs="Arial"/>
      <w:sz w:val="22"/>
      <w:szCs w:val="22"/>
      <w:lang w:eastAsia="en-US"/>
    </w:rPr>
  </w:style>
  <w:style w:type="paragraph" w:styleId="TOC1">
    <w:name w:val="toc 1"/>
    <w:basedOn w:val="Normal"/>
    <w:next w:val="Normal"/>
    <w:autoRedefine/>
    <w:uiPriority w:val="39"/>
    <w:qFormat/>
    <w:rsid w:val="00136F9D"/>
    <w:pPr>
      <w:spacing w:before="120"/>
    </w:pPr>
    <w:rPr>
      <w:rFonts w:asciiTheme="minorHAnsi" w:hAnsiTheme="minorHAnsi" w:cstheme="minorHAnsi"/>
      <w:b/>
      <w:bCs/>
      <w:caps/>
      <w:szCs w:val="20"/>
    </w:rPr>
  </w:style>
  <w:style w:type="paragraph" w:styleId="TOC2">
    <w:name w:val="toc 2"/>
    <w:basedOn w:val="Normal"/>
    <w:next w:val="Normal"/>
    <w:autoRedefine/>
    <w:uiPriority w:val="39"/>
    <w:qFormat/>
    <w:rsid w:val="00136F9D"/>
    <w:pPr>
      <w:ind w:left="220"/>
    </w:pPr>
    <w:rPr>
      <w:rFonts w:asciiTheme="minorHAnsi" w:hAnsiTheme="minorHAnsi" w:cstheme="minorHAnsi"/>
      <w:smallCaps/>
      <w:szCs w:val="20"/>
    </w:rPr>
  </w:style>
  <w:style w:type="paragraph" w:styleId="TOC3">
    <w:name w:val="toc 3"/>
    <w:basedOn w:val="Normal"/>
    <w:next w:val="Normal"/>
    <w:autoRedefine/>
    <w:uiPriority w:val="39"/>
    <w:qFormat/>
    <w:rsid w:val="008615F9"/>
    <w:pPr>
      <w:ind w:left="440"/>
    </w:pPr>
    <w:rPr>
      <w:rFonts w:cstheme="minorHAnsi"/>
      <w:i/>
      <w:iCs/>
      <w:szCs w:val="20"/>
    </w:rPr>
  </w:style>
  <w:style w:type="character" w:styleId="Emphasis">
    <w:name w:val="Emphasis"/>
    <w:uiPriority w:val="20"/>
    <w:qFormat/>
    <w:rsid w:val="0054159E"/>
    <w:rPr>
      <w:rFonts w:ascii="Arial" w:hAnsi="Arial" w:cs="Arial"/>
      <w:b w:val="0"/>
      <w:i/>
      <w:szCs w:val="22"/>
    </w:rPr>
  </w:style>
  <w:style w:type="paragraph" w:styleId="TOCHeading">
    <w:name w:val="TOC Heading"/>
    <w:basedOn w:val="Heading1"/>
    <w:next w:val="Normal"/>
    <w:uiPriority w:val="39"/>
    <w:semiHidden/>
    <w:unhideWhenUsed/>
    <w:qFormat/>
    <w:rsid w:val="00136F9D"/>
    <w:pPr>
      <w:keepLines/>
      <w:spacing w:before="480" w:after="0" w:line="276" w:lineRule="auto"/>
      <w:outlineLvl w:val="9"/>
    </w:pPr>
    <w:rPr>
      <w:rFonts w:asciiTheme="majorHAnsi" w:hAnsiTheme="majorHAnsi" w:cstheme="majorBidi"/>
      <w:bCs/>
      <w:caps/>
      <w:color w:val="365F91" w:themeColor="accent1" w:themeShade="BF"/>
      <w:kern w:val="0"/>
      <w:szCs w:val="28"/>
      <w:lang w:val="en-US" w:eastAsia="en-US"/>
    </w:rPr>
  </w:style>
  <w:style w:type="paragraph" w:styleId="Header">
    <w:name w:val="header"/>
    <w:basedOn w:val="Normal"/>
    <w:link w:val="HeaderChar"/>
    <w:uiPriority w:val="99"/>
    <w:rsid w:val="0054159E"/>
    <w:pPr>
      <w:tabs>
        <w:tab w:val="center" w:pos="4513"/>
        <w:tab w:val="right" w:pos="9026"/>
      </w:tabs>
    </w:pPr>
  </w:style>
  <w:style w:type="character" w:customStyle="1" w:styleId="HeaderChar">
    <w:name w:val="Header Char"/>
    <w:basedOn w:val="DefaultParagraphFont"/>
    <w:link w:val="Header"/>
    <w:uiPriority w:val="99"/>
    <w:rsid w:val="0054159E"/>
    <w:rPr>
      <w:rFonts w:ascii="Arial" w:hAnsi="Arial"/>
      <w:sz w:val="22"/>
      <w:szCs w:val="24"/>
    </w:rPr>
  </w:style>
  <w:style w:type="paragraph" w:styleId="Footer">
    <w:name w:val="footer"/>
    <w:basedOn w:val="Normal"/>
    <w:link w:val="FooterChar"/>
    <w:uiPriority w:val="99"/>
    <w:rsid w:val="0054159E"/>
    <w:pPr>
      <w:tabs>
        <w:tab w:val="center" w:pos="4513"/>
        <w:tab w:val="right" w:pos="9026"/>
      </w:tabs>
    </w:pPr>
  </w:style>
  <w:style w:type="character" w:customStyle="1" w:styleId="FooterChar">
    <w:name w:val="Footer Char"/>
    <w:basedOn w:val="DefaultParagraphFont"/>
    <w:link w:val="Footer"/>
    <w:uiPriority w:val="99"/>
    <w:rsid w:val="0054159E"/>
    <w:rPr>
      <w:rFonts w:ascii="Arial" w:hAnsi="Arial"/>
      <w:sz w:val="22"/>
      <w:szCs w:val="24"/>
    </w:rPr>
  </w:style>
  <w:style w:type="paragraph" w:styleId="BalloonText">
    <w:name w:val="Balloon Text"/>
    <w:basedOn w:val="Normal"/>
    <w:link w:val="BalloonTextChar"/>
    <w:uiPriority w:val="99"/>
    <w:rsid w:val="0054159E"/>
    <w:rPr>
      <w:rFonts w:ascii="Tahoma" w:hAnsi="Tahoma" w:cs="Tahoma"/>
      <w:sz w:val="16"/>
      <w:szCs w:val="16"/>
    </w:rPr>
  </w:style>
  <w:style w:type="character" w:customStyle="1" w:styleId="BalloonTextChar">
    <w:name w:val="Balloon Text Char"/>
    <w:basedOn w:val="DefaultParagraphFont"/>
    <w:link w:val="BalloonText"/>
    <w:uiPriority w:val="99"/>
    <w:rsid w:val="0054159E"/>
    <w:rPr>
      <w:rFonts w:ascii="Tahoma" w:hAnsi="Tahoma" w:cs="Tahoma"/>
      <w:sz w:val="16"/>
      <w:szCs w:val="16"/>
    </w:rPr>
  </w:style>
  <w:style w:type="character" w:styleId="Hyperlink">
    <w:name w:val="Hyperlink"/>
    <w:basedOn w:val="DefaultParagraphFont"/>
    <w:uiPriority w:val="99"/>
    <w:rsid w:val="00B304C8"/>
    <w:rPr>
      <w:color w:val="0000FF" w:themeColor="hyperlink"/>
      <w:u w:val="single"/>
    </w:rPr>
  </w:style>
  <w:style w:type="paragraph" w:customStyle="1" w:styleId="Link">
    <w:name w:val="Link"/>
    <w:basedOn w:val="Normal"/>
    <w:link w:val="LinkChar"/>
    <w:qFormat/>
    <w:rsid w:val="00B304C8"/>
  </w:style>
  <w:style w:type="character" w:customStyle="1" w:styleId="LinkChar">
    <w:name w:val="Link Char"/>
    <w:basedOn w:val="DefaultParagraphFont"/>
    <w:link w:val="Link"/>
    <w:rsid w:val="00B304C8"/>
    <w:rPr>
      <w:rFonts w:ascii="Arial" w:hAnsi="Arial"/>
      <w:szCs w:val="24"/>
    </w:rPr>
  </w:style>
  <w:style w:type="character" w:styleId="SubtleEmphasis">
    <w:name w:val="Subtle Emphasis"/>
    <w:basedOn w:val="DefaultParagraphFont"/>
    <w:uiPriority w:val="19"/>
    <w:qFormat/>
    <w:rsid w:val="008615F9"/>
    <w:rPr>
      <w:rFonts w:ascii="Arial" w:hAnsi="Arial"/>
      <w:i/>
      <w:iCs/>
      <w:color w:val="808080" w:themeColor="text1" w:themeTint="7F"/>
    </w:rPr>
  </w:style>
  <w:style w:type="character" w:styleId="IntenseEmphasis">
    <w:name w:val="Intense Emphasis"/>
    <w:basedOn w:val="DefaultParagraphFont"/>
    <w:uiPriority w:val="21"/>
    <w:qFormat/>
    <w:rsid w:val="004928F0"/>
    <w:rPr>
      <w:rFonts w:ascii="Arial" w:hAnsi="Arial"/>
      <w:b/>
      <w:bCs/>
      <w:i/>
      <w:iCs/>
      <w:color w:val="C00000"/>
    </w:rPr>
  </w:style>
  <w:style w:type="character" w:styleId="SubtleReference">
    <w:name w:val="Subtle Reference"/>
    <w:basedOn w:val="DefaultParagraphFont"/>
    <w:uiPriority w:val="31"/>
    <w:qFormat/>
    <w:rsid w:val="008615F9"/>
    <w:rPr>
      <w:rFonts w:ascii="Arial" w:hAnsi="Arial"/>
      <w:smallCaps/>
      <w:color w:val="C0504D" w:themeColor="accent2"/>
      <w:u w:val="single"/>
    </w:rPr>
  </w:style>
  <w:style w:type="character" w:styleId="IntenseReference">
    <w:name w:val="Intense Reference"/>
    <w:basedOn w:val="DefaultParagraphFont"/>
    <w:uiPriority w:val="32"/>
    <w:qFormat/>
    <w:rsid w:val="008615F9"/>
    <w:rPr>
      <w:rFonts w:ascii="Arial" w:hAnsi="Arial"/>
      <w:b/>
      <w:bCs/>
      <w:smallCaps/>
      <w:color w:val="C0504D" w:themeColor="accent2"/>
      <w:spacing w:val="5"/>
      <w:u w:val="single"/>
    </w:rPr>
  </w:style>
  <w:style w:type="table" w:styleId="TableGrid">
    <w:name w:val="Table Grid"/>
    <w:basedOn w:val="TableNormal"/>
    <w:rsid w:val="00C15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Char"/>
    <w:basedOn w:val="DefaultParagraphFont"/>
    <w:link w:val="ListParagraph"/>
    <w:uiPriority w:val="34"/>
    <w:rsid w:val="00AD796C"/>
    <w:rPr>
      <w:rFonts w:ascii="Arial" w:hAnsi="Arial"/>
      <w:sz w:val="22"/>
    </w:rPr>
  </w:style>
  <w:style w:type="character" w:customStyle="1" w:styleId="PersonalReplyStyle">
    <w:name w:val="Personal Reply Style"/>
    <w:basedOn w:val="DefaultParagraphFont"/>
    <w:rsid w:val="006104F8"/>
    <w:rPr>
      <w:rFonts w:ascii="Arial" w:hAnsi="Arial" w:cs="Arial"/>
      <w:color w:val="auto"/>
      <w:sz w:val="20"/>
    </w:rPr>
  </w:style>
  <w:style w:type="paragraph" w:customStyle="1" w:styleId="Numbers">
    <w:name w:val="Numbers"/>
    <w:basedOn w:val="ListParagraph"/>
    <w:link w:val="NumbersChar"/>
    <w:qFormat/>
    <w:rsid w:val="0055519E"/>
    <w:pPr>
      <w:numPr>
        <w:numId w:val="9"/>
      </w:numPr>
      <w:spacing w:before="120"/>
      <w:ind w:hanging="720"/>
    </w:pPr>
    <w:rPr>
      <w:szCs w:val="22"/>
    </w:rPr>
  </w:style>
  <w:style w:type="character" w:customStyle="1" w:styleId="NumbersChar">
    <w:name w:val="Numbers Char"/>
    <w:basedOn w:val="ListParagraphChar"/>
    <w:link w:val="Numbers"/>
    <w:rsid w:val="0055519E"/>
    <w:rPr>
      <w:rFonts w:ascii="Arial" w:hAnsi="Arial"/>
      <w:sz w:val="22"/>
      <w:szCs w:val="22"/>
    </w:rPr>
  </w:style>
  <w:style w:type="character" w:styleId="CommentReference">
    <w:name w:val="annotation reference"/>
    <w:basedOn w:val="DefaultParagraphFont"/>
    <w:uiPriority w:val="99"/>
    <w:rsid w:val="00476567"/>
    <w:rPr>
      <w:sz w:val="16"/>
      <w:szCs w:val="16"/>
    </w:rPr>
  </w:style>
  <w:style w:type="paragraph" w:styleId="CommentText">
    <w:name w:val="annotation text"/>
    <w:basedOn w:val="Normal"/>
    <w:link w:val="CommentTextChar"/>
    <w:uiPriority w:val="99"/>
    <w:rsid w:val="00476567"/>
    <w:rPr>
      <w:szCs w:val="20"/>
    </w:rPr>
  </w:style>
  <w:style w:type="character" w:customStyle="1" w:styleId="CommentTextChar">
    <w:name w:val="Comment Text Char"/>
    <w:basedOn w:val="DefaultParagraphFont"/>
    <w:link w:val="CommentText"/>
    <w:uiPriority w:val="99"/>
    <w:rsid w:val="00476567"/>
    <w:rPr>
      <w:rFonts w:ascii="Arial" w:hAnsi="Arial"/>
    </w:rPr>
  </w:style>
  <w:style w:type="paragraph" w:styleId="CommentSubject">
    <w:name w:val="annotation subject"/>
    <w:basedOn w:val="CommentText"/>
    <w:next w:val="CommentText"/>
    <w:link w:val="CommentSubjectChar"/>
    <w:uiPriority w:val="99"/>
    <w:rsid w:val="00476567"/>
    <w:rPr>
      <w:b/>
      <w:bCs/>
    </w:rPr>
  </w:style>
  <w:style w:type="character" w:customStyle="1" w:styleId="CommentSubjectChar">
    <w:name w:val="Comment Subject Char"/>
    <w:basedOn w:val="CommentTextChar"/>
    <w:link w:val="CommentSubject"/>
    <w:uiPriority w:val="99"/>
    <w:rsid w:val="00476567"/>
    <w:rPr>
      <w:rFonts w:ascii="Arial" w:hAnsi="Arial"/>
      <w:b/>
      <w:bCs/>
    </w:rPr>
  </w:style>
  <w:style w:type="paragraph" w:styleId="Revision">
    <w:name w:val="Revision"/>
    <w:hidden/>
    <w:uiPriority w:val="99"/>
    <w:semiHidden/>
    <w:rsid w:val="0055519E"/>
    <w:rPr>
      <w:rFonts w:ascii="Arial" w:hAnsi="Arial"/>
      <w:szCs w:val="24"/>
    </w:rPr>
  </w:style>
  <w:style w:type="character" w:customStyle="1" w:styleId="Level2subbulletChar">
    <w:name w:val="Level 2 sub bullet Char"/>
    <w:basedOn w:val="ListParagraphChar"/>
    <w:link w:val="Level2subbullet"/>
    <w:locked/>
    <w:rsid w:val="003C147C"/>
    <w:rPr>
      <w:rFonts w:ascii="Arial" w:hAnsi="Arial" w:cs="Arial"/>
      <w:sz w:val="22"/>
      <w:szCs w:val="22"/>
      <w:lang w:eastAsia="en-US"/>
    </w:rPr>
  </w:style>
  <w:style w:type="paragraph" w:customStyle="1" w:styleId="Level2subbullet">
    <w:name w:val="Level 2 sub bullet"/>
    <w:basedOn w:val="ListParagraph"/>
    <w:link w:val="Level2subbulletChar"/>
    <w:qFormat/>
    <w:rsid w:val="003C147C"/>
    <w:pPr>
      <w:overflowPunct/>
      <w:adjustRightInd/>
      <w:spacing w:before="120"/>
      <w:ind w:left="1440"/>
      <w:textAlignment w:val="auto"/>
    </w:pPr>
    <w:rPr>
      <w:rFonts w:cs="Arial"/>
      <w:szCs w:val="22"/>
      <w:lang w:eastAsia="en-US"/>
    </w:rPr>
  </w:style>
  <w:style w:type="paragraph" w:customStyle="1" w:styleId="numberedpara">
    <w:name w:val="numbered para"/>
    <w:basedOn w:val="Normal"/>
    <w:rsid w:val="00CD4234"/>
    <w:pPr>
      <w:keepLines/>
    </w:pPr>
    <w:rPr>
      <w:rFonts w:ascii="Calibri" w:hAnsi="Calibri" w:cs="Arial"/>
      <w:szCs w:val="16"/>
      <w:lang w:eastAsia="en-US"/>
    </w:rPr>
  </w:style>
  <w:style w:type="numbering" w:customStyle="1" w:styleId="NoList1">
    <w:name w:val="No List1"/>
    <w:next w:val="NoList"/>
    <w:uiPriority w:val="99"/>
    <w:semiHidden/>
    <w:unhideWhenUsed/>
    <w:rsid w:val="00A65E70"/>
  </w:style>
  <w:style w:type="paragraph" w:customStyle="1" w:styleId="EndNoteBibliographyTitle">
    <w:name w:val="EndNote Bibliography Title"/>
    <w:basedOn w:val="Normal"/>
    <w:link w:val="EndNoteBibliographyTitleChar"/>
    <w:rsid w:val="00A65E70"/>
    <w:pPr>
      <w:spacing w:line="259" w:lineRule="auto"/>
      <w:jc w:val="center"/>
    </w:pPr>
    <w:rPr>
      <w:rFonts w:ascii="Garamond" w:eastAsia="Calibri" w:hAnsi="Garamond"/>
      <w:noProof/>
      <w:szCs w:val="22"/>
      <w:lang w:val="en-US" w:eastAsia="en-US"/>
    </w:rPr>
  </w:style>
  <w:style w:type="character" w:customStyle="1" w:styleId="EndNoteBibliographyTitleChar">
    <w:name w:val="EndNote Bibliography Title Char"/>
    <w:basedOn w:val="DefaultParagraphFont"/>
    <w:link w:val="EndNoteBibliographyTitle"/>
    <w:rsid w:val="00A65E70"/>
    <w:rPr>
      <w:rFonts w:ascii="Garamond" w:eastAsia="Calibri" w:hAnsi="Garamond"/>
      <w:noProof/>
      <w:sz w:val="22"/>
      <w:szCs w:val="22"/>
      <w:lang w:val="en-US" w:eastAsia="en-US"/>
    </w:rPr>
  </w:style>
  <w:style w:type="paragraph" w:customStyle="1" w:styleId="EndNoteBibliography">
    <w:name w:val="EndNote Bibliography"/>
    <w:basedOn w:val="Normal"/>
    <w:link w:val="EndNoteBibliographyChar"/>
    <w:rsid w:val="00A65E70"/>
    <w:pPr>
      <w:spacing w:after="160"/>
    </w:pPr>
    <w:rPr>
      <w:rFonts w:ascii="Garamond" w:eastAsia="Calibri" w:hAnsi="Garamond"/>
      <w:noProof/>
      <w:szCs w:val="22"/>
      <w:lang w:val="en-US" w:eastAsia="en-US"/>
    </w:rPr>
  </w:style>
  <w:style w:type="character" w:customStyle="1" w:styleId="EndNoteBibliographyChar">
    <w:name w:val="EndNote Bibliography Char"/>
    <w:basedOn w:val="DefaultParagraphFont"/>
    <w:link w:val="EndNoteBibliography"/>
    <w:rsid w:val="00A65E70"/>
    <w:rPr>
      <w:rFonts w:ascii="Garamond" w:eastAsia="Calibri" w:hAnsi="Garamond"/>
      <w:noProof/>
      <w:sz w:val="22"/>
      <w:szCs w:val="22"/>
      <w:lang w:val="en-US" w:eastAsia="en-US"/>
    </w:rPr>
  </w:style>
  <w:style w:type="paragraph" w:customStyle="1" w:styleId="Style1">
    <w:name w:val="Style1"/>
    <w:basedOn w:val="Normal"/>
    <w:link w:val="Style1Char"/>
    <w:qFormat/>
    <w:rsid w:val="00A65E70"/>
    <w:pPr>
      <w:spacing w:after="160" w:line="259" w:lineRule="auto"/>
    </w:pPr>
    <w:rPr>
      <w:rFonts w:ascii="Adobe Garamond Pro" w:eastAsia="Calibri" w:hAnsi="Adobe Garamond Pro"/>
      <w:sz w:val="24"/>
      <w:szCs w:val="22"/>
      <w:lang w:eastAsia="en-US"/>
    </w:rPr>
  </w:style>
  <w:style w:type="character" w:customStyle="1" w:styleId="Style1Char">
    <w:name w:val="Style1 Char"/>
    <w:basedOn w:val="DefaultParagraphFont"/>
    <w:link w:val="Style1"/>
    <w:rsid w:val="00A65E70"/>
    <w:rPr>
      <w:rFonts w:ascii="Adobe Garamond Pro" w:eastAsia="Calibri" w:hAnsi="Adobe Garamond Pro"/>
      <w:sz w:val="24"/>
      <w:szCs w:val="22"/>
      <w:lang w:eastAsia="en-US"/>
    </w:rPr>
  </w:style>
  <w:style w:type="character" w:styleId="PlaceholderText">
    <w:name w:val="Placeholder Text"/>
    <w:basedOn w:val="DefaultParagraphFont"/>
    <w:uiPriority w:val="99"/>
    <w:semiHidden/>
    <w:rsid w:val="00A65E70"/>
    <w:rPr>
      <w:color w:val="808080"/>
    </w:rPr>
  </w:style>
  <w:style w:type="paragraph" w:styleId="TableofFigures">
    <w:name w:val="table of figures"/>
    <w:basedOn w:val="Normal"/>
    <w:next w:val="Normal"/>
    <w:uiPriority w:val="99"/>
    <w:unhideWhenUsed/>
    <w:rsid w:val="00A65E70"/>
    <w:pPr>
      <w:spacing w:line="259" w:lineRule="auto"/>
    </w:pPr>
    <w:rPr>
      <w:rFonts w:ascii="Adobe Garamond Pro" w:eastAsia="Calibri" w:hAnsi="Adobe Garamond Pro"/>
      <w:sz w:val="24"/>
      <w:szCs w:val="22"/>
      <w:lang w:eastAsia="en-US"/>
    </w:rPr>
  </w:style>
  <w:style w:type="table" w:customStyle="1" w:styleId="TableGrid1">
    <w:name w:val="Table Grid1"/>
    <w:basedOn w:val="TableNormal"/>
    <w:next w:val="TableGrid"/>
    <w:uiPriority w:val="59"/>
    <w:rsid w:val="00A65E7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65E70"/>
    <w:rPr>
      <w:rFonts w:ascii="Times New Roman" w:eastAsia="Calibri" w:hAnsi="Times New Roman"/>
      <w:sz w:val="24"/>
    </w:rPr>
  </w:style>
  <w:style w:type="paragraph" w:customStyle="1" w:styleId="SWA-FOOTER">
    <w:name w:val="SWA - FOOTER"/>
    <w:basedOn w:val="Normal"/>
    <w:qFormat/>
    <w:rsid w:val="00F82D15"/>
    <w:pPr>
      <w:tabs>
        <w:tab w:val="left" w:pos="425"/>
        <w:tab w:val="right" w:pos="9072"/>
      </w:tabs>
      <w:ind w:left="425" w:hanging="425"/>
      <w:contextualSpacing/>
    </w:pPr>
    <w:rPr>
      <w:rFonts w:eastAsiaTheme="minorHAnsi" w:cstheme="minorBidi"/>
      <w:sz w:val="18"/>
      <w:lang w:eastAsia="en-US"/>
    </w:rPr>
  </w:style>
  <w:style w:type="paragraph" w:customStyle="1" w:styleId="Style5">
    <w:name w:val="Style5"/>
    <w:basedOn w:val="Normal"/>
    <w:link w:val="Style5Char"/>
    <w:qFormat/>
    <w:rsid w:val="0033029E"/>
    <w:pPr>
      <w:suppressAutoHyphens/>
      <w:autoSpaceDE w:val="0"/>
      <w:autoSpaceDN w:val="0"/>
      <w:adjustRightInd w:val="0"/>
      <w:spacing w:before="113" w:line="288" w:lineRule="auto"/>
      <w:ind w:left="284" w:right="-612" w:hanging="851"/>
      <w:textAlignment w:val="center"/>
      <w:outlineLvl w:val="3"/>
    </w:pPr>
    <w:rPr>
      <w:rFonts w:eastAsia="Calibri" w:cs="Arial"/>
      <w:b/>
      <w:bCs/>
      <w:color w:val="00456B"/>
      <w:szCs w:val="22"/>
      <w:lang w:val="en-GB" w:eastAsia="en-US"/>
    </w:rPr>
  </w:style>
  <w:style w:type="paragraph" w:customStyle="1" w:styleId="Style6">
    <w:name w:val="Style6"/>
    <w:basedOn w:val="Normal"/>
    <w:link w:val="Style6Char"/>
    <w:qFormat/>
    <w:rsid w:val="0033029E"/>
    <w:pPr>
      <w:numPr>
        <w:numId w:val="35"/>
      </w:numPr>
      <w:suppressAutoHyphens/>
      <w:autoSpaceDE w:val="0"/>
      <w:autoSpaceDN w:val="0"/>
      <w:adjustRightInd w:val="0"/>
      <w:spacing w:after="57" w:line="264" w:lineRule="atLeast"/>
      <w:ind w:left="1843" w:right="-613"/>
      <w:textAlignment w:val="center"/>
    </w:pPr>
    <w:rPr>
      <w:rFonts w:eastAsia="Calibri" w:cs="Arial"/>
      <w:color w:val="000000"/>
      <w:szCs w:val="22"/>
      <w:lang w:val="en-US" w:eastAsia="en-US"/>
    </w:rPr>
  </w:style>
  <w:style w:type="character" w:customStyle="1" w:styleId="Style5Char">
    <w:name w:val="Style5 Char"/>
    <w:basedOn w:val="DefaultParagraphFont"/>
    <w:link w:val="Style5"/>
    <w:rsid w:val="0033029E"/>
    <w:rPr>
      <w:rFonts w:ascii="Arial" w:eastAsia="Calibri" w:hAnsi="Arial" w:cs="Arial"/>
      <w:b/>
      <w:bCs/>
      <w:color w:val="00456B"/>
      <w:sz w:val="22"/>
      <w:szCs w:val="22"/>
      <w:lang w:val="en-GB" w:eastAsia="en-US"/>
    </w:rPr>
  </w:style>
  <w:style w:type="character" w:customStyle="1" w:styleId="Style6Char">
    <w:name w:val="Style6 Char"/>
    <w:basedOn w:val="DefaultParagraphFont"/>
    <w:link w:val="Style6"/>
    <w:rsid w:val="0033029E"/>
    <w:rPr>
      <w:rFonts w:ascii="Arial" w:eastAsia="Calibri" w:hAnsi="Arial" w:cs="Arial"/>
      <w:color w:val="000000"/>
      <w:sz w:val="22"/>
      <w:szCs w:val="22"/>
      <w:lang w:val="en-US" w:eastAsia="en-US"/>
    </w:rPr>
  </w:style>
  <w:style w:type="paragraph" w:styleId="FootnoteText">
    <w:name w:val="footnote text"/>
    <w:basedOn w:val="Normal"/>
    <w:link w:val="FootnoteTextChar"/>
    <w:semiHidden/>
    <w:unhideWhenUsed/>
    <w:rsid w:val="00637F37"/>
    <w:rPr>
      <w:sz w:val="20"/>
      <w:szCs w:val="20"/>
    </w:rPr>
  </w:style>
  <w:style w:type="character" w:customStyle="1" w:styleId="FootnoteTextChar">
    <w:name w:val="Footnote Text Char"/>
    <w:basedOn w:val="DefaultParagraphFont"/>
    <w:link w:val="FootnoteText"/>
    <w:semiHidden/>
    <w:rsid w:val="00637F37"/>
    <w:rPr>
      <w:rFonts w:ascii="Arial" w:hAnsi="Arial"/>
    </w:rPr>
  </w:style>
  <w:style w:type="character" w:styleId="FootnoteReference">
    <w:name w:val="footnote reference"/>
    <w:basedOn w:val="DefaultParagraphFont"/>
    <w:semiHidden/>
    <w:unhideWhenUsed/>
    <w:rsid w:val="00637F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321">
      <w:bodyDiv w:val="1"/>
      <w:marLeft w:val="0"/>
      <w:marRight w:val="0"/>
      <w:marTop w:val="0"/>
      <w:marBottom w:val="0"/>
      <w:divBdr>
        <w:top w:val="none" w:sz="0" w:space="0" w:color="auto"/>
        <w:left w:val="none" w:sz="0" w:space="0" w:color="auto"/>
        <w:bottom w:val="none" w:sz="0" w:space="0" w:color="auto"/>
        <w:right w:val="none" w:sz="0" w:space="0" w:color="auto"/>
      </w:divBdr>
    </w:div>
    <w:div w:id="156043637">
      <w:bodyDiv w:val="1"/>
      <w:marLeft w:val="0"/>
      <w:marRight w:val="0"/>
      <w:marTop w:val="0"/>
      <w:marBottom w:val="0"/>
      <w:divBdr>
        <w:top w:val="none" w:sz="0" w:space="0" w:color="auto"/>
        <w:left w:val="none" w:sz="0" w:space="0" w:color="auto"/>
        <w:bottom w:val="none" w:sz="0" w:space="0" w:color="auto"/>
        <w:right w:val="none" w:sz="0" w:space="0" w:color="auto"/>
      </w:divBdr>
    </w:div>
    <w:div w:id="237912107">
      <w:bodyDiv w:val="1"/>
      <w:marLeft w:val="0"/>
      <w:marRight w:val="0"/>
      <w:marTop w:val="0"/>
      <w:marBottom w:val="0"/>
      <w:divBdr>
        <w:top w:val="none" w:sz="0" w:space="0" w:color="auto"/>
        <w:left w:val="none" w:sz="0" w:space="0" w:color="auto"/>
        <w:bottom w:val="none" w:sz="0" w:space="0" w:color="auto"/>
        <w:right w:val="none" w:sz="0" w:space="0" w:color="auto"/>
      </w:divBdr>
    </w:div>
    <w:div w:id="339503032">
      <w:bodyDiv w:val="1"/>
      <w:marLeft w:val="0"/>
      <w:marRight w:val="0"/>
      <w:marTop w:val="0"/>
      <w:marBottom w:val="0"/>
      <w:divBdr>
        <w:top w:val="none" w:sz="0" w:space="0" w:color="auto"/>
        <w:left w:val="none" w:sz="0" w:space="0" w:color="auto"/>
        <w:bottom w:val="none" w:sz="0" w:space="0" w:color="auto"/>
        <w:right w:val="none" w:sz="0" w:space="0" w:color="auto"/>
      </w:divBdr>
    </w:div>
    <w:div w:id="370544060">
      <w:bodyDiv w:val="1"/>
      <w:marLeft w:val="0"/>
      <w:marRight w:val="0"/>
      <w:marTop w:val="0"/>
      <w:marBottom w:val="0"/>
      <w:divBdr>
        <w:top w:val="none" w:sz="0" w:space="0" w:color="auto"/>
        <w:left w:val="none" w:sz="0" w:space="0" w:color="auto"/>
        <w:bottom w:val="none" w:sz="0" w:space="0" w:color="auto"/>
        <w:right w:val="none" w:sz="0" w:space="0" w:color="auto"/>
      </w:divBdr>
    </w:div>
    <w:div w:id="425812730">
      <w:bodyDiv w:val="1"/>
      <w:marLeft w:val="0"/>
      <w:marRight w:val="0"/>
      <w:marTop w:val="0"/>
      <w:marBottom w:val="0"/>
      <w:divBdr>
        <w:top w:val="none" w:sz="0" w:space="0" w:color="auto"/>
        <w:left w:val="none" w:sz="0" w:space="0" w:color="auto"/>
        <w:bottom w:val="none" w:sz="0" w:space="0" w:color="auto"/>
        <w:right w:val="none" w:sz="0" w:space="0" w:color="auto"/>
      </w:divBdr>
    </w:div>
    <w:div w:id="527261894">
      <w:bodyDiv w:val="1"/>
      <w:marLeft w:val="0"/>
      <w:marRight w:val="0"/>
      <w:marTop w:val="0"/>
      <w:marBottom w:val="0"/>
      <w:divBdr>
        <w:top w:val="none" w:sz="0" w:space="0" w:color="auto"/>
        <w:left w:val="none" w:sz="0" w:space="0" w:color="auto"/>
        <w:bottom w:val="none" w:sz="0" w:space="0" w:color="auto"/>
        <w:right w:val="none" w:sz="0" w:space="0" w:color="auto"/>
      </w:divBdr>
    </w:div>
    <w:div w:id="732117486">
      <w:bodyDiv w:val="1"/>
      <w:marLeft w:val="0"/>
      <w:marRight w:val="0"/>
      <w:marTop w:val="0"/>
      <w:marBottom w:val="0"/>
      <w:divBdr>
        <w:top w:val="none" w:sz="0" w:space="0" w:color="auto"/>
        <w:left w:val="none" w:sz="0" w:space="0" w:color="auto"/>
        <w:bottom w:val="none" w:sz="0" w:space="0" w:color="auto"/>
        <w:right w:val="none" w:sz="0" w:space="0" w:color="auto"/>
      </w:divBdr>
    </w:div>
    <w:div w:id="1216770679">
      <w:bodyDiv w:val="1"/>
      <w:marLeft w:val="0"/>
      <w:marRight w:val="0"/>
      <w:marTop w:val="0"/>
      <w:marBottom w:val="0"/>
      <w:divBdr>
        <w:top w:val="none" w:sz="0" w:space="0" w:color="auto"/>
        <w:left w:val="none" w:sz="0" w:space="0" w:color="auto"/>
        <w:bottom w:val="none" w:sz="0" w:space="0" w:color="auto"/>
        <w:right w:val="none" w:sz="0" w:space="0" w:color="auto"/>
      </w:divBdr>
    </w:div>
    <w:div w:id="1435705373">
      <w:bodyDiv w:val="1"/>
      <w:marLeft w:val="0"/>
      <w:marRight w:val="0"/>
      <w:marTop w:val="0"/>
      <w:marBottom w:val="0"/>
      <w:divBdr>
        <w:top w:val="none" w:sz="0" w:space="0" w:color="auto"/>
        <w:left w:val="none" w:sz="0" w:space="0" w:color="auto"/>
        <w:bottom w:val="none" w:sz="0" w:space="0" w:color="auto"/>
        <w:right w:val="none" w:sz="0" w:space="0" w:color="auto"/>
      </w:divBdr>
    </w:div>
    <w:div w:id="1462457012">
      <w:bodyDiv w:val="1"/>
      <w:marLeft w:val="0"/>
      <w:marRight w:val="0"/>
      <w:marTop w:val="0"/>
      <w:marBottom w:val="0"/>
      <w:divBdr>
        <w:top w:val="none" w:sz="0" w:space="0" w:color="auto"/>
        <w:left w:val="none" w:sz="0" w:space="0" w:color="auto"/>
        <w:bottom w:val="none" w:sz="0" w:space="0" w:color="auto"/>
        <w:right w:val="none" w:sz="0" w:space="0" w:color="auto"/>
      </w:divBdr>
    </w:div>
    <w:div w:id="1566179451">
      <w:bodyDiv w:val="1"/>
      <w:marLeft w:val="0"/>
      <w:marRight w:val="0"/>
      <w:marTop w:val="0"/>
      <w:marBottom w:val="0"/>
      <w:divBdr>
        <w:top w:val="none" w:sz="0" w:space="0" w:color="auto"/>
        <w:left w:val="none" w:sz="0" w:space="0" w:color="auto"/>
        <w:bottom w:val="none" w:sz="0" w:space="0" w:color="auto"/>
        <w:right w:val="none" w:sz="0" w:space="0" w:color="auto"/>
      </w:divBdr>
    </w:div>
    <w:div w:id="178542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eativecommons.org/licenses/by/3.0/au/deed.en"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maureen.dollard@unisa.edu.a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opyrightrequests@swa.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1A919-1619-455C-A982-104AC9E86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1DEB9DA6.dotm</Template>
  <TotalTime>0</TotalTime>
  <Pages>39</Pages>
  <Words>13087</Words>
  <Characters>76966</Characters>
  <Application>Microsoft Office Word</Application>
  <DocSecurity>4</DocSecurity>
  <Lines>641</Lines>
  <Paragraphs>179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Kimber</dc:creator>
  <cp:lastModifiedBy>Lyndall Philbey</cp:lastModifiedBy>
  <cp:revision>2</cp:revision>
  <cp:lastPrinted>2016-11-10T05:47:00Z</cp:lastPrinted>
  <dcterms:created xsi:type="dcterms:W3CDTF">2016-11-21T22:19:00Z</dcterms:created>
  <dcterms:modified xsi:type="dcterms:W3CDTF">2016-11-21T22:19:00Z</dcterms:modified>
</cp:coreProperties>
</file>