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67AF0" w14:textId="5C18836D" w:rsidR="00FC41C2" w:rsidRPr="00B24B91" w:rsidRDefault="00B24B91" w:rsidP="00B24B91">
      <w:pPr>
        <w:pStyle w:val="Heading1"/>
      </w:pPr>
      <w:r w:rsidRPr="00B24B91">
        <w:t>THE HEALTH AND SAFETY DUTY OF AN OFFICER</w:t>
      </w:r>
    </w:p>
    <w:p w14:paraId="467F1A77" w14:textId="77777777" w:rsidR="0019566F" w:rsidRPr="0019566F" w:rsidRDefault="0019566F" w:rsidP="0019566F"/>
    <w:p w14:paraId="7ADC21A1" w14:textId="38BEDA6A" w:rsidR="00F2304A" w:rsidRPr="00FC5B96" w:rsidRDefault="00596468" w:rsidP="00F2304A">
      <w:pPr>
        <w:rPr>
          <w:rFonts w:cs="Arial"/>
          <w:szCs w:val="10"/>
        </w:rPr>
      </w:pPr>
      <w:r w:rsidRPr="00FC5B96">
        <w:rPr>
          <w:rFonts w:cs="Arial"/>
        </w:rPr>
        <w:t xml:space="preserve">Section 27 </w:t>
      </w:r>
      <w:r w:rsidRPr="00FC5B96">
        <w:rPr>
          <w:rFonts w:cs="Arial"/>
          <w:szCs w:val="10"/>
        </w:rPr>
        <w:t>of the model Work Health and Safety (WHS) Act</w:t>
      </w:r>
      <w:r w:rsidRPr="00FC5B96">
        <w:rPr>
          <w:rFonts w:cs="Arial"/>
        </w:rPr>
        <w:t xml:space="preserve"> places a duty on an officer of a person conducting a business or undertaking (PCBU) to exercise due diligence to ensure that the PCBU complies with their duties or obligations under the model WHS Act. </w:t>
      </w:r>
      <w:r w:rsidRPr="00FC5B96">
        <w:rPr>
          <w:rFonts w:cs="Arial"/>
          <w:szCs w:val="10"/>
        </w:rPr>
        <w:t>This document</w:t>
      </w:r>
      <w:r w:rsidR="002444F0" w:rsidRPr="00FC5B96">
        <w:rPr>
          <w:rFonts w:cs="Arial"/>
          <w:szCs w:val="10"/>
        </w:rPr>
        <w:t xml:space="preserve"> set</w:t>
      </w:r>
      <w:r w:rsidR="00DB4737" w:rsidRPr="00FC5B96">
        <w:rPr>
          <w:rFonts w:cs="Arial"/>
          <w:szCs w:val="10"/>
        </w:rPr>
        <w:t>s</w:t>
      </w:r>
      <w:r w:rsidR="002444F0" w:rsidRPr="00FC5B96">
        <w:rPr>
          <w:rFonts w:cs="Arial"/>
          <w:szCs w:val="10"/>
        </w:rPr>
        <w:t xml:space="preserve"> out who </w:t>
      </w:r>
      <w:r w:rsidRPr="00FC5B96">
        <w:rPr>
          <w:rFonts w:cs="Arial"/>
          <w:szCs w:val="10"/>
        </w:rPr>
        <w:t>is</w:t>
      </w:r>
      <w:r w:rsidR="00F2304A" w:rsidRPr="00FC5B96">
        <w:rPr>
          <w:rFonts w:cs="Arial"/>
          <w:szCs w:val="10"/>
        </w:rPr>
        <w:t xml:space="preserve"> an officer and what </w:t>
      </w:r>
      <w:r w:rsidRPr="00FC5B96">
        <w:rPr>
          <w:rFonts w:cs="Arial"/>
          <w:szCs w:val="10"/>
        </w:rPr>
        <w:t>the</w:t>
      </w:r>
      <w:r w:rsidR="00DB4737" w:rsidRPr="00FC5B96">
        <w:rPr>
          <w:rFonts w:cs="Arial"/>
          <w:szCs w:val="10"/>
        </w:rPr>
        <w:t xml:space="preserve"> officer</w:t>
      </w:r>
      <w:r w:rsidRPr="00FC5B96">
        <w:rPr>
          <w:rFonts w:cs="Arial"/>
          <w:szCs w:val="10"/>
        </w:rPr>
        <w:t xml:space="preserve"> duty requires of</w:t>
      </w:r>
      <w:r w:rsidR="00F2304A" w:rsidRPr="00FC5B96">
        <w:rPr>
          <w:rFonts w:cs="Arial"/>
          <w:szCs w:val="10"/>
        </w:rPr>
        <w:t xml:space="preserve"> them.</w:t>
      </w:r>
    </w:p>
    <w:p w14:paraId="6A030496" w14:textId="77777777" w:rsidR="00FD6AAF" w:rsidRPr="00B24B91" w:rsidRDefault="00FD6AAF" w:rsidP="00B24B91">
      <w:pPr>
        <w:pStyle w:val="Heading2"/>
      </w:pPr>
      <w:r w:rsidRPr="00B24B91">
        <w:t>Who is an officer?</w:t>
      </w:r>
    </w:p>
    <w:p w14:paraId="10D3EC4D" w14:textId="5D8757F2" w:rsidR="00504CE7" w:rsidRPr="00FC5B96" w:rsidRDefault="002444F0" w:rsidP="006A33B7">
      <w:pPr>
        <w:spacing w:before="120" w:after="120"/>
        <w:rPr>
          <w:rFonts w:cs="Arial"/>
          <w:szCs w:val="10"/>
        </w:rPr>
      </w:pPr>
      <w:r w:rsidRPr="00FC5B96">
        <w:rPr>
          <w:rFonts w:cs="Arial"/>
          <w:szCs w:val="10"/>
        </w:rPr>
        <w:t xml:space="preserve">An </w:t>
      </w:r>
      <w:r w:rsidR="002C72BA" w:rsidRPr="00FC5B96">
        <w:rPr>
          <w:rFonts w:cs="Arial"/>
          <w:szCs w:val="10"/>
        </w:rPr>
        <w:t>‘officer’</w:t>
      </w:r>
      <w:r w:rsidRPr="00FC5B96">
        <w:rPr>
          <w:rFonts w:cs="Arial"/>
          <w:szCs w:val="10"/>
        </w:rPr>
        <w:t xml:space="preserve"> is defined by reference to </w:t>
      </w:r>
      <w:r w:rsidR="00405E81" w:rsidRPr="00FC5B96">
        <w:rPr>
          <w:rFonts w:cs="Arial"/>
          <w:szCs w:val="10"/>
        </w:rPr>
        <w:t>the definition of</w:t>
      </w:r>
      <w:r w:rsidRPr="00FC5B96">
        <w:rPr>
          <w:rFonts w:cs="Arial"/>
          <w:szCs w:val="10"/>
        </w:rPr>
        <w:t xml:space="preserve"> ‘officer’ in </w:t>
      </w:r>
      <w:r w:rsidR="00BA593A" w:rsidRPr="00FC5B96">
        <w:rPr>
          <w:rFonts w:cs="Arial"/>
          <w:szCs w:val="10"/>
        </w:rPr>
        <w:t xml:space="preserve">section 9 of the Commonwealth </w:t>
      </w:r>
      <w:r w:rsidR="00BA593A" w:rsidRPr="00FC5B96">
        <w:rPr>
          <w:rFonts w:cs="Arial"/>
          <w:i/>
          <w:szCs w:val="10"/>
        </w:rPr>
        <w:t>Corporations Act 2001</w:t>
      </w:r>
      <w:r w:rsidR="00591295" w:rsidRPr="00FC5B96">
        <w:rPr>
          <w:rFonts w:cs="Arial"/>
          <w:szCs w:val="10"/>
        </w:rPr>
        <w:t xml:space="preserve"> (</w:t>
      </w:r>
      <w:r w:rsidR="00122A6E" w:rsidRPr="00FC5B96">
        <w:rPr>
          <w:rFonts w:cs="Arial"/>
          <w:szCs w:val="10"/>
        </w:rPr>
        <w:t xml:space="preserve">the </w:t>
      </w:r>
      <w:r w:rsidR="00591295" w:rsidRPr="00FC5B96">
        <w:rPr>
          <w:rFonts w:cs="Arial"/>
          <w:szCs w:val="10"/>
        </w:rPr>
        <w:t>Corporations Act)</w:t>
      </w:r>
      <w:r w:rsidR="00BA593A" w:rsidRPr="00FC5B96">
        <w:rPr>
          <w:rFonts w:cs="Arial"/>
          <w:i/>
          <w:szCs w:val="10"/>
        </w:rPr>
        <w:t xml:space="preserve">. </w:t>
      </w:r>
      <w:r w:rsidR="00BA593A" w:rsidRPr="00FC5B96">
        <w:rPr>
          <w:rFonts w:cs="Arial"/>
          <w:szCs w:val="10"/>
        </w:rPr>
        <w:t xml:space="preserve">It also </w:t>
      </w:r>
      <w:r w:rsidR="002C72BA" w:rsidRPr="00FC5B96">
        <w:rPr>
          <w:rFonts w:cs="Arial"/>
          <w:szCs w:val="10"/>
        </w:rPr>
        <w:t xml:space="preserve">includes </w:t>
      </w:r>
      <w:r w:rsidR="00BA593A" w:rsidRPr="00FC5B96">
        <w:rPr>
          <w:rFonts w:cs="Arial"/>
          <w:szCs w:val="10"/>
        </w:rPr>
        <w:t xml:space="preserve">officers of </w:t>
      </w:r>
      <w:r w:rsidR="006A33B7" w:rsidRPr="00FC5B96">
        <w:rPr>
          <w:rFonts w:cs="Arial"/>
          <w:szCs w:val="10"/>
        </w:rPr>
        <w:t xml:space="preserve">a business or undertaking of </w:t>
      </w:r>
      <w:r w:rsidR="00BA593A" w:rsidRPr="00FC5B96">
        <w:rPr>
          <w:rFonts w:cs="Arial"/>
          <w:szCs w:val="10"/>
        </w:rPr>
        <w:t xml:space="preserve">the Crown </w:t>
      </w:r>
      <w:r w:rsidR="00DB4737" w:rsidRPr="00FC5B96">
        <w:rPr>
          <w:rFonts w:cs="Arial"/>
          <w:szCs w:val="10"/>
        </w:rPr>
        <w:t xml:space="preserve">(the Commonwealth, a state or territory) </w:t>
      </w:r>
      <w:r w:rsidR="00BA593A" w:rsidRPr="00FC5B96">
        <w:rPr>
          <w:rFonts w:cs="Arial"/>
          <w:szCs w:val="10"/>
        </w:rPr>
        <w:t xml:space="preserve">and officers of a public authority.  </w:t>
      </w:r>
    </w:p>
    <w:p w14:paraId="2AF2823F" w14:textId="49D3FD99" w:rsidR="00DC75F7" w:rsidRPr="00B24B91" w:rsidRDefault="00DC75F7" w:rsidP="00B24B91">
      <w:pPr>
        <w:pStyle w:val="Heading3"/>
      </w:pPr>
      <w:r w:rsidRPr="00B24B91">
        <w:t>Officer under the Corporations Act</w:t>
      </w:r>
    </w:p>
    <w:p w14:paraId="2D1CF87A" w14:textId="77777777" w:rsidR="00BA593A" w:rsidRPr="00FC5B96" w:rsidRDefault="00504CE7" w:rsidP="00B24B91">
      <w:pPr>
        <w:pStyle w:val="Heading4"/>
      </w:pPr>
      <w:r w:rsidRPr="00FC5B96">
        <w:t>O</w:t>
      </w:r>
      <w:r w:rsidR="002C72BA" w:rsidRPr="00FC5B96">
        <w:t>fficer</w:t>
      </w:r>
      <w:r w:rsidRPr="00FC5B96">
        <w:t xml:space="preserve">s </w:t>
      </w:r>
      <w:r w:rsidR="002C72BA" w:rsidRPr="00FC5B96">
        <w:t xml:space="preserve">of </w:t>
      </w:r>
      <w:r w:rsidRPr="00B24B91">
        <w:t>c</w:t>
      </w:r>
      <w:r w:rsidR="004D6343" w:rsidRPr="00B24B91">
        <w:t>orporation</w:t>
      </w:r>
      <w:r w:rsidRPr="00B24B91">
        <w:t>s</w:t>
      </w:r>
    </w:p>
    <w:p w14:paraId="4B752421" w14:textId="7050EFD4" w:rsidR="00FD6AAF" w:rsidRPr="00FC5B96" w:rsidRDefault="00B27AA5" w:rsidP="00FD6AAF">
      <w:pPr>
        <w:spacing w:before="120" w:after="120"/>
        <w:rPr>
          <w:rFonts w:cs="Arial"/>
          <w:szCs w:val="10"/>
        </w:rPr>
      </w:pPr>
      <w:r w:rsidRPr="00FC5B96">
        <w:rPr>
          <w:rFonts w:cs="Arial"/>
          <w:szCs w:val="10"/>
        </w:rPr>
        <w:t>Under the Corporations Act a</w:t>
      </w:r>
      <w:r w:rsidR="00BF6136" w:rsidRPr="00FC5B96">
        <w:rPr>
          <w:rFonts w:cs="Arial"/>
          <w:szCs w:val="10"/>
        </w:rPr>
        <w:t>n officer of a corporation means:</w:t>
      </w:r>
    </w:p>
    <w:p w14:paraId="67F7EE96" w14:textId="77081E96" w:rsidR="00FD6AAF" w:rsidRPr="00FC5B96" w:rsidRDefault="00FD6AAF" w:rsidP="00503D8C">
      <w:pPr>
        <w:pStyle w:val="ListParagraph"/>
        <w:numPr>
          <w:ilvl w:val="0"/>
          <w:numId w:val="22"/>
        </w:numPr>
        <w:spacing w:before="120" w:after="120"/>
        <w:ind w:left="714" w:hanging="357"/>
        <w:contextualSpacing w:val="0"/>
        <w:rPr>
          <w:rFonts w:cs="Arial"/>
        </w:rPr>
      </w:pPr>
      <w:r w:rsidRPr="00FC5B96">
        <w:rPr>
          <w:rFonts w:cs="Arial"/>
        </w:rPr>
        <w:t>a director or secretary of the corporation; or</w:t>
      </w:r>
    </w:p>
    <w:p w14:paraId="2D88E036" w14:textId="2CE4B3EE" w:rsidR="00FD6AAF" w:rsidRPr="00FC5B96" w:rsidRDefault="00FD6AAF" w:rsidP="00503D8C">
      <w:pPr>
        <w:pStyle w:val="ListParagraph"/>
        <w:numPr>
          <w:ilvl w:val="0"/>
          <w:numId w:val="22"/>
        </w:numPr>
        <w:spacing w:before="120" w:after="120"/>
        <w:ind w:left="714" w:hanging="357"/>
        <w:contextualSpacing w:val="0"/>
        <w:rPr>
          <w:rFonts w:cs="Arial"/>
        </w:rPr>
      </w:pPr>
      <w:r w:rsidRPr="00FC5B96">
        <w:rPr>
          <w:rFonts w:cs="Arial"/>
        </w:rPr>
        <w:t>a person:</w:t>
      </w:r>
    </w:p>
    <w:p w14:paraId="770E4AC9" w14:textId="7D08AA5C" w:rsidR="00FD6AAF" w:rsidRPr="00FC5B96" w:rsidRDefault="00FD6AAF" w:rsidP="008B2856">
      <w:pPr>
        <w:pStyle w:val="ListParagraph"/>
        <w:numPr>
          <w:ilvl w:val="1"/>
          <w:numId w:val="22"/>
        </w:numPr>
        <w:spacing w:before="120" w:after="120"/>
        <w:contextualSpacing w:val="0"/>
        <w:rPr>
          <w:rFonts w:cs="Arial"/>
        </w:rPr>
      </w:pPr>
      <w:r w:rsidRPr="00FC5B96">
        <w:rPr>
          <w:rFonts w:cs="Arial"/>
          <w:szCs w:val="10"/>
        </w:rPr>
        <w:t>who makes, or participates in making</w:t>
      </w:r>
      <w:r w:rsidR="003939A0" w:rsidRPr="00FC5B96">
        <w:rPr>
          <w:rFonts w:cs="Arial"/>
          <w:szCs w:val="10"/>
        </w:rPr>
        <w:t>,</w:t>
      </w:r>
      <w:r w:rsidRPr="00FC5B96">
        <w:rPr>
          <w:rFonts w:cs="Arial"/>
          <w:szCs w:val="10"/>
        </w:rPr>
        <w:t xml:space="preserve"> decisions that affect the whole</w:t>
      </w:r>
      <w:r w:rsidR="00316B1A" w:rsidRPr="00FC5B96">
        <w:rPr>
          <w:rFonts w:cs="Arial"/>
          <w:szCs w:val="10"/>
        </w:rPr>
        <w:t>,</w:t>
      </w:r>
      <w:r w:rsidRPr="00FC5B96">
        <w:rPr>
          <w:rFonts w:cs="Arial"/>
          <w:szCs w:val="10"/>
        </w:rPr>
        <w:t xml:space="preserve"> or a substantial part, of the business of the corporation</w:t>
      </w:r>
      <w:r w:rsidR="001E635F" w:rsidRPr="00FC5B96">
        <w:rPr>
          <w:rFonts w:cs="Arial"/>
          <w:vertAlign w:val="superscript"/>
        </w:rPr>
        <w:footnoteReference w:id="1"/>
      </w:r>
      <w:r w:rsidRPr="00FC5B96">
        <w:rPr>
          <w:rFonts w:cs="Arial"/>
          <w:szCs w:val="10"/>
        </w:rPr>
        <w:t>; or</w:t>
      </w:r>
    </w:p>
    <w:p w14:paraId="7A57F2AF" w14:textId="3C0C202F" w:rsidR="00591295" w:rsidRPr="00FC5B96" w:rsidRDefault="00FD6AAF" w:rsidP="008B2856">
      <w:pPr>
        <w:pStyle w:val="ListParagraph"/>
        <w:numPr>
          <w:ilvl w:val="1"/>
          <w:numId w:val="22"/>
        </w:numPr>
        <w:spacing w:before="120" w:after="120"/>
        <w:contextualSpacing w:val="0"/>
        <w:rPr>
          <w:rFonts w:cs="Arial"/>
        </w:rPr>
      </w:pPr>
      <w:r w:rsidRPr="00FC5B96">
        <w:rPr>
          <w:rFonts w:cs="Arial"/>
          <w:szCs w:val="10"/>
        </w:rPr>
        <w:t>who has the capacity to affect significantly the corporation’s financial standing;</w:t>
      </w:r>
      <w:r w:rsidR="00504CE7" w:rsidRPr="00FC5B96">
        <w:rPr>
          <w:rFonts w:cs="Arial"/>
          <w:szCs w:val="10"/>
        </w:rPr>
        <w:t xml:space="preserve"> or</w:t>
      </w:r>
    </w:p>
    <w:p w14:paraId="1B06128C" w14:textId="00F4DF09" w:rsidR="00FD6AAF" w:rsidRPr="00FC5B96" w:rsidRDefault="00FD6AAF" w:rsidP="008B2856">
      <w:pPr>
        <w:pStyle w:val="ListParagraph"/>
        <w:numPr>
          <w:ilvl w:val="1"/>
          <w:numId w:val="22"/>
        </w:numPr>
        <w:spacing w:before="120" w:after="120"/>
        <w:contextualSpacing w:val="0"/>
        <w:rPr>
          <w:rFonts w:cs="Arial"/>
        </w:rPr>
      </w:pPr>
      <w:r w:rsidRPr="00FC5B96">
        <w:rPr>
          <w:rFonts w:cs="Arial"/>
          <w:szCs w:val="10"/>
        </w:rPr>
        <w:t>in accordance with whose instructions or wishes the directors of the corporation are accustomed to act (excluding advice given by the person in the proper performance of functions attaching to the person</w:t>
      </w:r>
      <w:r w:rsidR="00802E23" w:rsidRPr="00FC5B96">
        <w:rPr>
          <w:rFonts w:cs="Arial"/>
          <w:szCs w:val="10"/>
        </w:rPr>
        <w:t>’</w:t>
      </w:r>
      <w:r w:rsidRPr="00FC5B96">
        <w:rPr>
          <w:rFonts w:cs="Arial"/>
          <w:szCs w:val="10"/>
        </w:rPr>
        <w:t>s professional capacity or their business relationship with the directors or the corporation); or</w:t>
      </w:r>
    </w:p>
    <w:p w14:paraId="35C12B96" w14:textId="6BC605F2" w:rsidR="00B721E1" w:rsidRPr="00FC5B96" w:rsidRDefault="00405E81" w:rsidP="004D6BD9">
      <w:pPr>
        <w:pStyle w:val="ListParagraph"/>
        <w:numPr>
          <w:ilvl w:val="0"/>
          <w:numId w:val="22"/>
        </w:numPr>
        <w:spacing w:before="120" w:after="120"/>
        <w:contextualSpacing w:val="0"/>
        <w:rPr>
          <w:rFonts w:cs="Arial"/>
        </w:rPr>
      </w:pPr>
      <w:proofErr w:type="gramStart"/>
      <w:r w:rsidRPr="00FC5B96">
        <w:rPr>
          <w:rFonts w:cs="Arial"/>
        </w:rPr>
        <w:t>specifi</w:t>
      </w:r>
      <w:r w:rsidR="00B721E1" w:rsidRPr="00FC5B96">
        <w:rPr>
          <w:rFonts w:cs="Arial"/>
        </w:rPr>
        <w:t>ed</w:t>
      </w:r>
      <w:proofErr w:type="gramEnd"/>
      <w:r w:rsidRPr="00FC5B96">
        <w:rPr>
          <w:rFonts w:cs="Arial"/>
        </w:rPr>
        <w:t xml:space="preserve"> persons</w:t>
      </w:r>
      <w:r w:rsidR="00DB4737" w:rsidRPr="00FC5B96">
        <w:rPr>
          <w:rFonts w:cs="Arial"/>
        </w:rPr>
        <w:t>,</w:t>
      </w:r>
      <w:r w:rsidRPr="00FC5B96">
        <w:rPr>
          <w:rFonts w:cs="Arial"/>
        </w:rPr>
        <w:t xml:space="preserve"> such as administrators, liquidators and receivers of a corporation</w:t>
      </w:r>
      <w:r w:rsidR="008B2856" w:rsidRPr="00FC5B96">
        <w:rPr>
          <w:rFonts w:cs="Arial"/>
        </w:rPr>
        <w:t>.</w:t>
      </w:r>
    </w:p>
    <w:p w14:paraId="2AA895CE" w14:textId="3411AF88" w:rsidR="004D6343" w:rsidRPr="00FC5B96" w:rsidRDefault="004D6343" w:rsidP="00B24B91">
      <w:pPr>
        <w:pStyle w:val="Heading4"/>
      </w:pPr>
      <w:r w:rsidRPr="00FC5B96">
        <w:t>Officers of other entities</w:t>
      </w:r>
    </w:p>
    <w:p w14:paraId="2087BD5B" w14:textId="6C8951E6" w:rsidR="006512F2" w:rsidRPr="00FC5B96" w:rsidRDefault="006512F2" w:rsidP="00FD6AAF">
      <w:pPr>
        <w:spacing w:before="120" w:after="120"/>
        <w:rPr>
          <w:rFonts w:cs="Arial"/>
          <w:szCs w:val="10"/>
        </w:rPr>
      </w:pPr>
      <w:r w:rsidRPr="00FC5B96">
        <w:rPr>
          <w:rFonts w:cs="Arial"/>
          <w:szCs w:val="10"/>
        </w:rPr>
        <w:t xml:space="preserve">Under the </w:t>
      </w:r>
      <w:r w:rsidR="00AA506E" w:rsidRPr="00FC5B96">
        <w:rPr>
          <w:rFonts w:cs="Arial"/>
          <w:szCs w:val="10"/>
        </w:rPr>
        <w:t>Corporations Act</w:t>
      </w:r>
      <w:r w:rsidR="00B83C0D" w:rsidRPr="00FC5B96">
        <w:rPr>
          <w:rFonts w:cs="Arial"/>
          <w:szCs w:val="10"/>
        </w:rPr>
        <w:t xml:space="preserve"> an officer of an entity that is neither an individual nor a corporation relevantly includes:</w:t>
      </w:r>
    </w:p>
    <w:p w14:paraId="12780468" w14:textId="38A72721" w:rsidR="00591295" w:rsidRPr="00FC5B96" w:rsidRDefault="00B83C0D" w:rsidP="00503D8C">
      <w:pPr>
        <w:pStyle w:val="ListParagraph"/>
        <w:numPr>
          <w:ilvl w:val="0"/>
          <w:numId w:val="22"/>
        </w:numPr>
        <w:spacing w:before="120" w:after="120"/>
        <w:ind w:left="714" w:hanging="357"/>
        <w:contextualSpacing w:val="0"/>
        <w:rPr>
          <w:rFonts w:cs="Arial"/>
        </w:rPr>
      </w:pPr>
      <w:bookmarkStart w:id="0" w:name="paragraph"/>
      <w:r w:rsidRPr="00FC5B96">
        <w:rPr>
          <w:rFonts w:cs="Arial"/>
        </w:rPr>
        <w:t xml:space="preserve">an office holder of </w:t>
      </w:r>
      <w:r w:rsidR="002B2E5D" w:rsidRPr="00FC5B96">
        <w:rPr>
          <w:rFonts w:cs="Arial"/>
        </w:rPr>
        <w:t xml:space="preserve">an </w:t>
      </w:r>
      <w:r w:rsidRPr="00FC5B96">
        <w:rPr>
          <w:rFonts w:cs="Arial"/>
        </w:rPr>
        <w:t xml:space="preserve">unincorporated association; or </w:t>
      </w:r>
      <w:bookmarkEnd w:id="0"/>
    </w:p>
    <w:p w14:paraId="214DD40A" w14:textId="72B16A3C" w:rsidR="00B83C0D" w:rsidRPr="00FC5B96" w:rsidRDefault="00B83C0D" w:rsidP="00503D8C">
      <w:pPr>
        <w:pStyle w:val="ListParagraph"/>
        <w:numPr>
          <w:ilvl w:val="0"/>
          <w:numId w:val="22"/>
        </w:numPr>
        <w:spacing w:before="120" w:after="120"/>
        <w:ind w:left="714" w:hanging="357"/>
        <w:contextualSpacing w:val="0"/>
        <w:rPr>
          <w:rFonts w:cs="Arial"/>
        </w:rPr>
      </w:pPr>
      <w:r w:rsidRPr="00FC5B96">
        <w:rPr>
          <w:rFonts w:cs="Arial"/>
        </w:rPr>
        <w:t xml:space="preserve">a person: </w:t>
      </w:r>
    </w:p>
    <w:p w14:paraId="41CC3755" w14:textId="75FD13F4" w:rsidR="00591295" w:rsidRPr="00FC5B96" w:rsidRDefault="00B83C0D" w:rsidP="00012021">
      <w:pPr>
        <w:pStyle w:val="ListParagraph"/>
        <w:numPr>
          <w:ilvl w:val="1"/>
          <w:numId w:val="22"/>
        </w:numPr>
        <w:spacing w:before="120" w:after="120"/>
        <w:contextualSpacing w:val="0"/>
        <w:rPr>
          <w:rFonts w:cs="Arial"/>
          <w:szCs w:val="10"/>
        </w:rPr>
      </w:pPr>
      <w:bookmarkStart w:id="1" w:name="paragraphsub"/>
      <w:r w:rsidRPr="00FC5B96">
        <w:rPr>
          <w:rFonts w:cs="Arial"/>
          <w:szCs w:val="10"/>
        </w:rPr>
        <w:t>who makes, or participates in making, decisions that affect the whole, or a substantial part, of the business of the entity</w:t>
      </w:r>
      <w:r w:rsidR="00FE5879" w:rsidRPr="00FC5B96">
        <w:rPr>
          <w:rStyle w:val="FootnoteReference"/>
          <w:rFonts w:cs="Arial"/>
          <w:szCs w:val="10"/>
        </w:rPr>
        <w:footnoteReference w:id="2"/>
      </w:r>
      <w:r w:rsidRPr="00FC5B96">
        <w:rPr>
          <w:rFonts w:cs="Arial"/>
          <w:szCs w:val="10"/>
        </w:rPr>
        <w:t>; or</w:t>
      </w:r>
      <w:bookmarkEnd w:id="1"/>
    </w:p>
    <w:p w14:paraId="52739E74" w14:textId="0BFD50FB" w:rsidR="003E656A" w:rsidRPr="00FC5B96" w:rsidRDefault="00B83C0D" w:rsidP="00012021">
      <w:pPr>
        <w:pStyle w:val="ListParagraph"/>
        <w:numPr>
          <w:ilvl w:val="1"/>
          <w:numId w:val="22"/>
        </w:numPr>
        <w:spacing w:before="120" w:after="120"/>
        <w:contextualSpacing w:val="0"/>
        <w:rPr>
          <w:rFonts w:cs="Arial"/>
          <w:szCs w:val="10"/>
        </w:rPr>
      </w:pPr>
      <w:proofErr w:type="gramStart"/>
      <w:r w:rsidRPr="00FC5B96">
        <w:rPr>
          <w:rFonts w:cs="Arial"/>
          <w:szCs w:val="10"/>
        </w:rPr>
        <w:t>who</w:t>
      </w:r>
      <w:proofErr w:type="gramEnd"/>
      <w:r w:rsidRPr="00FC5B96">
        <w:rPr>
          <w:rFonts w:cs="Arial"/>
          <w:szCs w:val="10"/>
        </w:rPr>
        <w:t xml:space="preserve"> has the capacity to affect significantly the entity's financial standing.</w:t>
      </w:r>
    </w:p>
    <w:p w14:paraId="1969011F" w14:textId="325A01C3" w:rsidR="00B721E1" w:rsidRDefault="00B721E1" w:rsidP="003B3323">
      <w:pPr>
        <w:spacing w:before="240" w:after="120"/>
        <w:rPr>
          <w:rFonts w:cs="Arial"/>
          <w:szCs w:val="10"/>
        </w:rPr>
      </w:pPr>
      <w:r w:rsidRPr="00FC5B96">
        <w:rPr>
          <w:rFonts w:cs="Arial"/>
          <w:szCs w:val="10"/>
        </w:rPr>
        <w:t>A</w:t>
      </w:r>
      <w:r w:rsidRPr="00FC5B96" w:rsidDel="006A33B7">
        <w:rPr>
          <w:rFonts w:cs="Arial"/>
          <w:szCs w:val="10"/>
        </w:rPr>
        <w:t xml:space="preserve"> partner in a partnership is not an officer</w:t>
      </w:r>
      <w:r w:rsidRPr="00FC5B96">
        <w:rPr>
          <w:rFonts w:cs="Arial"/>
          <w:szCs w:val="10"/>
        </w:rPr>
        <w:t xml:space="preserve"> under the model WHS Act as each partner is a</w:t>
      </w:r>
      <w:r w:rsidRPr="00FC5B96">
        <w:rPr>
          <w:rFonts w:cs="Arial"/>
          <w:szCs w:val="10"/>
          <w:u w:val="single"/>
        </w:rPr>
        <w:t xml:space="preserve"> </w:t>
      </w:r>
      <w:r w:rsidRPr="00FC5B96" w:rsidDel="006A33B7">
        <w:rPr>
          <w:rFonts w:cs="Arial"/>
          <w:szCs w:val="10"/>
        </w:rPr>
        <w:t>PCBU. Excluding partners from the definition of officer avoids partners having duties both as a PCBU and an officer of a PCB</w:t>
      </w:r>
      <w:r w:rsidRPr="00FC5B96">
        <w:rPr>
          <w:rFonts w:cs="Arial"/>
          <w:szCs w:val="10"/>
        </w:rPr>
        <w:t>U.</w:t>
      </w:r>
    </w:p>
    <w:p w14:paraId="420276A6" w14:textId="6E9C7D01" w:rsidR="005441D1" w:rsidRDefault="005441D1" w:rsidP="003B3323">
      <w:pPr>
        <w:spacing w:before="240" w:after="120"/>
        <w:rPr>
          <w:rFonts w:cs="Arial"/>
          <w:szCs w:val="10"/>
        </w:rPr>
      </w:pPr>
    </w:p>
    <w:p w14:paraId="04747AD0" w14:textId="77777777" w:rsidR="005441D1" w:rsidRPr="00FC5B96" w:rsidRDefault="005441D1" w:rsidP="003B3323">
      <w:pPr>
        <w:spacing w:before="240" w:after="120"/>
        <w:rPr>
          <w:rFonts w:cs="Arial"/>
        </w:rPr>
      </w:pPr>
    </w:p>
    <w:p w14:paraId="685B2A2F" w14:textId="796FB60E" w:rsidR="00FD6AAF" w:rsidRPr="00FC5B96" w:rsidRDefault="00FD6AAF" w:rsidP="00B24B91">
      <w:pPr>
        <w:pStyle w:val="Heading3"/>
      </w:pPr>
      <w:r w:rsidRPr="00FC5B96">
        <w:t>Officers of the</w:t>
      </w:r>
      <w:r w:rsidR="006B121F" w:rsidRPr="00FC5B96">
        <w:t xml:space="preserve"> Crown </w:t>
      </w:r>
      <w:r w:rsidRPr="00FC5B96">
        <w:t>or a public authority</w:t>
      </w:r>
    </w:p>
    <w:p w14:paraId="38D4D13F" w14:textId="6B378D13" w:rsidR="006D32CA" w:rsidRPr="00FC5B96" w:rsidRDefault="00FD6AAF" w:rsidP="00FD6AAF">
      <w:pPr>
        <w:spacing w:before="120" w:after="120"/>
        <w:rPr>
          <w:rFonts w:cs="Arial"/>
          <w:szCs w:val="10"/>
        </w:rPr>
      </w:pPr>
      <w:r w:rsidRPr="00FC5B96">
        <w:rPr>
          <w:rFonts w:cs="Arial"/>
          <w:szCs w:val="10"/>
        </w:rPr>
        <w:t>An officer of the</w:t>
      </w:r>
      <w:r w:rsidR="006B121F" w:rsidRPr="00FC5B96">
        <w:rPr>
          <w:rFonts w:cs="Arial"/>
          <w:szCs w:val="10"/>
        </w:rPr>
        <w:t xml:space="preserve"> Crown</w:t>
      </w:r>
      <w:r w:rsidR="001C4A5A" w:rsidRPr="00FC5B96">
        <w:rPr>
          <w:rFonts w:cs="Arial"/>
          <w:szCs w:val="10"/>
        </w:rPr>
        <w:t xml:space="preserve"> </w:t>
      </w:r>
      <w:r w:rsidRPr="00FC5B96">
        <w:rPr>
          <w:rFonts w:cs="Arial"/>
          <w:szCs w:val="10"/>
        </w:rPr>
        <w:t>is</w:t>
      </w:r>
      <w:r w:rsidR="00162205" w:rsidRPr="00FC5B96">
        <w:rPr>
          <w:rFonts w:cs="Arial"/>
          <w:szCs w:val="10"/>
        </w:rPr>
        <w:t xml:space="preserve"> </w:t>
      </w:r>
      <w:r w:rsidRPr="00FC5B96">
        <w:rPr>
          <w:rFonts w:cs="Arial"/>
          <w:szCs w:val="10"/>
        </w:rPr>
        <w:t>a person who makes</w:t>
      </w:r>
      <w:r w:rsidR="00162205" w:rsidRPr="00FC5B96">
        <w:rPr>
          <w:rFonts w:cs="Arial"/>
          <w:szCs w:val="10"/>
        </w:rPr>
        <w:t>,</w:t>
      </w:r>
      <w:r w:rsidRPr="00FC5B96">
        <w:rPr>
          <w:rFonts w:cs="Arial"/>
          <w:szCs w:val="10"/>
        </w:rPr>
        <w:t xml:space="preserve"> or participates in making</w:t>
      </w:r>
      <w:r w:rsidR="00162205" w:rsidRPr="00FC5B96">
        <w:rPr>
          <w:rFonts w:cs="Arial"/>
          <w:szCs w:val="10"/>
        </w:rPr>
        <w:t>,</w:t>
      </w:r>
      <w:r w:rsidRPr="00FC5B96">
        <w:rPr>
          <w:rFonts w:cs="Arial"/>
          <w:szCs w:val="10"/>
        </w:rPr>
        <w:t xml:space="preserve"> decisions that affect the whole</w:t>
      </w:r>
      <w:r w:rsidR="00B62E4C" w:rsidRPr="00FC5B96">
        <w:rPr>
          <w:rFonts w:cs="Arial"/>
          <w:szCs w:val="10"/>
        </w:rPr>
        <w:t>,</w:t>
      </w:r>
      <w:r w:rsidRPr="00FC5B96">
        <w:rPr>
          <w:rFonts w:cs="Arial"/>
          <w:szCs w:val="10"/>
        </w:rPr>
        <w:t xml:space="preserve"> or a substantial part, of a business or undertaking of the</w:t>
      </w:r>
      <w:r w:rsidR="006B121F" w:rsidRPr="00FC5B96">
        <w:rPr>
          <w:rFonts w:cs="Arial"/>
          <w:szCs w:val="10"/>
        </w:rPr>
        <w:t xml:space="preserve"> Crown</w:t>
      </w:r>
      <w:r w:rsidR="00162205" w:rsidRPr="00FC5B96">
        <w:rPr>
          <w:rFonts w:cs="Arial"/>
          <w:szCs w:val="10"/>
        </w:rPr>
        <w:t xml:space="preserve"> (</w:t>
      </w:r>
      <w:r w:rsidR="007A6E14" w:rsidRPr="00FC5B96">
        <w:rPr>
          <w:rFonts w:cs="Arial"/>
          <w:szCs w:val="10"/>
        </w:rPr>
        <w:t xml:space="preserve">see </w:t>
      </w:r>
      <w:r w:rsidR="00162205" w:rsidRPr="00FC5B96">
        <w:rPr>
          <w:rFonts w:cs="Arial"/>
          <w:szCs w:val="10"/>
        </w:rPr>
        <w:t>section 247</w:t>
      </w:r>
      <w:r w:rsidR="007A6E14" w:rsidRPr="00FC5B96">
        <w:rPr>
          <w:rFonts w:cs="Arial"/>
          <w:szCs w:val="10"/>
        </w:rPr>
        <w:t xml:space="preserve"> of the model WHS Act</w:t>
      </w:r>
      <w:r w:rsidR="00162205" w:rsidRPr="00FC5B96">
        <w:rPr>
          <w:rFonts w:cs="Arial"/>
          <w:szCs w:val="10"/>
        </w:rPr>
        <w:t>)</w:t>
      </w:r>
      <w:r w:rsidR="00E6130A" w:rsidRPr="00FC5B96">
        <w:rPr>
          <w:rFonts w:cs="Arial"/>
          <w:szCs w:val="10"/>
        </w:rPr>
        <w:t>.</w:t>
      </w:r>
      <w:r w:rsidR="009504D2" w:rsidRPr="00FC5B96">
        <w:rPr>
          <w:rFonts w:cs="Arial"/>
          <w:vertAlign w:val="superscript"/>
        </w:rPr>
        <w:footnoteReference w:id="3"/>
      </w:r>
      <w:r w:rsidR="00E6130A" w:rsidRPr="00FC5B96">
        <w:rPr>
          <w:rFonts w:cs="Arial"/>
          <w:szCs w:val="10"/>
        </w:rPr>
        <w:t xml:space="preserve"> </w:t>
      </w:r>
    </w:p>
    <w:p w14:paraId="3BAA8D8F" w14:textId="64A5C532" w:rsidR="000F3940" w:rsidRPr="00FC5B96" w:rsidRDefault="000F3940" w:rsidP="000F3940">
      <w:pPr>
        <w:spacing w:before="120" w:after="120"/>
        <w:rPr>
          <w:rFonts w:cs="Arial"/>
        </w:rPr>
      </w:pPr>
      <w:r w:rsidRPr="00FC5B96">
        <w:rPr>
          <w:rFonts w:cs="Arial"/>
        </w:rPr>
        <w:t>Identifying the business or undertaking of the Crown will depend on the particular facts in each case.</w:t>
      </w:r>
      <w:r w:rsidR="00012021" w:rsidRPr="00FC5B96">
        <w:rPr>
          <w:rFonts w:cs="Arial"/>
        </w:rPr>
        <w:t xml:space="preserve"> </w:t>
      </w:r>
      <w:r w:rsidR="00DC75F7" w:rsidRPr="00FC5B96">
        <w:rPr>
          <w:rFonts w:cs="Arial"/>
          <w:szCs w:val="10"/>
        </w:rPr>
        <w:t>In general</w:t>
      </w:r>
      <w:r w:rsidR="00816E76" w:rsidRPr="00FC5B96">
        <w:rPr>
          <w:rFonts w:cs="Arial"/>
          <w:szCs w:val="10"/>
        </w:rPr>
        <w:t>, a</w:t>
      </w:r>
      <w:r w:rsidRPr="00FC5B96">
        <w:rPr>
          <w:rFonts w:cs="Arial"/>
          <w:szCs w:val="10"/>
        </w:rPr>
        <w:t xml:space="preserve"> business or undertaking of the Crown is </w:t>
      </w:r>
      <w:r w:rsidRPr="00FC5B96">
        <w:rPr>
          <w:rFonts w:cs="Arial"/>
        </w:rPr>
        <w:t>carried out by a department or agency. However</w:t>
      </w:r>
      <w:r w:rsidR="00816E76" w:rsidRPr="00FC5B96">
        <w:rPr>
          <w:rFonts w:cs="Arial"/>
        </w:rPr>
        <w:t>,</w:t>
      </w:r>
      <w:r w:rsidR="007A6E14" w:rsidRPr="00FC5B96">
        <w:rPr>
          <w:rFonts w:cs="Arial"/>
        </w:rPr>
        <w:t xml:space="preserve"> depending on </w:t>
      </w:r>
      <w:r w:rsidR="00816E76" w:rsidRPr="00FC5B96">
        <w:rPr>
          <w:rFonts w:cs="Arial"/>
        </w:rPr>
        <w:t>how</w:t>
      </w:r>
      <w:r w:rsidR="007A6E14" w:rsidRPr="00FC5B96">
        <w:rPr>
          <w:rFonts w:cs="Arial"/>
        </w:rPr>
        <w:t xml:space="preserve"> the department or agency is organised and administered,</w:t>
      </w:r>
      <w:r w:rsidRPr="00FC5B96">
        <w:rPr>
          <w:rFonts w:cs="Arial"/>
        </w:rPr>
        <w:t xml:space="preserve"> parts of a department or agency may carry out different businesses or undertakings.</w:t>
      </w:r>
    </w:p>
    <w:p w14:paraId="0C6E3142" w14:textId="120A23E4" w:rsidR="00FD6AAF" w:rsidRPr="00FC5B96" w:rsidRDefault="00A4003E" w:rsidP="00FD6AAF">
      <w:pPr>
        <w:spacing w:before="120" w:after="120"/>
        <w:rPr>
          <w:rFonts w:cs="Arial"/>
          <w:szCs w:val="10"/>
        </w:rPr>
      </w:pPr>
      <w:r w:rsidRPr="00FC5B96">
        <w:rPr>
          <w:rFonts w:cs="Arial"/>
          <w:szCs w:val="10"/>
        </w:rPr>
        <w:t>A Minister</w:t>
      </w:r>
      <w:r w:rsidR="006B121F" w:rsidRPr="00FC5B96">
        <w:rPr>
          <w:rFonts w:cs="Arial"/>
          <w:szCs w:val="10"/>
        </w:rPr>
        <w:t xml:space="preserve"> of a </w:t>
      </w:r>
      <w:r w:rsidR="00AD031C" w:rsidRPr="00FC5B96">
        <w:rPr>
          <w:rFonts w:cs="Arial"/>
          <w:szCs w:val="10"/>
        </w:rPr>
        <w:t>s</w:t>
      </w:r>
      <w:r w:rsidR="006B121F" w:rsidRPr="00FC5B96">
        <w:rPr>
          <w:rFonts w:cs="Arial"/>
          <w:szCs w:val="10"/>
        </w:rPr>
        <w:t>tate</w:t>
      </w:r>
      <w:r w:rsidR="00AD031C" w:rsidRPr="00FC5B96">
        <w:rPr>
          <w:rFonts w:cs="Arial"/>
          <w:szCs w:val="10"/>
        </w:rPr>
        <w:t>, territory</w:t>
      </w:r>
      <w:r w:rsidR="006B121F" w:rsidRPr="00FC5B96">
        <w:rPr>
          <w:rFonts w:cs="Arial"/>
          <w:szCs w:val="10"/>
        </w:rPr>
        <w:t xml:space="preserve"> or the </w:t>
      </w:r>
      <w:r w:rsidR="00940176" w:rsidRPr="00FC5B96">
        <w:rPr>
          <w:rFonts w:cs="Arial"/>
          <w:szCs w:val="10"/>
        </w:rPr>
        <w:t xml:space="preserve">Commonwealth </w:t>
      </w:r>
      <w:r w:rsidR="00E6130A" w:rsidRPr="00FC5B96">
        <w:rPr>
          <w:rFonts w:cs="Arial"/>
          <w:szCs w:val="10"/>
        </w:rPr>
        <w:t>is</w:t>
      </w:r>
      <w:r w:rsidR="006B121F" w:rsidRPr="00FC5B96">
        <w:rPr>
          <w:rFonts w:cs="Arial"/>
          <w:szCs w:val="10"/>
        </w:rPr>
        <w:t xml:space="preserve"> not </w:t>
      </w:r>
      <w:r w:rsidR="00E6130A" w:rsidRPr="00FC5B96">
        <w:rPr>
          <w:rFonts w:cs="Arial"/>
          <w:szCs w:val="10"/>
        </w:rPr>
        <w:t xml:space="preserve">an </w:t>
      </w:r>
      <w:r w:rsidR="006B121F" w:rsidRPr="00FC5B96">
        <w:rPr>
          <w:rFonts w:cs="Arial"/>
          <w:szCs w:val="10"/>
        </w:rPr>
        <w:t>officer of the Crown</w:t>
      </w:r>
      <w:r w:rsidR="0022316F" w:rsidRPr="00FC5B96">
        <w:rPr>
          <w:rFonts w:cs="Arial"/>
          <w:szCs w:val="10"/>
        </w:rPr>
        <w:t xml:space="preserve"> when they are acting in their official capacity</w:t>
      </w:r>
      <w:r w:rsidR="006B121F" w:rsidRPr="00FC5B96">
        <w:rPr>
          <w:rFonts w:cs="Arial"/>
          <w:szCs w:val="10"/>
        </w:rPr>
        <w:t xml:space="preserve">. </w:t>
      </w:r>
    </w:p>
    <w:p w14:paraId="7A645ED4" w14:textId="4D2C0A50" w:rsidR="000627EF" w:rsidRPr="00FC5B96" w:rsidRDefault="000627EF" w:rsidP="00FD6AAF">
      <w:pPr>
        <w:spacing w:before="120" w:after="120"/>
        <w:rPr>
          <w:rFonts w:cs="Arial"/>
          <w:szCs w:val="10"/>
        </w:rPr>
      </w:pPr>
      <w:r w:rsidRPr="00FC5B96">
        <w:rPr>
          <w:rFonts w:cs="Arial"/>
          <w:szCs w:val="10"/>
        </w:rPr>
        <w:t>An officer of a public authority is a person who makes or participates in making decisions that affect the whole, or a substantial part, of a business or undertaking of a public authority</w:t>
      </w:r>
      <w:r w:rsidR="00162205" w:rsidRPr="00FC5B96">
        <w:rPr>
          <w:rFonts w:cs="Arial"/>
          <w:szCs w:val="10"/>
        </w:rPr>
        <w:t xml:space="preserve"> (</w:t>
      </w:r>
      <w:r w:rsidR="007A6E14" w:rsidRPr="00FC5B96">
        <w:rPr>
          <w:rFonts w:cs="Arial"/>
          <w:szCs w:val="10"/>
        </w:rPr>
        <w:t xml:space="preserve">see </w:t>
      </w:r>
      <w:r w:rsidR="00162205" w:rsidRPr="00FC5B96">
        <w:rPr>
          <w:rFonts w:cs="Arial"/>
          <w:szCs w:val="10"/>
        </w:rPr>
        <w:t>section 252</w:t>
      </w:r>
      <w:r w:rsidR="007A6E14" w:rsidRPr="00FC5B96">
        <w:rPr>
          <w:rFonts w:cs="Arial"/>
          <w:szCs w:val="10"/>
        </w:rPr>
        <w:t xml:space="preserve"> of the </w:t>
      </w:r>
      <w:r w:rsidR="00DC75F7" w:rsidRPr="00FC5B96">
        <w:rPr>
          <w:rFonts w:cs="Arial"/>
          <w:szCs w:val="10"/>
        </w:rPr>
        <w:t xml:space="preserve">model </w:t>
      </w:r>
      <w:r w:rsidR="007A6E14" w:rsidRPr="00FC5B96">
        <w:rPr>
          <w:rFonts w:cs="Arial"/>
          <w:szCs w:val="10"/>
        </w:rPr>
        <w:t>WHS Act</w:t>
      </w:r>
      <w:r w:rsidR="00162205" w:rsidRPr="00FC5B96">
        <w:rPr>
          <w:rFonts w:cs="Arial"/>
          <w:szCs w:val="10"/>
        </w:rPr>
        <w:t>)</w:t>
      </w:r>
      <w:r w:rsidRPr="00FC5B96">
        <w:rPr>
          <w:rFonts w:cs="Arial"/>
          <w:szCs w:val="10"/>
        </w:rPr>
        <w:t xml:space="preserve">. </w:t>
      </w:r>
    </w:p>
    <w:p w14:paraId="6A9EE65A" w14:textId="2D947502" w:rsidR="000F3940" w:rsidRPr="00FC5B96" w:rsidRDefault="005D7B7D" w:rsidP="000F3940">
      <w:pPr>
        <w:spacing w:before="120" w:after="120"/>
        <w:rPr>
          <w:rFonts w:cs="Arial"/>
          <w:szCs w:val="10"/>
        </w:rPr>
      </w:pPr>
      <w:r w:rsidRPr="00FC5B96">
        <w:rPr>
          <w:rFonts w:cs="Arial"/>
          <w:szCs w:val="10"/>
        </w:rPr>
        <w:t>Who is t</w:t>
      </w:r>
      <w:r w:rsidR="000F3940" w:rsidRPr="00FC5B96">
        <w:rPr>
          <w:rFonts w:cs="Arial"/>
          <w:szCs w:val="10"/>
        </w:rPr>
        <w:t xml:space="preserve">he business or undertaking will generally be clear in the case of a public authority that is a body corporate. </w:t>
      </w:r>
    </w:p>
    <w:p w14:paraId="72D0F390" w14:textId="06A0114B" w:rsidR="00026367" w:rsidRPr="00FC5B96" w:rsidRDefault="00026367" w:rsidP="00B24B91">
      <w:pPr>
        <w:pStyle w:val="Heading3"/>
      </w:pPr>
      <w:r w:rsidRPr="00FC5B96">
        <w:t>Identifying</w:t>
      </w:r>
      <w:r w:rsidR="0028159B" w:rsidRPr="00FC5B96">
        <w:t xml:space="preserve"> a person</w:t>
      </w:r>
      <w:r w:rsidRPr="00FC5B96">
        <w:t xml:space="preserve"> who makes, or participates in making, decisions that affect the whole, or a substantial part, of</w:t>
      </w:r>
      <w:r w:rsidR="00816E76" w:rsidRPr="00FC5B96">
        <w:t xml:space="preserve"> a business or undertaking</w:t>
      </w:r>
    </w:p>
    <w:p w14:paraId="423D6576" w14:textId="255A7EED" w:rsidR="00026367" w:rsidRPr="00FC5B96" w:rsidRDefault="00026367" w:rsidP="001E635F">
      <w:pPr>
        <w:spacing w:before="240" w:after="120"/>
        <w:rPr>
          <w:rFonts w:cs="Arial"/>
          <w:szCs w:val="10"/>
        </w:rPr>
      </w:pPr>
      <w:r w:rsidRPr="00FC5B96">
        <w:rPr>
          <w:rFonts w:cs="Arial"/>
          <w:szCs w:val="10"/>
        </w:rPr>
        <w:t>The information in this section applies to determining who is a</w:t>
      </w:r>
      <w:r w:rsidR="009504D2" w:rsidRPr="00FC5B96">
        <w:rPr>
          <w:rFonts w:cs="Arial"/>
          <w:szCs w:val="10"/>
        </w:rPr>
        <w:t xml:space="preserve"> person that makes, or participates in making, decisions that affect the whole, or a substantial part of a corporation (or other entity)</w:t>
      </w:r>
      <w:r w:rsidR="00915089" w:rsidRPr="00FC5B96">
        <w:rPr>
          <w:rFonts w:cs="Arial"/>
          <w:szCs w:val="10"/>
        </w:rPr>
        <w:t>, of</w:t>
      </w:r>
      <w:r w:rsidR="009504D2" w:rsidRPr="00FC5B96">
        <w:rPr>
          <w:rFonts w:cs="Arial"/>
          <w:szCs w:val="10"/>
        </w:rPr>
        <w:t xml:space="preserve"> the Crown or</w:t>
      </w:r>
      <w:r w:rsidR="00915089" w:rsidRPr="00FC5B96">
        <w:rPr>
          <w:rFonts w:cs="Arial"/>
          <w:szCs w:val="10"/>
        </w:rPr>
        <w:t xml:space="preserve"> of</w:t>
      </w:r>
      <w:r w:rsidR="009504D2" w:rsidRPr="00FC5B96">
        <w:rPr>
          <w:rFonts w:cs="Arial"/>
          <w:szCs w:val="10"/>
        </w:rPr>
        <w:t xml:space="preserve"> </w:t>
      </w:r>
      <w:r w:rsidR="00816E76" w:rsidRPr="00FC5B96">
        <w:rPr>
          <w:rFonts w:cs="Arial"/>
          <w:szCs w:val="10"/>
        </w:rPr>
        <w:t xml:space="preserve">a </w:t>
      </w:r>
      <w:r w:rsidR="009504D2" w:rsidRPr="00FC5B96">
        <w:rPr>
          <w:rFonts w:cs="Arial"/>
          <w:szCs w:val="10"/>
        </w:rPr>
        <w:t xml:space="preserve">public authority. </w:t>
      </w:r>
    </w:p>
    <w:p w14:paraId="1A3EFC91" w14:textId="77777777" w:rsidR="00026367" w:rsidRPr="00FC5B96" w:rsidRDefault="0072203E" w:rsidP="00B24B91">
      <w:pPr>
        <w:pStyle w:val="Heading4"/>
      </w:pPr>
      <w:r w:rsidRPr="00FC5B96">
        <w:t>What kinds of decisions affect the whole, or a substantial part, of a business or undertaking?</w:t>
      </w:r>
    </w:p>
    <w:p w14:paraId="62BF1BB1" w14:textId="3ED26635" w:rsidR="00E633CB" w:rsidRPr="00FC5B96" w:rsidRDefault="0072203E" w:rsidP="001E635F">
      <w:pPr>
        <w:spacing w:before="120" w:after="120"/>
        <w:rPr>
          <w:rFonts w:cs="Arial"/>
          <w:szCs w:val="10"/>
        </w:rPr>
      </w:pPr>
      <w:r w:rsidRPr="00FC5B96">
        <w:rPr>
          <w:rFonts w:cs="Arial"/>
          <w:szCs w:val="10"/>
        </w:rPr>
        <w:t xml:space="preserve">Whether decisions can be said to affect the whole, or a substantial part, of a business or undertaking will depend on the facts of each case. </w:t>
      </w:r>
      <w:r w:rsidR="00E633CB" w:rsidRPr="00FC5B96">
        <w:rPr>
          <w:rFonts w:cs="Arial"/>
          <w:szCs w:val="10"/>
        </w:rPr>
        <w:t>In g</w:t>
      </w:r>
      <w:r w:rsidRPr="00FC5B96">
        <w:rPr>
          <w:rFonts w:cs="Arial"/>
          <w:szCs w:val="10"/>
        </w:rPr>
        <w:t>eneral</w:t>
      </w:r>
      <w:r w:rsidR="003F0691" w:rsidRPr="00FC5B96">
        <w:rPr>
          <w:rFonts w:cs="Arial"/>
          <w:szCs w:val="10"/>
        </w:rPr>
        <w:t xml:space="preserve"> such decisions</w:t>
      </w:r>
      <w:r w:rsidR="00E633CB" w:rsidRPr="00FC5B96">
        <w:rPr>
          <w:rFonts w:cs="Arial"/>
          <w:szCs w:val="10"/>
        </w:rPr>
        <w:t>:</w:t>
      </w:r>
    </w:p>
    <w:p w14:paraId="5FE52643" w14:textId="1BE5D4A8" w:rsidR="00E633CB" w:rsidRPr="00FC5B96" w:rsidRDefault="0072203E" w:rsidP="00816E76">
      <w:pPr>
        <w:pStyle w:val="ListParagraph"/>
        <w:numPr>
          <w:ilvl w:val="0"/>
          <w:numId w:val="22"/>
        </w:numPr>
        <w:spacing w:before="120" w:after="120"/>
        <w:ind w:left="714" w:hanging="357"/>
        <w:contextualSpacing w:val="0"/>
        <w:rPr>
          <w:rFonts w:cs="Arial"/>
          <w:szCs w:val="10"/>
        </w:rPr>
      </w:pPr>
      <w:proofErr w:type="gramStart"/>
      <w:r w:rsidRPr="00FC5B96">
        <w:rPr>
          <w:rFonts w:cs="Arial"/>
        </w:rPr>
        <w:t>are</w:t>
      </w:r>
      <w:proofErr w:type="gramEnd"/>
      <w:r w:rsidRPr="00FC5B96">
        <w:rPr>
          <w:rFonts w:cs="Arial"/>
        </w:rPr>
        <w:t xml:space="preserve"> higher level decisions that are organisational and strategic in nature</w:t>
      </w:r>
      <w:r w:rsidR="003F0691" w:rsidRPr="00FC5B96">
        <w:rPr>
          <w:rFonts w:cs="Arial"/>
        </w:rPr>
        <w:t xml:space="preserve"> </w:t>
      </w:r>
      <w:r w:rsidRPr="00FC5B96">
        <w:rPr>
          <w:rFonts w:cs="Arial"/>
        </w:rPr>
        <w:t>rather than operational decisions concerned with day-to-day work or project management.</w:t>
      </w:r>
    </w:p>
    <w:p w14:paraId="313AABDB" w14:textId="32DFABE7" w:rsidR="003F0691" w:rsidRPr="00FC5B96" w:rsidRDefault="003F0691" w:rsidP="00816E76">
      <w:pPr>
        <w:pStyle w:val="ListParagraph"/>
        <w:numPr>
          <w:ilvl w:val="0"/>
          <w:numId w:val="22"/>
        </w:numPr>
        <w:spacing w:before="120" w:after="120"/>
        <w:ind w:left="714" w:hanging="357"/>
        <w:contextualSpacing w:val="0"/>
        <w:rPr>
          <w:rFonts w:cs="Arial"/>
          <w:szCs w:val="10"/>
        </w:rPr>
      </w:pPr>
      <w:proofErr w:type="gramStart"/>
      <w:r w:rsidRPr="00FC5B96">
        <w:rPr>
          <w:rFonts w:cs="Arial"/>
        </w:rPr>
        <w:t>must</w:t>
      </w:r>
      <w:proofErr w:type="gramEnd"/>
      <w:r w:rsidRPr="00FC5B96">
        <w:rPr>
          <w:rFonts w:cs="Arial"/>
        </w:rPr>
        <w:t xml:space="preserve"> involve more than just carrying out administrative functions, following orders, implementing policy or responding to requests for information or advice.</w:t>
      </w:r>
    </w:p>
    <w:p w14:paraId="51D6BC88" w14:textId="2D989B51" w:rsidR="003F0691" w:rsidRPr="00FC5B96" w:rsidRDefault="003F0691" w:rsidP="00816E76">
      <w:pPr>
        <w:pStyle w:val="ListParagraph"/>
        <w:numPr>
          <w:ilvl w:val="0"/>
          <w:numId w:val="22"/>
        </w:numPr>
        <w:spacing w:before="120" w:after="120"/>
        <w:ind w:left="714" w:hanging="357"/>
        <w:contextualSpacing w:val="0"/>
        <w:rPr>
          <w:rFonts w:cs="Arial"/>
          <w:szCs w:val="10"/>
        </w:rPr>
      </w:pPr>
      <w:r w:rsidRPr="00FC5B96">
        <w:rPr>
          <w:rFonts w:cs="Arial"/>
        </w:rPr>
        <w:t xml:space="preserve">do not </w:t>
      </w:r>
      <w:r w:rsidR="0072203E" w:rsidRPr="00FC5B96">
        <w:rPr>
          <w:rFonts w:cs="Arial"/>
        </w:rPr>
        <w:t>necessar</w:t>
      </w:r>
      <w:r w:rsidR="00816E76" w:rsidRPr="00FC5B96">
        <w:rPr>
          <w:rFonts w:cs="Arial"/>
        </w:rPr>
        <w:t>il</w:t>
      </w:r>
      <w:r w:rsidR="0072203E" w:rsidRPr="00FC5B96">
        <w:rPr>
          <w:rFonts w:cs="Arial"/>
        </w:rPr>
        <w:t xml:space="preserve">y </w:t>
      </w:r>
      <w:r w:rsidRPr="00FC5B96">
        <w:rPr>
          <w:rFonts w:cs="Arial"/>
        </w:rPr>
        <w:t>have to</w:t>
      </w:r>
      <w:r w:rsidR="0072203E" w:rsidRPr="00FC5B96">
        <w:rPr>
          <w:rFonts w:cs="Arial"/>
        </w:rPr>
        <w:t xml:space="preserve"> be significant financial decisions</w:t>
      </w:r>
      <w:r w:rsidR="00F90BF5" w:rsidRPr="00FC5B96">
        <w:rPr>
          <w:rStyle w:val="FootnoteReference"/>
          <w:rFonts w:cs="Arial"/>
        </w:rPr>
        <w:footnoteReference w:id="4"/>
      </w:r>
      <w:r w:rsidR="00E633CB" w:rsidRPr="00FC5B96">
        <w:rPr>
          <w:rFonts w:cs="Arial"/>
        </w:rPr>
        <w:t xml:space="preserve"> </w:t>
      </w:r>
    </w:p>
    <w:p w14:paraId="702E620E" w14:textId="455E39D9" w:rsidR="0072203E" w:rsidRPr="00FC5B96" w:rsidRDefault="0072203E" w:rsidP="00FE5879">
      <w:pPr>
        <w:pStyle w:val="ListParagraph"/>
        <w:numPr>
          <w:ilvl w:val="0"/>
          <w:numId w:val="22"/>
        </w:numPr>
        <w:spacing w:before="120" w:after="120"/>
        <w:ind w:left="714" w:hanging="357"/>
        <w:contextualSpacing w:val="0"/>
        <w:rPr>
          <w:rFonts w:cs="Arial"/>
          <w:szCs w:val="10"/>
        </w:rPr>
      </w:pPr>
      <w:proofErr w:type="gramStart"/>
      <w:r w:rsidRPr="00FC5B96">
        <w:rPr>
          <w:rFonts w:cs="Arial"/>
          <w:szCs w:val="10"/>
        </w:rPr>
        <w:t>do</w:t>
      </w:r>
      <w:proofErr w:type="gramEnd"/>
      <w:r w:rsidRPr="00FC5B96">
        <w:rPr>
          <w:rFonts w:cs="Arial"/>
          <w:szCs w:val="10"/>
        </w:rPr>
        <w:t xml:space="preserve"> not have to specifically involve WHS issues. A person will not be an officer simply because they make, or participate in making, decisions about WHS issues. </w:t>
      </w:r>
    </w:p>
    <w:p w14:paraId="3E74A92C" w14:textId="650B264B" w:rsidR="0072203E" w:rsidRPr="00FC5B96" w:rsidRDefault="00405E81" w:rsidP="00FE5879">
      <w:pPr>
        <w:keepNext/>
        <w:spacing w:before="240" w:after="120"/>
        <w:rPr>
          <w:rFonts w:cs="Arial"/>
        </w:rPr>
      </w:pPr>
      <w:r w:rsidRPr="00FC5B96">
        <w:rPr>
          <w:rFonts w:cs="Arial"/>
        </w:rPr>
        <w:t xml:space="preserve">The following are examples of </w:t>
      </w:r>
      <w:r w:rsidR="00876595" w:rsidRPr="00FC5B96">
        <w:rPr>
          <w:rFonts w:cs="Arial"/>
        </w:rPr>
        <w:t xml:space="preserve">decisions </w:t>
      </w:r>
      <w:r w:rsidRPr="00FC5B96">
        <w:rPr>
          <w:rFonts w:cs="Arial"/>
        </w:rPr>
        <w:t>affecting</w:t>
      </w:r>
      <w:r w:rsidR="00876595" w:rsidRPr="00FC5B96">
        <w:rPr>
          <w:rFonts w:cs="Arial"/>
        </w:rPr>
        <w:t xml:space="preserve"> the whole or a substantial part of a business or undertaking:</w:t>
      </w:r>
    </w:p>
    <w:p w14:paraId="1C8AE104" w14:textId="014D09CF" w:rsidR="0072203E" w:rsidRPr="00FC5B96" w:rsidRDefault="0072203E" w:rsidP="001E635F">
      <w:pPr>
        <w:pStyle w:val="ListParagraph"/>
        <w:numPr>
          <w:ilvl w:val="0"/>
          <w:numId w:val="22"/>
        </w:numPr>
        <w:spacing w:before="120" w:after="120"/>
        <w:ind w:left="714" w:hanging="357"/>
        <w:contextualSpacing w:val="0"/>
        <w:rPr>
          <w:rFonts w:cs="Arial"/>
        </w:rPr>
      </w:pPr>
      <w:r w:rsidRPr="00FC5B96">
        <w:rPr>
          <w:rFonts w:cs="Arial"/>
        </w:rPr>
        <w:t xml:space="preserve">formation of policies or strategies with significant bearing on how the business </w:t>
      </w:r>
      <w:r w:rsidR="00FE5879" w:rsidRPr="00FC5B96">
        <w:rPr>
          <w:rFonts w:cs="Arial"/>
        </w:rPr>
        <w:t xml:space="preserve">or undertaking </w:t>
      </w:r>
      <w:r w:rsidRPr="00FC5B96">
        <w:rPr>
          <w:rFonts w:cs="Arial"/>
        </w:rPr>
        <w:t xml:space="preserve">is conducted and its overall financial health </w:t>
      </w:r>
    </w:p>
    <w:p w14:paraId="16E71CBD" w14:textId="6E32661E" w:rsidR="0072203E" w:rsidRPr="00FC5B96" w:rsidRDefault="0072203E" w:rsidP="00503D8C">
      <w:pPr>
        <w:pStyle w:val="ListParagraph"/>
        <w:numPr>
          <w:ilvl w:val="0"/>
          <w:numId w:val="22"/>
        </w:numPr>
        <w:spacing w:before="120" w:after="120"/>
        <w:ind w:left="714" w:hanging="357"/>
        <w:contextualSpacing w:val="0"/>
        <w:rPr>
          <w:rFonts w:cs="Arial"/>
        </w:rPr>
      </w:pPr>
      <w:r w:rsidRPr="00FC5B96">
        <w:rPr>
          <w:rFonts w:cs="Arial"/>
        </w:rPr>
        <w:lastRenderedPageBreak/>
        <w:t>governance, management or administration of the business</w:t>
      </w:r>
      <w:r w:rsidR="00FE5879" w:rsidRPr="00FC5B96">
        <w:rPr>
          <w:rFonts w:cs="Arial"/>
        </w:rPr>
        <w:t xml:space="preserve"> or undertaking</w:t>
      </w:r>
      <w:r w:rsidRPr="00FC5B96">
        <w:rPr>
          <w:rFonts w:cs="Arial"/>
        </w:rPr>
        <w:t xml:space="preserve"> as a whole or a large part of the business</w:t>
      </w:r>
      <w:r w:rsidR="00FE5879" w:rsidRPr="00FC5B96">
        <w:rPr>
          <w:rFonts w:cs="Arial"/>
        </w:rPr>
        <w:t xml:space="preserve"> or undertaking</w:t>
      </w:r>
    </w:p>
    <w:p w14:paraId="3B4640AC" w14:textId="77777777" w:rsidR="0072203E" w:rsidRPr="00FC5B96" w:rsidRDefault="0072203E" w:rsidP="00503D8C">
      <w:pPr>
        <w:pStyle w:val="ListParagraph"/>
        <w:numPr>
          <w:ilvl w:val="0"/>
          <w:numId w:val="22"/>
        </w:numPr>
        <w:spacing w:before="120" w:after="120"/>
        <w:ind w:left="714" w:hanging="357"/>
        <w:contextualSpacing w:val="0"/>
        <w:rPr>
          <w:rFonts w:cs="Arial"/>
        </w:rPr>
      </w:pPr>
      <w:r w:rsidRPr="00FC5B96">
        <w:rPr>
          <w:rFonts w:cs="Arial"/>
        </w:rPr>
        <w:t>setting investment or financial management strategies and initiating investment transactions</w:t>
      </w:r>
    </w:p>
    <w:p w14:paraId="112BE14D" w14:textId="649AF86A" w:rsidR="0072203E" w:rsidRPr="00FC5B96" w:rsidRDefault="0072203E" w:rsidP="00503D8C">
      <w:pPr>
        <w:pStyle w:val="ListParagraph"/>
        <w:numPr>
          <w:ilvl w:val="0"/>
          <w:numId w:val="22"/>
        </w:numPr>
        <w:spacing w:before="120" w:after="120"/>
        <w:ind w:left="714" w:hanging="357"/>
        <w:contextualSpacing w:val="0"/>
        <w:rPr>
          <w:rFonts w:cs="Arial"/>
        </w:rPr>
      </w:pPr>
      <w:r w:rsidRPr="00FC5B96">
        <w:rPr>
          <w:rFonts w:cs="Arial"/>
        </w:rPr>
        <w:t>control over the drive or future direction of the business</w:t>
      </w:r>
      <w:r w:rsidR="00FE5879" w:rsidRPr="00FC5B96">
        <w:rPr>
          <w:rFonts w:cs="Arial"/>
        </w:rPr>
        <w:t xml:space="preserve"> or undertaking</w:t>
      </w:r>
    </w:p>
    <w:p w14:paraId="5B6F0024" w14:textId="77777777" w:rsidR="0072203E" w:rsidRPr="00FC5B96" w:rsidRDefault="0072203E" w:rsidP="001E635F">
      <w:pPr>
        <w:pStyle w:val="ListParagraph"/>
        <w:numPr>
          <w:ilvl w:val="0"/>
          <w:numId w:val="22"/>
        </w:numPr>
        <w:spacing w:before="120" w:after="120"/>
        <w:ind w:left="714" w:hanging="357"/>
        <w:contextualSpacing w:val="0"/>
        <w:rPr>
          <w:rFonts w:cs="Arial"/>
        </w:rPr>
      </w:pPr>
      <w:proofErr w:type="gramStart"/>
      <w:r w:rsidRPr="00FC5B96">
        <w:rPr>
          <w:rFonts w:cs="Arial"/>
        </w:rPr>
        <w:t>control</w:t>
      </w:r>
      <w:proofErr w:type="gramEnd"/>
      <w:r w:rsidRPr="00FC5B96">
        <w:rPr>
          <w:rFonts w:cs="Arial"/>
        </w:rPr>
        <w:t xml:space="preserve"> over budgets, resource allocation, significant capital expenditure or selling assets.</w:t>
      </w:r>
    </w:p>
    <w:p w14:paraId="1E72C742" w14:textId="7000AEED" w:rsidR="005A2274" w:rsidRPr="00FC5B96" w:rsidRDefault="005A2274" w:rsidP="00B24B91">
      <w:pPr>
        <w:pStyle w:val="Heading4"/>
      </w:pPr>
      <w:r w:rsidRPr="00FC5B96">
        <w:t>What is a ‘substantial part’ of the business or undertaking?</w:t>
      </w:r>
    </w:p>
    <w:p w14:paraId="6E8C225B" w14:textId="42D993CC" w:rsidR="005A2274" w:rsidRPr="00FC5B96" w:rsidRDefault="005A2274" w:rsidP="005A2274">
      <w:pPr>
        <w:spacing w:before="120" w:after="120"/>
        <w:rPr>
          <w:rFonts w:cs="Arial"/>
          <w:szCs w:val="10"/>
        </w:rPr>
      </w:pPr>
      <w:r w:rsidRPr="00FC5B96">
        <w:rPr>
          <w:rFonts w:cs="Arial"/>
          <w:szCs w:val="10"/>
        </w:rPr>
        <w:t xml:space="preserve">A person may be an officer </w:t>
      </w:r>
      <w:r w:rsidR="00816E76" w:rsidRPr="00FC5B96">
        <w:rPr>
          <w:rFonts w:cs="Arial"/>
          <w:szCs w:val="10"/>
        </w:rPr>
        <w:t>because</w:t>
      </w:r>
      <w:r w:rsidRPr="00FC5B96">
        <w:rPr>
          <w:rFonts w:cs="Arial"/>
          <w:szCs w:val="10"/>
        </w:rPr>
        <w:t xml:space="preserve"> they participate in making decisions that affect a substantial part, </w:t>
      </w:r>
      <w:r w:rsidR="00915089" w:rsidRPr="00FC5B96">
        <w:rPr>
          <w:rFonts w:cs="Arial"/>
          <w:szCs w:val="10"/>
        </w:rPr>
        <w:t>even if</w:t>
      </w:r>
      <w:r w:rsidRPr="00FC5B96">
        <w:rPr>
          <w:rFonts w:cs="Arial"/>
          <w:szCs w:val="10"/>
        </w:rPr>
        <w:t xml:space="preserve"> not the whole, of a business or undertaking</w:t>
      </w:r>
      <w:r w:rsidR="00816E76" w:rsidRPr="00FC5B96">
        <w:rPr>
          <w:rFonts w:cs="Arial"/>
          <w:szCs w:val="10"/>
        </w:rPr>
        <w:t>.</w:t>
      </w:r>
      <w:r w:rsidRPr="00FC5B96">
        <w:rPr>
          <w:rFonts w:cs="Arial"/>
          <w:szCs w:val="10"/>
        </w:rPr>
        <w:t xml:space="preserve"> Whether a decision affects a substantial part of a business or undertaking </w:t>
      </w:r>
      <w:r w:rsidR="00876595" w:rsidRPr="00FC5B96">
        <w:rPr>
          <w:rFonts w:cs="Arial"/>
          <w:szCs w:val="10"/>
        </w:rPr>
        <w:t xml:space="preserve">must </w:t>
      </w:r>
      <w:r w:rsidRPr="00FC5B96">
        <w:rPr>
          <w:rFonts w:cs="Arial"/>
          <w:szCs w:val="10"/>
        </w:rPr>
        <w:t xml:space="preserve">be assessed on a case by case basis, with reference to the structure and activities of the </w:t>
      </w:r>
      <w:r w:rsidR="00FE5879" w:rsidRPr="00FC5B96">
        <w:rPr>
          <w:rFonts w:cs="Arial"/>
          <w:szCs w:val="10"/>
        </w:rPr>
        <w:t>business or undertaking</w:t>
      </w:r>
      <w:r w:rsidRPr="00FC5B96">
        <w:rPr>
          <w:rFonts w:cs="Arial"/>
          <w:szCs w:val="10"/>
        </w:rPr>
        <w:t xml:space="preserve">. </w:t>
      </w:r>
    </w:p>
    <w:p w14:paraId="110EF938" w14:textId="57B5435F" w:rsidR="005A2274" w:rsidRPr="00FC5B96" w:rsidRDefault="005A2274" w:rsidP="005A2274">
      <w:pPr>
        <w:spacing w:before="120" w:after="120"/>
        <w:rPr>
          <w:rFonts w:cs="Arial"/>
          <w:szCs w:val="10"/>
        </w:rPr>
      </w:pPr>
      <w:r w:rsidRPr="00FC5B96">
        <w:rPr>
          <w:rFonts w:cs="Arial"/>
          <w:szCs w:val="10"/>
        </w:rPr>
        <w:t>A</w:t>
      </w:r>
      <w:r w:rsidR="00FE5879" w:rsidRPr="00FC5B96">
        <w:rPr>
          <w:rFonts w:cs="Arial"/>
          <w:szCs w:val="10"/>
        </w:rPr>
        <w:t xml:space="preserve"> business or undertaking</w:t>
      </w:r>
      <w:r w:rsidRPr="00FC5B96">
        <w:rPr>
          <w:rFonts w:cs="Arial"/>
          <w:szCs w:val="10"/>
        </w:rPr>
        <w:t xml:space="preserve"> that operates nationally may have regional divisions (e.g. northern division incorporating the Northern Territory and Queensland, and southern division incorporating New South Wales, Victoria and Tasmania). Or </w:t>
      </w:r>
      <w:r w:rsidR="00FE5879" w:rsidRPr="00FC5B96">
        <w:rPr>
          <w:rFonts w:cs="Arial"/>
          <w:szCs w:val="10"/>
        </w:rPr>
        <w:t>a business or undertaking</w:t>
      </w:r>
      <w:r w:rsidRPr="00FC5B96">
        <w:rPr>
          <w:rFonts w:cs="Arial"/>
          <w:szCs w:val="10"/>
        </w:rPr>
        <w:t xml:space="preserve"> may have various, defined divisions based on product or service categories. Each of the divisions may each be a substantial part of the business</w:t>
      </w:r>
      <w:r w:rsidR="00FE5879" w:rsidRPr="00FC5B96">
        <w:rPr>
          <w:rFonts w:cs="Arial"/>
          <w:szCs w:val="10"/>
        </w:rPr>
        <w:t xml:space="preserve"> or undertaking</w:t>
      </w:r>
      <w:r w:rsidRPr="00FC5B96">
        <w:rPr>
          <w:rFonts w:cs="Arial"/>
          <w:szCs w:val="10"/>
        </w:rPr>
        <w:t xml:space="preserve">, depending on their role within the </w:t>
      </w:r>
      <w:r w:rsidR="00FE5879" w:rsidRPr="00FC5B96">
        <w:rPr>
          <w:rFonts w:cs="Arial"/>
          <w:szCs w:val="10"/>
        </w:rPr>
        <w:t>business or undertaking</w:t>
      </w:r>
      <w:r w:rsidRPr="00FC5B96">
        <w:rPr>
          <w:rFonts w:cs="Arial"/>
          <w:szCs w:val="10"/>
        </w:rPr>
        <w:t xml:space="preserve"> as a whole.</w:t>
      </w:r>
    </w:p>
    <w:p w14:paraId="067B8C13" w14:textId="1EB5E567" w:rsidR="005A2274" w:rsidRPr="00FC5B96" w:rsidRDefault="005A2274" w:rsidP="005A2274">
      <w:pPr>
        <w:spacing w:before="120" w:after="120"/>
        <w:rPr>
          <w:rFonts w:cs="Arial"/>
          <w:szCs w:val="10"/>
        </w:rPr>
      </w:pPr>
      <w:r w:rsidRPr="00FC5B96">
        <w:rPr>
          <w:rFonts w:cs="Arial"/>
          <w:szCs w:val="10"/>
        </w:rPr>
        <w:t xml:space="preserve">Some or all of the following </w:t>
      </w:r>
      <w:r w:rsidR="00503D8C" w:rsidRPr="00FC5B96">
        <w:rPr>
          <w:rFonts w:cs="Arial"/>
          <w:szCs w:val="10"/>
        </w:rPr>
        <w:t xml:space="preserve">factors </w:t>
      </w:r>
      <w:r w:rsidRPr="00FC5B96">
        <w:rPr>
          <w:rFonts w:cs="Arial"/>
          <w:szCs w:val="10"/>
        </w:rPr>
        <w:t>are relevant in identifying whether a part of a business is a substantial part:</w:t>
      </w:r>
    </w:p>
    <w:p w14:paraId="4CB96741" w14:textId="762145F7" w:rsidR="005A2274" w:rsidRPr="00FC5B96" w:rsidRDefault="005A2274" w:rsidP="00503D8C">
      <w:pPr>
        <w:pStyle w:val="ListParagraph"/>
        <w:numPr>
          <w:ilvl w:val="0"/>
          <w:numId w:val="22"/>
        </w:numPr>
        <w:spacing w:before="120" w:after="120"/>
        <w:ind w:left="714" w:hanging="357"/>
        <w:contextualSpacing w:val="0"/>
        <w:rPr>
          <w:rFonts w:cs="Arial"/>
        </w:rPr>
      </w:pPr>
      <w:r w:rsidRPr="00FC5B96">
        <w:rPr>
          <w:rFonts w:cs="Arial"/>
          <w:szCs w:val="10"/>
        </w:rPr>
        <w:t>The degree to which the part contributes to the revenue or financial standing of the business</w:t>
      </w:r>
      <w:r w:rsidR="00FE5879" w:rsidRPr="00FC5B96">
        <w:rPr>
          <w:rFonts w:cs="Arial"/>
          <w:szCs w:val="10"/>
        </w:rPr>
        <w:t xml:space="preserve"> or undertaking</w:t>
      </w:r>
    </w:p>
    <w:p w14:paraId="7FBB04D9" w14:textId="38AE52D6" w:rsidR="005A2274" w:rsidRPr="00FC5B96" w:rsidRDefault="005A2274" w:rsidP="00503D8C">
      <w:pPr>
        <w:pStyle w:val="ListParagraph"/>
        <w:numPr>
          <w:ilvl w:val="0"/>
          <w:numId w:val="22"/>
        </w:numPr>
        <w:spacing w:before="120" w:after="120"/>
        <w:ind w:left="714" w:hanging="357"/>
        <w:contextualSpacing w:val="0"/>
        <w:rPr>
          <w:rFonts w:cs="Arial"/>
        </w:rPr>
      </w:pPr>
      <w:r w:rsidRPr="00FC5B96">
        <w:rPr>
          <w:rFonts w:cs="Arial"/>
        </w:rPr>
        <w:t xml:space="preserve">The degree to which the part is significant to the reputation of the </w:t>
      </w:r>
      <w:r w:rsidR="00FE5879" w:rsidRPr="00FC5B96">
        <w:rPr>
          <w:rFonts w:cs="Arial"/>
          <w:szCs w:val="10"/>
        </w:rPr>
        <w:t>business or undertaking</w:t>
      </w:r>
    </w:p>
    <w:p w14:paraId="44B5E9AD" w14:textId="508D35C4" w:rsidR="005A2274" w:rsidRPr="00FC5B96" w:rsidRDefault="005A2274" w:rsidP="00503D8C">
      <w:pPr>
        <w:pStyle w:val="ListParagraph"/>
        <w:numPr>
          <w:ilvl w:val="0"/>
          <w:numId w:val="22"/>
        </w:numPr>
        <w:spacing w:before="120" w:after="120"/>
        <w:ind w:left="714" w:hanging="357"/>
        <w:contextualSpacing w:val="0"/>
        <w:rPr>
          <w:rFonts w:cs="Arial"/>
        </w:rPr>
      </w:pPr>
      <w:r w:rsidRPr="00FC5B96">
        <w:rPr>
          <w:rFonts w:cs="Arial"/>
        </w:rPr>
        <w:t>Whether the part is considered to be a core part of the business</w:t>
      </w:r>
      <w:r w:rsidR="00FE5879" w:rsidRPr="00FC5B96">
        <w:rPr>
          <w:rFonts w:cs="Arial"/>
        </w:rPr>
        <w:t xml:space="preserve"> or undertaking</w:t>
      </w:r>
      <w:r w:rsidRPr="00FC5B96">
        <w:rPr>
          <w:rFonts w:cs="Arial"/>
        </w:rPr>
        <w:t>, or ancillary to the core business</w:t>
      </w:r>
      <w:r w:rsidR="00FE5879" w:rsidRPr="00FC5B96">
        <w:rPr>
          <w:rFonts w:cs="Arial"/>
        </w:rPr>
        <w:t xml:space="preserve"> or undertaking</w:t>
      </w:r>
    </w:p>
    <w:p w14:paraId="11D25A9B" w14:textId="3A29CEB7" w:rsidR="005A2274" w:rsidRPr="00FC5B96" w:rsidRDefault="005A2274" w:rsidP="00503D8C">
      <w:pPr>
        <w:pStyle w:val="ListParagraph"/>
        <w:numPr>
          <w:ilvl w:val="0"/>
          <w:numId w:val="22"/>
        </w:numPr>
        <w:spacing w:before="120" w:after="120"/>
        <w:ind w:left="714" w:hanging="357"/>
        <w:contextualSpacing w:val="0"/>
        <w:rPr>
          <w:rFonts w:cs="Arial"/>
        </w:rPr>
      </w:pPr>
      <w:r w:rsidRPr="00FC5B96">
        <w:rPr>
          <w:rFonts w:cs="Arial"/>
        </w:rPr>
        <w:t xml:space="preserve">The proportion of personnel of the whole business </w:t>
      </w:r>
      <w:r w:rsidR="00FE5879" w:rsidRPr="00FC5B96">
        <w:rPr>
          <w:rFonts w:cs="Arial"/>
        </w:rPr>
        <w:t xml:space="preserve">or undertaking </w:t>
      </w:r>
      <w:r w:rsidRPr="00FC5B96">
        <w:rPr>
          <w:rFonts w:cs="Arial"/>
        </w:rPr>
        <w:t>who are engaged in activities within the part</w:t>
      </w:r>
    </w:p>
    <w:p w14:paraId="4DEAAE18" w14:textId="55946378" w:rsidR="005A2274" w:rsidRPr="00FC5B96" w:rsidRDefault="005A2274" w:rsidP="00503D8C">
      <w:pPr>
        <w:pStyle w:val="ListParagraph"/>
        <w:numPr>
          <w:ilvl w:val="0"/>
          <w:numId w:val="22"/>
        </w:numPr>
        <w:spacing w:before="120" w:after="120"/>
        <w:ind w:left="714" w:hanging="357"/>
        <w:contextualSpacing w:val="0"/>
        <w:rPr>
          <w:rFonts w:cs="Arial"/>
          <w:szCs w:val="10"/>
        </w:rPr>
      </w:pPr>
      <w:r w:rsidRPr="00FC5B96">
        <w:rPr>
          <w:rFonts w:cs="Arial"/>
        </w:rPr>
        <w:t xml:space="preserve">Whether those who manage that part of the business </w:t>
      </w:r>
      <w:r w:rsidR="00FE5879" w:rsidRPr="00FC5B96">
        <w:rPr>
          <w:rFonts w:cs="Arial"/>
        </w:rPr>
        <w:t xml:space="preserve">or undertaking </w:t>
      </w:r>
      <w:r w:rsidRPr="00FC5B96">
        <w:rPr>
          <w:rFonts w:cs="Arial"/>
        </w:rPr>
        <w:t>make significant strategic or policy decisions, or whether those decisions</w:t>
      </w:r>
      <w:r w:rsidRPr="00FC5B96">
        <w:rPr>
          <w:rFonts w:cs="Arial"/>
          <w:szCs w:val="10"/>
        </w:rPr>
        <w:t xml:space="preserve"> are made at a higher level.</w:t>
      </w:r>
    </w:p>
    <w:p w14:paraId="3F25BAFE" w14:textId="2104F5BF" w:rsidR="005A2274" w:rsidRPr="00FC5B96" w:rsidRDefault="005A2274" w:rsidP="00503D8C">
      <w:pPr>
        <w:spacing w:before="240" w:after="120"/>
        <w:rPr>
          <w:rFonts w:cs="Arial"/>
          <w:szCs w:val="10"/>
        </w:rPr>
      </w:pPr>
      <w:r w:rsidRPr="00FC5B96">
        <w:rPr>
          <w:rFonts w:cs="Arial"/>
          <w:szCs w:val="10"/>
        </w:rPr>
        <w:t>These and any other relevant factors should be considered together.</w:t>
      </w:r>
    </w:p>
    <w:p w14:paraId="3D323941" w14:textId="496ADBFF" w:rsidR="005A2274" w:rsidRPr="00FC5B96" w:rsidRDefault="005A2274" w:rsidP="00503D8C">
      <w:pPr>
        <w:spacing w:before="120" w:after="120"/>
        <w:rPr>
          <w:rFonts w:cs="Arial"/>
          <w:szCs w:val="10"/>
        </w:rPr>
      </w:pPr>
      <w:r w:rsidRPr="00FC5B96">
        <w:rPr>
          <w:rFonts w:cs="Arial"/>
          <w:szCs w:val="10"/>
        </w:rPr>
        <w:t xml:space="preserve">In the case of a government department, a definable part of, or agency </w:t>
      </w:r>
      <w:r w:rsidR="00A51A24" w:rsidRPr="00FC5B96">
        <w:rPr>
          <w:rFonts w:cs="Arial"/>
          <w:szCs w:val="10"/>
        </w:rPr>
        <w:t>of</w:t>
      </w:r>
      <w:r w:rsidRPr="00FC5B96">
        <w:rPr>
          <w:rFonts w:cs="Arial"/>
          <w:szCs w:val="10"/>
        </w:rPr>
        <w:t xml:space="preserve"> the department may be regarded as a substantial part of the business or undertaking of the department.</w:t>
      </w:r>
    </w:p>
    <w:p w14:paraId="4ACB5046" w14:textId="77777777" w:rsidR="00EC0CF7" w:rsidRPr="00FC5B96" w:rsidRDefault="00F2304A" w:rsidP="00B24B91">
      <w:pPr>
        <w:pStyle w:val="Heading4"/>
      </w:pPr>
      <w:r w:rsidRPr="00FC5B96">
        <w:t>What is meant by ‘participate in making decisions’?</w:t>
      </w:r>
    </w:p>
    <w:p w14:paraId="2DD411DB" w14:textId="76C9251C" w:rsidR="00A517F0" w:rsidRPr="00FC5B96" w:rsidRDefault="008A624C" w:rsidP="00F2304A">
      <w:pPr>
        <w:spacing w:before="120" w:after="120"/>
        <w:rPr>
          <w:rFonts w:cs="Arial"/>
          <w:szCs w:val="10"/>
        </w:rPr>
      </w:pPr>
      <w:r w:rsidRPr="00FC5B96">
        <w:rPr>
          <w:rFonts w:cs="Arial"/>
          <w:szCs w:val="10"/>
        </w:rPr>
        <w:t>A person may be an officer because they participate in</w:t>
      </w:r>
      <w:r w:rsidR="00876595" w:rsidRPr="00FC5B96">
        <w:rPr>
          <w:rFonts w:cs="Arial"/>
          <w:szCs w:val="10"/>
        </w:rPr>
        <w:t xml:space="preserve"> the decision making process</w:t>
      </w:r>
      <w:r w:rsidRPr="00FC5B96">
        <w:rPr>
          <w:rFonts w:cs="Arial"/>
          <w:szCs w:val="10"/>
        </w:rPr>
        <w:t xml:space="preserve">, even where they do not actually make </w:t>
      </w:r>
      <w:r w:rsidR="00435746" w:rsidRPr="00FC5B96">
        <w:rPr>
          <w:rFonts w:cs="Arial"/>
          <w:szCs w:val="10"/>
        </w:rPr>
        <w:t>a</w:t>
      </w:r>
      <w:r w:rsidRPr="00FC5B96">
        <w:rPr>
          <w:rFonts w:cs="Arial"/>
          <w:szCs w:val="10"/>
        </w:rPr>
        <w:t xml:space="preserve"> decision. </w:t>
      </w:r>
      <w:r w:rsidR="00A961B2" w:rsidRPr="00FC5B96">
        <w:rPr>
          <w:rFonts w:cs="Arial"/>
          <w:szCs w:val="10"/>
        </w:rPr>
        <w:t xml:space="preserve"> </w:t>
      </w:r>
      <w:r w:rsidR="00435746" w:rsidRPr="00FC5B96">
        <w:rPr>
          <w:rFonts w:cs="Arial"/>
          <w:szCs w:val="10"/>
        </w:rPr>
        <w:t xml:space="preserve">The </w:t>
      </w:r>
      <w:r w:rsidR="0091205C" w:rsidRPr="00FC5B96">
        <w:rPr>
          <w:rFonts w:cs="Arial"/>
          <w:szCs w:val="10"/>
        </w:rPr>
        <w:t>overall role the person plays</w:t>
      </w:r>
      <w:r w:rsidR="0085634C" w:rsidRPr="00FC5B96">
        <w:rPr>
          <w:rFonts w:cs="Arial"/>
          <w:szCs w:val="10"/>
        </w:rPr>
        <w:t xml:space="preserve"> </w:t>
      </w:r>
      <w:r w:rsidR="0021635C" w:rsidRPr="00FC5B96">
        <w:rPr>
          <w:rFonts w:cs="Arial"/>
          <w:szCs w:val="10"/>
        </w:rPr>
        <w:t xml:space="preserve">in, </w:t>
      </w:r>
      <w:r w:rsidR="0085634C" w:rsidRPr="00FC5B96">
        <w:rPr>
          <w:rFonts w:cs="Arial"/>
          <w:szCs w:val="10"/>
        </w:rPr>
        <w:t>and their contribution to</w:t>
      </w:r>
      <w:r w:rsidR="0021635C" w:rsidRPr="00FC5B96">
        <w:rPr>
          <w:rFonts w:cs="Arial"/>
          <w:szCs w:val="10"/>
        </w:rPr>
        <w:t>,</w:t>
      </w:r>
      <w:r w:rsidR="0085634C" w:rsidRPr="00FC5B96">
        <w:rPr>
          <w:rFonts w:cs="Arial"/>
          <w:szCs w:val="10"/>
        </w:rPr>
        <w:t xml:space="preserve"> the decision-making process</w:t>
      </w:r>
      <w:r w:rsidR="00435746" w:rsidRPr="00FC5B96">
        <w:rPr>
          <w:rFonts w:cs="Arial"/>
          <w:szCs w:val="10"/>
        </w:rPr>
        <w:t xml:space="preserve"> will determine whether that person participates in the decision making process</w:t>
      </w:r>
      <w:r w:rsidR="0091205C" w:rsidRPr="00FC5B96">
        <w:rPr>
          <w:rFonts w:cs="Arial"/>
          <w:szCs w:val="10"/>
        </w:rPr>
        <w:t xml:space="preserve">. </w:t>
      </w:r>
      <w:r w:rsidRPr="00FC5B96">
        <w:rPr>
          <w:rFonts w:cs="Arial"/>
          <w:szCs w:val="10"/>
        </w:rPr>
        <w:t>A</w:t>
      </w:r>
      <w:r w:rsidR="00F314E3" w:rsidRPr="00FC5B96">
        <w:rPr>
          <w:rFonts w:cs="Arial"/>
          <w:szCs w:val="10"/>
        </w:rPr>
        <w:t xml:space="preserve"> </w:t>
      </w:r>
      <w:r w:rsidR="00F2304A" w:rsidRPr="00FC5B96">
        <w:rPr>
          <w:rFonts w:cs="Arial"/>
          <w:szCs w:val="10"/>
        </w:rPr>
        <w:t xml:space="preserve">person </w:t>
      </w:r>
      <w:r w:rsidR="00F314E3" w:rsidRPr="00FC5B96">
        <w:rPr>
          <w:rFonts w:cs="Arial"/>
          <w:szCs w:val="10"/>
        </w:rPr>
        <w:t xml:space="preserve">who </w:t>
      </w:r>
      <w:r w:rsidR="00F2304A" w:rsidRPr="00FC5B96">
        <w:rPr>
          <w:rFonts w:cs="Arial"/>
          <w:szCs w:val="10"/>
        </w:rPr>
        <w:t>is</w:t>
      </w:r>
      <w:r w:rsidR="00A517F0" w:rsidRPr="00FC5B96">
        <w:rPr>
          <w:rFonts w:cs="Arial"/>
          <w:szCs w:val="10"/>
        </w:rPr>
        <w:t>:</w:t>
      </w:r>
      <w:r w:rsidR="00F2304A" w:rsidRPr="00FC5B96">
        <w:rPr>
          <w:rFonts w:cs="Arial"/>
          <w:szCs w:val="10"/>
        </w:rPr>
        <w:t xml:space="preserve"> </w:t>
      </w:r>
    </w:p>
    <w:p w14:paraId="77A5E0DF" w14:textId="1DA1A5A0" w:rsidR="00A517F0" w:rsidRPr="00FC5B96" w:rsidRDefault="00F2304A" w:rsidP="00FE5879">
      <w:pPr>
        <w:pStyle w:val="ListParagraph"/>
        <w:numPr>
          <w:ilvl w:val="0"/>
          <w:numId w:val="35"/>
        </w:numPr>
        <w:spacing w:before="120" w:after="120"/>
        <w:rPr>
          <w:rFonts w:cs="Arial"/>
          <w:szCs w:val="10"/>
        </w:rPr>
      </w:pPr>
      <w:r w:rsidRPr="00FC5B96">
        <w:rPr>
          <w:rFonts w:cs="Arial"/>
          <w:szCs w:val="10"/>
        </w:rPr>
        <w:t xml:space="preserve">actively involved in the </w:t>
      </w:r>
      <w:r w:rsidR="00A961B2" w:rsidRPr="00FC5B96">
        <w:rPr>
          <w:rFonts w:cs="Arial"/>
          <w:szCs w:val="10"/>
        </w:rPr>
        <w:t xml:space="preserve">decision making </w:t>
      </w:r>
      <w:r w:rsidRPr="00FC5B96">
        <w:rPr>
          <w:rFonts w:cs="Arial"/>
          <w:szCs w:val="10"/>
        </w:rPr>
        <w:t>process and</w:t>
      </w:r>
    </w:p>
    <w:p w14:paraId="5A124558" w14:textId="5D5BA7BE" w:rsidR="00A517F0" w:rsidRPr="00FC5B96" w:rsidRDefault="00F2304A" w:rsidP="00FE5879">
      <w:pPr>
        <w:pStyle w:val="ListParagraph"/>
        <w:numPr>
          <w:ilvl w:val="0"/>
          <w:numId w:val="35"/>
        </w:numPr>
        <w:spacing w:before="120" w:after="120"/>
        <w:rPr>
          <w:rFonts w:cs="Arial"/>
          <w:szCs w:val="10"/>
        </w:rPr>
      </w:pPr>
      <w:r w:rsidRPr="00FC5B96">
        <w:rPr>
          <w:rFonts w:cs="Arial"/>
          <w:szCs w:val="10"/>
        </w:rPr>
        <w:t>occupies a role that directly contribute</w:t>
      </w:r>
      <w:r w:rsidR="002F7487" w:rsidRPr="00FC5B96">
        <w:rPr>
          <w:rFonts w:cs="Arial"/>
          <w:szCs w:val="10"/>
        </w:rPr>
        <w:t>s</w:t>
      </w:r>
      <w:r w:rsidRPr="00FC5B96">
        <w:rPr>
          <w:rFonts w:cs="Arial"/>
          <w:szCs w:val="10"/>
        </w:rPr>
        <w:t xml:space="preserve"> to, promote</w:t>
      </w:r>
      <w:r w:rsidR="002F7487" w:rsidRPr="00FC5B96">
        <w:rPr>
          <w:rFonts w:cs="Arial"/>
          <w:szCs w:val="10"/>
        </w:rPr>
        <w:t>s</w:t>
      </w:r>
      <w:r w:rsidRPr="00FC5B96">
        <w:rPr>
          <w:rFonts w:cs="Arial"/>
          <w:szCs w:val="10"/>
        </w:rPr>
        <w:t xml:space="preserve"> or affect</w:t>
      </w:r>
      <w:r w:rsidR="002F7487" w:rsidRPr="00FC5B96">
        <w:rPr>
          <w:rFonts w:cs="Arial"/>
          <w:szCs w:val="10"/>
        </w:rPr>
        <w:t>s</w:t>
      </w:r>
      <w:r w:rsidRPr="00FC5B96">
        <w:rPr>
          <w:rFonts w:cs="Arial"/>
          <w:szCs w:val="10"/>
        </w:rPr>
        <w:t xml:space="preserve"> the decision</w:t>
      </w:r>
    </w:p>
    <w:p w14:paraId="1AC339C1" w14:textId="203EFBD7" w:rsidR="00A517F0" w:rsidRPr="00FC5B96" w:rsidRDefault="00A4003E" w:rsidP="00A517F0">
      <w:pPr>
        <w:spacing w:before="120" w:after="120"/>
        <w:rPr>
          <w:rFonts w:cs="Arial"/>
          <w:szCs w:val="10"/>
        </w:rPr>
      </w:pPr>
      <w:proofErr w:type="gramStart"/>
      <w:r w:rsidRPr="00FC5B96">
        <w:rPr>
          <w:rFonts w:cs="Arial"/>
          <w:szCs w:val="10"/>
        </w:rPr>
        <w:t>will</w:t>
      </w:r>
      <w:proofErr w:type="gramEnd"/>
      <w:r w:rsidR="00F314E3" w:rsidRPr="00FC5B96">
        <w:rPr>
          <w:rFonts w:cs="Arial"/>
          <w:szCs w:val="10"/>
        </w:rPr>
        <w:t xml:space="preserve"> </w:t>
      </w:r>
      <w:r w:rsidRPr="00FC5B96">
        <w:rPr>
          <w:rFonts w:cs="Arial"/>
          <w:szCs w:val="10"/>
        </w:rPr>
        <w:t xml:space="preserve">be an officer </w:t>
      </w:r>
      <w:r w:rsidR="00081606" w:rsidRPr="00FC5B96">
        <w:rPr>
          <w:rFonts w:cs="Arial"/>
          <w:szCs w:val="10"/>
        </w:rPr>
        <w:t xml:space="preserve">under the </w:t>
      </w:r>
      <w:r w:rsidR="00F314E3" w:rsidRPr="00FC5B96">
        <w:rPr>
          <w:rFonts w:cs="Arial"/>
          <w:szCs w:val="10"/>
        </w:rPr>
        <w:t>model WHS Act.</w:t>
      </w:r>
      <w:r w:rsidR="002F7487" w:rsidRPr="00FC5B96">
        <w:rPr>
          <w:rFonts w:cs="Arial"/>
          <w:szCs w:val="10"/>
        </w:rPr>
        <w:t xml:space="preserve"> </w:t>
      </w:r>
    </w:p>
    <w:p w14:paraId="74D36937" w14:textId="3518FD89" w:rsidR="00F2304A" w:rsidRPr="00FC5B96" w:rsidRDefault="002F7487" w:rsidP="00A517F0">
      <w:pPr>
        <w:spacing w:before="120" w:after="120"/>
        <w:rPr>
          <w:rFonts w:cs="Arial"/>
          <w:szCs w:val="10"/>
        </w:rPr>
      </w:pPr>
      <w:r w:rsidRPr="00FC5B96">
        <w:rPr>
          <w:rFonts w:cs="Arial"/>
          <w:szCs w:val="10"/>
        </w:rPr>
        <w:t>A person may be considered to participate in the making of decisions where they have an ongoing or repeated involvement in the process through which decisions are made.</w:t>
      </w:r>
    </w:p>
    <w:p w14:paraId="6D785060" w14:textId="6EF07939" w:rsidR="00F2304A" w:rsidRPr="00FC5B96" w:rsidRDefault="00F2304A" w:rsidP="00F2304A">
      <w:pPr>
        <w:spacing w:before="120" w:after="120"/>
        <w:rPr>
          <w:rFonts w:cs="Arial"/>
          <w:szCs w:val="10"/>
          <w:u w:val="single"/>
        </w:rPr>
      </w:pPr>
      <w:r w:rsidRPr="00FC5B96">
        <w:rPr>
          <w:rFonts w:cs="Arial"/>
          <w:szCs w:val="10"/>
        </w:rPr>
        <w:t xml:space="preserve">For example, corporate counsel, chief financial officers and other senior advisors within a corporation may be officers if they are involved in discussions when decisions are </w:t>
      </w:r>
      <w:r w:rsidR="008A624C" w:rsidRPr="00FC5B96">
        <w:rPr>
          <w:rFonts w:cs="Arial"/>
          <w:szCs w:val="10"/>
        </w:rPr>
        <w:t xml:space="preserve">being </w:t>
      </w:r>
      <w:r w:rsidRPr="00FC5B96">
        <w:rPr>
          <w:rFonts w:cs="Arial"/>
          <w:szCs w:val="10"/>
        </w:rPr>
        <w:t xml:space="preserve">made, but </w:t>
      </w:r>
      <w:r w:rsidR="008A624C" w:rsidRPr="00FC5B96">
        <w:rPr>
          <w:rFonts w:cs="Arial"/>
          <w:szCs w:val="10"/>
        </w:rPr>
        <w:lastRenderedPageBreak/>
        <w:t>may</w:t>
      </w:r>
      <w:r w:rsidRPr="00FC5B96">
        <w:rPr>
          <w:rFonts w:cs="Arial"/>
          <w:szCs w:val="10"/>
        </w:rPr>
        <w:t xml:space="preserve"> not </w:t>
      </w:r>
      <w:r w:rsidR="008A624C" w:rsidRPr="00FC5B96">
        <w:rPr>
          <w:rFonts w:cs="Arial"/>
          <w:szCs w:val="10"/>
        </w:rPr>
        <w:t xml:space="preserve">be </w:t>
      </w:r>
      <w:r w:rsidRPr="00FC5B96">
        <w:rPr>
          <w:rFonts w:cs="Arial"/>
          <w:szCs w:val="10"/>
        </w:rPr>
        <w:t>officers if they simply provide advice for the consideration of the decision makers</w:t>
      </w:r>
      <w:r w:rsidR="008A624C" w:rsidRPr="00FC5B96">
        <w:rPr>
          <w:rFonts w:cs="Arial"/>
          <w:szCs w:val="10"/>
        </w:rPr>
        <w:t>,</w:t>
      </w:r>
      <w:r w:rsidRPr="00FC5B96">
        <w:rPr>
          <w:rFonts w:cs="Arial"/>
          <w:szCs w:val="10"/>
        </w:rPr>
        <w:t xml:space="preserve"> or are only involved in administration of a </w:t>
      </w:r>
      <w:r w:rsidR="008A624C" w:rsidRPr="00FC5B96">
        <w:rPr>
          <w:rFonts w:cs="Arial"/>
          <w:szCs w:val="10"/>
        </w:rPr>
        <w:t xml:space="preserve">decision-making </w:t>
      </w:r>
      <w:r w:rsidRPr="00FC5B96">
        <w:rPr>
          <w:rFonts w:cs="Arial"/>
          <w:szCs w:val="10"/>
        </w:rPr>
        <w:t>process.</w:t>
      </w:r>
      <w:r w:rsidRPr="00FC5B96">
        <w:rPr>
          <w:rFonts w:cs="Arial"/>
          <w:szCs w:val="10"/>
          <w:u w:val="single"/>
        </w:rPr>
        <w:t xml:space="preserve"> </w:t>
      </w:r>
    </w:p>
    <w:p w14:paraId="4378717E" w14:textId="1353DFB6" w:rsidR="00EC0CF7" w:rsidRPr="00FC5B96" w:rsidRDefault="001643E3" w:rsidP="0004447A">
      <w:pPr>
        <w:spacing w:before="120" w:after="120"/>
        <w:rPr>
          <w:rFonts w:cs="Arial"/>
          <w:b/>
          <w:szCs w:val="10"/>
        </w:rPr>
      </w:pPr>
      <w:r w:rsidRPr="00FC5B96">
        <w:rPr>
          <w:rFonts w:cs="Arial"/>
          <w:szCs w:val="10"/>
        </w:rPr>
        <w:t xml:space="preserve">A person will not be an officer if they only have operational responsibilities, with no ability to influence </w:t>
      </w:r>
      <w:r w:rsidR="004E21C4" w:rsidRPr="00FC5B96">
        <w:rPr>
          <w:rFonts w:cs="Arial"/>
          <w:szCs w:val="10"/>
        </w:rPr>
        <w:t>or affect</w:t>
      </w:r>
      <w:r w:rsidRPr="00FC5B96">
        <w:rPr>
          <w:rFonts w:cs="Arial"/>
          <w:szCs w:val="10"/>
        </w:rPr>
        <w:t xml:space="preserve"> decisions </w:t>
      </w:r>
      <w:r w:rsidR="00A4003E" w:rsidRPr="00FC5B96">
        <w:rPr>
          <w:rFonts w:cs="Arial"/>
          <w:szCs w:val="10"/>
        </w:rPr>
        <w:t xml:space="preserve">at an organisational level, </w:t>
      </w:r>
      <w:r w:rsidRPr="00FC5B96">
        <w:rPr>
          <w:rFonts w:cs="Arial"/>
          <w:szCs w:val="10"/>
        </w:rPr>
        <w:t>such as engagement of staff</w:t>
      </w:r>
      <w:r w:rsidR="004E21C4" w:rsidRPr="00FC5B96">
        <w:rPr>
          <w:rFonts w:cs="Arial"/>
          <w:szCs w:val="10"/>
        </w:rPr>
        <w:t xml:space="preserve">, </w:t>
      </w:r>
      <w:r w:rsidRPr="00FC5B96">
        <w:rPr>
          <w:rFonts w:cs="Arial"/>
          <w:szCs w:val="10"/>
        </w:rPr>
        <w:t>commitment of corporate funds</w:t>
      </w:r>
      <w:r w:rsidR="004E21C4" w:rsidRPr="00FC5B96">
        <w:rPr>
          <w:rFonts w:cs="Arial"/>
          <w:szCs w:val="10"/>
        </w:rPr>
        <w:t xml:space="preserve"> or direction over the work carried out by the business</w:t>
      </w:r>
      <w:r w:rsidR="00FE5879" w:rsidRPr="00FC5B96">
        <w:rPr>
          <w:rFonts w:cs="Arial"/>
          <w:szCs w:val="10"/>
        </w:rPr>
        <w:t xml:space="preserve"> or undertaking</w:t>
      </w:r>
      <w:r w:rsidRPr="00FC5B96">
        <w:rPr>
          <w:rFonts w:cs="Arial"/>
          <w:szCs w:val="10"/>
        </w:rPr>
        <w:t xml:space="preserve">.  </w:t>
      </w:r>
    </w:p>
    <w:p w14:paraId="7EA6C1F1" w14:textId="31E18473" w:rsidR="00F2304A" w:rsidRPr="00FC5B96" w:rsidRDefault="00B812F5" w:rsidP="00B24B91">
      <w:pPr>
        <w:pStyle w:val="Heading3"/>
      </w:pPr>
      <w:bookmarkStart w:id="2" w:name="_GoBack"/>
      <w:r w:rsidRPr="00FC5B96">
        <w:t xml:space="preserve">Identifying a person who has the </w:t>
      </w:r>
      <w:r w:rsidR="00F2304A" w:rsidRPr="00FC5B96">
        <w:t xml:space="preserve">capacity to affect significantly </w:t>
      </w:r>
      <w:r w:rsidR="00035B17" w:rsidRPr="00FC5B96">
        <w:t xml:space="preserve">the </w:t>
      </w:r>
      <w:r w:rsidR="00F2304A" w:rsidRPr="00FC5B96">
        <w:t>financial standing</w:t>
      </w:r>
      <w:r w:rsidR="00035B17" w:rsidRPr="00FC5B96">
        <w:t xml:space="preserve"> of a</w:t>
      </w:r>
      <w:r w:rsidR="00435746" w:rsidRPr="00FC5B96">
        <w:t xml:space="preserve"> corporation o</w:t>
      </w:r>
      <w:r w:rsidR="00915089" w:rsidRPr="00FC5B96">
        <w:t>r</w:t>
      </w:r>
      <w:r w:rsidR="00435746" w:rsidRPr="00FC5B96">
        <w:t xml:space="preserve"> other entity</w:t>
      </w:r>
    </w:p>
    <w:bookmarkEnd w:id="2"/>
    <w:p w14:paraId="3C31B863" w14:textId="2FC9BDB2" w:rsidR="00A961B2" w:rsidRPr="00FC5B96" w:rsidRDefault="00A961B2">
      <w:pPr>
        <w:spacing w:before="120" w:after="120"/>
        <w:rPr>
          <w:rFonts w:cs="Arial"/>
          <w:szCs w:val="10"/>
        </w:rPr>
      </w:pPr>
      <w:r w:rsidRPr="00FC5B96">
        <w:rPr>
          <w:rFonts w:cs="Arial"/>
          <w:szCs w:val="10"/>
        </w:rPr>
        <w:t xml:space="preserve">The information in this section applies to determining who is a person that has </w:t>
      </w:r>
      <w:r w:rsidR="00F2304A" w:rsidRPr="00FC5B96">
        <w:rPr>
          <w:rFonts w:cs="Arial"/>
          <w:szCs w:val="10"/>
        </w:rPr>
        <w:t xml:space="preserve">the capacity to significantly </w:t>
      </w:r>
      <w:r w:rsidR="00F35D9A" w:rsidRPr="00FC5B96">
        <w:rPr>
          <w:rFonts w:cs="Arial"/>
          <w:szCs w:val="10"/>
        </w:rPr>
        <w:t xml:space="preserve">affect </w:t>
      </w:r>
      <w:r w:rsidR="00F2304A" w:rsidRPr="00FC5B96">
        <w:rPr>
          <w:rFonts w:cs="Arial"/>
          <w:szCs w:val="10"/>
        </w:rPr>
        <w:t xml:space="preserve">the financial standing of </w:t>
      </w:r>
      <w:r w:rsidRPr="00FC5B96">
        <w:rPr>
          <w:rFonts w:cs="Arial"/>
          <w:szCs w:val="10"/>
        </w:rPr>
        <w:t>a</w:t>
      </w:r>
      <w:r w:rsidR="00435746" w:rsidRPr="00FC5B96">
        <w:rPr>
          <w:rFonts w:cs="Arial"/>
          <w:szCs w:val="10"/>
        </w:rPr>
        <w:t xml:space="preserve"> corporation or</w:t>
      </w:r>
      <w:r w:rsidR="00915089" w:rsidRPr="00FC5B96">
        <w:rPr>
          <w:rFonts w:cs="Arial"/>
          <w:szCs w:val="10"/>
        </w:rPr>
        <w:t xml:space="preserve"> other</w:t>
      </w:r>
      <w:r w:rsidR="00435746" w:rsidRPr="00FC5B96">
        <w:rPr>
          <w:rFonts w:cs="Arial"/>
          <w:szCs w:val="10"/>
        </w:rPr>
        <w:t xml:space="preserve"> entity. </w:t>
      </w:r>
    </w:p>
    <w:p w14:paraId="452EB17C" w14:textId="0DAFAB36" w:rsidR="00B812F5" w:rsidRPr="00FC5B96" w:rsidRDefault="00A961B2">
      <w:pPr>
        <w:spacing w:before="120" w:after="120"/>
        <w:rPr>
          <w:rFonts w:cs="Arial"/>
          <w:szCs w:val="10"/>
        </w:rPr>
      </w:pPr>
      <w:r w:rsidRPr="00FC5B96">
        <w:rPr>
          <w:rFonts w:cs="Arial"/>
          <w:szCs w:val="10"/>
        </w:rPr>
        <w:t xml:space="preserve">A </w:t>
      </w:r>
      <w:r w:rsidR="00B812F5" w:rsidRPr="00FC5B96">
        <w:rPr>
          <w:rFonts w:cs="Arial"/>
          <w:szCs w:val="10"/>
        </w:rPr>
        <w:t>person</w:t>
      </w:r>
      <w:r w:rsidRPr="00FC5B96">
        <w:rPr>
          <w:rFonts w:cs="Arial"/>
          <w:szCs w:val="10"/>
        </w:rPr>
        <w:t xml:space="preserve"> has capacity to significantly affect the financial standing of a corporation or entity if they are </w:t>
      </w:r>
      <w:r w:rsidR="00B812F5" w:rsidRPr="00FC5B96">
        <w:rPr>
          <w:rFonts w:cs="Arial"/>
          <w:szCs w:val="10"/>
        </w:rPr>
        <w:t>involved:</w:t>
      </w:r>
      <w:r w:rsidR="00F2304A" w:rsidRPr="00FC5B96">
        <w:rPr>
          <w:rFonts w:cs="Arial"/>
          <w:szCs w:val="10"/>
        </w:rPr>
        <w:t xml:space="preserve"> </w:t>
      </w:r>
    </w:p>
    <w:p w14:paraId="27F909E1" w14:textId="2747DD95" w:rsidR="00B812F5" w:rsidRPr="00FC5B96" w:rsidRDefault="00F2304A" w:rsidP="00915089">
      <w:pPr>
        <w:pStyle w:val="ListParagraph"/>
        <w:numPr>
          <w:ilvl w:val="0"/>
          <w:numId w:val="22"/>
        </w:numPr>
        <w:spacing w:before="120" w:after="120"/>
        <w:ind w:left="714" w:hanging="357"/>
        <w:contextualSpacing w:val="0"/>
        <w:rPr>
          <w:rFonts w:cs="Arial"/>
        </w:rPr>
      </w:pPr>
      <w:r w:rsidRPr="00FC5B96">
        <w:rPr>
          <w:rFonts w:cs="Arial"/>
        </w:rPr>
        <w:t xml:space="preserve">in </w:t>
      </w:r>
      <w:r w:rsidR="00435746" w:rsidRPr="00FC5B96">
        <w:rPr>
          <w:rFonts w:cs="Arial"/>
        </w:rPr>
        <w:t xml:space="preserve">the </w:t>
      </w:r>
      <w:r w:rsidRPr="00FC5B96">
        <w:rPr>
          <w:rFonts w:cs="Arial"/>
        </w:rPr>
        <w:t>financial management</w:t>
      </w:r>
      <w:r w:rsidR="00435746" w:rsidRPr="00FC5B96">
        <w:rPr>
          <w:rFonts w:cs="Arial"/>
        </w:rPr>
        <w:t xml:space="preserve"> of the corporation or entity</w:t>
      </w:r>
      <w:r w:rsidRPr="00FC5B96">
        <w:rPr>
          <w:rFonts w:cs="Arial"/>
        </w:rPr>
        <w:t xml:space="preserve"> (for example, a chief financial officer)</w:t>
      </w:r>
      <w:r w:rsidR="00E155F7" w:rsidRPr="00FC5B96">
        <w:rPr>
          <w:rFonts w:cs="Arial"/>
        </w:rPr>
        <w:t>,</w:t>
      </w:r>
      <w:r w:rsidRPr="00FC5B96">
        <w:rPr>
          <w:rFonts w:cs="Arial"/>
        </w:rPr>
        <w:t xml:space="preserve"> or </w:t>
      </w:r>
    </w:p>
    <w:p w14:paraId="5E6B2C37" w14:textId="7517FDF9" w:rsidR="00FF1202" w:rsidRPr="00FC5B96" w:rsidRDefault="00F2304A" w:rsidP="00915089">
      <w:pPr>
        <w:pStyle w:val="ListParagraph"/>
        <w:numPr>
          <w:ilvl w:val="0"/>
          <w:numId w:val="22"/>
        </w:numPr>
        <w:spacing w:before="120" w:after="120"/>
        <w:ind w:left="714" w:hanging="357"/>
        <w:contextualSpacing w:val="0"/>
        <w:rPr>
          <w:rFonts w:cs="Arial"/>
        </w:rPr>
      </w:pPr>
      <w:proofErr w:type="gramStart"/>
      <w:r w:rsidRPr="00FC5B96">
        <w:rPr>
          <w:rFonts w:cs="Arial"/>
        </w:rPr>
        <w:t>decisions</w:t>
      </w:r>
      <w:proofErr w:type="gramEnd"/>
      <w:r w:rsidRPr="00FC5B96">
        <w:rPr>
          <w:rFonts w:cs="Arial"/>
        </w:rPr>
        <w:t xml:space="preserve"> relating to significant investments or projects. </w:t>
      </w:r>
      <w:r w:rsidR="00CF76D5" w:rsidRPr="00FC5B96">
        <w:rPr>
          <w:rFonts w:cs="Arial"/>
        </w:rPr>
        <w:t xml:space="preserve"> </w:t>
      </w:r>
    </w:p>
    <w:p w14:paraId="53A5A68C" w14:textId="3BDEFE28" w:rsidR="00012021" w:rsidRPr="00FC5B96" w:rsidRDefault="000E378B" w:rsidP="00012021">
      <w:pPr>
        <w:spacing w:before="120" w:after="120"/>
        <w:rPr>
          <w:rFonts w:cs="Arial"/>
          <w:szCs w:val="10"/>
        </w:rPr>
      </w:pPr>
      <w:r w:rsidRPr="00FC5B96">
        <w:rPr>
          <w:rFonts w:cs="Arial"/>
          <w:szCs w:val="10"/>
        </w:rPr>
        <w:t>A person who makes high value financial transactions as part of their role in a</w:t>
      </w:r>
      <w:r w:rsidR="00A961B2" w:rsidRPr="00FC5B96">
        <w:rPr>
          <w:rFonts w:cs="Arial"/>
          <w:szCs w:val="10"/>
        </w:rPr>
        <w:t xml:space="preserve"> corporation or entity </w:t>
      </w:r>
      <w:r w:rsidR="00270663" w:rsidRPr="00FC5B96">
        <w:rPr>
          <w:rFonts w:cs="Arial"/>
          <w:szCs w:val="10"/>
        </w:rPr>
        <w:t xml:space="preserve">is </w:t>
      </w:r>
      <w:r w:rsidRPr="00FC5B96">
        <w:rPr>
          <w:rFonts w:cs="Arial"/>
          <w:szCs w:val="10"/>
        </w:rPr>
        <w:t xml:space="preserve">not </w:t>
      </w:r>
      <w:r w:rsidR="00270663" w:rsidRPr="00FC5B96">
        <w:rPr>
          <w:rFonts w:cs="Arial"/>
          <w:szCs w:val="10"/>
        </w:rPr>
        <w:t>necessarily</w:t>
      </w:r>
      <w:r w:rsidRPr="00FC5B96">
        <w:rPr>
          <w:rFonts w:cs="Arial"/>
          <w:szCs w:val="10"/>
        </w:rPr>
        <w:t xml:space="preserve"> an </w:t>
      </w:r>
      <w:r w:rsidR="00CD2F90" w:rsidRPr="00FC5B96">
        <w:rPr>
          <w:rFonts w:cs="Arial"/>
          <w:szCs w:val="10"/>
        </w:rPr>
        <w:t>officer under the model WHS Act.</w:t>
      </w:r>
      <w:r w:rsidRPr="00FC5B96">
        <w:rPr>
          <w:rFonts w:cs="Arial"/>
          <w:szCs w:val="10"/>
        </w:rPr>
        <w:t xml:space="preserve"> </w:t>
      </w:r>
      <w:r w:rsidR="00BD6BEB" w:rsidRPr="00FC5B96">
        <w:rPr>
          <w:rFonts w:cs="Arial"/>
          <w:szCs w:val="10"/>
        </w:rPr>
        <w:t xml:space="preserve">It </w:t>
      </w:r>
      <w:r w:rsidR="00581C15" w:rsidRPr="00FC5B96">
        <w:rPr>
          <w:rFonts w:cs="Arial"/>
          <w:szCs w:val="10"/>
        </w:rPr>
        <w:t>will depend</w:t>
      </w:r>
      <w:r w:rsidR="00BD6BEB" w:rsidRPr="00FC5B96">
        <w:rPr>
          <w:rFonts w:cs="Arial"/>
          <w:szCs w:val="10"/>
        </w:rPr>
        <w:t xml:space="preserve"> on</w:t>
      </w:r>
      <w:r w:rsidR="00DF121E" w:rsidRPr="00FC5B96">
        <w:rPr>
          <w:rFonts w:cs="Arial"/>
          <w:szCs w:val="10"/>
        </w:rPr>
        <w:t xml:space="preserve"> the circumstances</w:t>
      </w:r>
      <w:r w:rsidR="00FF1202" w:rsidRPr="00FC5B96">
        <w:rPr>
          <w:rFonts w:cs="Arial"/>
          <w:szCs w:val="10"/>
        </w:rPr>
        <w:t>,</w:t>
      </w:r>
      <w:r w:rsidR="00DF121E" w:rsidRPr="00FC5B96">
        <w:rPr>
          <w:rFonts w:cs="Arial"/>
          <w:szCs w:val="10"/>
        </w:rPr>
        <w:t xml:space="preserve"> including</w:t>
      </w:r>
      <w:r w:rsidR="00012021" w:rsidRPr="00FC5B96">
        <w:rPr>
          <w:rFonts w:cs="Arial"/>
          <w:szCs w:val="10"/>
        </w:rPr>
        <w:t xml:space="preserve"> </w:t>
      </w:r>
      <w:r w:rsidR="00BD6BEB" w:rsidRPr="00FC5B96">
        <w:rPr>
          <w:rFonts w:cs="Arial"/>
          <w:szCs w:val="10"/>
        </w:rPr>
        <w:t>whet</w:t>
      </w:r>
      <w:r w:rsidR="00DF121E" w:rsidRPr="00FC5B96">
        <w:rPr>
          <w:rFonts w:cs="Arial"/>
          <w:szCs w:val="10"/>
        </w:rPr>
        <w:t>her the</w:t>
      </w:r>
      <w:r w:rsidR="00591D4D" w:rsidRPr="00FC5B96">
        <w:rPr>
          <w:rFonts w:cs="Arial"/>
          <w:szCs w:val="10"/>
        </w:rPr>
        <w:t xml:space="preserve"> </w:t>
      </w:r>
      <w:r w:rsidR="00BD6BEB" w:rsidRPr="00FC5B96">
        <w:rPr>
          <w:rFonts w:cs="Arial"/>
          <w:szCs w:val="10"/>
        </w:rPr>
        <w:t xml:space="preserve">value </w:t>
      </w:r>
      <w:r w:rsidR="00CD2F90" w:rsidRPr="00FC5B96">
        <w:rPr>
          <w:rFonts w:cs="Arial"/>
          <w:szCs w:val="10"/>
        </w:rPr>
        <w:t xml:space="preserve">of the transaction </w:t>
      </w:r>
      <w:r w:rsidR="00BD6BEB" w:rsidRPr="00FC5B96">
        <w:rPr>
          <w:rFonts w:cs="Arial"/>
          <w:szCs w:val="10"/>
        </w:rPr>
        <w:t>is significant in the context of the business</w:t>
      </w:r>
      <w:r w:rsidR="00FE5879" w:rsidRPr="00FC5B96">
        <w:rPr>
          <w:rFonts w:cs="Arial"/>
          <w:szCs w:val="10"/>
        </w:rPr>
        <w:t xml:space="preserve"> or undertaking</w:t>
      </w:r>
      <w:r w:rsidR="00BD6BEB" w:rsidRPr="00FC5B96">
        <w:rPr>
          <w:rFonts w:cs="Arial"/>
          <w:szCs w:val="10"/>
        </w:rPr>
        <w:t xml:space="preserve"> and the person’s other responsibilities</w:t>
      </w:r>
      <w:r w:rsidR="00591D4D" w:rsidRPr="00FC5B96">
        <w:rPr>
          <w:rFonts w:cs="Arial"/>
          <w:szCs w:val="10"/>
        </w:rPr>
        <w:t xml:space="preserve"> </w:t>
      </w:r>
      <w:r w:rsidR="00BD6BEB" w:rsidRPr="00FC5B96">
        <w:rPr>
          <w:rFonts w:cs="Arial"/>
          <w:szCs w:val="10"/>
        </w:rPr>
        <w:t xml:space="preserve">for financial management of the </w:t>
      </w:r>
      <w:r w:rsidR="00A961B2" w:rsidRPr="00FC5B96">
        <w:rPr>
          <w:rFonts w:cs="Arial"/>
          <w:szCs w:val="10"/>
        </w:rPr>
        <w:t>corporation or entity</w:t>
      </w:r>
      <w:r w:rsidR="00BD6BEB" w:rsidRPr="00FC5B96">
        <w:rPr>
          <w:rFonts w:cs="Arial"/>
          <w:szCs w:val="10"/>
        </w:rPr>
        <w:t xml:space="preserve">. </w:t>
      </w:r>
    </w:p>
    <w:p w14:paraId="508C28F3" w14:textId="551E8F1B" w:rsidR="00EC0CF7" w:rsidRPr="00FC5B96" w:rsidRDefault="00BD6BEB" w:rsidP="00012021">
      <w:pPr>
        <w:spacing w:before="120" w:after="120"/>
        <w:rPr>
          <w:rFonts w:cs="Arial"/>
          <w:szCs w:val="10"/>
        </w:rPr>
      </w:pPr>
      <w:r w:rsidRPr="00FC5B96">
        <w:rPr>
          <w:rFonts w:cs="Arial"/>
          <w:szCs w:val="10"/>
        </w:rPr>
        <w:t>For exam</w:t>
      </w:r>
      <w:r w:rsidR="00591D4D" w:rsidRPr="00FC5B96">
        <w:rPr>
          <w:rFonts w:cs="Arial"/>
          <w:szCs w:val="10"/>
        </w:rPr>
        <w:t xml:space="preserve">ple, </w:t>
      </w:r>
      <w:r w:rsidR="00DF121E" w:rsidRPr="00FC5B96">
        <w:rPr>
          <w:rFonts w:cs="Arial"/>
          <w:szCs w:val="10"/>
        </w:rPr>
        <w:t>a</w:t>
      </w:r>
      <w:r w:rsidR="00EA217C" w:rsidRPr="00FC5B96">
        <w:rPr>
          <w:rFonts w:cs="Arial"/>
          <w:szCs w:val="10"/>
        </w:rPr>
        <w:t xml:space="preserve">n employee who has authority to approve or make financial transactions that are of a high dollar value may not be an officer if </w:t>
      </w:r>
      <w:r w:rsidRPr="00FC5B96">
        <w:rPr>
          <w:rFonts w:cs="Arial"/>
          <w:szCs w:val="10"/>
        </w:rPr>
        <w:t>the val</w:t>
      </w:r>
      <w:r w:rsidR="00591D4D" w:rsidRPr="00FC5B96">
        <w:rPr>
          <w:rFonts w:cs="Arial"/>
          <w:szCs w:val="10"/>
        </w:rPr>
        <w:t>ue of those t</w:t>
      </w:r>
      <w:r w:rsidR="00EA217C" w:rsidRPr="00FC5B96">
        <w:rPr>
          <w:rFonts w:cs="Arial"/>
          <w:szCs w:val="10"/>
        </w:rPr>
        <w:t>ransactions</w:t>
      </w:r>
      <w:r w:rsidR="00EC3F19" w:rsidRPr="00FC5B96">
        <w:rPr>
          <w:rFonts w:cs="Arial"/>
          <w:szCs w:val="10"/>
        </w:rPr>
        <w:t xml:space="preserve"> is</w:t>
      </w:r>
      <w:r w:rsidR="00591D4D" w:rsidRPr="00FC5B96">
        <w:rPr>
          <w:rFonts w:cs="Arial"/>
          <w:szCs w:val="10"/>
        </w:rPr>
        <w:t xml:space="preserve"> </w:t>
      </w:r>
      <w:r w:rsidRPr="00FC5B96">
        <w:rPr>
          <w:rFonts w:cs="Arial"/>
          <w:szCs w:val="10"/>
        </w:rPr>
        <w:t xml:space="preserve">not significant </w:t>
      </w:r>
      <w:r w:rsidR="00591D4D" w:rsidRPr="00FC5B96">
        <w:rPr>
          <w:rFonts w:cs="Arial"/>
          <w:szCs w:val="10"/>
        </w:rPr>
        <w:t xml:space="preserve">to the </w:t>
      </w:r>
      <w:r w:rsidR="000E378B" w:rsidRPr="00FC5B96">
        <w:rPr>
          <w:rFonts w:cs="Arial"/>
          <w:szCs w:val="10"/>
        </w:rPr>
        <w:t>overall business of the</w:t>
      </w:r>
      <w:r w:rsidR="00A961B2" w:rsidRPr="00FC5B96">
        <w:rPr>
          <w:rFonts w:cs="Arial"/>
          <w:szCs w:val="10"/>
        </w:rPr>
        <w:t xml:space="preserve"> corporation or entity</w:t>
      </w:r>
      <w:r w:rsidR="00591D4D" w:rsidRPr="00FC5B96">
        <w:rPr>
          <w:rFonts w:cs="Arial"/>
          <w:szCs w:val="10"/>
        </w:rPr>
        <w:t xml:space="preserve">, </w:t>
      </w:r>
      <w:r w:rsidR="00EA217C" w:rsidRPr="00FC5B96">
        <w:rPr>
          <w:rFonts w:cs="Arial"/>
          <w:szCs w:val="10"/>
        </w:rPr>
        <w:t xml:space="preserve">the </w:t>
      </w:r>
      <w:r w:rsidR="000E378B" w:rsidRPr="00FC5B96">
        <w:rPr>
          <w:rFonts w:cs="Arial"/>
          <w:szCs w:val="10"/>
        </w:rPr>
        <w:t xml:space="preserve">transactions are carried out under the supervision and </w:t>
      </w:r>
      <w:r w:rsidR="00EA217C" w:rsidRPr="00FC5B96">
        <w:rPr>
          <w:rFonts w:cs="Arial"/>
          <w:szCs w:val="10"/>
        </w:rPr>
        <w:t xml:space="preserve">direction of </w:t>
      </w:r>
      <w:r w:rsidR="005A45D2" w:rsidRPr="00FC5B96">
        <w:rPr>
          <w:rFonts w:cs="Arial"/>
          <w:szCs w:val="10"/>
        </w:rPr>
        <w:t>a manager</w:t>
      </w:r>
      <w:r w:rsidR="00EA217C" w:rsidRPr="00FC5B96">
        <w:rPr>
          <w:rFonts w:cs="Arial"/>
          <w:szCs w:val="10"/>
        </w:rPr>
        <w:t xml:space="preserve">, </w:t>
      </w:r>
      <w:r w:rsidR="00591D4D" w:rsidRPr="00FC5B96">
        <w:rPr>
          <w:rFonts w:cs="Arial"/>
          <w:szCs w:val="10"/>
        </w:rPr>
        <w:t xml:space="preserve">and </w:t>
      </w:r>
      <w:r w:rsidR="00581C15" w:rsidRPr="00FC5B96">
        <w:rPr>
          <w:rFonts w:cs="Arial"/>
          <w:szCs w:val="10"/>
        </w:rPr>
        <w:t>the employee</w:t>
      </w:r>
      <w:r w:rsidR="00EC3F19" w:rsidRPr="00FC5B96">
        <w:rPr>
          <w:rFonts w:cs="Arial"/>
          <w:szCs w:val="10"/>
        </w:rPr>
        <w:t xml:space="preserve"> do</w:t>
      </w:r>
      <w:r w:rsidR="00581C15" w:rsidRPr="00FC5B96">
        <w:rPr>
          <w:rFonts w:cs="Arial"/>
          <w:szCs w:val="10"/>
        </w:rPr>
        <w:t>es</w:t>
      </w:r>
      <w:r w:rsidR="00EC3F19" w:rsidRPr="00FC5B96">
        <w:rPr>
          <w:rFonts w:cs="Arial"/>
          <w:szCs w:val="10"/>
        </w:rPr>
        <w:t xml:space="preserve"> </w:t>
      </w:r>
      <w:r w:rsidR="00591D4D" w:rsidRPr="00FC5B96">
        <w:rPr>
          <w:rFonts w:cs="Arial"/>
          <w:szCs w:val="10"/>
        </w:rPr>
        <w:t xml:space="preserve">not have any other </w:t>
      </w:r>
      <w:r w:rsidR="00EC3F19" w:rsidRPr="00FC5B96">
        <w:rPr>
          <w:rFonts w:cs="Arial"/>
          <w:szCs w:val="10"/>
        </w:rPr>
        <w:t>financial management</w:t>
      </w:r>
      <w:r w:rsidR="00FF1202" w:rsidRPr="00FC5B96">
        <w:rPr>
          <w:rFonts w:cs="Arial"/>
          <w:szCs w:val="10"/>
        </w:rPr>
        <w:t xml:space="preserve"> responsibilities</w:t>
      </w:r>
      <w:r w:rsidR="0019566F">
        <w:rPr>
          <w:rFonts w:cs="Arial"/>
          <w:szCs w:val="10"/>
        </w:rPr>
        <w:t>.</w:t>
      </w:r>
    </w:p>
    <w:p w14:paraId="69D017F2" w14:textId="7F637AA7" w:rsidR="00A0733B" w:rsidRPr="00FC5B96" w:rsidDel="006A33B7" w:rsidRDefault="00270663" w:rsidP="00B24B91">
      <w:pPr>
        <w:pStyle w:val="Heading3"/>
      </w:pPr>
      <w:r w:rsidRPr="00FC5B96" w:rsidDel="006A33B7">
        <w:t>Volunteers</w:t>
      </w:r>
      <w:r w:rsidR="001C5A2C" w:rsidRPr="00FC5B96" w:rsidDel="006A33B7">
        <w:t xml:space="preserve"> can be officers</w:t>
      </w:r>
    </w:p>
    <w:p w14:paraId="6F338E7B" w14:textId="0A4F1AB8" w:rsidR="000824EB" w:rsidRPr="00FC5B96" w:rsidDel="006A33B7" w:rsidRDefault="00A0733B" w:rsidP="00A0733B">
      <w:pPr>
        <w:spacing w:before="120" w:after="120"/>
        <w:rPr>
          <w:rFonts w:cs="Arial"/>
          <w:szCs w:val="10"/>
        </w:rPr>
      </w:pPr>
      <w:r w:rsidRPr="00FC5B96" w:rsidDel="006A33B7">
        <w:rPr>
          <w:rFonts w:cs="Arial"/>
          <w:szCs w:val="10"/>
        </w:rPr>
        <w:t>A volunteer is a person</w:t>
      </w:r>
      <w:r w:rsidR="006C46E5" w:rsidRPr="00FC5B96" w:rsidDel="006A33B7">
        <w:rPr>
          <w:rFonts w:cs="Arial"/>
          <w:szCs w:val="10"/>
        </w:rPr>
        <w:t xml:space="preserve"> </w:t>
      </w:r>
      <w:r w:rsidR="000824EB" w:rsidRPr="00FC5B96" w:rsidDel="006A33B7">
        <w:rPr>
          <w:rFonts w:cs="Arial"/>
          <w:szCs w:val="10"/>
        </w:rPr>
        <w:t>acting on a voluntary basis</w:t>
      </w:r>
      <w:r w:rsidR="006C46E5" w:rsidRPr="00FC5B96" w:rsidDel="006A33B7">
        <w:rPr>
          <w:rFonts w:cs="Arial"/>
          <w:szCs w:val="10"/>
        </w:rPr>
        <w:t xml:space="preserve"> without payment or </w:t>
      </w:r>
      <w:r w:rsidR="000824EB" w:rsidRPr="00FC5B96" w:rsidDel="006A33B7">
        <w:rPr>
          <w:rFonts w:cs="Arial"/>
          <w:szCs w:val="10"/>
        </w:rPr>
        <w:t xml:space="preserve">financial </w:t>
      </w:r>
      <w:r w:rsidR="006C46E5" w:rsidRPr="00FC5B96" w:rsidDel="006A33B7">
        <w:rPr>
          <w:rFonts w:cs="Arial"/>
          <w:szCs w:val="10"/>
        </w:rPr>
        <w:t>reward</w:t>
      </w:r>
      <w:r w:rsidRPr="00FC5B96" w:rsidDel="006A33B7">
        <w:rPr>
          <w:rFonts w:cs="Arial"/>
          <w:szCs w:val="10"/>
        </w:rPr>
        <w:t>, although t</w:t>
      </w:r>
      <w:r w:rsidR="00F3788A" w:rsidRPr="00FC5B96" w:rsidDel="006A33B7">
        <w:rPr>
          <w:rFonts w:cs="Arial"/>
          <w:szCs w:val="10"/>
        </w:rPr>
        <w:t>hey may receive reimbursement for</w:t>
      </w:r>
      <w:r w:rsidRPr="00FC5B96" w:rsidDel="006A33B7">
        <w:rPr>
          <w:rFonts w:cs="Arial"/>
          <w:szCs w:val="10"/>
        </w:rPr>
        <w:t xml:space="preserve"> expenses incurred by them. </w:t>
      </w:r>
    </w:p>
    <w:p w14:paraId="54F394C8" w14:textId="77777777" w:rsidR="00A517F0" w:rsidRPr="00FC5B96" w:rsidRDefault="00A0733B" w:rsidP="00A0733B">
      <w:pPr>
        <w:spacing w:before="120" w:after="120"/>
        <w:rPr>
          <w:rFonts w:cs="Arial"/>
          <w:szCs w:val="10"/>
        </w:rPr>
      </w:pPr>
      <w:r w:rsidRPr="00FC5B96" w:rsidDel="006A33B7">
        <w:rPr>
          <w:rFonts w:cs="Arial"/>
          <w:szCs w:val="10"/>
        </w:rPr>
        <w:t>A volunteer may be an office</w:t>
      </w:r>
      <w:r w:rsidR="00270663" w:rsidRPr="00FC5B96" w:rsidDel="006A33B7">
        <w:rPr>
          <w:rFonts w:cs="Arial"/>
          <w:szCs w:val="10"/>
        </w:rPr>
        <w:t>r</w:t>
      </w:r>
      <w:r w:rsidR="00A517F0" w:rsidRPr="00FC5B96">
        <w:rPr>
          <w:rFonts w:cs="Arial"/>
          <w:szCs w:val="10"/>
        </w:rPr>
        <w:t xml:space="preserve"> if they:</w:t>
      </w:r>
    </w:p>
    <w:p w14:paraId="2DA605A1" w14:textId="5F9164BA" w:rsidR="00A517F0" w:rsidRPr="00FC5B96" w:rsidRDefault="000824EB" w:rsidP="00915089">
      <w:pPr>
        <w:pStyle w:val="ListParagraph"/>
        <w:numPr>
          <w:ilvl w:val="0"/>
          <w:numId w:val="36"/>
        </w:numPr>
        <w:spacing w:before="120" w:after="120"/>
        <w:rPr>
          <w:rFonts w:cs="Arial"/>
          <w:szCs w:val="10"/>
        </w:rPr>
      </w:pPr>
      <w:r w:rsidRPr="00FC5B96" w:rsidDel="006A33B7">
        <w:rPr>
          <w:rFonts w:cs="Arial"/>
          <w:sz w:val="23"/>
          <w:szCs w:val="23"/>
          <w:shd w:val="clear" w:color="auto" w:fill="FFFFFF"/>
        </w:rPr>
        <w:t>sit on a board or committee</w:t>
      </w:r>
      <w:r w:rsidR="00950B38" w:rsidRPr="00FC5B96" w:rsidDel="006A33B7">
        <w:rPr>
          <w:rFonts w:cs="Arial"/>
          <w:sz w:val="23"/>
          <w:szCs w:val="23"/>
          <w:shd w:val="clear" w:color="auto" w:fill="FFFFFF"/>
        </w:rPr>
        <w:t xml:space="preserve"> of an organisation</w:t>
      </w:r>
      <w:r w:rsidR="00A517F0" w:rsidRPr="00FC5B96">
        <w:rPr>
          <w:rFonts w:cs="Arial"/>
          <w:sz w:val="23"/>
          <w:szCs w:val="23"/>
          <w:shd w:val="clear" w:color="auto" w:fill="FFFFFF"/>
        </w:rPr>
        <w:t>;</w:t>
      </w:r>
    </w:p>
    <w:p w14:paraId="41621539" w14:textId="0F60D947" w:rsidR="00A517F0" w:rsidRPr="00FC5B96" w:rsidRDefault="00A517F0" w:rsidP="00915089">
      <w:pPr>
        <w:pStyle w:val="ListParagraph"/>
        <w:numPr>
          <w:ilvl w:val="0"/>
          <w:numId w:val="36"/>
        </w:numPr>
        <w:spacing w:before="120" w:after="120"/>
        <w:rPr>
          <w:rFonts w:cs="Arial"/>
          <w:szCs w:val="10"/>
        </w:rPr>
      </w:pPr>
      <w:r w:rsidRPr="00FC5B96">
        <w:rPr>
          <w:rFonts w:cs="Arial"/>
          <w:sz w:val="23"/>
          <w:szCs w:val="23"/>
          <w:shd w:val="clear" w:color="auto" w:fill="FFFFFF"/>
        </w:rPr>
        <w:t xml:space="preserve">are </w:t>
      </w:r>
      <w:r w:rsidR="000824EB" w:rsidRPr="00FC5B96" w:rsidDel="006A33B7">
        <w:rPr>
          <w:rFonts w:cs="Arial"/>
          <w:sz w:val="23"/>
          <w:szCs w:val="23"/>
          <w:shd w:val="clear" w:color="auto" w:fill="FFFFFF"/>
        </w:rPr>
        <w:t xml:space="preserve">in </w:t>
      </w:r>
      <w:r w:rsidRPr="00FC5B96">
        <w:rPr>
          <w:rFonts w:cs="Arial"/>
          <w:sz w:val="23"/>
          <w:szCs w:val="23"/>
          <w:shd w:val="clear" w:color="auto" w:fill="FFFFFF"/>
        </w:rPr>
        <w:t>a</w:t>
      </w:r>
      <w:r w:rsidR="000824EB" w:rsidRPr="00FC5B96" w:rsidDel="006A33B7">
        <w:rPr>
          <w:rFonts w:cs="Arial"/>
          <w:sz w:val="23"/>
          <w:szCs w:val="23"/>
          <w:shd w:val="clear" w:color="auto" w:fill="FFFFFF"/>
        </w:rPr>
        <w:t xml:space="preserve"> role where they make, or participate in making, decisions that affect the whole</w:t>
      </w:r>
      <w:r w:rsidR="00316B1A" w:rsidRPr="00FC5B96" w:rsidDel="006A33B7">
        <w:rPr>
          <w:rFonts w:cs="Arial"/>
          <w:sz w:val="23"/>
          <w:szCs w:val="23"/>
          <w:shd w:val="clear" w:color="auto" w:fill="FFFFFF"/>
        </w:rPr>
        <w:t>,</w:t>
      </w:r>
      <w:r w:rsidR="000824EB" w:rsidRPr="00FC5B96" w:rsidDel="006A33B7">
        <w:rPr>
          <w:rFonts w:cs="Arial"/>
          <w:sz w:val="23"/>
          <w:szCs w:val="23"/>
          <w:shd w:val="clear" w:color="auto" w:fill="FFFFFF"/>
        </w:rPr>
        <w:t xml:space="preserve"> or a substantial part of the organisation </w:t>
      </w:r>
      <w:r w:rsidR="005A45D2" w:rsidRPr="00FC5B96" w:rsidDel="006A33B7">
        <w:rPr>
          <w:rFonts w:cs="Arial"/>
          <w:sz w:val="23"/>
          <w:szCs w:val="23"/>
          <w:shd w:val="clear" w:color="auto" w:fill="FFFFFF"/>
        </w:rPr>
        <w:t>in which they volunteer</w:t>
      </w:r>
      <w:r w:rsidRPr="00FC5B96">
        <w:rPr>
          <w:rFonts w:cs="Arial"/>
          <w:sz w:val="23"/>
          <w:szCs w:val="23"/>
          <w:shd w:val="clear" w:color="auto" w:fill="FFFFFF"/>
        </w:rPr>
        <w:t>; or</w:t>
      </w:r>
    </w:p>
    <w:p w14:paraId="27EDF048" w14:textId="30997D6B" w:rsidR="00A0733B" w:rsidRPr="00FC5B96" w:rsidDel="006A33B7" w:rsidRDefault="00A517F0" w:rsidP="00915089">
      <w:pPr>
        <w:pStyle w:val="ListParagraph"/>
        <w:numPr>
          <w:ilvl w:val="0"/>
          <w:numId w:val="36"/>
        </w:numPr>
        <w:spacing w:before="120" w:after="120"/>
        <w:rPr>
          <w:rFonts w:cs="Arial"/>
          <w:szCs w:val="10"/>
        </w:rPr>
      </w:pPr>
      <w:r w:rsidRPr="00FC5B96">
        <w:rPr>
          <w:rFonts w:cs="Arial"/>
          <w:sz w:val="23"/>
          <w:szCs w:val="23"/>
          <w:shd w:val="clear" w:color="auto" w:fill="FFFFFF"/>
        </w:rPr>
        <w:t xml:space="preserve">are </w:t>
      </w:r>
      <w:r w:rsidR="00950B38" w:rsidRPr="00FC5B96" w:rsidDel="006A33B7">
        <w:rPr>
          <w:rFonts w:cs="Arial"/>
          <w:sz w:val="23"/>
          <w:szCs w:val="23"/>
          <w:shd w:val="clear" w:color="auto" w:fill="FFFFFF"/>
        </w:rPr>
        <w:t xml:space="preserve">in a position where they </w:t>
      </w:r>
      <w:r w:rsidR="000824EB" w:rsidRPr="00FC5B96" w:rsidDel="006A33B7">
        <w:rPr>
          <w:rFonts w:cs="Arial"/>
          <w:sz w:val="23"/>
          <w:szCs w:val="23"/>
          <w:shd w:val="clear" w:color="auto" w:fill="FFFFFF"/>
        </w:rPr>
        <w:t>have the capacity t</w:t>
      </w:r>
      <w:r w:rsidR="00950B38" w:rsidRPr="00FC5B96" w:rsidDel="006A33B7">
        <w:rPr>
          <w:rFonts w:cs="Arial"/>
          <w:sz w:val="23"/>
          <w:szCs w:val="23"/>
          <w:shd w:val="clear" w:color="auto" w:fill="FFFFFF"/>
        </w:rPr>
        <w:t>o significantly affect the</w:t>
      </w:r>
      <w:r w:rsidR="000824EB" w:rsidRPr="00FC5B96" w:rsidDel="006A33B7">
        <w:rPr>
          <w:rFonts w:cs="Arial"/>
          <w:sz w:val="23"/>
          <w:szCs w:val="23"/>
          <w:shd w:val="clear" w:color="auto" w:fill="FFFFFF"/>
        </w:rPr>
        <w:t xml:space="preserve"> financial standing</w:t>
      </w:r>
      <w:r w:rsidR="000E378B" w:rsidRPr="00FC5B96" w:rsidDel="006A33B7">
        <w:rPr>
          <w:rFonts w:cs="Arial"/>
          <w:sz w:val="23"/>
          <w:szCs w:val="23"/>
          <w:shd w:val="clear" w:color="auto" w:fill="FFFFFF"/>
        </w:rPr>
        <w:t xml:space="preserve"> </w:t>
      </w:r>
      <w:r w:rsidR="00950B38" w:rsidRPr="00FC5B96" w:rsidDel="006A33B7">
        <w:rPr>
          <w:rFonts w:cs="Arial"/>
          <w:sz w:val="23"/>
          <w:szCs w:val="23"/>
          <w:shd w:val="clear" w:color="auto" w:fill="FFFFFF"/>
        </w:rPr>
        <w:t>of a</w:t>
      </w:r>
      <w:r w:rsidR="00035B17" w:rsidRPr="00FC5B96" w:rsidDel="006A33B7">
        <w:rPr>
          <w:rFonts w:cs="Arial"/>
          <w:sz w:val="23"/>
          <w:szCs w:val="23"/>
          <w:shd w:val="clear" w:color="auto" w:fill="FFFFFF"/>
        </w:rPr>
        <w:t>n organisation</w:t>
      </w:r>
      <w:r w:rsidRPr="00FC5B96">
        <w:rPr>
          <w:rFonts w:cs="Arial"/>
          <w:sz w:val="23"/>
          <w:szCs w:val="23"/>
          <w:shd w:val="clear" w:color="auto" w:fill="FFFFFF"/>
        </w:rPr>
        <w:t xml:space="preserve"> in which they volunteer</w:t>
      </w:r>
      <w:r w:rsidR="000824EB" w:rsidRPr="00FC5B96" w:rsidDel="006A33B7">
        <w:rPr>
          <w:rFonts w:cs="Arial"/>
          <w:sz w:val="23"/>
          <w:szCs w:val="23"/>
          <w:shd w:val="clear" w:color="auto" w:fill="FFFFFF"/>
        </w:rPr>
        <w:t xml:space="preserve"> </w:t>
      </w:r>
    </w:p>
    <w:p w14:paraId="6E27CDB3" w14:textId="0B6D5096" w:rsidR="002E5B12" w:rsidRPr="00FC5B96" w:rsidDel="006A33B7" w:rsidRDefault="00A0733B" w:rsidP="00F2304A">
      <w:pPr>
        <w:spacing w:before="240" w:after="120"/>
        <w:rPr>
          <w:rFonts w:cs="Arial"/>
          <w:szCs w:val="10"/>
        </w:rPr>
      </w:pPr>
      <w:r w:rsidRPr="00FC5B96" w:rsidDel="006A33B7">
        <w:rPr>
          <w:rFonts w:cs="Arial"/>
          <w:szCs w:val="10"/>
        </w:rPr>
        <w:t>A volunteer who is an officer</w:t>
      </w:r>
      <w:r w:rsidR="00035B17" w:rsidRPr="00FC5B96" w:rsidDel="006A33B7">
        <w:rPr>
          <w:rFonts w:cs="Arial"/>
          <w:szCs w:val="10"/>
        </w:rPr>
        <w:t xml:space="preserve"> </w:t>
      </w:r>
      <w:r w:rsidR="00950B38" w:rsidRPr="00FC5B96" w:rsidDel="006A33B7">
        <w:rPr>
          <w:rFonts w:cs="Arial"/>
          <w:szCs w:val="10"/>
        </w:rPr>
        <w:t>has</w:t>
      </w:r>
      <w:r w:rsidRPr="00FC5B96" w:rsidDel="006A33B7">
        <w:rPr>
          <w:rFonts w:cs="Arial"/>
          <w:szCs w:val="10"/>
        </w:rPr>
        <w:t xml:space="preserve"> a duty </w:t>
      </w:r>
      <w:r w:rsidR="00F15212" w:rsidRPr="00FC5B96" w:rsidDel="006A33B7">
        <w:rPr>
          <w:rFonts w:cs="Arial"/>
          <w:szCs w:val="10"/>
        </w:rPr>
        <w:t>to exercise due diligence</w:t>
      </w:r>
      <w:r w:rsidR="000759B7" w:rsidRPr="00FC5B96" w:rsidDel="006A33B7">
        <w:rPr>
          <w:rFonts w:cs="Arial"/>
          <w:szCs w:val="10"/>
        </w:rPr>
        <w:t xml:space="preserve">, but </w:t>
      </w:r>
      <w:r w:rsidRPr="00FC5B96" w:rsidDel="006A33B7">
        <w:rPr>
          <w:rFonts w:cs="Arial"/>
          <w:szCs w:val="10"/>
        </w:rPr>
        <w:t>cannot be prosecuted for failing to comply with that duty (see section 34(1) of the model WHS Act)</w:t>
      </w:r>
      <w:r w:rsidR="00035B17" w:rsidRPr="00FC5B96" w:rsidDel="006A33B7">
        <w:rPr>
          <w:rFonts w:cs="Arial"/>
          <w:szCs w:val="10"/>
        </w:rPr>
        <w:t xml:space="preserve">. </w:t>
      </w:r>
      <w:r w:rsidR="001C5A2C" w:rsidRPr="00FC5B96" w:rsidDel="006A33B7">
        <w:rPr>
          <w:rFonts w:cs="Arial"/>
          <w:szCs w:val="10"/>
        </w:rPr>
        <w:t>A</w:t>
      </w:r>
      <w:r w:rsidR="00035B17" w:rsidRPr="00FC5B96" w:rsidDel="006A33B7">
        <w:rPr>
          <w:rFonts w:cs="Arial"/>
          <w:szCs w:val="10"/>
        </w:rPr>
        <w:t xml:space="preserve"> volunteer can </w:t>
      </w:r>
      <w:r w:rsidR="00950B38" w:rsidRPr="00FC5B96" w:rsidDel="006A33B7">
        <w:rPr>
          <w:rFonts w:cs="Arial"/>
          <w:szCs w:val="10"/>
        </w:rPr>
        <w:t xml:space="preserve">be prosecuted </w:t>
      </w:r>
      <w:r w:rsidR="009817DA" w:rsidRPr="00FC5B96" w:rsidDel="006A33B7">
        <w:rPr>
          <w:rFonts w:cs="Arial"/>
          <w:szCs w:val="10"/>
        </w:rPr>
        <w:t xml:space="preserve">if they fail to comply with their duties </w:t>
      </w:r>
      <w:r w:rsidR="00950B38" w:rsidRPr="00FC5B96" w:rsidDel="006A33B7">
        <w:rPr>
          <w:rFonts w:cs="Arial"/>
          <w:szCs w:val="10"/>
        </w:rPr>
        <w:t>as a ‘worker’.</w:t>
      </w:r>
    </w:p>
    <w:p w14:paraId="7088F4A4" w14:textId="1F92CD66" w:rsidR="001C5A2C" w:rsidRPr="00FC5B96" w:rsidDel="006A33B7" w:rsidRDefault="001C5A2C" w:rsidP="00B24B91">
      <w:pPr>
        <w:pStyle w:val="Heading3"/>
      </w:pPr>
      <w:r w:rsidRPr="00FC5B96" w:rsidDel="006A33B7">
        <w:t>An elected member of a local authority is not an officer</w:t>
      </w:r>
    </w:p>
    <w:p w14:paraId="479AA9FC" w14:textId="3B4CA8B3" w:rsidR="001C5A2C" w:rsidRPr="00FC5B96" w:rsidDel="006A33B7" w:rsidRDefault="001C5A2C" w:rsidP="001C5A2C">
      <w:pPr>
        <w:spacing w:before="120" w:after="120"/>
        <w:rPr>
          <w:rFonts w:cs="Arial"/>
          <w:szCs w:val="10"/>
        </w:rPr>
      </w:pPr>
      <w:r w:rsidRPr="00FC5B96" w:rsidDel="006A33B7">
        <w:rPr>
          <w:rFonts w:cs="Arial"/>
          <w:szCs w:val="10"/>
        </w:rPr>
        <w:t>An elected member of a local authority (such as a municipal council) is also not an officer under the model WHS Act, when they are acting in that capacity.</w:t>
      </w:r>
    </w:p>
    <w:p w14:paraId="34BC064A" w14:textId="5EAB0536" w:rsidR="00F2304A" w:rsidRPr="00FC5B96" w:rsidRDefault="00F2304A" w:rsidP="00B24B91">
      <w:pPr>
        <w:pStyle w:val="Heading2"/>
      </w:pPr>
      <w:r w:rsidRPr="00FC5B96">
        <w:t>What</w:t>
      </w:r>
      <w:r w:rsidR="002E5B12" w:rsidRPr="00FC5B96">
        <w:t xml:space="preserve"> </w:t>
      </w:r>
      <w:r w:rsidR="00915089" w:rsidRPr="00FC5B96">
        <w:t>does the officer duty require</w:t>
      </w:r>
      <w:r w:rsidR="005C1E9E" w:rsidRPr="00FC5B96">
        <w:t>?</w:t>
      </w:r>
      <w:r w:rsidR="00A46E77" w:rsidRPr="00FC5B96">
        <w:t xml:space="preserve"> </w:t>
      </w:r>
    </w:p>
    <w:p w14:paraId="2C4A23AB" w14:textId="1A32429B" w:rsidR="004E7704" w:rsidRPr="00FC5B96" w:rsidRDefault="004E7704" w:rsidP="00F2304A">
      <w:pPr>
        <w:spacing w:before="120" w:after="120"/>
        <w:rPr>
          <w:rFonts w:cs="Arial"/>
          <w:szCs w:val="10"/>
        </w:rPr>
      </w:pPr>
      <w:r w:rsidRPr="00FC5B96">
        <w:rPr>
          <w:rFonts w:cs="Arial"/>
        </w:rPr>
        <w:lastRenderedPageBreak/>
        <w:t xml:space="preserve">An officer’s duty is to exercise ‘due diligence’ to ensure their PCBU </w:t>
      </w:r>
      <w:r w:rsidR="00053163" w:rsidRPr="00FC5B96">
        <w:rPr>
          <w:rFonts w:cs="Arial"/>
        </w:rPr>
        <w:t>meets its duties to protect workers and other persons against harm to health and safety</w:t>
      </w:r>
      <w:r w:rsidRPr="00FC5B96">
        <w:rPr>
          <w:rFonts w:cs="Arial"/>
        </w:rPr>
        <w:t xml:space="preserve">. </w:t>
      </w:r>
      <w:r w:rsidRPr="00FC5B96">
        <w:rPr>
          <w:rFonts w:cs="Arial"/>
          <w:szCs w:val="10"/>
        </w:rPr>
        <w:t>Amongst other things,</w:t>
      </w:r>
      <w:r w:rsidR="008E697B" w:rsidRPr="00FC5B96">
        <w:rPr>
          <w:rFonts w:cs="Arial"/>
          <w:szCs w:val="10"/>
        </w:rPr>
        <w:t xml:space="preserve"> this means</w:t>
      </w:r>
      <w:r w:rsidRPr="00FC5B96">
        <w:rPr>
          <w:rFonts w:cs="Arial"/>
          <w:szCs w:val="10"/>
        </w:rPr>
        <w:t xml:space="preserve"> an officer must ensure that the PCBU has in place appropriate systems of work and must actively monitor and evaluate </w:t>
      </w:r>
      <w:r w:rsidR="00BF2051" w:rsidRPr="00FC5B96">
        <w:rPr>
          <w:rFonts w:cs="Arial"/>
          <w:szCs w:val="10"/>
        </w:rPr>
        <w:t>WHS</w:t>
      </w:r>
      <w:r w:rsidRPr="00FC5B96">
        <w:rPr>
          <w:rFonts w:cs="Arial"/>
          <w:szCs w:val="10"/>
        </w:rPr>
        <w:t xml:space="preserve"> management. </w:t>
      </w:r>
    </w:p>
    <w:p w14:paraId="1AC89765" w14:textId="60FBE2B7" w:rsidR="001C5A2C" w:rsidRPr="00FC5B96" w:rsidRDefault="001C5A2C" w:rsidP="00B24B91">
      <w:pPr>
        <w:pStyle w:val="Heading3"/>
      </w:pPr>
      <w:r w:rsidRPr="00FC5B96">
        <w:t>Why is there an officer duty?</w:t>
      </w:r>
    </w:p>
    <w:p w14:paraId="1C64B930" w14:textId="79F11377" w:rsidR="001C5A2C" w:rsidRPr="00FC5B96" w:rsidRDefault="0005527A" w:rsidP="001C5A2C">
      <w:pPr>
        <w:spacing w:before="120" w:after="120"/>
        <w:rPr>
          <w:rFonts w:cs="Arial"/>
          <w:szCs w:val="10"/>
        </w:rPr>
      </w:pPr>
      <w:r w:rsidRPr="00FC5B96">
        <w:rPr>
          <w:rFonts w:cs="Arial"/>
          <w:szCs w:val="10"/>
        </w:rPr>
        <w:t>The officer</w:t>
      </w:r>
      <w:r w:rsidR="001C5A2C" w:rsidRPr="00FC5B96">
        <w:rPr>
          <w:rFonts w:cs="Arial"/>
          <w:szCs w:val="10"/>
        </w:rPr>
        <w:t xml:space="preserve"> duty recognises that officers have corporate governance responsibilities and, through their decisions and behaviour, strongly influence the culture and accountability of the business or undertaking. They can influence important decisions on the resources that will be made available for the purposes of WHS, and the policies that will be developed to support compliance by the PCBU with the model WHS laws. </w:t>
      </w:r>
    </w:p>
    <w:p w14:paraId="5F212274" w14:textId="5C3E4418" w:rsidR="001C5A2C" w:rsidRPr="00FC5B96" w:rsidRDefault="001C5A2C" w:rsidP="001C5A2C">
      <w:pPr>
        <w:spacing w:before="120" w:after="120"/>
        <w:rPr>
          <w:rFonts w:cs="Arial"/>
          <w:szCs w:val="10"/>
        </w:rPr>
      </w:pPr>
      <w:r w:rsidRPr="00FC5B96">
        <w:rPr>
          <w:rFonts w:cs="Arial"/>
          <w:szCs w:val="10"/>
        </w:rPr>
        <w:t xml:space="preserve">Each of the elements of due diligence set out in section 27(5) of the model WHS Act, and below, support accountability, allocation of resources, and development and implementation of appropriate policies for a healthy and safe work culture. </w:t>
      </w:r>
    </w:p>
    <w:p w14:paraId="1533A8F0" w14:textId="77777777" w:rsidR="001C5A2C" w:rsidRPr="00FC5B96" w:rsidRDefault="001C5A2C" w:rsidP="001C5A2C">
      <w:pPr>
        <w:spacing w:before="120" w:after="120"/>
        <w:rPr>
          <w:rFonts w:cs="Arial"/>
          <w:szCs w:val="10"/>
        </w:rPr>
      </w:pPr>
      <w:r w:rsidRPr="00FC5B96">
        <w:rPr>
          <w:rFonts w:cs="Arial"/>
          <w:szCs w:val="10"/>
        </w:rPr>
        <w:t xml:space="preserve">An officer (other than a volunteer officer) may be prosecuted for failing to meet their duty, whether or not their PCBU has also been convicted or found guilty of an offence. This means the failure of an officer does not need to be tied to any failure or breach of the PCBU in order for the officer to be prosecuted. </w:t>
      </w:r>
    </w:p>
    <w:p w14:paraId="33472858" w14:textId="77777777" w:rsidR="005C1E9E" w:rsidRPr="00FC5B96" w:rsidRDefault="005C1E9E" w:rsidP="00B24B91">
      <w:pPr>
        <w:pStyle w:val="Heading3"/>
      </w:pPr>
      <w:r w:rsidRPr="00FC5B96">
        <w:t>Due diligence</w:t>
      </w:r>
    </w:p>
    <w:p w14:paraId="51A5822C" w14:textId="157570AD" w:rsidR="00F2304A" w:rsidRPr="00FC5B96" w:rsidRDefault="00F2304A" w:rsidP="00F2304A">
      <w:pPr>
        <w:spacing w:before="120" w:after="120"/>
        <w:rPr>
          <w:rFonts w:cs="Arial"/>
          <w:szCs w:val="10"/>
        </w:rPr>
      </w:pPr>
      <w:r w:rsidRPr="00FC5B96">
        <w:rPr>
          <w:rFonts w:cs="Arial"/>
          <w:szCs w:val="10"/>
        </w:rPr>
        <w:t>Section 27(5)</w:t>
      </w:r>
      <w:r w:rsidR="00784ADC" w:rsidRPr="00FC5B96">
        <w:rPr>
          <w:rFonts w:cs="Arial"/>
          <w:szCs w:val="10"/>
        </w:rPr>
        <w:t xml:space="preserve"> of the model WHS Act</w:t>
      </w:r>
      <w:r w:rsidRPr="00FC5B96">
        <w:rPr>
          <w:rFonts w:cs="Arial"/>
          <w:szCs w:val="10"/>
        </w:rPr>
        <w:t xml:space="preserve"> </w:t>
      </w:r>
      <w:r w:rsidR="008E697B" w:rsidRPr="00FC5B96">
        <w:rPr>
          <w:rFonts w:cs="Arial"/>
          <w:szCs w:val="10"/>
        </w:rPr>
        <w:t xml:space="preserve">clarifies that </w:t>
      </w:r>
      <w:r w:rsidRPr="00FC5B96">
        <w:rPr>
          <w:rFonts w:cs="Arial"/>
          <w:szCs w:val="10"/>
        </w:rPr>
        <w:t xml:space="preserve">due diligence </w:t>
      </w:r>
      <w:r w:rsidR="008E697B" w:rsidRPr="00FC5B96">
        <w:rPr>
          <w:rFonts w:cs="Arial"/>
          <w:szCs w:val="10"/>
        </w:rPr>
        <w:t xml:space="preserve">involves </w:t>
      </w:r>
      <w:r w:rsidRPr="00FC5B96">
        <w:rPr>
          <w:rFonts w:cs="Arial"/>
          <w:szCs w:val="10"/>
        </w:rPr>
        <w:t>tak</w:t>
      </w:r>
      <w:r w:rsidR="00463937" w:rsidRPr="00FC5B96">
        <w:rPr>
          <w:rFonts w:cs="Arial"/>
          <w:szCs w:val="10"/>
        </w:rPr>
        <w:t xml:space="preserve">ing </w:t>
      </w:r>
      <w:r w:rsidRPr="00FC5B96">
        <w:rPr>
          <w:rFonts w:cs="Arial"/>
          <w:szCs w:val="10"/>
        </w:rPr>
        <w:t>reasonable steps:</w:t>
      </w:r>
    </w:p>
    <w:p w14:paraId="557FC260" w14:textId="55704FDF" w:rsidR="00F2304A" w:rsidRPr="00FC5B96" w:rsidRDefault="00F2304A" w:rsidP="0004447A">
      <w:pPr>
        <w:numPr>
          <w:ilvl w:val="0"/>
          <w:numId w:val="14"/>
        </w:numPr>
        <w:tabs>
          <w:tab w:val="clear" w:pos="1080"/>
          <w:tab w:val="num" w:pos="-2520"/>
          <w:tab w:val="left" w:pos="709"/>
        </w:tabs>
        <w:spacing w:before="120" w:after="120"/>
        <w:ind w:left="720"/>
        <w:rPr>
          <w:rFonts w:cs="Arial"/>
          <w:szCs w:val="10"/>
        </w:rPr>
      </w:pPr>
      <w:r w:rsidRPr="00FC5B96">
        <w:rPr>
          <w:rFonts w:cs="Arial"/>
          <w:szCs w:val="10"/>
        </w:rPr>
        <w:t xml:space="preserve">to acquire and keep up-to-date knowledge of </w:t>
      </w:r>
      <w:r w:rsidR="00BF2051" w:rsidRPr="00FC5B96">
        <w:rPr>
          <w:rFonts w:cs="Arial"/>
          <w:szCs w:val="10"/>
        </w:rPr>
        <w:t>WHS</w:t>
      </w:r>
      <w:r w:rsidRPr="00FC5B96">
        <w:rPr>
          <w:rFonts w:cs="Arial"/>
          <w:szCs w:val="10"/>
        </w:rPr>
        <w:t xml:space="preserve"> matters </w:t>
      </w:r>
    </w:p>
    <w:p w14:paraId="2150C866" w14:textId="52F0FB14" w:rsidR="00F2304A" w:rsidRPr="00FC5B96" w:rsidRDefault="0004447A" w:rsidP="0004447A">
      <w:pPr>
        <w:tabs>
          <w:tab w:val="left" w:pos="709"/>
        </w:tabs>
        <w:spacing w:before="120" w:after="120"/>
        <w:ind w:left="720" w:hanging="360"/>
        <w:rPr>
          <w:rFonts w:cs="Arial"/>
          <w:i/>
          <w:szCs w:val="10"/>
        </w:rPr>
      </w:pPr>
      <w:r w:rsidRPr="00FC5B96">
        <w:rPr>
          <w:rFonts w:cs="Arial"/>
          <w:i/>
          <w:szCs w:val="10"/>
        </w:rPr>
        <w:tab/>
      </w:r>
      <w:r w:rsidR="00F2304A" w:rsidRPr="00FC5B96">
        <w:rPr>
          <w:rFonts w:cs="Arial"/>
          <w:i/>
          <w:szCs w:val="10"/>
        </w:rPr>
        <w:t xml:space="preserve">(for example, </w:t>
      </w:r>
      <w:r w:rsidR="00067455" w:rsidRPr="00FC5B96">
        <w:rPr>
          <w:rFonts w:cs="Arial"/>
          <w:i/>
          <w:szCs w:val="10"/>
        </w:rPr>
        <w:t xml:space="preserve">knowledge </w:t>
      </w:r>
      <w:r w:rsidR="000759B7" w:rsidRPr="00FC5B96">
        <w:rPr>
          <w:rFonts w:cs="Arial"/>
          <w:i/>
          <w:szCs w:val="10"/>
        </w:rPr>
        <w:t xml:space="preserve">of </w:t>
      </w:r>
      <w:r w:rsidR="00BF2051" w:rsidRPr="00FC5B96">
        <w:rPr>
          <w:rFonts w:cs="Arial"/>
          <w:i/>
          <w:szCs w:val="10"/>
        </w:rPr>
        <w:t>WHS</w:t>
      </w:r>
      <w:r w:rsidR="00067455" w:rsidRPr="00FC5B96">
        <w:rPr>
          <w:rFonts w:cs="Arial"/>
          <w:i/>
          <w:szCs w:val="10"/>
        </w:rPr>
        <w:t xml:space="preserve"> laws, approved Codes of Practice relevant to the business</w:t>
      </w:r>
      <w:r w:rsidR="00FE5879" w:rsidRPr="00FC5B96">
        <w:rPr>
          <w:rFonts w:cs="Arial"/>
          <w:i/>
          <w:szCs w:val="10"/>
        </w:rPr>
        <w:t xml:space="preserve"> or undertaking</w:t>
      </w:r>
      <w:r w:rsidR="0038236D" w:rsidRPr="00FC5B96">
        <w:rPr>
          <w:rFonts w:cs="Arial"/>
          <w:i/>
          <w:szCs w:val="10"/>
        </w:rPr>
        <w:t xml:space="preserve">, the principles of managing </w:t>
      </w:r>
      <w:r w:rsidR="00BF2051" w:rsidRPr="00FC5B96">
        <w:rPr>
          <w:rFonts w:cs="Arial"/>
          <w:i/>
          <w:szCs w:val="10"/>
        </w:rPr>
        <w:t xml:space="preserve">WHS </w:t>
      </w:r>
      <w:r w:rsidR="0038236D" w:rsidRPr="00FC5B96">
        <w:rPr>
          <w:rFonts w:cs="Arial"/>
          <w:i/>
          <w:szCs w:val="10"/>
        </w:rPr>
        <w:t>risks, industry standards and practice</w:t>
      </w:r>
      <w:r w:rsidR="00067455" w:rsidRPr="00FC5B96">
        <w:rPr>
          <w:rFonts w:cs="Arial"/>
          <w:i/>
          <w:szCs w:val="10"/>
        </w:rPr>
        <w:t xml:space="preserve">, </w:t>
      </w:r>
      <w:r w:rsidR="00F2304A" w:rsidRPr="00FC5B96">
        <w:rPr>
          <w:rFonts w:cs="Arial"/>
          <w:i/>
          <w:szCs w:val="10"/>
        </w:rPr>
        <w:t xml:space="preserve">and the </w:t>
      </w:r>
      <w:r w:rsidR="0038236D" w:rsidRPr="00FC5B96">
        <w:rPr>
          <w:rFonts w:cs="Arial"/>
          <w:i/>
          <w:szCs w:val="10"/>
        </w:rPr>
        <w:t xml:space="preserve">possible </w:t>
      </w:r>
      <w:r w:rsidR="00F2304A" w:rsidRPr="00FC5B96">
        <w:rPr>
          <w:rFonts w:cs="Arial"/>
          <w:i/>
          <w:szCs w:val="10"/>
        </w:rPr>
        <w:t>strategies and processes for elimination or minimisation of hazards and risks</w:t>
      </w:r>
      <w:r w:rsidR="0038236D" w:rsidRPr="00FC5B96">
        <w:rPr>
          <w:rFonts w:cs="Arial"/>
          <w:i/>
          <w:szCs w:val="10"/>
        </w:rPr>
        <w:t xml:space="preserve"> relevant to the work being carried out</w:t>
      </w:r>
      <w:r w:rsidR="00F2304A" w:rsidRPr="00FC5B96">
        <w:rPr>
          <w:rFonts w:cs="Arial"/>
          <w:i/>
          <w:szCs w:val="10"/>
        </w:rPr>
        <w:t xml:space="preserve">); </w:t>
      </w:r>
    </w:p>
    <w:p w14:paraId="3324BDA2" w14:textId="41B0CF6D" w:rsidR="00F2304A" w:rsidRPr="00FC5B96" w:rsidRDefault="00F2304A" w:rsidP="0004447A">
      <w:pPr>
        <w:numPr>
          <w:ilvl w:val="0"/>
          <w:numId w:val="14"/>
        </w:numPr>
        <w:tabs>
          <w:tab w:val="clear" w:pos="1080"/>
          <w:tab w:val="num" w:pos="-2160"/>
          <w:tab w:val="left" w:pos="709"/>
        </w:tabs>
        <w:spacing w:before="120" w:after="120"/>
        <w:ind w:left="720"/>
        <w:rPr>
          <w:rFonts w:cs="Arial"/>
          <w:szCs w:val="10"/>
        </w:rPr>
      </w:pPr>
      <w:r w:rsidRPr="00FC5B96">
        <w:rPr>
          <w:rFonts w:cs="Arial"/>
          <w:szCs w:val="10"/>
        </w:rPr>
        <w:t xml:space="preserve">to gain an understanding of the nature of the operations of the business or undertaking of the </w:t>
      </w:r>
      <w:r w:rsidR="004804BD" w:rsidRPr="00FC5B96">
        <w:rPr>
          <w:rFonts w:cs="Arial"/>
          <w:szCs w:val="10"/>
        </w:rPr>
        <w:t>PCBU</w:t>
      </w:r>
      <w:r w:rsidRPr="00FC5B96">
        <w:rPr>
          <w:rFonts w:cs="Arial"/>
          <w:szCs w:val="10"/>
        </w:rPr>
        <w:t xml:space="preserve"> and generally of the hazards and risks associated with those operations </w:t>
      </w:r>
    </w:p>
    <w:p w14:paraId="238BBBC2" w14:textId="371253AD" w:rsidR="00F2304A" w:rsidRPr="00FC5B96" w:rsidRDefault="0004447A" w:rsidP="0004447A">
      <w:pPr>
        <w:tabs>
          <w:tab w:val="left" w:pos="709"/>
        </w:tabs>
        <w:spacing w:before="120" w:after="120"/>
        <w:ind w:left="720" w:hanging="360"/>
        <w:rPr>
          <w:rFonts w:cs="Arial"/>
          <w:i/>
          <w:szCs w:val="10"/>
        </w:rPr>
      </w:pPr>
      <w:r w:rsidRPr="00FC5B96">
        <w:rPr>
          <w:rFonts w:cs="Arial"/>
          <w:i/>
          <w:szCs w:val="10"/>
        </w:rPr>
        <w:tab/>
      </w:r>
      <w:r w:rsidR="00F2304A" w:rsidRPr="00FC5B96">
        <w:rPr>
          <w:rFonts w:cs="Arial"/>
          <w:i/>
          <w:szCs w:val="10"/>
        </w:rPr>
        <w:t>(</w:t>
      </w:r>
      <w:proofErr w:type="gramStart"/>
      <w:r w:rsidR="00F2304A" w:rsidRPr="00FC5B96">
        <w:rPr>
          <w:rFonts w:cs="Arial"/>
          <w:i/>
          <w:szCs w:val="10"/>
        </w:rPr>
        <w:t>advice</w:t>
      </w:r>
      <w:proofErr w:type="gramEnd"/>
      <w:r w:rsidR="00F2304A" w:rsidRPr="00FC5B96">
        <w:rPr>
          <w:rFonts w:cs="Arial"/>
          <w:i/>
          <w:szCs w:val="10"/>
        </w:rPr>
        <w:t xml:space="preserve"> from a suitably qualified person may be required to gain a general understanding of the hazards and risks associated with the operations of the business or undertaking)</w:t>
      </w:r>
      <w:r w:rsidR="00E155F7" w:rsidRPr="00FC5B96">
        <w:rPr>
          <w:rFonts w:cs="Arial"/>
          <w:i/>
          <w:szCs w:val="10"/>
        </w:rPr>
        <w:t>;</w:t>
      </w:r>
    </w:p>
    <w:p w14:paraId="42AEB507" w14:textId="6B510A59" w:rsidR="00F2304A" w:rsidRPr="00FC5B96" w:rsidRDefault="00F2304A" w:rsidP="0004447A">
      <w:pPr>
        <w:numPr>
          <w:ilvl w:val="0"/>
          <w:numId w:val="14"/>
        </w:numPr>
        <w:tabs>
          <w:tab w:val="clear" w:pos="1080"/>
          <w:tab w:val="num" w:pos="-1800"/>
          <w:tab w:val="left" w:pos="709"/>
        </w:tabs>
        <w:spacing w:before="120" w:after="120"/>
        <w:ind w:left="720"/>
        <w:rPr>
          <w:rFonts w:cs="Arial"/>
          <w:szCs w:val="10"/>
        </w:rPr>
      </w:pPr>
      <w:r w:rsidRPr="00FC5B96">
        <w:rPr>
          <w:rFonts w:cs="Arial"/>
          <w:szCs w:val="10"/>
        </w:rPr>
        <w:t xml:space="preserve">to ensure that the </w:t>
      </w:r>
      <w:r w:rsidR="004804BD" w:rsidRPr="00FC5B96">
        <w:rPr>
          <w:rFonts w:cs="Arial"/>
          <w:szCs w:val="10"/>
        </w:rPr>
        <w:t>PCBU</w:t>
      </w:r>
      <w:r w:rsidRPr="00FC5B96">
        <w:rPr>
          <w:rFonts w:cs="Arial"/>
          <w:szCs w:val="10"/>
        </w:rPr>
        <w:t xml:space="preserve"> has available for use, and uses, appropriate resources and processes to eliminate or minimise risks to health and safety from work carried out as part of the conduct of the business or undertaking</w:t>
      </w:r>
    </w:p>
    <w:p w14:paraId="4363A62F" w14:textId="682C0084" w:rsidR="00F2304A" w:rsidRPr="00FC5B96" w:rsidRDefault="0004447A" w:rsidP="0004447A">
      <w:pPr>
        <w:tabs>
          <w:tab w:val="left" w:pos="709"/>
        </w:tabs>
        <w:spacing w:before="120" w:after="120"/>
        <w:ind w:left="720" w:hanging="360"/>
        <w:rPr>
          <w:rFonts w:cs="Arial"/>
        </w:rPr>
      </w:pPr>
      <w:r w:rsidRPr="00FC5B96">
        <w:rPr>
          <w:rFonts w:cs="Arial"/>
          <w:i/>
        </w:rPr>
        <w:tab/>
      </w:r>
      <w:r w:rsidR="00F2304A" w:rsidRPr="00FC5B96">
        <w:rPr>
          <w:rFonts w:cs="Arial"/>
          <w:i/>
        </w:rPr>
        <w:t xml:space="preserve">(this requires an understanding of what is needed </w:t>
      </w:r>
      <w:r w:rsidR="0038236D" w:rsidRPr="00FC5B96">
        <w:rPr>
          <w:rFonts w:cs="Arial"/>
          <w:i/>
        </w:rPr>
        <w:t xml:space="preserve">to manage </w:t>
      </w:r>
      <w:r w:rsidR="00F2304A" w:rsidRPr="00FC5B96">
        <w:rPr>
          <w:rFonts w:cs="Arial"/>
          <w:i/>
        </w:rPr>
        <w:t>health and safety</w:t>
      </w:r>
      <w:r w:rsidR="0038236D" w:rsidRPr="00FC5B96">
        <w:rPr>
          <w:rFonts w:cs="Arial"/>
          <w:i/>
        </w:rPr>
        <w:t xml:space="preserve"> </w:t>
      </w:r>
      <w:r w:rsidR="00BF2051" w:rsidRPr="00FC5B96">
        <w:rPr>
          <w:rFonts w:cs="Arial"/>
          <w:i/>
        </w:rPr>
        <w:t xml:space="preserve">risks associated with </w:t>
      </w:r>
      <w:r w:rsidR="0038236D" w:rsidRPr="00FC5B96">
        <w:rPr>
          <w:rFonts w:cs="Arial"/>
          <w:i/>
        </w:rPr>
        <w:t>work being undertaken by the PCBU</w:t>
      </w:r>
      <w:r w:rsidR="00F2304A" w:rsidRPr="00FC5B96">
        <w:rPr>
          <w:rFonts w:cs="Arial"/>
          <w:i/>
        </w:rPr>
        <w:t>, making decisions about procedures and resources and ensuring that they are used)</w:t>
      </w:r>
      <w:r w:rsidR="00F2304A" w:rsidRPr="00FC5B96">
        <w:rPr>
          <w:rFonts w:cs="Arial"/>
        </w:rPr>
        <w:t xml:space="preserve">; </w:t>
      </w:r>
    </w:p>
    <w:p w14:paraId="60EB2E57" w14:textId="7B1CB9FE" w:rsidR="00F2304A" w:rsidRPr="00FC5B96" w:rsidRDefault="00F2304A" w:rsidP="0004447A">
      <w:pPr>
        <w:numPr>
          <w:ilvl w:val="0"/>
          <w:numId w:val="14"/>
        </w:numPr>
        <w:tabs>
          <w:tab w:val="clear" w:pos="1080"/>
          <w:tab w:val="num" w:pos="-1440"/>
          <w:tab w:val="left" w:pos="709"/>
        </w:tabs>
        <w:spacing w:before="120" w:after="120"/>
        <w:ind w:left="720"/>
        <w:rPr>
          <w:rFonts w:cs="Arial"/>
          <w:szCs w:val="10"/>
        </w:rPr>
      </w:pPr>
      <w:r w:rsidRPr="00FC5B96">
        <w:rPr>
          <w:rFonts w:cs="Arial"/>
          <w:szCs w:val="10"/>
        </w:rPr>
        <w:t xml:space="preserve">to ensure that the </w:t>
      </w:r>
      <w:r w:rsidR="004804BD" w:rsidRPr="00FC5B96">
        <w:rPr>
          <w:rFonts w:cs="Arial"/>
          <w:szCs w:val="10"/>
        </w:rPr>
        <w:t>PCBU</w:t>
      </w:r>
      <w:r w:rsidRPr="00FC5B96">
        <w:rPr>
          <w:rFonts w:cs="Arial"/>
          <w:szCs w:val="10"/>
        </w:rPr>
        <w:t xml:space="preserve"> has appropriate processes for receiving and considering information regarding incidents, hazards and risks and responding in a timely way to that information; </w:t>
      </w:r>
    </w:p>
    <w:p w14:paraId="395DB492" w14:textId="730F0F04" w:rsidR="00F2304A" w:rsidRPr="00FC5B96" w:rsidRDefault="0004447A" w:rsidP="0004447A">
      <w:pPr>
        <w:tabs>
          <w:tab w:val="left" w:pos="709"/>
        </w:tabs>
        <w:spacing w:before="120" w:after="120"/>
        <w:ind w:left="720" w:hanging="360"/>
        <w:rPr>
          <w:rFonts w:cs="Arial"/>
          <w:i/>
        </w:rPr>
      </w:pPr>
      <w:r w:rsidRPr="00FC5B96">
        <w:rPr>
          <w:rFonts w:cs="Arial"/>
          <w:i/>
        </w:rPr>
        <w:tab/>
      </w:r>
      <w:r w:rsidR="00F2304A" w:rsidRPr="00FC5B96">
        <w:rPr>
          <w:rFonts w:cs="Arial"/>
          <w:i/>
        </w:rPr>
        <w:t xml:space="preserve">(this should include the reporting of incidents and emerging hazards and risks, identifying if any further action is required to eliminate or minimise the hazards or risks so far as is reasonably practicable and ensuring steps are taken by the PCBU to </w:t>
      </w:r>
      <w:r w:rsidR="00653E9E" w:rsidRPr="00FC5B96">
        <w:rPr>
          <w:rFonts w:cs="Arial"/>
          <w:i/>
        </w:rPr>
        <w:t>do so</w:t>
      </w:r>
      <w:r w:rsidR="00F2304A" w:rsidRPr="00FC5B96">
        <w:rPr>
          <w:rFonts w:cs="Arial"/>
          <w:i/>
        </w:rPr>
        <w:t>);</w:t>
      </w:r>
    </w:p>
    <w:p w14:paraId="5AE50D45" w14:textId="106D7DF3" w:rsidR="00F2304A" w:rsidRPr="00FC5B96" w:rsidRDefault="00F2304A" w:rsidP="0004447A">
      <w:pPr>
        <w:numPr>
          <w:ilvl w:val="0"/>
          <w:numId w:val="14"/>
        </w:numPr>
        <w:tabs>
          <w:tab w:val="clear" w:pos="1080"/>
          <w:tab w:val="num" w:pos="-1080"/>
          <w:tab w:val="left" w:pos="709"/>
        </w:tabs>
        <w:spacing w:before="120" w:after="120"/>
        <w:ind w:left="720"/>
        <w:rPr>
          <w:rFonts w:cs="Arial"/>
          <w:szCs w:val="10"/>
        </w:rPr>
      </w:pPr>
      <w:r w:rsidRPr="00FC5B96">
        <w:rPr>
          <w:rFonts w:cs="Arial"/>
          <w:szCs w:val="10"/>
        </w:rPr>
        <w:t xml:space="preserve">to ensure that the </w:t>
      </w:r>
      <w:r w:rsidR="004804BD" w:rsidRPr="00FC5B96">
        <w:rPr>
          <w:rFonts w:cs="Arial"/>
          <w:szCs w:val="10"/>
        </w:rPr>
        <w:t>PCBU</w:t>
      </w:r>
      <w:r w:rsidRPr="00FC5B96">
        <w:rPr>
          <w:rFonts w:cs="Arial"/>
          <w:szCs w:val="10"/>
        </w:rPr>
        <w:t xml:space="preserve"> has, and implements, processes for complying with any duty or obligation the</w:t>
      </w:r>
      <w:r w:rsidR="00E9674C" w:rsidRPr="00FC5B96">
        <w:rPr>
          <w:rFonts w:cs="Arial"/>
          <w:szCs w:val="10"/>
        </w:rPr>
        <w:t xml:space="preserve"> PCBU has </w:t>
      </w:r>
      <w:r w:rsidRPr="00FC5B96">
        <w:rPr>
          <w:rFonts w:cs="Arial"/>
          <w:szCs w:val="10"/>
        </w:rPr>
        <w:t xml:space="preserve"> under th</w:t>
      </w:r>
      <w:r w:rsidR="00E9674C" w:rsidRPr="00FC5B96">
        <w:rPr>
          <w:rFonts w:cs="Arial"/>
          <w:szCs w:val="10"/>
        </w:rPr>
        <w:t xml:space="preserve">e WHS </w:t>
      </w:r>
      <w:r w:rsidRPr="00FC5B96">
        <w:rPr>
          <w:rFonts w:cs="Arial"/>
          <w:szCs w:val="10"/>
        </w:rPr>
        <w:t xml:space="preserve"> Act </w:t>
      </w:r>
    </w:p>
    <w:p w14:paraId="203AEDCE" w14:textId="1769FC43" w:rsidR="00F2304A" w:rsidRPr="00FC5B96" w:rsidRDefault="0004447A" w:rsidP="00A52F23">
      <w:pPr>
        <w:tabs>
          <w:tab w:val="left" w:pos="709"/>
        </w:tabs>
        <w:spacing w:before="120" w:after="120"/>
        <w:ind w:left="720" w:hanging="360"/>
        <w:rPr>
          <w:rFonts w:cs="Arial"/>
          <w:i/>
        </w:rPr>
      </w:pPr>
      <w:r w:rsidRPr="00FC5B96">
        <w:rPr>
          <w:rFonts w:cs="Arial"/>
          <w:i/>
        </w:rPr>
        <w:tab/>
      </w:r>
      <w:r w:rsidR="00F2304A" w:rsidRPr="00FC5B96">
        <w:rPr>
          <w:rFonts w:cs="Arial"/>
          <w:i/>
        </w:rPr>
        <w:t xml:space="preserve">(the </w:t>
      </w:r>
      <w:r w:rsidR="0038236D" w:rsidRPr="00FC5B96">
        <w:rPr>
          <w:rFonts w:cs="Arial"/>
          <w:i/>
        </w:rPr>
        <w:t xml:space="preserve">model WHS Act </w:t>
      </w:r>
      <w:r w:rsidR="00F2304A" w:rsidRPr="00FC5B96">
        <w:rPr>
          <w:rFonts w:cs="Arial"/>
          <w:i/>
        </w:rPr>
        <w:t xml:space="preserve">provides examples </w:t>
      </w:r>
      <w:r w:rsidR="00E9674C" w:rsidRPr="00FC5B96">
        <w:rPr>
          <w:rFonts w:cs="Arial"/>
          <w:i/>
        </w:rPr>
        <w:t>of the relevant duties or obligations of the PCBU</w:t>
      </w:r>
      <w:r w:rsidR="00A52F23" w:rsidRPr="00FC5B96">
        <w:rPr>
          <w:rFonts w:cs="Arial"/>
          <w:i/>
        </w:rPr>
        <w:t xml:space="preserve">– reporting notifiable incidents, consulting with workers, ensuring compliance with WHS </w:t>
      </w:r>
      <w:r w:rsidR="00A52F23" w:rsidRPr="00FC5B96">
        <w:rPr>
          <w:rFonts w:cs="Arial"/>
          <w:i/>
        </w:rPr>
        <w:lastRenderedPageBreak/>
        <w:t>notices, ensuring the provision of training and instruction to workers about WHS, and ensuring that health and safety representatives receive their entitlements to training.</w:t>
      </w:r>
      <w:r w:rsidR="006D74CB" w:rsidRPr="00FC5B96">
        <w:rPr>
          <w:rFonts w:cs="Arial"/>
          <w:i/>
        </w:rPr>
        <w:t xml:space="preserve"> </w:t>
      </w:r>
      <w:r w:rsidR="00A52F23" w:rsidRPr="00FC5B96">
        <w:rPr>
          <w:rFonts w:cs="Arial"/>
          <w:i/>
        </w:rPr>
        <w:t>O</w:t>
      </w:r>
      <w:r w:rsidR="006D74CB" w:rsidRPr="00FC5B96">
        <w:rPr>
          <w:rFonts w:cs="Arial"/>
          <w:i/>
        </w:rPr>
        <w:t>ther examples include</w:t>
      </w:r>
      <w:r w:rsidR="00F2304A" w:rsidRPr="00FC5B96">
        <w:rPr>
          <w:rFonts w:cs="Arial"/>
          <w:i/>
        </w:rPr>
        <w:t xml:space="preserve"> that the PCBU complies with licensing and registration obligations, union right of entry requirements and the duty to consult, co-operate and co-ordinate activities with other duty-holders);</w:t>
      </w:r>
      <w:r w:rsidR="001709E2" w:rsidRPr="00FC5B96">
        <w:rPr>
          <w:rFonts w:cs="Arial"/>
          <w:i/>
        </w:rPr>
        <w:t xml:space="preserve"> and</w:t>
      </w:r>
    </w:p>
    <w:p w14:paraId="0FC1B43B" w14:textId="44B83CB4" w:rsidR="00F2304A" w:rsidRPr="00FC5B96" w:rsidRDefault="00F2304A" w:rsidP="0004447A">
      <w:pPr>
        <w:numPr>
          <w:ilvl w:val="0"/>
          <w:numId w:val="14"/>
        </w:numPr>
        <w:tabs>
          <w:tab w:val="clear" w:pos="1080"/>
          <w:tab w:val="num" w:pos="-360"/>
          <w:tab w:val="left" w:pos="709"/>
        </w:tabs>
        <w:spacing w:before="120" w:after="120"/>
        <w:ind w:left="720"/>
        <w:rPr>
          <w:rFonts w:cs="Arial"/>
          <w:szCs w:val="10"/>
        </w:rPr>
      </w:pPr>
      <w:r w:rsidRPr="00FC5B96">
        <w:rPr>
          <w:rFonts w:cs="Arial"/>
          <w:szCs w:val="10"/>
        </w:rPr>
        <w:t>to verify the provision and use of the resources and proces</w:t>
      </w:r>
      <w:r w:rsidR="001C5A2C" w:rsidRPr="00FC5B96">
        <w:rPr>
          <w:rFonts w:cs="Arial"/>
          <w:szCs w:val="10"/>
        </w:rPr>
        <w:t>ses referred to in paragraphs 3 </w:t>
      </w:r>
      <w:r w:rsidRPr="00FC5B96">
        <w:rPr>
          <w:rFonts w:cs="Arial"/>
          <w:szCs w:val="10"/>
        </w:rPr>
        <w:t>to 5</w:t>
      </w:r>
    </w:p>
    <w:p w14:paraId="152BFE59" w14:textId="77777777" w:rsidR="00F2304A" w:rsidRPr="00FC5B96" w:rsidRDefault="0004447A" w:rsidP="0004447A">
      <w:pPr>
        <w:tabs>
          <w:tab w:val="left" w:pos="709"/>
        </w:tabs>
        <w:spacing w:before="120" w:after="120"/>
        <w:ind w:left="720" w:hanging="360"/>
        <w:rPr>
          <w:rFonts w:cs="Arial"/>
          <w:i/>
        </w:rPr>
      </w:pPr>
      <w:r w:rsidRPr="00FC5B96">
        <w:rPr>
          <w:rFonts w:cs="Arial"/>
          <w:i/>
        </w:rPr>
        <w:tab/>
      </w:r>
      <w:r w:rsidR="00F2304A" w:rsidRPr="00FC5B96">
        <w:rPr>
          <w:rFonts w:cs="Arial"/>
          <w:i/>
        </w:rPr>
        <w:t>(</w:t>
      </w:r>
      <w:proofErr w:type="gramStart"/>
      <w:r w:rsidR="00F2304A" w:rsidRPr="00FC5B96">
        <w:rPr>
          <w:rFonts w:cs="Arial"/>
          <w:i/>
        </w:rPr>
        <w:t>this</w:t>
      </w:r>
      <w:proofErr w:type="gramEnd"/>
      <w:r w:rsidR="00F2304A" w:rsidRPr="00FC5B96">
        <w:rPr>
          <w:rFonts w:cs="Arial"/>
          <w:i/>
        </w:rPr>
        <w:t xml:space="preserve"> makes it clear that ‘ensure’ means active verification, for example through inspection or auditing processes, that the resources and processes are in place and are being used).</w:t>
      </w:r>
    </w:p>
    <w:p w14:paraId="01EE89D4" w14:textId="65ED94C6" w:rsidR="00A52F23" w:rsidRPr="00FC5B96" w:rsidRDefault="00A52F23" w:rsidP="00A52F23">
      <w:pPr>
        <w:spacing w:before="240" w:after="120"/>
        <w:rPr>
          <w:rFonts w:cs="Arial"/>
          <w:szCs w:val="22"/>
        </w:rPr>
      </w:pPr>
      <w:r w:rsidRPr="00FC5B96">
        <w:rPr>
          <w:rFonts w:cs="Arial"/>
          <w:szCs w:val="22"/>
        </w:rPr>
        <w:t xml:space="preserve">An officer must take reasonable steps in relation to the matters in this list. What steps are reasonable </w:t>
      </w:r>
      <w:r w:rsidRPr="00FC5B96">
        <w:rPr>
          <w:rFonts w:cs="Arial"/>
          <w:szCs w:val="10"/>
        </w:rPr>
        <w:t>will depend on the circumstances, including the role and influence of the individual officer.</w:t>
      </w:r>
    </w:p>
    <w:p w14:paraId="57FA7415" w14:textId="0DA19D31" w:rsidR="00F2304A" w:rsidRPr="00FC5B96" w:rsidRDefault="00F2304A" w:rsidP="00A52F23">
      <w:pPr>
        <w:spacing w:before="240" w:after="120"/>
        <w:rPr>
          <w:rFonts w:cs="Arial"/>
          <w:szCs w:val="22"/>
        </w:rPr>
      </w:pPr>
      <w:r w:rsidRPr="00FC5B96">
        <w:rPr>
          <w:rFonts w:cs="Arial"/>
          <w:szCs w:val="22"/>
        </w:rPr>
        <w:t>Th</w:t>
      </w:r>
      <w:r w:rsidR="00A52F23" w:rsidRPr="00FC5B96">
        <w:rPr>
          <w:rFonts w:cs="Arial"/>
          <w:szCs w:val="22"/>
        </w:rPr>
        <w:t>e</w:t>
      </w:r>
      <w:r w:rsidRPr="00FC5B96">
        <w:rPr>
          <w:rFonts w:cs="Arial"/>
          <w:szCs w:val="22"/>
        </w:rPr>
        <w:t xml:space="preserve"> list </w:t>
      </w:r>
      <w:r w:rsidR="00025D1F" w:rsidRPr="00FC5B96">
        <w:rPr>
          <w:rFonts w:cs="Arial"/>
          <w:szCs w:val="22"/>
        </w:rPr>
        <w:t>of due diligence requirements in s</w:t>
      </w:r>
      <w:r w:rsidR="008E697B" w:rsidRPr="00FC5B96">
        <w:rPr>
          <w:rFonts w:cs="Arial"/>
          <w:szCs w:val="22"/>
        </w:rPr>
        <w:t>ection</w:t>
      </w:r>
      <w:r w:rsidR="00025D1F" w:rsidRPr="00FC5B96">
        <w:rPr>
          <w:rFonts w:cs="Arial"/>
          <w:szCs w:val="22"/>
        </w:rPr>
        <w:t xml:space="preserve"> 27(5) of the model WHS Act </w:t>
      </w:r>
      <w:r w:rsidRPr="00FC5B96">
        <w:rPr>
          <w:rFonts w:cs="Arial"/>
          <w:szCs w:val="22"/>
        </w:rPr>
        <w:t xml:space="preserve">is not exhaustive. There may be other things required for an officer to show that they have exercised due diligence in the particular circumstances. For example, an officer </w:t>
      </w:r>
      <w:r w:rsidR="00B97501" w:rsidRPr="00FC5B96">
        <w:rPr>
          <w:rFonts w:cs="Arial"/>
          <w:szCs w:val="22"/>
        </w:rPr>
        <w:t>would not be</w:t>
      </w:r>
      <w:r w:rsidRPr="00FC5B96">
        <w:rPr>
          <w:rFonts w:cs="Arial"/>
          <w:szCs w:val="22"/>
        </w:rPr>
        <w:t xml:space="preserve"> exercising due diligence to ensure compliance by the</w:t>
      </w:r>
      <w:r w:rsidR="004E7704" w:rsidRPr="00FC5B96">
        <w:rPr>
          <w:rFonts w:cs="Arial"/>
          <w:szCs w:val="22"/>
        </w:rPr>
        <w:t>ir</w:t>
      </w:r>
      <w:r w:rsidRPr="00FC5B96">
        <w:rPr>
          <w:rFonts w:cs="Arial"/>
          <w:szCs w:val="22"/>
        </w:rPr>
        <w:t xml:space="preserve"> PCBU with its duties under the </w:t>
      </w:r>
      <w:r w:rsidR="004E7704" w:rsidRPr="00FC5B96">
        <w:rPr>
          <w:rFonts w:cs="Arial"/>
          <w:szCs w:val="22"/>
        </w:rPr>
        <w:t xml:space="preserve">model </w:t>
      </w:r>
      <w:r w:rsidRPr="00FC5B96">
        <w:rPr>
          <w:rFonts w:cs="Arial"/>
          <w:szCs w:val="22"/>
        </w:rPr>
        <w:t xml:space="preserve">WHS Act, if </w:t>
      </w:r>
      <w:r w:rsidR="006F41F4" w:rsidRPr="00FC5B96">
        <w:rPr>
          <w:rFonts w:cs="Arial"/>
          <w:szCs w:val="22"/>
        </w:rPr>
        <w:t xml:space="preserve">they were aware </w:t>
      </w:r>
      <w:r w:rsidR="004E7704" w:rsidRPr="00FC5B96">
        <w:rPr>
          <w:rFonts w:cs="Arial"/>
          <w:szCs w:val="22"/>
        </w:rPr>
        <w:t>of</w:t>
      </w:r>
      <w:r w:rsidR="00B97501" w:rsidRPr="00FC5B96">
        <w:rPr>
          <w:rFonts w:cs="Arial"/>
          <w:szCs w:val="22"/>
        </w:rPr>
        <w:t>,</w:t>
      </w:r>
      <w:r w:rsidR="004E7704" w:rsidRPr="00FC5B96">
        <w:rPr>
          <w:rFonts w:cs="Arial"/>
          <w:szCs w:val="22"/>
        </w:rPr>
        <w:t xml:space="preserve"> but </w:t>
      </w:r>
      <w:r w:rsidRPr="00FC5B96">
        <w:rPr>
          <w:rFonts w:cs="Arial"/>
          <w:szCs w:val="22"/>
        </w:rPr>
        <w:t>did not take action to ensure that</w:t>
      </w:r>
      <w:r w:rsidR="00B97501" w:rsidRPr="00FC5B96">
        <w:rPr>
          <w:rFonts w:cs="Arial"/>
          <w:szCs w:val="22"/>
        </w:rPr>
        <w:t>,</w:t>
      </w:r>
      <w:r w:rsidRPr="00FC5B96">
        <w:rPr>
          <w:rFonts w:cs="Arial"/>
          <w:szCs w:val="22"/>
        </w:rPr>
        <w:t xml:space="preserve"> significant issues with the </w:t>
      </w:r>
      <w:r w:rsidR="00E55471" w:rsidRPr="00FC5B96">
        <w:rPr>
          <w:rFonts w:cs="Arial"/>
          <w:szCs w:val="22"/>
        </w:rPr>
        <w:t>WHS</w:t>
      </w:r>
      <w:r w:rsidRPr="00FC5B96">
        <w:rPr>
          <w:rFonts w:cs="Arial"/>
          <w:szCs w:val="22"/>
        </w:rPr>
        <w:t xml:space="preserve"> performance of a contractor</w:t>
      </w:r>
      <w:r w:rsidR="00B97501" w:rsidRPr="00FC5B96">
        <w:rPr>
          <w:rFonts w:cs="Arial"/>
          <w:szCs w:val="22"/>
        </w:rPr>
        <w:t xml:space="preserve"> performing work for the PCBU</w:t>
      </w:r>
      <w:r w:rsidR="004E7704" w:rsidRPr="00FC5B96">
        <w:rPr>
          <w:rFonts w:cs="Arial"/>
          <w:szCs w:val="22"/>
        </w:rPr>
        <w:t xml:space="preserve"> </w:t>
      </w:r>
      <w:r w:rsidRPr="00FC5B96">
        <w:rPr>
          <w:rFonts w:cs="Arial"/>
          <w:szCs w:val="22"/>
        </w:rPr>
        <w:t>were properly addressed.</w:t>
      </w:r>
    </w:p>
    <w:p w14:paraId="1F88FC2C" w14:textId="5842688B" w:rsidR="00F2304A" w:rsidRPr="00FC5B96" w:rsidRDefault="00270663" w:rsidP="00B24B91">
      <w:pPr>
        <w:pStyle w:val="Heading3"/>
      </w:pPr>
      <w:r w:rsidRPr="00FC5B96">
        <w:t>Co</w:t>
      </w:r>
      <w:r w:rsidR="005C1E9E" w:rsidRPr="00FC5B96">
        <w:t>mplying</w:t>
      </w:r>
      <w:r w:rsidRPr="00FC5B96">
        <w:t xml:space="preserve"> with the </w:t>
      </w:r>
      <w:r w:rsidR="0005527A" w:rsidRPr="00FC5B96">
        <w:t>officer</w:t>
      </w:r>
      <w:r w:rsidR="001C5A2C" w:rsidRPr="00FC5B96">
        <w:t xml:space="preserve"> duty</w:t>
      </w:r>
    </w:p>
    <w:p w14:paraId="653EF894" w14:textId="476DBE63" w:rsidR="00511C4B" w:rsidRPr="00FC5B96" w:rsidRDefault="00F2304A" w:rsidP="00F2304A">
      <w:pPr>
        <w:rPr>
          <w:rFonts w:cs="Arial"/>
          <w:szCs w:val="10"/>
        </w:rPr>
      </w:pPr>
      <w:r w:rsidRPr="00FC5B96">
        <w:rPr>
          <w:rFonts w:cs="Arial"/>
          <w:szCs w:val="10"/>
        </w:rPr>
        <w:t xml:space="preserve">An officer can only comply with their duty by taking an active and inquisitive role in </w:t>
      </w:r>
      <w:r w:rsidR="006C2E2A" w:rsidRPr="00FC5B96">
        <w:rPr>
          <w:rFonts w:cs="Arial"/>
          <w:szCs w:val="10"/>
        </w:rPr>
        <w:t>WHS</w:t>
      </w:r>
      <w:r w:rsidRPr="00FC5B96">
        <w:rPr>
          <w:rFonts w:cs="Arial"/>
          <w:szCs w:val="10"/>
        </w:rPr>
        <w:t xml:space="preserve">. </w:t>
      </w:r>
    </w:p>
    <w:p w14:paraId="2DDAAA32" w14:textId="6F33D405" w:rsidR="00F71BD6" w:rsidRPr="00FC5B96" w:rsidRDefault="00F45788" w:rsidP="00F71BD6">
      <w:pPr>
        <w:spacing w:before="120" w:after="120"/>
        <w:rPr>
          <w:rFonts w:cs="Arial"/>
          <w:szCs w:val="10"/>
        </w:rPr>
      </w:pPr>
      <w:r w:rsidRPr="00FC5B96">
        <w:rPr>
          <w:rFonts w:cs="Arial"/>
          <w:szCs w:val="10"/>
        </w:rPr>
        <w:t xml:space="preserve">One aspect of </w:t>
      </w:r>
      <w:r w:rsidR="00511C4B" w:rsidRPr="00FC5B96">
        <w:rPr>
          <w:rFonts w:cs="Arial"/>
          <w:szCs w:val="10"/>
        </w:rPr>
        <w:t>due diligence</w:t>
      </w:r>
      <w:r w:rsidRPr="00FC5B96">
        <w:rPr>
          <w:rFonts w:cs="Arial"/>
          <w:szCs w:val="10"/>
        </w:rPr>
        <w:t xml:space="preserve"> </w:t>
      </w:r>
      <w:r w:rsidR="00F71BD6" w:rsidRPr="00FC5B96">
        <w:rPr>
          <w:rFonts w:cs="Arial"/>
          <w:szCs w:val="10"/>
        </w:rPr>
        <w:t xml:space="preserve">relates to the officer’s  knowledge and understanding </w:t>
      </w:r>
      <w:r w:rsidR="008C2947" w:rsidRPr="00FC5B96">
        <w:rPr>
          <w:rFonts w:cs="Arial"/>
          <w:szCs w:val="10"/>
        </w:rPr>
        <w:t xml:space="preserve">of </w:t>
      </w:r>
      <w:r w:rsidR="006C2E2A" w:rsidRPr="00FC5B96">
        <w:rPr>
          <w:rFonts w:cs="Arial"/>
          <w:szCs w:val="10"/>
        </w:rPr>
        <w:t>WHS</w:t>
      </w:r>
      <w:r w:rsidR="00244D8C" w:rsidRPr="00FC5B96">
        <w:rPr>
          <w:rFonts w:cs="Arial"/>
          <w:szCs w:val="10"/>
        </w:rPr>
        <w:t xml:space="preserve"> matters, so </w:t>
      </w:r>
      <w:r w:rsidR="00F71BD6" w:rsidRPr="00FC5B96">
        <w:rPr>
          <w:rFonts w:cs="Arial"/>
          <w:szCs w:val="10"/>
        </w:rPr>
        <w:t>they are able to make informed decisions</w:t>
      </w:r>
      <w:r w:rsidR="008C2947" w:rsidRPr="00FC5B96">
        <w:rPr>
          <w:rFonts w:cs="Arial"/>
          <w:szCs w:val="10"/>
        </w:rPr>
        <w:t xml:space="preserve"> in the discharge of their duty,</w:t>
      </w:r>
      <w:r w:rsidR="00F71BD6" w:rsidRPr="00FC5B96">
        <w:rPr>
          <w:rFonts w:cs="Arial"/>
          <w:szCs w:val="10"/>
        </w:rPr>
        <w:t xml:space="preserve"> and verify the use of resources and processes</w:t>
      </w:r>
      <w:r w:rsidR="00244D8C" w:rsidRPr="00FC5B96">
        <w:rPr>
          <w:rFonts w:cs="Arial"/>
          <w:szCs w:val="10"/>
        </w:rPr>
        <w:t xml:space="preserve"> by the PCBU</w:t>
      </w:r>
      <w:r w:rsidR="00F71BD6" w:rsidRPr="00FC5B96">
        <w:rPr>
          <w:rFonts w:cs="Arial"/>
          <w:szCs w:val="10"/>
        </w:rPr>
        <w:t xml:space="preserve">. That knowledge will be technical (for example, the legal obligations of the PCBU and other duty-holders), situational (for example, the nature of the work being undertaken, what it involves and what that means for </w:t>
      </w:r>
      <w:r w:rsidR="006C2E2A" w:rsidRPr="00FC5B96">
        <w:rPr>
          <w:rFonts w:cs="Arial"/>
          <w:szCs w:val="10"/>
        </w:rPr>
        <w:t>WHS</w:t>
      </w:r>
      <w:r w:rsidR="00F71BD6" w:rsidRPr="00FC5B96">
        <w:rPr>
          <w:rFonts w:cs="Arial"/>
          <w:szCs w:val="10"/>
        </w:rPr>
        <w:t>) and strategic (for example, what the PCBU should</w:t>
      </w:r>
      <w:r w:rsidR="00244D8C" w:rsidRPr="00FC5B96">
        <w:rPr>
          <w:rFonts w:cs="Arial"/>
          <w:szCs w:val="10"/>
        </w:rPr>
        <w:t xml:space="preserve"> </w:t>
      </w:r>
      <w:r w:rsidR="00F71BD6" w:rsidRPr="00FC5B96">
        <w:rPr>
          <w:rFonts w:cs="Arial"/>
          <w:szCs w:val="10"/>
        </w:rPr>
        <w:t xml:space="preserve">be doing and why). </w:t>
      </w:r>
    </w:p>
    <w:p w14:paraId="38C01A87" w14:textId="77777777" w:rsidR="00F71BD6" w:rsidRPr="00FC5B96" w:rsidRDefault="00F71BD6" w:rsidP="00F71BD6">
      <w:pPr>
        <w:spacing w:before="120" w:after="120"/>
        <w:rPr>
          <w:rFonts w:cs="Arial"/>
          <w:szCs w:val="10"/>
        </w:rPr>
      </w:pPr>
      <w:r w:rsidRPr="00FC5B96">
        <w:rPr>
          <w:rFonts w:cs="Arial"/>
          <w:szCs w:val="10"/>
        </w:rPr>
        <w:t>The knowledge may come from others, such as senior managers, subject matter experts, and managers and supervisors involved in the operations. Information will need to be gathered, analysed and reported</w:t>
      </w:r>
      <w:r w:rsidR="008C2947" w:rsidRPr="00FC5B96">
        <w:rPr>
          <w:rFonts w:cs="Arial"/>
          <w:szCs w:val="10"/>
        </w:rPr>
        <w:t>,</w:t>
      </w:r>
      <w:r w:rsidRPr="00FC5B96">
        <w:rPr>
          <w:rFonts w:cs="Arial"/>
          <w:szCs w:val="10"/>
        </w:rPr>
        <w:t xml:space="preserve"> and advice given from different levels of the business or undertaking.  However, reliance on information from others must be reasonable</w:t>
      </w:r>
      <w:r w:rsidR="008C2947" w:rsidRPr="00FC5B96">
        <w:rPr>
          <w:rFonts w:cs="Arial"/>
          <w:szCs w:val="10"/>
        </w:rPr>
        <w:t>, for example, based on the knowledge, skills, training or expertise of the advisor</w:t>
      </w:r>
      <w:r w:rsidRPr="00FC5B96">
        <w:rPr>
          <w:rFonts w:cs="Arial"/>
          <w:szCs w:val="10"/>
        </w:rPr>
        <w:t xml:space="preserve">. </w:t>
      </w:r>
    </w:p>
    <w:p w14:paraId="3CC68921" w14:textId="30848396" w:rsidR="00F2304A" w:rsidRPr="00FC5B96" w:rsidRDefault="00F71BD6" w:rsidP="00F2304A">
      <w:pPr>
        <w:rPr>
          <w:rFonts w:cs="Arial"/>
          <w:szCs w:val="10"/>
        </w:rPr>
      </w:pPr>
      <w:r w:rsidRPr="00FC5B96">
        <w:rPr>
          <w:rFonts w:cs="Arial"/>
          <w:szCs w:val="10"/>
        </w:rPr>
        <w:t>The other aspect</w:t>
      </w:r>
      <w:r w:rsidR="008C2947" w:rsidRPr="00FC5B96">
        <w:rPr>
          <w:rFonts w:cs="Arial"/>
          <w:szCs w:val="10"/>
        </w:rPr>
        <w:t>s</w:t>
      </w:r>
      <w:r w:rsidRPr="00FC5B96">
        <w:rPr>
          <w:rFonts w:cs="Arial"/>
          <w:szCs w:val="10"/>
        </w:rPr>
        <w:t xml:space="preserve"> of due diligence </w:t>
      </w:r>
      <w:r w:rsidR="008C2947" w:rsidRPr="00FC5B96">
        <w:rPr>
          <w:rFonts w:cs="Arial"/>
          <w:szCs w:val="10"/>
        </w:rPr>
        <w:t>are</w:t>
      </w:r>
      <w:r w:rsidRPr="00FC5B96">
        <w:rPr>
          <w:rFonts w:cs="Arial"/>
          <w:szCs w:val="10"/>
        </w:rPr>
        <w:t xml:space="preserve"> </w:t>
      </w:r>
      <w:r w:rsidR="00070FA0" w:rsidRPr="00FC5B96">
        <w:rPr>
          <w:rFonts w:cs="Arial"/>
          <w:szCs w:val="10"/>
        </w:rPr>
        <w:t>ensuring that the PCBU has in place the resources, processes and procedures needed for compliance with PCBU’s duties and obligations</w:t>
      </w:r>
      <w:r w:rsidR="00B56834" w:rsidRPr="00FC5B96">
        <w:rPr>
          <w:rFonts w:cs="Arial"/>
          <w:szCs w:val="10"/>
        </w:rPr>
        <w:t>, such as:</w:t>
      </w:r>
      <w:r w:rsidR="00070FA0" w:rsidRPr="00FC5B96">
        <w:rPr>
          <w:rFonts w:cs="Arial"/>
          <w:szCs w:val="10"/>
        </w:rPr>
        <w:t xml:space="preserve"> </w:t>
      </w:r>
    </w:p>
    <w:p w14:paraId="62C69846" w14:textId="3FCE018F" w:rsidR="00F2304A" w:rsidRPr="00FC5B96" w:rsidRDefault="00F2304A" w:rsidP="00A52F23">
      <w:pPr>
        <w:pStyle w:val="ListParagraph"/>
        <w:numPr>
          <w:ilvl w:val="0"/>
          <w:numId w:val="22"/>
        </w:numPr>
        <w:spacing w:before="120" w:after="120"/>
        <w:ind w:left="714" w:hanging="357"/>
        <w:contextualSpacing w:val="0"/>
        <w:rPr>
          <w:rFonts w:cs="Arial"/>
        </w:rPr>
      </w:pPr>
      <w:proofErr w:type="gramStart"/>
      <w:r w:rsidRPr="00FC5B96">
        <w:rPr>
          <w:rFonts w:cs="Arial"/>
        </w:rPr>
        <w:t>an</w:t>
      </w:r>
      <w:proofErr w:type="gramEnd"/>
      <w:r w:rsidRPr="00FC5B96">
        <w:rPr>
          <w:rFonts w:cs="Arial"/>
        </w:rPr>
        <w:t xml:space="preserve"> appropriate governance structure with the right people in place, who are appropriately authorised and accountable, to enable WHS to be attended to</w:t>
      </w:r>
      <w:r w:rsidR="006352C8" w:rsidRPr="00FC5B96">
        <w:rPr>
          <w:rFonts w:cs="Arial"/>
        </w:rPr>
        <w:t xml:space="preserve"> properly</w:t>
      </w:r>
      <w:r w:rsidRPr="00FC5B96">
        <w:rPr>
          <w:rFonts w:cs="Arial"/>
        </w:rPr>
        <w:t xml:space="preserve">. Note: a formal structure may not be needed in a small business, where the officers </w:t>
      </w:r>
      <w:r w:rsidR="00802E23" w:rsidRPr="00FC5B96">
        <w:rPr>
          <w:rFonts w:cs="Arial"/>
        </w:rPr>
        <w:t>are</w:t>
      </w:r>
      <w:r w:rsidRPr="00FC5B96">
        <w:rPr>
          <w:rFonts w:cs="Arial"/>
        </w:rPr>
        <w:t xml:space="preserve"> involved in the day to day activities and have easy access to relevant information; and</w:t>
      </w:r>
    </w:p>
    <w:p w14:paraId="77CCA36C" w14:textId="3015323B" w:rsidR="00F2304A" w:rsidRPr="00FC5B96" w:rsidRDefault="00F2304A" w:rsidP="00A52F23">
      <w:pPr>
        <w:pStyle w:val="ListParagraph"/>
        <w:numPr>
          <w:ilvl w:val="0"/>
          <w:numId w:val="22"/>
        </w:numPr>
        <w:spacing w:before="120" w:after="120"/>
        <w:ind w:left="714" w:hanging="357"/>
        <w:contextualSpacing w:val="0"/>
        <w:rPr>
          <w:rFonts w:cs="Arial"/>
        </w:rPr>
      </w:pPr>
      <w:r w:rsidRPr="00FC5B96">
        <w:rPr>
          <w:rFonts w:cs="Arial"/>
        </w:rPr>
        <w:t xml:space="preserve">information gathering and reporting processes to facilitate the flow of WHS information (including effective worker consultation and participation arrangements) and advice to the officers, with the type of information that allows the officers to understand the hazards and risks, obligations and performance of the </w:t>
      </w:r>
      <w:r w:rsidR="00FE5879" w:rsidRPr="00FC5B96">
        <w:rPr>
          <w:rFonts w:cs="Arial"/>
          <w:szCs w:val="10"/>
        </w:rPr>
        <w:t>business or undertaking</w:t>
      </w:r>
      <w:r w:rsidRPr="00FC5B96">
        <w:rPr>
          <w:rFonts w:cs="Arial"/>
        </w:rPr>
        <w:t>, and to make appropriate decisions.</w:t>
      </w:r>
    </w:p>
    <w:p w14:paraId="00A658F4" w14:textId="5D1E90A2" w:rsidR="00F2304A" w:rsidRPr="00FC5B96" w:rsidRDefault="00F2304A" w:rsidP="00A52F23">
      <w:pPr>
        <w:pStyle w:val="ListParagraph"/>
        <w:numPr>
          <w:ilvl w:val="0"/>
          <w:numId w:val="22"/>
        </w:numPr>
        <w:spacing w:before="120" w:after="120"/>
        <w:ind w:left="714" w:hanging="357"/>
        <w:contextualSpacing w:val="0"/>
        <w:rPr>
          <w:rFonts w:cs="Arial"/>
        </w:rPr>
      </w:pPr>
      <w:r w:rsidRPr="00FC5B96">
        <w:rPr>
          <w:rFonts w:cs="Arial"/>
        </w:rPr>
        <w:t>a written register or other record of decisions made in the business or undertaking that are likely to affect the whole</w:t>
      </w:r>
      <w:r w:rsidR="00316B1A" w:rsidRPr="00FC5B96">
        <w:rPr>
          <w:rFonts w:cs="Arial"/>
        </w:rPr>
        <w:t>,</w:t>
      </w:r>
      <w:r w:rsidRPr="00FC5B96">
        <w:rPr>
          <w:rFonts w:cs="Arial"/>
        </w:rPr>
        <w:t xml:space="preserve"> or a substantial part</w:t>
      </w:r>
      <w:r w:rsidR="00316B1A" w:rsidRPr="00FC5B96">
        <w:rPr>
          <w:rFonts w:cs="Arial"/>
        </w:rPr>
        <w:t>,</w:t>
      </w:r>
      <w:r w:rsidRPr="00FC5B96">
        <w:rPr>
          <w:rFonts w:cs="Arial"/>
        </w:rPr>
        <w:t xml:space="preserve"> of such a business or undertaking</w:t>
      </w:r>
      <w:r w:rsidR="001709E2" w:rsidRPr="00FC5B96">
        <w:rPr>
          <w:rFonts w:cs="Arial"/>
        </w:rPr>
        <w:t>,</w:t>
      </w:r>
      <w:r w:rsidRPr="00FC5B96">
        <w:rPr>
          <w:rFonts w:cs="Arial"/>
        </w:rPr>
        <w:t xml:space="preserve"> including:</w:t>
      </w:r>
    </w:p>
    <w:p w14:paraId="08AF3FB7" w14:textId="77777777" w:rsidR="00F2304A" w:rsidRPr="00FC5B96" w:rsidRDefault="00F2304A" w:rsidP="00A52F23">
      <w:pPr>
        <w:numPr>
          <w:ilvl w:val="0"/>
          <w:numId w:val="28"/>
        </w:numPr>
        <w:spacing w:after="120"/>
        <w:rPr>
          <w:rFonts w:cs="Arial"/>
          <w:szCs w:val="10"/>
        </w:rPr>
      </w:pPr>
      <w:r w:rsidRPr="00FC5B96">
        <w:rPr>
          <w:rFonts w:cs="Arial"/>
          <w:szCs w:val="10"/>
        </w:rPr>
        <w:t>a description of the relevant business or undertaking</w:t>
      </w:r>
    </w:p>
    <w:p w14:paraId="462C165D" w14:textId="77777777" w:rsidR="00F2304A" w:rsidRPr="00FC5B96" w:rsidRDefault="00F2304A" w:rsidP="00A52F23">
      <w:pPr>
        <w:numPr>
          <w:ilvl w:val="0"/>
          <w:numId w:val="28"/>
        </w:numPr>
        <w:spacing w:after="120"/>
        <w:rPr>
          <w:rFonts w:cs="Arial"/>
          <w:szCs w:val="10"/>
        </w:rPr>
      </w:pPr>
      <w:r w:rsidRPr="00FC5B96">
        <w:rPr>
          <w:rFonts w:cs="Arial"/>
          <w:szCs w:val="10"/>
        </w:rPr>
        <w:lastRenderedPageBreak/>
        <w:t>the subject matter and purpose of the decision</w:t>
      </w:r>
    </w:p>
    <w:p w14:paraId="2462CCAF" w14:textId="77777777" w:rsidR="00F2304A" w:rsidRPr="00FC5B96" w:rsidRDefault="00F2304A" w:rsidP="00A52F23">
      <w:pPr>
        <w:numPr>
          <w:ilvl w:val="0"/>
          <w:numId w:val="28"/>
        </w:numPr>
        <w:spacing w:after="120"/>
        <w:rPr>
          <w:rFonts w:cs="Arial"/>
          <w:szCs w:val="10"/>
        </w:rPr>
      </w:pPr>
      <w:r w:rsidRPr="00FC5B96">
        <w:rPr>
          <w:rFonts w:cs="Arial"/>
          <w:szCs w:val="10"/>
        </w:rPr>
        <w:t>the reasons for the decision</w:t>
      </w:r>
    </w:p>
    <w:p w14:paraId="7D531E1A" w14:textId="77777777" w:rsidR="00F2304A" w:rsidRPr="00FC5B96" w:rsidRDefault="00F2304A" w:rsidP="00A52F23">
      <w:pPr>
        <w:numPr>
          <w:ilvl w:val="0"/>
          <w:numId w:val="28"/>
        </w:numPr>
        <w:spacing w:after="120"/>
        <w:rPr>
          <w:rFonts w:cs="Arial"/>
          <w:szCs w:val="10"/>
        </w:rPr>
      </w:pPr>
      <w:r w:rsidRPr="00FC5B96">
        <w:rPr>
          <w:rFonts w:cs="Arial"/>
          <w:szCs w:val="10"/>
        </w:rPr>
        <w:t>why the decision is thought to affect the whole</w:t>
      </w:r>
      <w:r w:rsidR="00316B1A" w:rsidRPr="00FC5B96">
        <w:rPr>
          <w:rFonts w:cs="Arial"/>
          <w:szCs w:val="10"/>
        </w:rPr>
        <w:t>,</w:t>
      </w:r>
      <w:r w:rsidRPr="00FC5B96">
        <w:rPr>
          <w:rFonts w:cs="Arial"/>
          <w:szCs w:val="10"/>
        </w:rPr>
        <w:t xml:space="preserve"> or a substantial part</w:t>
      </w:r>
      <w:r w:rsidR="00316B1A" w:rsidRPr="00FC5B96">
        <w:rPr>
          <w:rFonts w:cs="Arial"/>
          <w:szCs w:val="10"/>
        </w:rPr>
        <w:t>,</w:t>
      </w:r>
      <w:r w:rsidRPr="00FC5B96">
        <w:rPr>
          <w:rFonts w:cs="Arial"/>
          <w:szCs w:val="10"/>
        </w:rPr>
        <w:t xml:space="preserve"> of the business or undertaking</w:t>
      </w:r>
    </w:p>
    <w:p w14:paraId="78B6C50D" w14:textId="77777777" w:rsidR="00F2304A" w:rsidRPr="00FC5B96" w:rsidRDefault="00F2304A" w:rsidP="00A52F23">
      <w:pPr>
        <w:numPr>
          <w:ilvl w:val="0"/>
          <w:numId w:val="28"/>
        </w:numPr>
        <w:spacing w:after="120"/>
        <w:rPr>
          <w:rFonts w:cs="Arial"/>
          <w:szCs w:val="10"/>
        </w:rPr>
      </w:pPr>
      <w:r w:rsidRPr="00FC5B96">
        <w:rPr>
          <w:rFonts w:cs="Arial"/>
          <w:szCs w:val="10"/>
        </w:rPr>
        <w:t>who made the decision and why</w:t>
      </w:r>
    </w:p>
    <w:p w14:paraId="16B27C6F" w14:textId="77777777" w:rsidR="00F2304A" w:rsidRPr="00FC5B96" w:rsidRDefault="00F2304A" w:rsidP="00A52F23">
      <w:pPr>
        <w:numPr>
          <w:ilvl w:val="0"/>
          <w:numId w:val="28"/>
        </w:numPr>
        <w:spacing w:after="120"/>
        <w:rPr>
          <w:rFonts w:cs="Arial"/>
          <w:szCs w:val="10"/>
        </w:rPr>
      </w:pPr>
      <w:r w:rsidRPr="00FC5B96">
        <w:rPr>
          <w:rFonts w:cs="Arial"/>
          <w:szCs w:val="10"/>
        </w:rPr>
        <w:t>who participated in making the decision and the basis of that participation</w:t>
      </w:r>
    </w:p>
    <w:p w14:paraId="6EB89DC2" w14:textId="56E2EFF4" w:rsidR="00F2304A" w:rsidRPr="00FC5B96" w:rsidRDefault="00F2304A" w:rsidP="00F2304A">
      <w:pPr>
        <w:numPr>
          <w:ilvl w:val="0"/>
          <w:numId w:val="28"/>
        </w:numPr>
        <w:spacing w:after="120"/>
        <w:rPr>
          <w:rFonts w:cs="Arial"/>
          <w:szCs w:val="10"/>
        </w:rPr>
      </w:pPr>
      <w:proofErr w:type="gramStart"/>
      <w:r w:rsidRPr="00FC5B96">
        <w:rPr>
          <w:rFonts w:cs="Arial"/>
          <w:szCs w:val="10"/>
        </w:rPr>
        <w:t>other</w:t>
      </w:r>
      <w:proofErr w:type="gramEnd"/>
      <w:r w:rsidRPr="00FC5B96">
        <w:rPr>
          <w:rFonts w:cs="Arial"/>
          <w:szCs w:val="10"/>
        </w:rPr>
        <w:t xml:space="preserve"> matters considered in reaching the decision.</w:t>
      </w:r>
    </w:p>
    <w:p w14:paraId="13BE8D91" w14:textId="07C40AE3" w:rsidR="00F71BD6" w:rsidRPr="00FC5B96" w:rsidRDefault="00B56834" w:rsidP="0019566F">
      <w:pPr>
        <w:spacing w:before="240" w:after="120"/>
        <w:rPr>
          <w:rFonts w:cs="Arial"/>
          <w:szCs w:val="10"/>
        </w:rPr>
      </w:pPr>
      <w:r w:rsidRPr="00FC5B96">
        <w:rPr>
          <w:rFonts w:cs="Arial"/>
          <w:szCs w:val="10"/>
        </w:rPr>
        <w:t>While an officer need not be involved directly in implementation and day-to-day management, they must take reasonable steps to verify that those resources, processes and procedures are provided and used.</w:t>
      </w:r>
      <w:r w:rsidR="0019566F" w:rsidRPr="00FC5B96">
        <w:rPr>
          <w:rFonts w:cs="Arial"/>
          <w:szCs w:val="10"/>
        </w:rPr>
        <w:t xml:space="preserve"> </w:t>
      </w:r>
    </w:p>
    <w:p w14:paraId="772517BD" w14:textId="3322F56D" w:rsidR="00F2304A" w:rsidRPr="00FC5B96" w:rsidRDefault="00F2304A" w:rsidP="0019566F">
      <w:pPr>
        <w:pBdr>
          <w:top w:val="single" w:sz="4" w:space="1" w:color="auto"/>
          <w:left w:val="single" w:sz="4" w:space="4" w:color="auto"/>
          <w:bottom w:val="single" w:sz="4" w:space="1" w:color="auto"/>
          <w:right w:val="single" w:sz="4" w:space="4" w:color="auto"/>
        </w:pBdr>
        <w:rPr>
          <w:rFonts w:cs="Arial"/>
          <w:szCs w:val="10"/>
        </w:rPr>
      </w:pPr>
      <w:r w:rsidRPr="00FC5B96">
        <w:rPr>
          <w:rFonts w:cs="Arial"/>
          <w:i/>
          <w:sz w:val="18"/>
          <w:szCs w:val="10"/>
        </w:rPr>
        <w:t xml:space="preserve">Note: this document is a general guideline only and is not a substitute for professional legal advice. </w:t>
      </w:r>
      <w:r w:rsidR="00740A30" w:rsidRPr="00FC5B96">
        <w:rPr>
          <w:rFonts w:cs="Arial"/>
          <w:i/>
          <w:sz w:val="18"/>
          <w:szCs w:val="10"/>
        </w:rPr>
        <w:t>To the best of our knowledge, the</w:t>
      </w:r>
      <w:r w:rsidRPr="00FC5B96">
        <w:rPr>
          <w:rFonts w:cs="Arial"/>
          <w:i/>
          <w:sz w:val="18"/>
          <w:szCs w:val="10"/>
        </w:rPr>
        <w:t xml:space="preserve"> contents of this document are correct at the time of writing.  However, there may be subsequent decisions of courts or tribunals on the matter covered by this guide which mean that the contents are no longer accurate.</w:t>
      </w:r>
      <w:r w:rsidR="0019566F" w:rsidRPr="00FC5B96">
        <w:rPr>
          <w:rFonts w:cs="Arial"/>
          <w:szCs w:val="10"/>
        </w:rPr>
        <w:t xml:space="preserve"> </w:t>
      </w:r>
    </w:p>
    <w:p w14:paraId="650CA6E4" w14:textId="77777777" w:rsidR="00E96975" w:rsidRPr="00FC5B96" w:rsidRDefault="00E96975" w:rsidP="00E96975">
      <w:pPr>
        <w:rPr>
          <w:rFonts w:cs="Arial"/>
          <w:szCs w:val="10"/>
        </w:rPr>
      </w:pPr>
    </w:p>
    <w:sectPr w:rsidR="00E96975" w:rsidRPr="00FC5B96" w:rsidSect="003E656A">
      <w:headerReference w:type="default" r:id="rId11"/>
      <w:footerReference w:type="default" r:id="rId12"/>
      <w:headerReference w:type="first" r:id="rId13"/>
      <w:pgSz w:w="11906" w:h="16838" w:code="9"/>
      <w:pgMar w:top="1846" w:right="1134" w:bottom="1134" w:left="1134" w:header="709"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9E50E" w14:textId="77777777" w:rsidR="007E5AA1" w:rsidRDefault="007E5AA1">
      <w:r>
        <w:separator/>
      </w:r>
    </w:p>
  </w:endnote>
  <w:endnote w:type="continuationSeparator" w:id="0">
    <w:p w14:paraId="05E51A39" w14:textId="77777777" w:rsidR="007E5AA1" w:rsidRDefault="007E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F3A97" w14:textId="53213F09" w:rsidR="003E656A" w:rsidRPr="003E656A" w:rsidRDefault="003E656A" w:rsidP="00FC5B96">
    <w:pPr>
      <w:pStyle w:val="Footer"/>
      <w:jc w:val="right"/>
      <w:rPr>
        <w:sz w:val="18"/>
        <w:szCs w:val="18"/>
      </w:rPr>
    </w:pPr>
  </w:p>
  <w:p w14:paraId="52C2A5A4" w14:textId="77777777" w:rsidR="003E656A" w:rsidRDefault="003E6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02E06" w14:textId="77777777" w:rsidR="007E5AA1" w:rsidRDefault="007E5AA1">
      <w:r>
        <w:separator/>
      </w:r>
    </w:p>
  </w:footnote>
  <w:footnote w:type="continuationSeparator" w:id="0">
    <w:p w14:paraId="6FE9D623" w14:textId="77777777" w:rsidR="007E5AA1" w:rsidRDefault="007E5AA1">
      <w:r>
        <w:continuationSeparator/>
      </w:r>
    </w:p>
  </w:footnote>
  <w:footnote w:id="1">
    <w:p w14:paraId="219300A7" w14:textId="088D74D5" w:rsidR="001E635F" w:rsidRDefault="001E635F">
      <w:pPr>
        <w:pStyle w:val="FootnoteText"/>
      </w:pPr>
      <w:r>
        <w:rPr>
          <w:rStyle w:val="FootnoteReference"/>
        </w:rPr>
        <w:footnoteRef/>
      </w:r>
      <w:r>
        <w:t xml:space="preserve"> Further information about how to identify </w:t>
      </w:r>
      <w:r>
        <w:rPr>
          <w:szCs w:val="10"/>
        </w:rPr>
        <w:t xml:space="preserve">who is a person who </w:t>
      </w:r>
      <w:r w:rsidRPr="00ED178B">
        <w:rPr>
          <w:szCs w:val="10"/>
        </w:rPr>
        <w:t>makes or participates in making decisions that affect the whole</w:t>
      </w:r>
      <w:r>
        <w:rPr>
          <w:szCs w:val="10"/>
        </w:rPr>
        <w:t>,</w:t>
      </w:r>
      <w:r w:rsidRPr="00ED178B">
        <w:rPr>
          <w:szCs w:val="10"/>
        </w:rPr>
        <w:t xml:space="preserve"> or a substantial part, of </w:t>
      </w:r>
      <w:r w:rsidR="00EA6915">
        <w:rPr>
          <w:szCs w:val="10"/>
        </w:rPr>
        <w:t>the business of the corporation</w:t>
      </w:r>
      <w:r>
        <w:t xml:space="preserve"> is set out</w:t>
      </w:r>
      <w:r w:rsidR="00BF70C9">
        <w:t xml:space="preserve"> in part 1.3 of this guide</w:t>
      </w:r>
      <w:r>
        <w:t xml:space="preserve">. </w:t>
      </w:r>
    </w:p>
  </w:footnote>
  <w:footnote w:id="2">
    <w:p w14:paraId="5C3D7B96" w14:textId="53B78346" w:rsidR="00FE5879" w:rsidRDefault="00FE5879" w:rsidP="00FE5879">
      <w:pPr>
        <w:pStyle w:val="FootnoteText"/>
      </w:pPr>
      <w:r>
        <w:rPr>
          <w:rStyle w:val="FootnoteReference"/>
        </w:rPr>
        <w:footnoteRef/>
      </w:r>
      <w:r>
        <w:t xml:space="preserve"> Further information about how to identify </w:t>
      </w:r>
      <w:r>
        <w:rPr>
          <w:szCs w:val="10"/>
        </w:rPr>
        <w:t xml:space="preserve">who is a person who </w:t>
      </w:r>
      <w:r w:rsidRPr="00ED178B">
        <w:rPr>
          <w:szCs w:val="10"/>
        </w:rPr>
        <w:t>makes or participates in making decisions that affect the whole</w:t>
      </w:r>
      <w:r>
        <w:rPr>
          <w:szCs w:val="10"/>
        </w:rPr>
        <w:t>,</w:t>
      </w:r>
      <w:r w:rsidRPr="00ED178B">
        <w:rPr>
          <w:szCs w:val="10"/>
        </w:rPr>
        <w:t xml:space="preserve"> or a substantial part, of </w:t>
      </w:r>
      <w:r>
        <w:rPr>
          <w:szCs w:val="10"/>
        </w:rPr>
        <w:t>the business of an entity</w:t>
      </w:r>
      <w:r>
        <w:t xml:space="preserve"> is set out </w:t>
      </w:r>
      <w:r w:rsidR="00BF70C9">
        <w:t>in part 1.3 of this guide</w:t>
      </w:r>
      <w:r>
        <w:t>.</w:t>
      </w:r>
    </w:p>
  </w:footnote>
  <w:footnote w:id="3">
    <w:p w14:paraId="1139F183" w14:textId="6636DAD6" w:rsidR="009504D2" w:rsidRDefault="009504D2" w:rsidP="009504D2">
      <w:pPr>
        <w:pStyle w:val="FootnoteText"/>
      </w:pPr>
      <w:r>
        <w:rPr>
          <w:rStyle w:val="FootnoteReference"/>
        </w:rPr>
        <w:footnoteRef/>
      </w:r>
      <w:r>
        <w:t xml:space="preserve"> Further information about how to identify </w:t>
      </w:r>
      <w:r>
        <w:rPr>
          <w:szCs w:val="10"/>
        </w:rPr>
        <w:t xml:space="preserve">who is a person who </w:t>
      </w:r>
      <w:r w:rsidRPr="00ED178B">
        <w:rPr>
          <w:szCs w:val="10"/>
        </w:rPr>
        <w:t>makes or participates in making decisions that affect the whole</w:t>
      </w:r>
      <w:r>
        <w:rPr>
          <w:szCs w:val="10"/>
        </w:rPr>
        <w:t>,</w:t>
      </w:r>
      <w:r w:rsidRPr="00ED178B">
        <w:rPr>
          <w:szCs w:val="10"/>
        </w:rPr>
        <w:t xml:space="preserve"> or a substantial part, of </w:t>
      </w:r>
      <w:r w:rsidR="00FE5879">
        <w:rPr>
          <w:szCs w:val="10"/>
        </w:rPr>
        <w:t>a</w:t>
      </w:r>
      <w:r>
        <w:rPr>
          <w:szCs w:val="10"/>
        </w:rPr>
        <w:t xml:space="preserve"> business </w:t>
      </w:r>
      <w:r w:rsidR="00FE5879">
        <w:rPr>
          <w:szCs w:val="10"/>
        </w:rPr>
        <w:t>or undertaking</w:t>
      </w:r>
      <w:r w:rsidR="00BF70C9">
        <w:t xml:space="preserve"> is set out in part 1.3 of this guide</w:t>
      </w:r>
      <w:r>
        <w:t xml:space="preserve">. </w:t>
      </w:r>
    </w:p>
  </w:footnote>
  <w:footnote w:id="4">
    <w:p w14:paraId="0D0B2DF8" w14:textId="62B92DA6" w:rsidR="00F90BF5" w:rsidRDefault="00F90BF5">
      <w:pPr>
        <w:pStyle w:val="FootnoteText"/>
      </w:pPr>
      <w:r>
        <w:rPr>
          <w:rStyle w:val="FootnoteReference"/>
        </w:rPr>
        <w:footnoteRef/>
      </w:r>
      <w:r>
        <w:t xml:space="preserve"> </w:t>
      </w:r>
      <w:r w:rsidR="00012021">
        <w:t>A</w:t>
      </w:r>
      <w:r>
        <w:t xml:space="preserve"> person who has the </w:t>
      </w:r>
      <w:r w:rsidRPr="00E633CB">
        <w:rPr>
          <w:szCs w:val="24"/>
        </w:rPr>
        <w:t xml:space="preserve">capacity to affect significantly </w:t>
      </w:r>
      <w:r w:rsidR="00FE5879">
        <w:rPr>
          <w:szCs w:val="24"/>
        </w:rPr>
        <w:t>a</w:t>
      </w:r>
      <w:r>
        <w:rPr>
          <w:szCs w:val="24"/>
        </w:rPr>
        <w:t xml:space="preserve"> corporation’s or other </w:t>
      </w:r>
      <w:r w:rsidRPr="00E633CB">
        <w:rPr>
          <w:szCs w:val="24"/>
        </w:rPr>
        <w:t>entity's financial standing</w:t>
      </w:r>
      <w:r>
        <w:rPr>
          <w:szCs w:val="24"/>
        </w:rPr>
        <w:t xml:space="preserve"> is an officer under section 9 of the Corporations 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E8224" w14:textId="679A8C04" w:rsidR="007E5AA1" w:rsidRPr="003E656A" w:rsidRDefault="003E656A" w:rsidP="00277B31">
    <w:pPr>
      <w:pStyle w:val="Header"/>
      <w:rPr>
        <w:b/>
        <w:color w:val="C00000"/>
      </w:rPr>
    </w:pPr>
    <w:r>
      <w:rPr>
        <w:noProof/>
      </w:rPr>
      <w:drawing>
        <wp:inline distT="0" distB="0" distL="0" distR="0" wp14:anchorId="1DEB4DED" wp14:editId="07A7AB9D">
          <wp:extent cx="2524125" cy="514350"/>
          <wp:effectExtent l="0" t="0" r="9525" b="0"/>
          <wp:docPr id="31" name="Picture 3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w="9525">
                    <a:noFill/>
                    <a:miter lim="800000"/>
                    <a:headEnd/>
                    <a:tailEnd/>
                  </a:ln>
                </pic:spPr>
              </pic:pic>
            </a:graphicData>
          </a:graphic>
        </wp:inline>
      </w:drawing>
    </w:r>
  </w:p>
  <w:p w14:paraId="72D37FCF" w14:textId="342C3178" w:rsidR="007E5AA1" w:rsidRDefault="007E5AA1">
    <w:pPr>
      <w:pStyle w:val="Header"/>
      <w:rPr>
        <w:b/>
      </w:rPr>
    </w:pPr>
  </w:p>
  <w:p w14:paraId="36DB1525" w14:textId="4F7AB646" w:rsidR="007E5AA1" w:rsidRPr="00D142A1" w:rsidRDefault="007E5AA1">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ACD48" w14:textId="1C19D8AA" w:rsidR="007E5AA1" w:rsidRPr="004D31C7" w:rsidRDefault="003E656A">
    <w:pPr>
      <w:pStyle w:val="Header"/>
    </w:pPr>
    <w:r>
      <w:rPr>
        <w:noProof/>
      </w:rPr>
      <w:drawing>
        <wp:inline distT="0" distB="0" distL="0" distR="0" wp14:anchorId="466F6AF8" wp14:editId="1FB65268">
          <wp:extent cx="2524125" cy="514350"/>
          <wp:effectExtent l="0" t="0" r="9525" b="0"/>
          <wp:docPr id="192" name="Picture 19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220E752"/>
    <w:lvl w:ilvl="0">
      <w:start w:val="1"/>
      <w:numFmt w:val="decimal"/>
      <w:lvlText w:val="%1."/>
      <w:lvlJc w:val="left"/>
      <w:pPr>
        <w:tabs>
          <w:tab w:val="num" w:pos="360"/>
        </w:tabs>
        <w:ind w:left="360" w:hanging="360"/>
      </w:pPr>
    </w:lvl>
  </w:abstractNum>
  <w:abstractNum w:abstractNumId="1" w15:restartNumberingAfterBreak="0">
    <w:nsid w:val="0BB841E3"/>
    <w:multiLevelType w:val="hybridMultilevel"/>
    <w:tmpl w:val="55BEF4EE"/>
    <w:lvl w:ilvl="0" w:tplc="40067470">
      <w:start w:val="27"/>
      <w:numFmt w:val="bullet"/>
      <w:lvlText w:val="-"/>
      <w:lvlJc w:val="left"/>
      <w:pPr>
        <w:ind w:left="720" w:hanging="360"/>
      </w:pPr>
      <w:rPr>
        <w:rFonts w:ascii="Arial" w:eastAsia="Times New Roman" w:hAnsi="Arial" w:cs="Aria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257CF"/>
    <w:multiLevelType w:val="hybridMultilevel"/>
    <w:tmpl w:val="ABD21D18"/>
    <w:lvl w:ilvl="0" w:tplc="04090003">
      <w:start w:val="1"/>
      <w:numFmt w:val="bullet"/>
      <w:lvlText w:val="o"/>
      <w:lvlJc w:val="left"/>
      <w:pPr>
        <w:ind w:left="1501" w:hanging="360"/>
      </w:pPr>
      <w:rPr>
        <w:rFonts w:ascii="Courier New" w:hAnsi="Courier New" w:cs="Courier New"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 w15:restartNumberingAfterBreak="0">
    <w:nsid w:val="0FEA286D"/>
    <w:multiLevelType w:val="hybridMultilevel"/>
    <w:tmpl w:val="79426FF2"/>
    <w:lvl w:ilvl="0" w:tplc="45BA466E">
      <w:start w:val="1"/>
      <w:numFmt w:val="bullet"/>
      <w:lvlText w:val=""/>
      <w:lvlJc w:val="left"/>
      <w:pPr>
        <w:tabs>
          <w:tab w:val="num" w:pos="1080"/>
        </w:tabs>
        <w:ind w:left="1080" w:hanging="7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83A2F62"/>
    <w:multiLevelType w:val="multilevel"/>
    <w:tmpl w:val="4F9ED9D2"/>
    <w:numStyleLink w:val="StyleOutlinenumberedVerdana"/>
  </w:abstractNum>
  <w:abstractNum w:abstractNumId="5" w15:restartNumberingAfterBreak="0">
    <w:nsid w:val="1C093387"/>
    <w:multiLevelType w:val="multilevel"/>
    <w:tmpl w:val="552E4A38"/>
    <w:lvl w:ilvl="0">
      <w:start w:val="1"/>
      <w:numFmt w:val="decimal"/>
      <w:pStyle w:val="Heading2"/>
      <w:lvlText w:val="%1."/>
      <w:lvlJc w:val="left"/>
      <w:pPr>
        <w:ind w:left="360" w:hanging="360"/>
      </w:pPr>
      <w:rPr>
        <w:b/>
      </w:rPr>
    </w:lvl>
    <w:lvl w:ilvl="1">
      <w:start w:val="1"/>
      <w:numFmt w:val="decimal"/>
      <w:pStyle w:val="Heading3"/>
      <w:lvlText w:val="%1.%2."/>
      <w:lvlJc w:val="left"/>
      <w:pPr>
        <w:ind w:left="792" w:hanging="432"/>
      </w:pPr>
      <w:rPr>
        <w:b w:val="0"/>
      </w:r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9F4C7E"/>
    <w:multiLevelType w:val="hybridMultilevel"/>
    <w:tmpl w:val="8A6CB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29352E"/>
    <w:multiLevelType w:val="hybridMultilevel"/>
    <w:tmpl w:val="C584E10E"/>
    <w:lvl w:ilvl="0" w:tplc="04090001">
      <w:start w:val="1"/>
      <w:numFmt w:val="bullet"/>
      <w:lvlText w:val=""/>
      <w:lvlJc w:val="left"/>
      <w:pPr>
        <w:tabs>
          <w:tab w:val="num" w:pos="1434"/>
        </w:tabs>
        <w:ind w:left="1434" w:hanging="720"/>
      </w:pPr>
      <w:rPr>
        <w:rFonts w:ascii="Symbol" w:hAnsi="Symbol" w:hint="default"/>
      </w:rPr>
    </w:lvl>
    <w:lvl w:ilvl="1" w:tplc="0C090003">
      <w:start w:val="1"/>
      <w:numFmt w:val="bullet"/>
      <w:lvlText w:val="o"/>
      <w:lvlJc w:val="left"/>
      <w:pPr>
        <w:tabs>
          <w:tab w:val="num" w:pos="1794"/>
        </w:tabs>
        <w:ind w:left="1794" w:hanging="360"/>
      </w:pPr>
      <w:rPr>
        <w:rFonts w:ascii="Courier New" w:hAnsi="Courier New" w:cs="Courier New" w:hint="default"/>
      </w:rPr>
    </w:lvl>
    <w:lvl w:ilvl="2" w:tplc="0C090003">
      <w:start w:val="1"/>
      <w:numFmt w:val="bullet"/>
      <w:lvlText w:val="o"/>
      <w:lvlJc w:val="left"/>
      <w:pPr>
        <w:tabs>
          <w:tab w:val="num" w:pos="2514"/>
        </w:tabs>
        <w:ind w:left="2514" w:hanging="180"/>
      </w:pPr>
      <w:rPr>
        <w:rFonts w:ascii="Courier New" w:hAnsi="Courier New" w:cs="Courier New" w:hint="default"/>
      </w:rPr>
    </w:lvl>
    <w:lvl w:ilvl="3" w:tplc="0C09000F" w:tentative="1">
      <w:start w:val="1"/>
      <w:numFmt w:val="decimal"/>
      <w:lvlText w:val="%4."/>
      <w:lvlJc w:val="left"/>
      <w:pPr>
        <w:tabs>
          <w:tab w:val="num" w:pos="3234"/>
        </w:tabs>
        <w:ind w:left="3234" w:hanging="360"/>
      </w:pPr>
    </w:lvl>
    <w:lvl w:ilvl="4" w:tplc="0C090019" w:tentative="1">
      <w:start w:val="1"/>
      <w:numFmt w:val="lowerLetter"/>
      <w:lvlText w:val="%5."/>
      <w:lvlJc w:val="left"/>
      <w:pPr>
        <w:tabs>
          <w:tab w:val="num" w:pos="3954"/>
        </w:tabs>
        <w:ind w:left="3954" w:hanging="360"/>
      </w:pPr>
    </w:lvl>
    <w:lvl w:ilvl="5" w:tplc="0C09001B" w:tentative="1">
      <w:start w:val="1"/>
      <w:numFmt w:val="lowerRoman"/>
      <w:lvlText w:val="%6."/>
      <w:lvlJc w:val="right"/>
      <w:pPr>
        <w:tabs>
          <w:tab w:val="num" w:pos="4674"/>
        </w:tabs>
        <w:ind w:left="4674" w:hanging="180"/>
      </w:pPr>
    </w:lvl>
    <w:lvl w:ilvl="6" w:tplc="0C09000F" w:tentative="1">
      <w:start w:val="1"/>
      <w:numFmt w:val="decimal"/>
      <w:lvlText w:val="%7."/>
      <w:lvlJc w:val="left"/>
      <w:pPr>
        <w:tabs>
          <w:tab w:val="num" w:pos="5394"/>
        </w:tabs>
        <w:ind w:left="5394" w:hanging="360"/>
      </w:pPr>
    </w:lvl>
    <w:lvl w:ilvl="7" w:tplc="0C090019" w:tentative="1">
      <w:start w:val="1"/>
      <w:numFmt w:val="lowerLetter"/>
      <w:lvlText w:val="%8."/>
      <w:lvlJc w:val="left"/>
      <w:pPr>
        <w:tabs>
          <w:tab w:val="num" w:pos="6114"/>
        </w:tabs>
        <w:ind w:left="6114" w:hanging="360"/>
      </w:pPr>
    </w:lvl>
    <w:lvl w:ilvl="8" w:tplc="0C09001B" w:tentative="1">
      <w:start w:val="1"/>
      <w:numFmt w:val="lowerRoman"/>
      <w:lvlText w:val="%9."/>
      <w:lvlJc w:val="right"/>
      <w:pPr>
        <w:tabs>
          <w:tab w:val="num" w:pos="6834"/>
        </w:tabs>
        <w:ind w:left="6834" w:hanging="180"/>
      </w:pPr>
    </w:lvl>
  </w:abstractNum>
  <w:abstractNum w:abstractNumId="8" w15:restartNumberingAfterBreak="0">
    <w:nsid w:val="2B285A35"/>
    <w:multiLevelType w:val="hybridMultilevel"/>
    <w:tmpl w:val="EF0EB586"/>
    <w:lvl w:ilvl="0" w:tplc="603A2CF4">
      <w:start w:val="1"/>
      <w:numFmt w:val="decimal"/>
      <w:lvlText w:val="%1."/>
      <w:lvlJc w:val="left"/>
      <w:pPr>
        <w:tabs>
          <w:tab w:val="num" w:pos="1440"/>
        </w:tabs>
        <w:ind w:left="1440" w:hanging="360"/>
      </w:pPr>
      <w:rPr>
        <w:rFonts w:hint="default"/>
      </w:r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15:restartNumberingAfterBreak="0">
    <w:nsid w:val="2B5B7948"/>
    <w:multiLevelType w:val="hybridMultilevel"/>
    <w:tmpl w:val="28F6C0E4"/>
    <w:lvl w:ilvl="0" w:tplc="0C090003">
      <w:start w:val="1"/>
      <w:numFmt w:val="bullet"/>
      <w:lvlText w:val="o"/>
      <w:lvlJc w:val="left"/>
      <w:pPr>
        <w:tabs>
          <w:tab w:val="num" w:pos="1434"/>
        </w:tabs>
        <w:ind w:left="1434" w:hanging="72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6630F6"/>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CAF6F96"/>
    <w:multiLevelType w:val="hybridMultilevel"/>
    <w:tmpl w:val="3778621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1647646"/>
    <w:multiLevelType w:val="hybridMultilevel"/>
    <w:tmpl w:val="52C85B8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5606F52"/>
    <w:multiLevelType w:val="hybridMultilevel"/>
    <w:tmpl w:val="BFDC13AE"/>
    <w:lvl w:ilvl="0" w:tplc="04090001">
      <w:start w:val="1"/>
      <w:numFmt w:val="bullet"/>
      <w:lvlText w:val=""/>
      <w:lvlJc w:val="left"/>
      <w:pPr>
        <w:tabs>
          <w:tab w:val="num" w:pos="1080"/>
        </w:tabs>
        <w:ind w:left="1080" w:hanging="720"/>
      </w:pPr>
      <w:rPr>
        <w:rFonts w:ascii="Symbol" w:hAnsi="Symbol" w:hint="default"/>
      </w:rPr>
    </w:lvl>
    <w:lvl w:ilvl="1" w:tplc="0C090019">
      <w:start w:val="1"/>
      <w:numFmt w:val="lowerLetter"/>
      <w:lvlText w:val="%2."/>
      <w:lvlJc w:val="left"/>
      <w:pPr>
        <w:tabs>
          <w:tab w:val="num" w:pos="1440"/>
        </w:tabs>
        <w:ind w:left="1440" w:hanging="360"/>
      </w:pPr>
    </w:lvl>
    <w:lvl w:ilvl="2" w:tplc="45BA466E">
      <w:start w:val="1"/>
      <w:numFmt w:val="bullet"/>
      <w:lvlText w:val=""/>
      <w:lvlJc w:val="left"/>
      <w:pPr>
        <w:tabs>
          <w:tab w:val="num" w:pos="2160"/>
        </w:tabs>
        <w:ind w:left="2160" w:hanging="18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BBD7C95"/>
    <w:multiLevelType w:val="hybridMultilevel"/>
    <w:tmpl w:val="7A8C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7D4E4F"/>
    <w:multiLevelType w:val="hybridMultilevel"/>
    <w:tmpl w:val="C876D2B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4D72276"/>
    <w:multiLevelType w:val="hybridMultilevel"/>
    <w:tmpl w:val="898A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3037E3"/>
    <w:multiLevelType w:val="hybridMultilevel"/>
    <w:tmpl w:val="2FAAF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F009E"/>
    <w:multiLevelType w:val="hybridMultilevel"/>
    <w:tmpl w:val="44F4B9B8"/>
    <w:lvl w:ilvl="0" w:tplc="603A2CF4">
      <w:start w:val="1"/>
      <w:numFmt w:val="decimal"/>
      <w:lvlText w:val="%1."/>
      <w:lvlJc w:val="left"/>
      <w:pPr>
        <w:tabs>
          <w:tab w:val="num" w:pos="1440"/>
        </w:tabs>
        <w:ind w:left="1440" w:hanging="360"/>
      </w:pPr>
      <w:rPr>
        <w:rFonts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0" w15:restartNumberingAfterBreak="0">
    <w:nsid w:val="495224DC"/>
    <w:multiLevelType w:val="hybridMultilevel"/>
    <w:tmpl w:val="94B42034"/>
    <w:lvl w:ilvl="0" w:tplc="04090001">
      <w:start w:val="1"/>
      <w:numFmt w:val="bullet"/>
      <w:lvlText w:val=""/>
      <w:lvlJc w:val="left"/>
      <w:pPr>
        <w:tabs>
          <w:tab w:val="num" w:pos="1080"/>
        </w:tabs>
        <w:ind w:left="1080" w:hanging="720"/>
      </w:pPr>
      <w:rPr>
        <w:rFonts w:ascii="Symbol" w:hAnsi="Symbol" w:hint="default"/>
      </w:rPr>
    </w:lvl>
    <w:lvl w:ilvl="1" w:tplc="0C090019">
      <w:start w:val="1"/>
      <w:numFmt w:val="lowerLetter"/>
      <w:lvlText w:val="%2."/>
      <w:lvlJc w:val="left"/>
      <w:pPr>
        <w:tabs>
          <w:tab w:val="num" w:pos="1440"/>
        </w:tabs>
        <w:ind w:left="1440" w:hanging="360"/>
      </w:pPr>
    </w:lvl>
    <w:lvl w:ilvl="2" w:tplc="0C090003">
      <w:start w:val="1"/>
      <w:numFmt w:val="bullet"/>
      <w:lvlText w:val="o"/>
      <w:lvlJc w:val="left"/>
      <w:pPr>
        <w:tabs>
          <w:tab w:val="num" w:pos="2160"/>
        </w:tabs>
        <w:ind w:left="2160" w:hanging="180"/>
      </w:pPr>
      <w:rPr>
        <w:rFonts w:ascii="Courier New" w:hAnsi="Courier New" w:cs="Courier New"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6874F23"/>
    <w:multiLevelType w:val="hybridMultilevel"/>
    <w:tmpl w:val="BFF0FB9E"/>
    <w:lvl w:ilvl="0" w:tplc="0C090003">
      <w:start w:val="1"/>
      <w:numFmt w:val="bullet"/>
      <w:lvlText w:val="o"/>
      <w:lvlJc w:val="left"/>
      <w:pPr>
        <w:tabs>
          <w:tab w:val="num" w:pos="1434"/>
        </w:tabs>
        <w:ind w:left="1434" w:hanging="720"/>
      </w:pPr>
      <w:rPr>
        <w:rFonts w:ascii="Courier New" w:hAnsi="Courier New" w:cs="Courier New" w:hint="default"/>
      </w:rPr>
    </w:lvl>
    <w:lvl w:ilvl="1" w:tplc="0C090003">
      <w:start w:val="1"/>
      <w:numFmt w:val="bullet"/>
      <w:lvlText w:val="o"/>
      <w:lvlJc w:val="left"/>
      <w:pPr>
        <w:tabs>
          <w:tab w:val="num" w:pos="1794"/>
        </w:tabs>
        <w:ind w:left="1794" w:hanging="360"/>
      </w:pPr>
      <w:rPr>
        <w:rFonts w:ascii="Courier New" w:hAnsi="Courier New" w:cs="Courier New" w:hint="default"/>
      </w:rPr>
    </w:lvl>
    <w:lvl w:ilvl="2" w:tplc="0C090003">
      <w:start w:val="1"/>
      <w:numFmt w:val="bullet"/>
      <w:lvlText w:val="o"/>
      <w:lvlJc w:val="left"/>
      <w:pPr>
        <w:tabs>
          <w:tab w:val="num" w:pos="2514"/>
        </w:tabs>
        <w:ind w:left="2514" w:hanging="180"/>
      </w:pPr>
      <w:rPr>
        <w:rFonts w:ascii="Courier New" w:hAnsi="Courier New" w:cs="Courier New" w:hint="default"/>
      </w:rPr>
    </w:lvl>
    <w:lvl w:ilvl="3" w:tplc="0C09000F" w:tentative="1">
      <w:start w:val="1"/>
      <w:numFmt w:val="decimal"/>
      <w:lvlText w:val="%4."/>
      <w:lvlJc w:val="left"/>
      <w:pPr>
        <w:tabs>
          <w:tab w:val="num" w:pos="3234"/>
        </w:tabs>
        <w:ind w:left="3234" w:hanging="360"/>
      </w:pPr>
    </w:lvl>
    <w:lvl w:ilvl="4" w:tplc="0C090019" w:tentative="1">
      <w:start w:val="1"/>
      <w:numFmt w:val="lowerLetter"/>
      <w:lvlText w:val="%5."/>
      <w:lvlJc w:val="left"/>
      <w:pPr>
        <w:tabs>
          <w:tab w:val="num" w:pos="3954"/>
        </w:tabs>
        <w:ind w:left="3954" w:hanging="360"/>
      </w:pPr>
    </w:lvl>
    <w:lvl w:ilvl="5" w:tplc="0C09001B" w:tentative="1">
      <w:start w:val="1"/>
      <w:numFmt w:val="lowerRoman"/>
      <w:lvlText w:val="%6."/>
      <w:lvlJc w:val="right"/>
      <w:pPr>
        <w:tabs>
          <w:tab w:val="num" w:pos="4674"/>
        </w:tabs>
        <w:ind w:left="4674" w:hanging="180"/>
      </w:pPr>
    </w:lvl>
    <w:lvl w:ilvl="6" w:tplc="0C09000F" w:tentative="1">
      <w:start w:val="1"/>
      <w:numFmt w:val="decimal"/>
      <w:lvlText w:val="%7."/>
      <w:lvlJc w:val="left"/>
      <w:pPr>
        <w:tabs>
          <w:tab w:val="num" w:pos="5394"/>
        </w:tabs>
        <w:ind w:left="5394" w:hanging="360"/>
      </w:pPr>
    </w:lvl>
    <w:lvl w:ilvl="7" w:tplc="0C090019" w:tentative="1">
      <w:start w:val="1"/>
      <w:numFmt w:val="lowerLetter"/>
      <w:lvlText w:val="%8."/>
      <w:lvlJc w:val="left"/>
      <w:pPr>
        <w:tabs>
          <w:tab w:val="num" w:pos="6114"/>
        </w:tabs>
        <w:ind w:left="6114" w:hanging="360"/>
      </w:pPr>
    </w:lvl>
    <w:lvl w:ilvl="8" w:tplc="0C09001B" w:tentative="1">
      <w:start w:val="1"/>
      <w:numFmt w:val="lowerRoman"/>
      <w:lvlText w:val="%9."/>
      <w:lvlJc w:val="right"/>
      <w:pPr>
        <w:tabs>
          <w:tab w:val="num" w:pos="6834"/>
        </w:tabs>
        <w:ind w:left="6834" w:hanging="180"/>
      </w:pPr>
    </w:lvl>
  </w:abstractNum>
  <w:abstractNum w:abstractNumId="22" w15:restartNumberingAfterBreak="0">
    <w:nsid w:val="5796532E"/>
    <w:multiLevelType w:val="hybridMultilevel"/>
    <w:tmpl w:val="9FF63EA2"/>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3" w15:restartNumberingAfterBreak="0">
    <w:nsid w:val="589518FC"/>
    <w:multiLevelType w:val="hybridMultilevel"/>
    <w:tmpl w:val="475CEDBA"/>
    <w:lvl w:ilvl="0" w:tplc="0C090003">
      <w:start w:val="1"/>
      <w:numFmt w:val="bullet"/>
      <w:lvlText w:val="o"/>
      <w:lvlJc w:val="left"/>
      <w:pPr>
        <w:tabs>
          <w:tab w:val="num" w:pos="1434"/>
        </w:tabs>
        <w:ind w:left="1434" w:hanging="72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317EAE"/>
    <w:multiLevelType w:val="hybridMultilevel"/>
    <w:tmpl w:val="6BF62ADC"/>
    <w:lvl w:ilvl="0" w:tplc="A4AAA5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636D71"/>
    <w:multiLevelType w:val="hybridMultilevel"/>
    <w:tmpl w:val="9BEC2CC6"/>
    <w:lvl w:ilvl="0" w:tplc="0C090003">
      <w:start w:val="1"/>
      <w:numFmt w:val="bullet"/>
      <w:lvlText w:val="o"/>
      <w:lvlJc w:val="left"/>
      <w:pPr>
        <w:tabs>
          <w:tab w:val="num" w:pos="1434"/>
        </w:tabs>
        <w:ind w:left="1434" w:hanging="72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E65F0E"/>
    <w:multiLevelType w:val="hybridMultilevel"/>
    <w:tmpl w:val="FF8A0E4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DD62A9E"/>
    <w:multiLevelType w:val="hybridMultilevel"/>
    <w:tmpl w:val="5AB2B410"/>
    <w:lvl w:ilvl="0" w:tplc="603A2CF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601678AB"/>
    <w:multiLevelType w:val="hybridMultilevel"/>
    <w:tmpl w:val="002AAB6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0EE4EB8"/>
    <w:multiLevelType w:val="hybridMultilevel"/>
    <w:tmpl w:val="3CB44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EF5BDD"/>
    <w:multiLevelType w:val="hybridMultilevel"/>
    <w:tmpl w:val="CD409B94"/>
    <w:lvl w:ilvl="0" w:tplc="04090003">
      <w:start w:val="1"/>
      <w:numFmt w:val="bullet"/>
      <w:lvlText w:val="o"/>
      <w:lvlJc w:val="left"/>
      <w:pPr>
        <w:ind w:left="1501" w:hanging="360"/>
      </w:pPr>
      <w:rPr>
        <w:rFonts w:ascii="Courier New" w:hAnsi="Courier New" w:cs="Courier New"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1" w15:restartNumberingAfterBreak="0">
    <w:nsid w:val="69583577"/>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DE23EF3"/>
    <w:multiLevelType w:val="hybridMultilevel"/>
    <w:tmpl w:val="5FFE02D8"/>
    <w:lvl w:ilvl="0" w:tplc="04090001">
      <w:start w:val="1"/>
      <w:numFmt w:val="bullet"/>
      <w:lvlText w:val=""/>
      <w:lvlJc w:val="left"/>
      <w:pPr>
        <w:tabs>
          <w:tab w:val="num" w:pos="1080"/>
        </w:tabs>
        <w:ind w:left="1080" w:hanging="720"/>
      </w:pPr>
      <w:rPr>
        <w:rFonts w:ascii="Symbol" w:hAnsi="Symbol" w:hint="default"/>
      </w:rPr>
    </w:lvl>
    <w:lvl w:ilvl="1" w:tplc="0C090019">
      <w:start w:val="1"/>
      <w:numFmt w:val="lowerLetter"/>
      <w:lvlText w:val="%2."/>
      <w:lvlJc w:val="left"/>
      <w:pPr>
        <w:tabs>
          <w:tab w:val="num" w:pos="1440"/>
        </w:tabs>
        <w:ind w:left="1440" w:hanging="360"/>
      </w:pPr>
    </w:lvl>
    <w:lvl w:ilvl="2" w:tplc="0C090003">
      <w:start w:val="1"/>
      <w:numFmt w:val="bullet"/>
      <w:lvlText w:val="o"/>
      <w:lvlJc w:val="left"/>
      <w:pPr>
        <w:tabs>
          <w:tab w:val="num" w:pos="2160"/>
        </w:tabs>
        <w:ind w:left="2160" w:hanging="180"/>
      </w:pPr>
      <w:rPr>
        <w:rFonts w:ascii="Courier New" w:hAnsi="Courier New" w:cs="Courier New"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5D36CBA"/>
    <w:multiLevelType w:val="hybridMultilevel"/>
    <w:tmpl w:val="6CEE4F50"/>
    <w:lvl w:ilvl="0" w:tplc="04090001">
      <w:start w:val="1"/>
      <w:numFmt w:val="bullet"/>
      <w:lvlText w:val=""/>
      <w:lvlJc w:val="left"/>
      <w:pPr>
        <w:tabs>
          <w:tab w:val="num" w:pos="1080"/>
        </w:tabs>
        <w:ind w:left="1080" w:hanging="7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19A07FE2">
      <w:start w:val="1"/>
      <w:numFmt w:val="lowerLetter"/>
      <w:lvlText w:val="(%4)"/>
      <w:lvlJc w:val="left"/>
      <w:pPr>
        <w:ind w:left="2910" w:hanging="39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9A914A6"/>
    <w:multiLevelType w:val="hybridMultilevel"/>
    <w:tmpl w:val="D6E80E1A"/>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B402BF3"/>
    <w:multiLevelType w:val="hybridMultilevel"/>
    <w:tmpl w:val="5AB2B410"/>
    <w:lvl w:ilvl="0" w:tplc="603A2CF4">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CE8318E"/>
    <w:multiLevelType w:val="hybridMultilevel"/>
    <w:tmpl w:val="BB6E19AC"/>
    <w:lvl w:ilvl="0" w:tplc="0C090003">
      <w:start w:val="1"/>
      <w:numFmt w:val="bullet"/>
      <w:lvlText w:val="o"/>
      <w:lvlJc w:val="left"/>
      <w:pPr>
        <w:tabs>
          <w:tab w:val="num" w:pos="1434"/>
        </w:tabs>
        <w:ind w:left="1434" w:hanging="72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31"/>
  </w:num>
  <w:num w:numId="4">
    <w:abstractNumId w:val="16"/>
  </w:num>
  <w:num w:numId="5">
    <w:abstractNumId w:val="15"/>
  </w:num>
  <w:num w:numId="6">
    <w:abstractNumId w:val="26"/>
  </w:num>
  <w:num w:numId="7">
    <w:abstractNumId w:val="11"/>
  </w:num>
  <w:num w:numId="8">
    <w:abstractNumId w:val="4"/>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33"/>
  </w:num>
  <w:num w:numId="10">
    <w:abstractNumId w:val="19"/>
  </w:num>
  <w:num w:numId="11">
    <w:abstractNumId w:val="22"/>
  </w:num>
  <w:num w:numId="12">
    <w:abstractNumId w:val="8"/>
  </w:num>
  <w:num w:numId="13">
    <w:abstractNumId w:val="27"/>
  </w:num>
  <w:num w:numId="14">
    <w:abstractNumId w:val="35"/>
  </w:num>
  <w:num w:numId="15">
    <w:abstractNumId w:val="1"/>
  </w:num>
  <w:num w:numId="16">
    <w:abstractNumId w:val="28"/>
  </w:num>
  <w:num w:numId="17">
    <w:abstractNumId w:val="3"/>
  </w:num>
  <w:num w:numId="18">
    <w:abstractNumId w:val="13"/>
  </w:num>
  <w:num w:numId="19">
    <w:abstractNumId w:val="17"/>
  </w:num>
  <w:num w:numId="20">
    <w:abstractNumId w:val="29"/>
  </w:num>
  <w:num w:numId="21">
    <w:abstractNumId w:val="18"/>
  </w:num>
  <w:num w:numId="22">
    <w:abstractNumId w:val="18"/>
  </w:num>
  <w:num w:numId="23">
    <w:abstractNumId w:val="34"/>
  </w:num>
  <w:num w:numId="24">
    <w:abstractNumId w:val="12"/>
  </w:num>
  <w:num w:numId="25">
    <w:abstractNumId w:val="32"/>
  </w:num>
  <w:num w:numId="26">
    <w:abstractNumId w:val="20"/>
  </w:num>
  <w:num w:numId="27">
    <w:abstractNumId w:val="7"/>
  </w:num>
  <w:num w:numId="28">
    <w:abstractNumId w:val="21"/>
  </w:num>
  <w:num w:numId="29">
    <w:abstractNumId w:val="36"/>
  </w:num>
  <w:num w:numId="30">
    <w:abstractNumId w:val="25"/>
  </w:num>
  <w:num w:numId="31">
    <w:abstractNumId w:val="23"/>
  </w:num>
  <w:num w:numId="32">
    <w:abstractNumId w:val="9"/>
  </w:num>
  <w:num w:numId="33">
    <w:abstractNumId w:val="2"/>
  </w:num>
  <w:num w:numId="34">
    <w:abstractNumId w:val="30"/>
  </w:num>
  <w:num w:numId="35">
    <w:abstractNumId w:val="14"/>
  </w:num>
  <w:num w:numId="36">
    <w:abstractNumId w:val="6"/>
  </w:num>
  <w:num w:numId="37">
    <w:abstractNumId w:val="5"/>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proofState w:spelling="clean" w:grammar="clean"/>
  <w:attachedTemplate r:id="rId1"/>
  <w:stylePaneFormatFilter w:val="D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1"/>
  <w:documentProtection w:edit="readOnly" w:formatting="1"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48"/>
    <w:rsid w:val="00012021"/>
    <w:rsid w:val="00013AB8"/>
    <w:rsid w:val="00025728"/>
    <w:rsid w:val="00025D1F"/>
    <w:rsid w:val="0002626C"/>
    <w:rsid w:val="00026367"/>
    <w:rsid w:val="00035B17"/>
    <w:rsid w:val="0004447A"/>
    <w:rsid w:val="0005255D"/>
    <w:rsid w:val="00053163"/>
    <w:rsid w:val="0005527A"/>
    <w:rsid w:val="000627EF"/>
    <w:rsid w:val="00067455"/>
    <w:rsid w:val="00070FA0"/>
    <w:rsid w:val="000759B7"/>
    <w:rsid w:val="00077307"/>
    <w:rsid w:val="00081606"/>
    <w:rsid w:val="000824EB"/>
    <w:rsid w:val="00095814"/>
    <w:rsid w:val="000A2D3B"/>
    <w:rsid w:val="000A6119"/>
    <w:rsid w:val="000A7C12"/>
    <w:rsid w:val="000B6CFC"/>
    <w:rsid w:val="000C0D54"/>
    <w:rsid w:val="000C3257"/>
    <w:rsid w:val="000C3D9E"/>
    <w:rsid w:val="000C53B8"/>
    <w:rsid w:val="000C7831"/>
    <w:rsid w:val="000E378B"/>
    <w:rsid w:val="000F38B1"/>
    <w:rsid w:val="000F3940"/>
    <w:rsid w:val="00114514"/>
    <w:rsid w:val="00114A5C"/>
    <w:rsid w:val="001173BB"/>
    <w:rsid w:val="00122A6E"/>
    <w:rsid w:val="001236E9"/>
    <w:rsid w:val="00123EBD"/>
    <w:rsid w:val="00130987"/>
    <w:rsid w:val="00142574"/>
    <w:rsid w:val="001477D4"/>
    <w:rsid w:val="00152BEF"/>
    <w:rsid w:val="00154219"/>
    <w:rsid w:val="00157752"/>
    <w:rsid w:val="00162205"/>
    <w:rsid w:val="00163ED0"/>
    <w:rsid w:val="001643E3"/>
    <w:rsid w:val="001656C3"/>
    <w:rsid w:val="001709E2"/>
    <w:rsid w:val="00172F33"/>
    <w:rsid w:val="001731A9"/>
    <w:rsid w:val="0018242A"/>
    <w:rsid w:val="0019566F"/>
    <w:rsid w:val="001A7351"/>
    <w:rsid w:val="001C1DEC"/>
    <w:rsid w:val="001C3EE4"/>
    <w:rsid w:val="001C4A5A"/>
    <w:rsid w:val="001C5A2C"/>
    <w:rsid w:val="001C76C3"/>
    <w:rsid w:val="001E635F"/>
    <w:rsid w:val="00202970"/>
    <w:rsid w:val="00207EDB"/>
    <w:rsid w:val="0021611E"/>
    <w:rsid w:val="0021635C"/>
    <w:rsid w:val="00217A56"/>
    <w:rsid w:val="0022316F"/>
    <w:rsid w:val="00234C35"/>
    <w:rsid w:val="002365BD"/>
    <w:rsid w:val="002444F0"/>
    <w:rsid w:val="00244D8C"/>
    <w:rsid w:val="00250CC4"/>
    <w:rsid w:val="002575CA"/>
    <w:rsid w:val="00270663"/>
    <w:rsid w:val="0027149D"/>
    <w:rsid w:val="002737A5"/>
    <w:rsid w:val="00277B31"/>
    <w:rsid w:val="002811A8"/>
    <w:rsid w:val="0028159B"/>
    <w:rsid w:val="00296DC5"/>
    <w:rsid w:val="0029764D"/>
    <w:rsid w:val="002A14A2"/>
    <w:rsid w:val="002B2A62"/>
    <w:rsid w:val="002B2E5D"/>
    <w:rsid w:val="002B5178"/>
    <w:rsid w:val="002C72B4"/>
    <w:rsid w:val="002C72BA"/>
    <w:rsid w:val="002D3539"/>
    <w:rsid w:val="002E1CDA"/>
    <w:rsid w:val="002E2C57"/>
    <w:rsid w:val="002E5B12"/>
    <w:rsid w:val="002F2C2A"/>
    <w:rsid w:val="002F7487"/>
    <w:rsid w:val="00304F79"/>
    <w:rsid w:val="003102D9"/>
    <w:rsid w:val="00316B1A"/>
    <w:rsid w:val="00320FBF"/>
    <w:rsid w:val="003275AC"/>
    <w:rsid w:val="00344B70"/>
    <w:rsid w:val="00360383"/>
    <w:rsid w:val="003604EC"/>
    <w:rsid w:val="00365CB3"/>
    <w:rsid w:val="00367444"/>
    <w:rsid w:val="003751F2"/>
    <w:rsid w:val="0038236D"/>
    <w:rsid w:val="00384D46"/>
    <w:rsid w:val="003939A0"/>
    <w:rsid w:val="00396DEC"/>
    <w:rsid w:val="003A0726"/>
    <w:rsid w:val="003A75A3"/>
    <w:rsid w:val="003B3323"/>
    <w:rsid w:val="003C75D2"/>
    <w:rsid w:val="003C78CF"/>
    <w:rsid w:val="003E5C08"/>
    <w:rsid w:val="003E656A"/>
    <w:rsid w:val="003E690F"/>
    <w:rsid w:val="003E7391"/>
    <w:rsid w:val="003F0691"/>
    <w:rsid w:val="003F1D10"/>
    <w:rsid w:val="003F6838"/>
    <w:rsid w:val="00405E81"/>
    <w:rsid w:val="00412664"/>
    <w:rsid w:val="00427E8D"/>
    <w:rsid w:val="00435746"/>
    <w:rsid w:val="00440FAE"/>
    <w:rsid w:val="00442230"/>
    <w:rsid w:val="004537E6"/>
    <w:rsid w:val="00463937"/>
    <w:rsid w:val="004804BD"/>
    <w:rsid w:val="00482503"/>
    <w:rsid w:val="0048353D"/>
    <w:rsid w:val="004868B0"/>
    <w:rsid w:val="00493AF9"/>
    <w:rsid w:val="00495618"/>
    <w:rsid w:val="00495E5D"/>
    <w:rsid w:val="004A04AD"/>
    <w:rsid w:val="004A4A2F"/>
    <w:rsid w:val="004B0339"/>
    <w:rsid w:val="004B556A"/>
    <w:rsid w:val="004C0103"/>
    <w:rsid w:val="004C7D34"/>
    <w:rsid w:val="004D31C7"/>
    <w:rsid w:val="004D6343"/>
    <w:rsid w:val="004E21C4"/>
    <w:rsid w:val="004E3F3F"/>
    <w:rsid w:val="004E7704"/>
    <w:rsid w:val="004F04B7"/>
    <w:rsid w:val="00503D8C"/>
    <w:rsid w:val="00504CE7"/>
    <w:rsid w:val="00511C4B"/>
    <w:rsid w:val="005143EE"/>
    <w:rsid w:val="00515F9A"/>
    <w:rsid w:val="005235F9"/>
    <w:rsid w:val="00536620"/>
    <w:rsid w:val="005441D1"/>
    <w:rsid w:val="00544707"/>
    <w:rsid w:val="00560BA5"/>
    <w:rsid w:val="005624C7"/>
    <w:rsid w:val="00564426"/>
    <w:rsid w:val="00566797"/>
    <w:rsid w:val="005709D5"/>
    <w:rsid w:val="00581C15"/>
    <w:rsid w:val="00581E8E"/>
    <w:rsid w:val="00582A64"/>
    <w:rsid w:val="00591295"/>
    <w:rsid w:val="00591D4D"/>
    <w:rsid w:val="00594F85"/>
    <w:rsid w:val="00596468"/>
    <w:rsid w:val="005A00FF"/>
    <w:rsid w:val="005A0B73"/>
    <w:rsid w:val="005A2274"/>
    <w:rsid w:val="005A325D"/>
    <w:rsid w:val="005A45D2"/>
    <w:rsid w:val="005A7671"/>
    <w:rsid w:val="005B1504"/>
    <w:rsid w:val="005B3579"/>
    <w:rsid w:val="005C0995"/>
    <w:rsid w:val="005C1E9E"/>
    <w:rsid w:val="005D60FA"/>
    <w:rsid w:val="005D7B7D"/>
    <w:rsid w:val="005E2B0F"/>
    <w:rsid w:val="005E2E03"/>
    <w:rsid w:val="005F0C29"/>
    <w:rsid w:val="006162EA"/>
    <w:rsid w:val="006234E9"/>
    <w:rsid w:val="00624BF7"/>
    <w:rsid w:val="00634C71"/>
    <w:rsid w:val="006352C8"/>
    <w:rsid w:val="00637A49"/>
    <w:rsid w:val="006445E3"/>
    <w:rsid w:val="0064671A"/>
    <w:rsid w:val="00651061"/>
    <w:rsid w:val="006512F2"/>
    <w:rsid w:val="00653E9E"/>
    <w:rsid w:val="00664229"/>
    <w:rsid w:val="00666783"/>
    <w:rsid w:val="00673573"/>
    <w:rsid w:val="00687205"/>
    <w:rsid w:val="00687916"/>
    <w:rsid w:val="006900B1"/>
    <w:rsid w:val="006A04BF"/>
    <w:rsid w:val="006A2EA0"/>
    <w:rsid w:val="006A3261"/>
    <w:rsid w:val="006A33B7"/>
    <w:rsid w:val="006A354B"/>
    <w:rsid w:val="006A5189"/>
    <w:rsid w:val="006B121F"/>
    <w:rsid w:val="006C2E2A"/>
    <w:rsid w:val="006C46E5"/>
    <w:rsid w:val="006C5A61"/>
    <w:rsid w:val="006D32CA"/>
    <w:rsid w:val="006D74CB"/>
    <w:rsid w:val="006E5135"/>
    <w:rsid w:val="006F3933"/>
    <w:rsid w:val="006F41F4"/>
    <w:rsid w:val="006F6B65"/>
    <w:rsid w:val="00702535"/>
    <w:rsid w:val="0071191E"/>
    <w:rsid w:val="00712E9B"/>
    <w:rsid w:val="007158BF"/>
    <w:rsid w:val="00720411"/>
    <w:rsid w:val="0072203E"/>
    <w:rsid w:val="00722732"/>
    <w:rsid w:val="00722BA5"/>
    <w:rsid w:val="00733B15"/>
    <w:rsid w:val="00740A30"/>
    <w:rsid w:val="00750DD4"/>
    <w:rsid w:val="007573DB"/>
    <w:rsid w:val="00766491"/>
    <w:rsid w:val="0076760C"/>
    <w:rsid w:val="007767C5"/>
    <w:rsid w:val="00784ADC"/>
    <w:rsid w:val="00790801"/>
    <w:rsid w:val="007966CC"/>
    <w:rsid w:val="007A082A"/>
    <w:rsid w:val="007A6E14"/>
    <w:rsid w:val="007C5BA8"/>
    <w:rsid w:val="007D1033"/>
    <w:rsid w:val="007E0082"/>
    <w:rsid w:val="007E5AA1"/>
    <w:rsid w:val="00802E23"/>
    <w:rsid w:val="0080537E"/>
    <w:rsid w:val="00811EAE"/>
    <w:rsid w:val="00812F89"/>
    <w:rsid w:val="0081437E"/>
    <w:rsid w:val="008146A3"/>
    <w:rsid w:val="00816E76"/>
    <w:rsid w:val="00817BFE"/>
    <w:rsid w:val="00822118"/>
    <w:rsid w:val="00837BDF"/>
    <w:rsid w:val="00841B29"/>
    <w:rsid w:val="00843B8E"/>
    <w:rsid w:val="0085634C"/>
    <w:rsid w:val="00864AE4"/>
    <w:rsid w:val="0086552D"/>
    <w:rsid w:val="0086677F"/>
    <w:rsid w:val="0086761D"/>
    <w:rsid w:val="00867A80"/>
    <w:rsid w:val="00876595"/>
    <w:rsid w:val="008818E8"/>
    <w:rsid w:val="008923CF"/>
    <w:rsid w:val="00895EE8"/>
    <w:rsid w:val="00895FA1"/>
    <w:rsid w:val="008A207F"/>
    <w:rsid w:val="008A3731"/>
    <w:rsid w:val="008A624C"/>
    <w:rsid w:val="008B24AF"/>
    <w:rsid w:val="008B2856"/>
    <w:rsid w:val="008C2947"/>
    <w:rsid w:val="008D0C98"/>
    <w:rsid w:val="008E697B"/>
    <w:rsid w:val="008F1888"/>
    <w:rsid w:val="0090314F"/>
    <w:rsid w:val="0091205C"/>
    <w:rsid w:val="00915089"/>
    <w:rsid w:val="00916542"/>
    <w:rsid w:val="00917FC7"/>
    <w:rsid w:val="009205E1"/>
    <w:rsid w:val="009324AE"/>
    <w:rsid w:val="009355BD"/>
    <w:rsid w:val="00940176"/>
    <w:rsid w:val="009401B8"/>
    <w:rsid w:val="00945CB4"/>
    <w:rsid w:val="00947272"/>
    <w:rsid w:val="009504D2"/>
    <w:rsid w:val="00950B38"/>
    <w:rsid w:val="00963493"/>
    <w:rsid w:val="00964E63"/>
    <w:rsid w:val="00971B7A"/>
    <w:rsid w:val="009817DA"/>
    <w:rsid w:val="00984F89"/>
    <w:rsid w:val="00986478"/>
    <w:rsid w:val="00986B42"/>
    <w:rsid w:val="00987441"/>
    <w:rsid w:val="00987BF1"/>
    <w:rsid w:val="0099197C"/>
    <w:rsid w:val="009A11FE"/>
    <w:rsid w:val="009D40E7"/>
    <w:rsid w:val="009E1724"/>
    <w:rsid w:val="009E1F9D"/>
    <w:rsid w:val="009E75F4"/>
    <w:rsid w:val="00A0733B"/>
    <w:rsid w:val="00A12206"/>
    <w:rsid w:val="00A135BA"/>
    <w:rsid w:val="00A13B3E"/>
    <w:rsid w:val="00A148CD"/>
    <w:rsid w:val="00A16D40"/>
    <w:rsid w:val="00A2223F"/>
    <w:rsid w:val="00A25A12"/>
    <w:rsid w:val="00A26FB4"/>
    <w:rsid w:val="00A33885"/>
    <w:rsid w:val="00A4003E"/>
    <w:rsid w:val="00A46E77"/>
    <w:rsid w:val="00A5130F"/>
    <w:rsid w:val="00A517F0"/>
    <w:rsid w:val="00A51A24"/>
    <w:rsid w:val="00A51BD0"/>
    <w:rsid w:val="00A52F23"/>
    <w:rsid w:val="00A55BD1"/>
    <w:rsid w:val="00A70B2B"/>
    <w:rsid w:val="00A72360"/>
    <w:rsid w:val="00A723BF"/>
    <w:rsid w:val="00A74A43"/>
    <w:rsid w:val="00A9013D"/>
    <w:rsid w:val="00A903C2"/>
    <w:rsid w:val="00A90F54"/>
    <w:rsid w:val="00A91716"/>
    <w:rsid w:val="00A92335"/>
    <w:rsid w:val="00A94620"/>
    <w:rsid w:val="00A961B2"/>
    <w:rsid w:val="00AA506E"/>
    <w:rsid w:val="00AA6BC5"/>
    <w:rsid w:val="00AB41E7"/>
    <w:rsid w:val="00AB5E8D"/>
    <w:rsid w:val="00AB68EB"/>
    <w:rsid w:val="00AD031C"/>
    <w:rsid w:val="00AD2A7B"/>
    <w:rsid w:val="00AD44E8"/>
    <w:rsid w:val="00AD61EF"/>
    <w:rsid w:val="00AE37EC"/>
    <w:rsid w:val="00AE6293"/>
    <w:rsid w:val="00AF38BD"/>
    <w:rsid w:val="00AF4343"/>
    <w:rsid w:val="00AF578D"/>
    <w:rsid w:val="00B00629"/>
    <w:rsid w:val="00B07DF8"/>
    <w:rsid w:val="00B12F74"/>
    <w:rsid w:val="00B24B91"/>
    <w:rsid w:val="00B27AA5"/>
    <w:rsid w:val="00B44084"/>
    <w:rsid w:val="00B540B1"/>
    <w:rsid w:val="00B56834"/>
    <w:rsid w:val="00B57495"/>
    <w:rsid w:val="00B60374"/>
    <w:rsid w:val="00B62E4C"/>
    <w:rsid w:val="00B6442E"/>
    <w:rsid w:val="00B721E1"/>
    <w:rsid w:val="00B812F5"/>
    <w:rsid w:val="00B83C0D"/>
    <w:rsid w:val="00B910C6"/>
    <w:rsid w:val="00B97501"/>
    <w:rsid w:val="00BA2033"/>
    <w:rsid w:val="00BA593A"/>
    <w:rsid w:val="00BA5C95"/>
    <w:rsid w:val="00BA5E42"/>
    <w:rsid w:val="00BA67F3"/>
    <w:rsid w:val="00BA7F13"/>
    <w:rsid w:val="00BB48CE"/>
    <w:rsid w:val="00BC01E5"/>
    <w:rsid w:val="00BC3BDD"/>
    <w:rsid w:val="00BC53E4"/>
    <w:rsid w:val="00BD55D6"/>
    <w:rsid w:val="00BD6BEB"/>
    <w:rsid w:val="00BE1B12"/>
    <w:rsid w:val="00BE2E34"/>
    <w:rsid w:val="00BF2051"/>
    <w:rsid w:val="00BF6136"/>
    <w:rsid w:val="00BF70C9"/>
    <w:rsid w:val="00C01721"/>
    <w:rsid w:val="00C04BFE"/>
    <w:rsid w:val="00C12F73"/>
    <w:rsid w:val="00C1463B"/>
    <w:rsid w:val="00C17914"/>
    <w:rsid w:val="00C24079"/>
    <w:rsid w:val="00C24F55"/>
    <w:rsid w:val="00C250AC"/>
    <w:rsid w:val="00C251C7"/>
    <w:rsid w:val="00C257D0"/>
    <w:rsid w:val="00C4079B"/>
    <w:rsid w:val="00C4713D"/>
    <w:rsid w:val="00C55F5E"/>
    <w:rsid w:val="00C578DA"/>
    <w:rsid w:val="00C71293"/>
    <w:rsid w:val="00C72C27"/>
    <w:rsid w:val="00C76873"/>
    <w:rsid w:val="00C9297C"/>
    <w:rsid w:val="00CA02B9"/>
    <w:rsid w:val="00CA35E5"/>
    <w:rsid w:val="00CA4DCD"/>
    <w:rsid w:val="00CC2A38"/>
    <w:rsid w:val="00CD0C11"/>
    <w:rsid w:val="00CD1477"/>
    <w:rsid w:val="00CD2F90"/>
    <w:rsid w:val="00CD481D"/>
    <w:rsid w:val="00CD719B"/>
    <w:rsid w:val="00CE5519"/>
    <w:rsid w:val="00CF0A0F"/>
    <w:rsid w:val="00CF17BF"/>
    <w:rsid w:val="00CF46C4"/>
    <w:rsid w:val="00CF76D5"/>
    <w:rsid w:val="00D04CF8"/>
    <w:rsid w:val="00D10FCD"/>
    <w:rsid w:val="00D142A1"/>
    <w:rsid w:val="00D1436D"/>
    <w:rsid w:val="00D1724B"/>
    <w:rsid w:val="00D177AD"/>
    <w:rsid w:val="00D2109B"/>
    <w:rsid w:val="00D24A59"/>
    <w:rsid w:val="00D263DF"/>
    <w:rsid w:val="00D324CA"/>
    <w:rsid w:val="00D42BBF"/>
    <w:rsid w:val="00D513CC"/>
    <w:rsid w:val="00D66BDA"/>
    <w:rsid w:val="00D71B09"/>
    <w:rsid w:val="00D909B2"/>
    <w:rsid w:val="00DA6419"/>
    <w:rsid w:val="00DB3342"/>
    <w:rsid w:val="00DB4737"/>
    <w:rsid w:val="00DB5FE8"/>
    <w:rsid w:val="00DC157C"/>
    <w:rsid w:val="00DC69EA"/>
    <w:rsid w:val="00DC75F7"/>
    <w:rsid w:val="00DD014E"/>
    <w:rsid w:val="00DD10B0"/>
    <w:rsid w:val="00DF121E"/>
    <w:rsid w:val="00DF4A48"/>
    <w:rsid w:val="00DF6FBB"/>
    <w:rsid w:val="00E0209E"/>
    <w:rsid w:val="00E15120"/>
    <w:rsid w:val="00E155F7"/>
    <w:rsid w:val="00E1620D"/>
    <w:rsid w:val="00E3122E"/>
    <w:rsid w:val="00E50FD7"/>
    <w:rsid w:val="00E511C9"/>
    <w:rsid w:val="00E53250"/>
    <w:rsid w:val="00E55471"/>
    <w:rsid w:val="00E6130A"/>
    <w:rsid w:val="00E633CB"/>
    <w:rsid w:val="00E76235"/>
    <w:rsid w:val="00E7717D"/>
    <w:rsid w:val="00E92541"/>
    <w:rsid w:val="00E92F41"/>
    <w:rsid w:val="00E95B91"/>
    <w:rsid w:val="00E9674C"/>
    <w:rsid w:val="00E96975"/>
    <w:rsid w:val="00E97947"/>
    <w:rsid w:val="00EA1D87"/>
    <w:rsid w:val="00EA217C"/>
    <w:rsid w:val="00EA3AC5"/>
    <w:rsid w:val="00EA6915"/>
    <w:rsid w:val="00EB43BF"/>
    <w:rsid w:val="00EB5038"/>
    <w:rsid w:val="00EC0CF7"/>
    <w:rsid w:val="00EC294E"/>
    <w:rsid w:val="00EC3F19"/>
    <w:rsid w:val="00EC6229"/>
    <w:rsid w:val="00EC7725"/>
    <w:rsid w:val="00ED5FB4"/>
    <w:rsid w:val="00EE04A3"/>
    <w:rsid w:val="00F00AF6"/>
    <w:rsid w:val="00F013C6"/>
    <w:rsid w:val="00F01460"/>
    <w:rsid w:val="00F026C9"/>
    <w:rsid w:val="00F13117"/>
    <w:rsid w:val="00F15212"/>
    <w:rsid w:val="00F2304A"/>
    <w:rsid w:val="00F2529C"/>
    <w:rsid w:val="00F31485"/>
    <w:rsid w:val="00F314E3"/>
    <w:rsid w:val="00F31D3B"/>
    <w:rsid w:val="00F35D9A"/>
    <w:rsid w:val="00F3788A"/>
    <w:rsid w:val="00F423A3"/>
    <w:rsid w:val="00F4472C"/>
    <w:rsid w:val="00F45788"/>
    <w:rsid w:val="00F466A8"/>
    <w:rsid w:val="00F63D6A"/>
    <w:rsid w:val="00F678DD"/>
    <w:rsid w:val="00F71BD6"/>
    <w:rsid w:val="00F71BEE"/>
    <w:rsid w:val="00F74DE6"/>
    <w:rsid w:val="00F90BF5"/>
    <w:rsid w:val="00F9171B"/>
    <w:rsid w:val="00F92BEE"/>
    <w:rsid w:val="00FA56A5"/>
    <w:rsid w:val="00FA6331"/>
    <w:rsid w:val="00FB08C0"/>
    <w:rsid w:val="00FC41C2"/>
    <w:rsid w:val="00FC5B96"/>
    <w:rsid w:val="00FD1CB6"/>
    <w:rsid w:val="00FD2367"/>
    <w:rsid w:val="00FD6AAF"/>
    <w:rsid w:val="00FD6F5B"/>
    <w:rsid w:val="00FE4F8F"/>
    <w:rsid w:val="00FE5879"/>
    <w:rsid w:val="00FF12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793A6D48"/>
  <w15:docId w15:val="{61541ADF-9107-492C-AA37-2E2924DD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B91"/>
    <w:rPr>
      <w:rFonts w:ascii="Arial" w:hAnsi="Arial"/>
      <w:sz w:val="22"/>
      <w:szCs w:val="24"/>
    </w:rPr>
  </w:style>
  <w:style w:type="paragraph" w:styleId="Heading1">
    <w:name w:val="heading 1"/>
    <w:basedOn w:val="Heading2"/>
    <w:next w:val="Normal"/>
    <w:qFormat/>
    <w:rsid w:val="00B24B91"/>
    <w:pPr>
      <w:numPr>
        <w:numId w:val="0"/>
      </w:numPr>
      <w:ind w:left="360"/>
      <w:jc w:val="center"/>
      <w:outlineLvl w:val="0"/>
    </w:pPr>
    <w:rPr>
      <w:sz w:val="36"/>
      <w:szCs w:val="36"/>
    </w:rPr>
  </w:style>
  <w:style w:type="paragraph" w:styleId="Heading2">
    <w:name w:val="heading 2"/>
    <w:basedOn w:val="ListParagraph"/>
    <w:next w:val="Normal"/>
    <w:qFormat/>
    <w:rsid w:val="00B24B91"/>
    <w:pPr>
      <w:numPr>
        <w:numId w:val="37"/>
      </w:numPr>
      <w:spacing w:before="360" w:after="120"/>
      <w:outlineLvl w:val="1"/>
    </w:pPr>
    <w:rPr>
      <w:rFonts w:cs="Arial"/>
      <w:b/>
      <w:szCs w:val="10"/>
    </w:rPr>
  </w:style>
  <w:style w:type="paragraph" w:styleId="Heading3">
    <w:name w:val="heading 3"/>
    <w:basedOn w:val="Normal"/>
    <w:next w:val="Normal"/>
    <w:link w:val="Heading3Char"/>
    <w:unhideWhenUsed/>
    <w:qFormat/>
    <w:rsid w:val="00B24B91"/>
    <w:pPr>
      <w:numPr>
        <w:ilvl w:val="1"/>
        <w:numId w:val="37"/>
      </w:numPr>
      <w:spacing w:before="240" w:after="240"/>
      <w:ind w:left="425" w:hanging="431"/>
      <w:outlineLvl w:val="2"/>
    </w:pPr>
    <w:rPr>
      <w:rFonts w:cs="Arial"/>
      <w:szCs w:val="10"/>
      <w:u w:val="single"/>
    </w:rPr>
  </w:style>
  <w:style w:type="paragraph" w:styleId="Heading4">
    <w:name w:val="heading 4"/>
    <w:basedOn w:val="ListParagraph"/>
    <w:next w:val="Normal"/>
    <w:link w:val="Heading4Char"/>
    <w:unhideWhenUsed/>
    <w:qFormat/>
    <w:rsid w:val="00B24B91"/>
    <w:pPr>
      <w:numPr>
        <w:ilvl w:val="2"/>
        <w:numId w:val="37"/>
      </w:numPr>
      <w:spacing w:before="120" w:after="120"/>
      <w:ind w:left="567" w:hanging="567"/>
      <w:outlineLvl w:val="3"/>
    </w:pPr>
    <w:rPr>
      <w:rFonts w:cs="Arial"/>
      <w:i/>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2A1"/>
    <w:pPr>
      <w:tabs>
        <w:tab w:val="center" w:pos="4153"/>
        <w:tab w:val="right" w:pos="8306"/>
      </w:tabs>
    </w:pPr>
  </w:style>
  <w:style w:type="paragraph" w:styleId="Footer">
    <w:name w:val="footer"/>
    <w:basedOn w:val="Normal"/>
    <w:link w:val="FooterChar"/>
    <w:uiPriority w:val="99"/>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4"/>
      </w:numPr>
    </w:pPr>
  </w:style>
  <w:style w:type="character" w:styleId="PageNumber">
    <w:name w:val="page number"/>
    <w:basedOn w:val="DefaultParagraphFont"/>
    <w:rsid w:val="00BA2033"/>
  </w:style>
  <w:style w:type="table" w:styleId="TableGrid">
    <w:name w:val="Table Grid"/>
    <w:basedOn w:val="TableNormal"/>
    <w:rsid w:val="00BA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styleId="BalloonText">
    <w:name w:val="Balloon Text"/>
    <w:basedOn w:val="Normal"/>
    <w:link w:val="BalloonTextChar"/>
    <w:rsid w:val="00396DEC"/>
    <w:rPr>
      <w:rFonts w:ascii="Tahoma" w:hAnsi="Tahoma" w:cs="Tahoma"/>
      <w:sz w:val="16"/>
      <w:szCs w:val="16"/>
    </w:rPr>
  </w:style>
  <w:style w:type="character" w:customStyle="1" w:styleId="BalloonTextChar">
    <w:name w:val="Balloon Text Char"/>
    <w:basedOn w:val="DefaultParagraphFont"/>
    <w:link w:val="BalloonText"/>
    <w:rsid w:val="00396DEC"/>
    <w:rPr>
      <w:rFonts w:ascii="Tahoma" w:hAnsi="Tahoma" w:cs="Tahoma"/>
      <w:sz w:val="16"/>
      <w:szCs w:val="16"/>
    </w:rPr>
  </w:style>
  <w:style w:type="character" w:styleId="CommentReference">
    <w:name w:val="annotation reference"/>
    <w:basedOn w:val="DefaultParagraphFont"/>
    <w:uiPriority w:val="99"/>
    <w:rsid w:val="00E95B91"/>
    <w:rPr>
      <w:sz w:val="16"/>
      <w:szCs w:val="16"/>
    </w:rPr>
  </w:style>
  <w:style w:type="paragraph" w:styleId="CommentText">
    <w:name w:val="annotation text"/>
    <w:basedOn w:val="Normal"/>
    <w:link w:val="CommentTextChar"/>
    <w:uiPriority w:val="99"/>
    <w:rsid w:val="00E95B91"/>
    <w:rPr>
      <w:sz w:val="20"/>
      <w:szCs w:val="20"/>
    </w:rPr>
  </w:style>
  <w:style w:type="character" w:customStyle="1" w:styleId="CommentTextChar">
    <w:name w:val="Comment Text Char"/>
    <w:basedOn w:val="DefaultParagraphFont"/>
    <w:link w:val="CommentText"/>
    <w:uiPriority w:val="99"/>
    <w:rsid w:val="00E95B91"/>
    <w:rPr>
      <w:rFonts w:ascii="Arial" w:hAnsi="Arial"/>
    </w:rPr>
  </w:style>
  <w:style w:type="paragraph" w:styleId="CommentSubject">
    <w:name w:val="annotation subject"/>
    <w:basedOn w:val="CommentText"/>
    <w:next w:val="CommentText"/>
    <w:link w:val="CommentSubjectChar"/>
    <w:rsid w:val="00E95B91"/>
    <w:rPr>
      <w:b/>
      <w:bCs/>
    </w:rPr>
  </w:style>
  <w:style w:type="character" w:customStyle="1" w:styleId="CommentSubjectChar">
    <w:name w:val="Comment Subject Char"/>
    <w:basedOn w:val="CommentTextChar"/>
    <w:link w:val="CommentSubject"/>
    <w:rsid w:val="00E95B91"/>
    <w:rPr>
      <w:rFonts w:ascii="Arial" w:hAnsi="Arial"/>
      <w:b/>
      <w:bCs/>
    </w:rPr>
  </w:style>
  <w:style w:type="paragraph" w:styleId="ListParagraph">
    <w:name w:val="List Paragraph"/>
    <w:aliases w:val="Bullet"/>
    <w:basedOn w:val="Normal"/>
    <w:link w:val="ListParagraphChar"/>
    <w:uiPriority w:val="34"/>
    <w:qFormat/>
    <w:rsid w:val="00E95B91"/>
    <w:pPr>
      <w:ind w:left="720"/>
      <w:contextualSpacing/>
    </w:pPr>
  </w:style>
  <w:style w:type="paragraph" w:styleId="Revision">
    <w:name w:val="Revision"/>
    <w:hidden/>
    <w:uiPriority w:val="99"/>
    <w:semiHidden/>
    <w:rsid w:val="00A55BD1"/>
    <w:rPr>
      <w:rFonts w:ascii="Arial" w:hAnsi="Arial"/>
      <w:sz w:val="22"/>
      <w:szCs w:val="24"/>
    </w:rPr>
  </w:style>
  <w:style w:type="paragraph" w:customStyle="1" w:styleId="paragraph0">
    <w:name w:val="paragraph"/>
    <w:basedOn w:val="Normal"/>
    <w:rsid w:val="00B83C0D"/>
    <w:pPr>
      <w:spacing w:before="100" w:beforeAutospacing="1" w:after="100" w:afterAutospacing="1"/>
    </w:pPr>
    <w:rPr>
      <w:rFonts w:ascii="Times New Roman" w:hAnsi="Times New Roman"/>
      <w:sz w:val="24"/>
      <w:lang w:val="en-US" w:eastAsia="en-US"/>
    </w:rPr>
  </w:style>
  <w:style w:type="paragraph" w:customStyle="1" w:styleId="paragraphsub">
    <w:name w:val="paragraphsub"/>
    <w:basedOn w:val="Normal"/>
    <w:rsid w:val="00B83C0D"/>
    <w:pPr>
      <w:spacing w:before="100" w:beforeAutospacing="1" w:after="100" w:afterAutospacing="1"/>
    </w:pPr>
    <w:rPr>
      <w:rFonts w:ascii="Times New Roman" w:hAnsi="Times New Roman"/>
      <w:sz w:val="24"/>
      <w:lang w:val="en-US" w:eastAsia="en-US"/>
    </w:rPr>
  </w:style>
  <w:style w:type="character" w:customStyle="1" w:styleId="apple-converted-space">
    <w:name w:val="apple-converted-space"/>
    <w:basedOn w:val="DefaultParagraphFont"/>
    <w:rsid w:val="005A325D"/>
  </w:style>
  <w:style w:type="character" w:styleId="Hyperlink">
    <w:name w:val="Hyperlink"/>
    <w:basedOn w:val="DefaultParagraphFont"/>
    <w:uiPriority w:val="99"/>
    <w:semiHidden/>
    <w:unhideWhenUsed/>
    <w:rsid w:val="005A325D"/>
    <w:rPr>
      <w:color w:val="0000FF"/>
      <w:u w:val="single"/>
    </w:rPr>
  </w:style>
  <w:style w:type="character" w:styleId="HTMLDefinition">
    <w:name w:val="HTML Definition"/>
    <w:basedOn w:val="DefaultParagraphFont"/>
    <w:uiPriority w:val="99"/>
    <w:semiHidden/>
    <w:unhideWhenUsed/>
    <w:rsid w:val="000824EB"/>
    <w:rPr>
      <w:i/>
      <w:iCs/>
    </w:rPr>
  </w:style>
  <w:style w:type="paragraph" w:styleId="FootnoteText">
    <w:name w:val="footnote text"/>
    <w:basedOn w:val="Normal"/>
    <w:link w:val="FootnoteTextChar"/>
    <w:semiHidden/>
    <w:unhideWhenUsed/>
    <w:rsid w:val="001E635F"/>
    <w:rPr>
      <w:sz w:val="20"/>
      <w:szCs w:val="20"/>
    </w:rPr>
  </w:style>
  <w:style w:type="character" w:customStyle="1" w:styleId="FootnoteTextChar">
    <w:name w:val="Footnote Text Char"/>
    <w:basedOn w:val="DefaultParagraphFont"/>
    <w:link w:val="FootnoteText"/>
    <w:semiHidden/>
    <w:rsid w:val="001E635F"/>
    <w:rPr>
      <w:rFonts w:ascii="Arial" w:hAnsi="Arial"/>
    </w:rPr>
  </w:style>
  <w:style w:type="character" w:styleId="FootnoteReference">
    <w:name w:val="footnote reference"/>
    <w:basedOn w:val="DefaultParagraphFont"/>
    <w:semiHidden/>
    <w:unhideWhenUsed/>
    <w:rsid w:val="001E635F"/>
    <w:rPr>
      <w:vertAlign w:val="superscript"/>
    </w:rPr>
  </w:style>
  <w:style w:type="paragraph" w:styleId="EndnoteText">
    <w:name w:val="endnote text"/>
    <w:basedOn w:val="Normal"/>
    <w:link w:val="EndnoteTextChar"/>
    <w:semiHidden/>
    <w:unhideWhenUsed/>
    <w:rsid w:val="00F90BF5"/>
    <w:rPr>
      <w:sz w:val="20"/>
      <w:szCs w:val="20"/>
    </w:rPr>
  </w:style>
  <w:style w:type="character" w:customStyle="1" w:styleId="EndnoteTextChar">
    <w:name w:val="Endnote Text Char"/>
    <w:basedOn w:val="DefaultParagraphFont"/>
    <w:link w:val="EndnoteText"/>
    <w:semiHidden/>
    <w:rsid w:val="00F90BF5"/>
    <w:rPr>
      <w:rFonts w:ascii="Arial" w:hAnsi="Arial"/>
    </w:rPr>
  </w:style>
  <w:style w:type="character" w:styleId="EndnoteReference">
    <w:name w:val="endnote reference"/>
    <w:basedOn w:val="DefaultParagraphFont"/>
    <w:semiHidden/>
    <w:unhideWhenUsed/>
    <w:rsid w:val="00F90BF5"/>
    <w:rPr>
      <w:vertAlign w:val="superscript"/>
    </w:rPr>
  </w:style>
  <w:style w:type="character" w:customStyle="1" w:styleId="FooterChar">
    <w:name w:val="Footer Char"/>
    <w:basedOn w:val="DefaultParagraphFont"/>
    <w:link w:val="Footer"/>
    <w:uiPriority w:val="99"/>
    <w:rsid w:val="003E656A"/>
    <w:rPr>
      <w:rFonts w:ascii="Arial" w:hAnsi="Arial"/>
      <w:sz w:val="22"/>
      <w:szCs w:val="24"/>
    </w:rPr>
  </w:style>
  <w:style w:type="character" w:customStyle="1" w:styleId="ListParagraphChar">
    <w:name w:val="List Paragraph Char"/>
    <w:aliases w:val="Bullet Char"/>
    <w:basedOn w:val="DefaultParagraphFont"/>
    <w:link w:val="ListParagraph"/>
    <w:uiPriority w:val="34"/>
    <w:locked/>
    <w:rsid w:val="00673573"/>
    <w:rPr>
      <w:rFonts w:ascii="Arial" w:hAnsi="Arial"/>
      <w:sz w:val="22"/>
      <w:szCs w:val="24"/>
    </w:rPr>
  </w:style>
  <w:style w:type="paragraph" w:customStyle="1" w:styleId="SWA-FOOTER">
    <w:name w:val="SWA - FOOTER"/>
    <w:basedOn w:val="Normal"/>
    <w:qFormat/>
    <w:rsid w:val="007D1033"/>
    <w:pPr>
      <w:tabs>
        <w:tab w:val="left" w:pos="425"/>
        <w:tab w:val="right" w:pos="9072"/>
      </w:tabs>
      <w:spacing w:after="120"/>
      <w:ind w:left="425" w:hanging="425"/>
      <w:contextualSpacing/>
    </w:pPr>
    <w:rPr>
      <w:rFonts w:eastAsiaTheme="minorHAnsi" w:cstheme="minorBidi"/>
      <w:sz w:val="18"/>
      <w:lang w:eastAsia="en-US"/>
    </w:rPr>
  </w:style>
  <w:style w:type="paragraph" w:customStyle="1" w:styleId="StyleUnderline">
    <w:name w:val="Style Underline"/>
    <w:basedOn w:val="Heading3"/>
    <w:rsid w:val="00B24B91"/>
  </w:style>
  <w:style w:type="character" w:customStyle="1" w:styleId="Heading4Char">
    <w:name w:val="Heading 4 Char"/>
    <w:basedOn w:val="DefaultParagraphFont"/>
    <w:link w:val="Heading4"/>
    <w:rsid w:val="00B24B91"/>
    <w:rPr>
      <w:rFonts w:ascii="Arial" w:hAnsi="Arial" w:cs="Arial"/>
      <w:i/>
      <w:sz w:val="22"/>
      <w:szCs w:val="10"/>
    </w:rPr>
  </w:style>
  <w:style w:type="character" w:customStyle="1" w:styleId="Heading3Char">
    <w:name w:val="Heading 3 Char"/>
    <w:basedOn w:val="DefaultParagraphFont"/>
    <w:link w:val="Heading3"/>
    <w:rsid w:val="00B24B91"/>
    <w:rPr>
      <w:rFonts w:ascii="Arial" w:hAnsi="Arial" w:cs="Arial"/>
      <w:sz w:val="22"/>
      <w:szCs w:val="1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54345">
      <w:bodyDiv w:val="1"/>
      <w:marLeft w:val="0"/>
      <w:marRight w:val="0"/>
      <w:marTop w:val="0"/>
      <w:marBottom w:val="0"/>
      <w:divBdr>
        <w:top w:val="none" w:sz="0" w:space="0" w:color="auto"/>
        <w:left w:val="none" w:sz="0" w:space="0" w:color="auto"/>
        <w:bottom w:val="none" w:sz="0" w:space="0" w:color="auto"/>
        <w:right w:val="none" w:sz="0" w:space="0" w:color="auto"/>
      </w:divBdr>
    </w:div>
    <w:div w:id="804742752">
      <w:bodyDiv w:val="1"/>
      <w:marLeft w:val="0"/>
      <w:marRight w:val="0"/>
      <w:marTop w:val="0"/>
      <w:marBottom w:val="0"/>
      <w:divBdr>
        <w:top w:val="none" w:sz="0" w:space="0" w:color="auto"/>
        <w:left w:val="none" w:sz="0" w:space="0" w:color="auto"/>
        <w:bottom w:val="none" w:sz="0" w:space="0" w:color="auto"/>
        <w:right w:val="none" w:sz="0" w:space="0" w:color="auto"/>
      </w:divBdr>
    </w:div>
    <w:div w:id="1246572099">
      <w:bodyDiv w:val="1"/>
      <w:marLeft w:val="0"/>
      <w:marRight w:val="0"/>
      <w:marTop w:val="0"/>
      <w:marBottom w:val="0"/>
      <w:divBdr>
        <w:top w:val="none" w:sz="0" w:space="0" w:color="auto"/>
        <w:left w:val="none" w:sz="0" w:space="0" w:color="auto"/>
        <w:bottom w:val="none" w:sz="0" w:space="0" w:color="auto"/>
        <w:right w:val="none" w:sz="0" w:space="0" w:color="auto"/>
      </w:divBdr>
      <w:divsChild>
        <w:div w:id="2106681990">
          <w:marLeft w:val="0"/>
          <w:marRight w:val="0"/>
          <w:marTop w:val="0"/>
          <w:marBottom w:val="0"/>
          <w:divBdr>
            <w:top w:val="none" w:sz="0" w:space="0" w:color="auto"/>
            <w:left w:val="none" w:sz="0" w:space="0" w:color="auto"/>
            <w:bottom w:val="none" w:sz="0" w:space="0" w:color="auto"/>
            <w:right w:val="none" w:sz="0" w:space="0" w:color="auto"/>
          </w:divBdr>
          <w:divsChild>
            <w:div w:id="4898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567">
      <w:bodyDiv w:val="1"/>
      <w:marLeft w:val="0"/>
      <w:marRight w:val="0"/>
      <w:marTop w:val="0"/>
      <w:marBottom w:val="0"/>
      <w:divBdr>
        <w:top w:val="none" w:sz="0" w:space="0" w:color="auto"/>
        <w:left w:val="none" w:sz="0" w:space="0" w:color="auto"/>
        <w:bottom w:val="none" w:sz="0" w:space="0" w:color="auto"/>
        <w:right w:val="none" w:sz="0" w:space="0" w:color="auto"/>
      </w:divBdr>
    </w:div>
    <w:div w:id="1787039271">
      <w:bodyDiv w:val="1"/>
      <w:marLeft w:val="0"/>
      <w:marRight w:val="0"/>
      <w:marTop w:val="0"/>
      <w:marBottom w:val="0"/>
      <w:divBdr>
        <w:top w:val="none" w:sz="0" w:space="0" w:color="auto"/>
        <w:left w:val="none" w:sz="0" w:space="0" w:color="auto"/>
        <w:bottom w:val="none" w:sz="0" w:space="0" w:color="auto"/>
        <w:right w:val="none" w:sz="0" w:space="0" w:color="auto"/>
      </w:divBdr>
    </w:div>
    <w:div w:id="201834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Profiles\ag0185\Local%20Settings\Temporary%20Internet%20Files\OLK1\Council%20Meeting%20Paper%20(1)%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ublicationIdentifier xmlns="http://schemas.microsoft.com/sharepoint/v3/fields" xsi:nil="true"/>
    <ParentFolderID xmlns="http://schemas.microsoft.com/sharepoint/v3/fields">605</ParentFolder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CB11-9805-4966-A854-345CF3256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43133-0447-43A9-A1F6-F45BE177F1DB}">
  <ds:schemaRefs>
    <ds:schemaRef ds:uri="http://schemas.microsoft.com/office/2006/metadata/longProperties"/>
  </ds:schemaRefs>
</ds:datastoreItem>
</file>

<file path=customXml/itemProps3.xml><?xml version="1.0" encoding="utf-8"?>
<ds:datastoreItem xmlns:ds="http://schemas.openxmlformats.org/officeDocument/2006/customXml" ds:itemID="{8E6333A6-2FFE-4C51-BC17-5BBD1F5297BF}">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BEA16EB-FB62-41B9-8AE3-EDD9BD18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 Meeting Paper (1) - Template.dot</Template>
  <TotalTime>14</TotalTime>
  <Pages>7</Pages>
  <Words>3053</Words>
  <Characters>15616</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Interpretive Guideline - model Work Health and Safety Act - the health and safety duty of an officer under section 27</vt:lpstr>
    </vt:vector>
  </TitlesOfParts>
  <Company>Australian Government</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Interpretive Guideline - model Work Health and Safety Act - the health and safety duty of an officer under section 27</dc:title>
  <dc:creator/>
  <cp:lastModifiedBy>Ingrid Westra</cp:lastModifiedBy>
  <cp:revision>8</cp:revision>
  <cp:lastPrinted>2018-11-01T02:48:00Z</cp:lastPrinted>
  <dcterms:created xsi:type="dcterms:W3CDTF">2018-12-17T04:47:00Z</dcterms:created>
  <dcterms:modified xsi:type="dcterms:W3CDTF">2018-12-19T22:29:00Z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0x010100A3147459CEFB4138ACF45C1B93E95121001AC9209C673FD1488F9C0FD06E69F9BE</vt:lpwstr>
  </property>
  <property fmtid="{D5CDD505-2E9C-101B-9397-08002B2CF9AE}" pid="10" name="Forms">
    <vt:lpwstr>A To ZTemplates (SIG OHS)</vt:lpwstr>
  </property>
  <property fmtid="{D5CDD505-2E9C-101B-9397-08002B2CF9AE}" pid="11" name="Description0">
    <vt:lpwstr>Agenda Paper Item Attachment (Portrait)</vt:lpwstr>
  </property>
  <property fmtid="{D5CDD505-2E9C-101B-9397-08002B2CF9AE}" pid="12" name="Document Type">
    <vt:lpwstr>Template</vt:lpwstr>
  </property>
</Properties>
</file>